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6E074" w14:textId="00374C26" w:rsidR="00D70301" w:rsidRPr="00AA2E0F" w:rsidRDefault="00D70301" w:rsidP="007D73E2">
      <w:pPr>
        <w:spacing w:after="0"/>
        <w:rPr>
          <w:rFonts w:cs="Times New Roman"/>
          <w:b/>
          <w:sz w:val="40"/>
          <w:szCs w:val="40"/>
        </w:rPr>
      </w:pPr>
      <w:bookmarkStart w:id="0" w:name="_Hlk110519525"/>
      <w:r w:rsidRPr="00AA2E0F">
        <w:rPr>
          <w:rFonts w:cs="Times New Roman"/>
          <w:b/>
          <w:sz w:val="40"/>
          <w:szCs w:val="40"/>
        </w:rPr>
        <w:t>« PERDRE SON LOGEMENT »</w:t>
      </w:r>
      <w:r w:rsidRPr="00AA2E0F">
        <w:rPr>
          <w:rFonts w:cs="Times New Roman"/>
          <w:b/>
          <w:sz w:val="40"/>
          <w:szCs w:val="40"/>
        </w:rPr>
        <w:t> :</w:t>
      </w:r>
    </w:p>
    <w:p w14:paraId="623D7311" w14:textId="6470FD75" w:rsidR="00D70301" w:rsidRPr="00AA2E0F" w:rsidRDefault="00D70301" w:rsidP="00D70301">
      <w:pPr>
        <w:spacing w:line="276" w:lineRule="auto"/>
        <w:rPr>
          <w:rFonts w:cs="Times New Roman"/>
          <w:sz w:val="40"/>
          <w:szCs w:val="40"/>
        </w:rPr>
      </w:pPr>
      <w:r w:rsidRPr="00AA2E0F">
        <w:rPr>
          <w:rFonts w:cs="Times New Roman"/>
          <w:sz w:val="40"/>
          <w:szCs w:val="40"/>
        </w:rPr>
        <w:t xml:space="preserve">Réflexions méthodologiques sur les outils conceptuels permettant d’analyser les parcours des ménages en procédure d’expulsion </w:t>
      </w:r>
      <w:bookmarkStart w:id="1" w:name="_GoBack"/>
      <w:bookmarkEnd w:id="1"/>
    </w:p>
    <w:p w14:paraId="2527C31A" w14:textId="405636BF" w:rsidR="00D70301" w:rsidRDefault="00D70301" w:rsidP="00D70301">
      <w:pPr>
        <w:spacing w:line="276" w:lineRule="auto"/>
        <w:rPr>
          <w:rFonts w:cs="Times New Roman"/>
          <w:sz w:val="28"/>
          <w:szCs w:val="40"/>
        </w:rPr>
      </w:pPr>
      <w:r w:rsidRPr="00AA2E0F">
        <w:rPr>
          <w:rFonts w:cs="Times New Roman"/>
          <w:sz w:val="28"/>
          <w:szCs w:val="40"/>
        </w:rPr>
        <w:t xml:space="preserve">Noémie Emmanuel, doctorante au CIRTES (Centre Interdisciplinaire Centre Interdisciplinaire de Recherche, Travail, État et Société), </w:t>
      </w:r>
      <w:proofErr w:type="spellStart"/>
      <w:r w:rsidRPr="00AA2E0F">
        <w:rPr>
          <w:rFonts w:cs="Times New Roman"/>
          <w:sz w:val="28"/>
          <w:szCs w:val="40"/>
        </w:rPr>
        <w:t>UCLouvain</w:t>
      </w:r>
      <w:proofErr w:type="spellEnd"/>
    </w:p>
    <w:p w14:paraId="467F1DE5" w14:textId="6E10492B" w:rsidR="006B16C2" w:rsidRPr="00AA2E0F" w:rsidRDefault="006B16C2" w:rsidP="00D70301">
      <w:pPr>
        <w:spacing w:line="276" w:lineRule="auto"/>
        <w:rPr>
          <w:rFonts w:cs="Times New Roman"/>
          <w:sz w:val="28"/>
          <w:szCs w:val="40"/>
        </w:rPr>
      </w:pPr>
      <w:r>
        <w:rPr>
          <w:rFonts w:cs="Times New Roman"/>
          <w:sz w:val="28"/>
          <w:szCs w:val="40"/>
        </w:rPr>
        <w:t>Septembre 2022</w:t>
      </w:r>
    </w:p>
    <w:p w14:paraId="5D001814" w14:textId="468211D1" w:rsidR="00D70301" w:rsidRPr="00AA2E0F" w:rsidRDefault="00D70301" w:rsidP="00D70301">
      <w:pPr>
        <w:spacing w:line="276" w:lineRule="auto"/>
        <w:rPr>
          <w:rFonts w:cs="Times New Roman"/>
          <w:b/>
          <w:sz w:val="28"/>
          <w:szCs w:val="40"/>
        </w:rPr>
      </w:pPr>
      <w:proofErr w:type="spellStart"/>
      <w:r w:rsidRPr="00AA2E0F">
        <w:rPr>
          <w:rFonts w:cs="Times New Roman"/>
          <w:b/>
          <w:sz w:val="28"/>
          <w:szCs w:val="40"/>
        </w:rPr>
        <w:t>Working</w:t>
      </w:r>
      <w:proofErr w:type="spellEnd"/>
      <w:r w:rsidRPr="00AA2E0F">
        <w:rPr>
          <w:rFonts w:cs="Times New Roman"/>
          <w:b/>
          <w:sz w:val="28"/>
          <w:szCs w:val="40"/>
        </w:rPr>
        <w:t xml:space="preserve"> </w:t>
      </w:r>
      <w:proofErr w:type="spellStart"/>
      <w:r w:rsidRPr="00AA2E0F">
        <w:rPr>
          <w:rFonts w:cs="Times New Roman"/>
          <w:b/>
          <w:sz w:val="28"/>
          <w:szCs w:val="40"/>
        </w:rPr>
        <w:t>paper</w:t>
      </w:r>
      <w:proofErr w:type="spellEnd"/>
      <w:r w:rsidRPr="00AA2E0F">
        <w:rPr>
          <w:rFonts w:cs="Times New Roman"/>
          <w:b/>
          <w:sz w:val="28"/>
          <w:szCs w:val="40"/>
        </w:rPr>
        <w:t xml:space="preserve"> </w:t>
      </w:r>
    </w:p>
    <w:p w14:paraId="5C8ADEA3" w14:textId="77777777" w:rsidR="00EB61BC" w:rsidRPr="00D70301" w:rsidRDefault="00EB61BC" w:rsidP="000E14E0"/>
    <w:p w14:paraId="53314B50" w14:textId="77777777" w:rsidR="00EB61BC" w:rsidRDefault="00EB61BC" w:rsidP="000E14E0"/>
    <w:p w14:paraId="4621C32C" w14:textId="7C98A460" w:rsidR="00163A16" w:rsidRDefault="00163A16" w:rsidP="000E14E0"/>
    <w:p w14:paraId="7B0E3EA8" w14:textId="6C86ADB0" w:rsidR="009C1E02" w:rsidRDefault="009C1E02" w:rsidP="009C1E02"/>
    <w:p w14:paraId="05C2201E" w14:textId="0356D706" w:rsidR="009C1E02" w:rsidRDefault="009C1E02">
      <w:pPr>
        <w:spacing w:line="259" w:lineRule="auto"/>
        <w:jc w:val="left"/>
      </w:pPr>
      <w:r>
        <w:br w:type="page"/>
      </w:r>
    </w:p>
    <w:sdt>
      <w:sdtPr>
        <w:rPr>
          <w:rFonts w:eastAsiaTheme="minorHAnsi" w:cstheme="minorBidi"/>
          <w:color w:val="auto"/>
          <w:sz w:val="24"/>
          <w:szCs w:val="22"/>
          <w:lang w:val="fr-FR" w:eastAsia="en-US"/>
        </w:rPr>
        <w:id w:val="-1578430849"/>
        <w:docPartObj>
          <w:docPartGallery w:val="Table of Contents"/>
          <w:docPartUnique/>
        </w:docPartObj>
      </w:sdtPr>
      <w:sdtEndPr>
        <w:rPr>
          <w:b/>
          <w:bCs/>
          <w:sz w:val="22"/>
        </w:rPr>
      </w:sdtEndPr>
      <w:sdtContent>
        <w:p w14:paraId="623989D1" w14:textId="258DEE26" w:rsidR="00DC0E70" w:rsidRDefault="00DC0E70" w:rsidP="00E505A5">
          <w:pPr>
            <w:pStyle w:val="En-ttedetabledesmatires"/>
            <w:spacing w:line="276" w:lineRule="auto"/>
          </w:pPr>
          <w:r>
            <w:rPr>
              <w:lang w:val="fr-FR"/>
            </w:rPr>
            <w:t>Table des matières</w:t>
          </w:r>
        </w:p>
        <w:p w14:paraId="24C9A43F" w14:textId="036F3E64" w:rsidR="00AA2E0F" w:rsidRDefault="00DC0E70">
          <w:pPr>
            <w:pStyle w:val="TM1"/>
            <w:tabs>
              <w:tab w:val="right" w:leader="dot" w:pos="9062"/>
            </w:tabs>
            <w:rPr>
              <w:rFonts w:asciiTheme="minorHAnsi" w:eastAsiaTheme="minorEastAsia" w:hAnsiTheme="minorHAnsi"/>
              <w:noProof/>
              <w:lang w:eastAsia="fr-BE"/>
            </w:rPr>
          </w:pPr>
          <w:r>
            <w:fldChar w:fldCharType="begin"/>
          </w:r>
          <w:r>
            <w:instrText xml:space="preserve"> TOC \o "1-3" \h \z \u </w:instrText>
          </w:r>
          <w:r>
            <w:fldChar w:fldCharType="separate"/>
          </w:r>
          <w:hyperlink w:anchor="_Toc152687185" w:history="1">
            <w:r w:rsidR="00AA2E0F" w:rsidRPr="000163B6">
              <w:rPr>
                <w:rStyle w:val="Lienhypertexte"/>
                <w:noProof/>
              </w:rPr>
              <w:t>Introduction générale</w:t>
            </w:r>
            <w:r w:rsidR="00AA2E0F">
              <w:rPr>
                <w:noProof/>
                <w:webHidden/>
              </w:rPr>
              <w:tab/>
            </w:r>
            <w:r w:rsidR="00AA2E0F">
              <w:rPr>
                <w:noProof/>
                <w:webHidden/>
              </w:rPr>
              <w:fldChar w:fldCharType="begin"/>
            </w:r>
            <w:r w:rsidR="00AA2E0F">
              <w:rPr>
                <w:noProof/>
                <w:webHidden/>
              </w:rPr>
              <w:instrText xml:space="preserve"> PAGEREF _Toc152687185 \h </w:instrText>
            </w:r>
            <w:r w:rsidR="00AA2E0F">
              <w:rPr>
                <w:noProof/>
                <w:webHidden/>
              </w:rPr>
            </w:r>
            <w:r w:rsidR="00AA2E0F">
              <w:rPr>
                <w:noProof/>
                <w:webHidden/>
              </w:rPr>
              <w:fldChar w:fldCharType="separate"/>
            </w:r>
            <w:r w:rsidR="00AA2E0F">
              <w:rPr>
                <w:noProof/>
                <w:webHidden/>
              </w:rPr>
              <w:t>4</w:t>
            </w:r>
            <w:r w:rsidR="00AA2E0F">
              <w:rPr>
                <w:noProof/>
                <w:webHidden/>
              </w:rPr>
              <w:fldChar w:fldCharType="end"/>
            </w:r>
          </w:hyperlink>
        </w:p>
        <w:p w14:paraId="66AECAA5" w14:textId="28832ED3" w:rsidR="00AA2E0F" w:rsidRDefault="00AA2E0F">
          <w:pPr>
            <w:pStyle w:val="TM1"/>
            <w:tabs>
              <w:tab w:val="left" w:pos="480"/>
              <w:tab w:val="right" w:leader="dot" w:pos="9062"/>
            </w:tabs>
            <w:rPr>
              <w:rFonts w:asciiTheme="minorHAnsi" w:eastAsiaTheme="minorEastAsia" w:hAnsiTheme="minorHAnsi"/>
              <w:noProof/>
              <w:lang w:eastAsia="fr-BE"/>
            </w:rPr>
          </w:pPr>
          <w:hyperlink w:anchor="_Toc152687186" w:history="1">
            <w:r w:rsidRPr="000163B6">
              <w:rPr>
                <w:rStyle w:val="Lienhypertexte"/>
                <w:noProof/>
              </w:rPr>
              <w:t>I.</w:t>
            </w:r>
            <w:r>
              <w:rPr>
                <w:rFonts w:asciiTheme="minorHAnsi" w:eastAsiaTheme="minorEastAsia" w:hAnsiTheme="minorHAnsi"/>
                <w:noProof/>
                <w:lang w:eastAsia="fr-BE"/>
              </w:rPr>
              <w:tab/>
            </w:r>
            <w:r w:rsidRPr="000163B6">
              <w:rPr>
                <w:rStyle w:val="Lienhypertexte"/>
                <w:noProof/>
              </w:rPr>
              <w:t>Etat de l’art</w:t>
            </w:r>
            <w:r>
              <w:rPr>
                <w:noProof/>
                <w:webHidden/>
              </w:rPr>
              <w:tab/>
            </w:r>
            <w:r>
              <w:rPr>
                <w:noProof/>
                <w:webHidden/>
              </w:rPr>
              <w:fldChar w:fldCharType="begin"/>
            </w:r>
            <w:r>
              <w:rPr>
                <w:noProof/>
                <w:webHidden/>
              </w:rPr>
              <w:instrText xml:space="preserve"> PAGEREF _Toc152687186 \h </w:instrText>
            </w:r>
            <w:r>
              <w:rPr>
                <w:noProof/>
                <w:webHidden/>
              </w:rPr>
            </w:r>
            <w:r>
              <w:rPr>
                <w:noProof/>
                <w:webHidden/>
              </w:rPr>
              <w:fldChar w:fldCharType="separate"/>
            </w:r>
            <w:r>
              <w:rPr>
                <w:noProof/>
                <w:webHidden/>
              </w:rPr>
              <w:t>8</w:t>
            </w:r>
            <w:r>
              <w:rPr>
                <w:noProof/>
                <w:webHidden/>
              </w:rPr>
              <w:fldChar w:fldCharType="end"/>
            </w:r>
          </w:hyperlink>
        </w:p>
        <w:p w14:paraId="5AA0F9E6" w14:textId="18F67DF0" w:rsidR="00AA2E0F" w:rsidRDefault="00AA2E0F">
          <w:pPr>
            <w:pStyle w:val="TM2"/>
            <w:tabs>
              <w:tab w:val="left" w:pos="880"/>
              <w:tab w:val="right" w:leader="dot" w:pos="9062"/>
            </w:tabs>
            <w:rPr>
              <w:rFonts w:asciiTheme="minorHAnsi" w:eastAsiaTheme="minorEastAsia" w:hAnsiTheme="minorHAnsi"/>
              <w:noProof/>
              <w:lang w:eastAsia="fr-BE"/>
            </w:rPr>
          </w:pPr>
          <w:hyperlink w:anchor="_Toc152687187" w:history="1">
            <w:r w:rsidRPr="000163B6">
              <w:rPr>
                <w:rStyle w:val="Lienhypertexte"/>
                <w:noProof/>
              </w:rPr>
              <w:t>I.1.</w:t>
            </w:r>
            <w:r>
              <w:rPr>
                <w:rFonts w:asciiTheme="minorHAnsi" w:eastAsiaTheme="minorEastAsia" w:hAnsiTheme="minorHAnsi"/>
                <w:noProof/>
                <w:lang w:eastAsia="fr-BE"/>
              </w:rPr>
              <w:tab/>
            </w:r>
            <w:r w:rsidRPr="000163B6">
              <w:rPr>
                <w:rStyle w:val="Lienhypertexte"/>
                <w:noProof/>
              </w:rPr>
              <w:t>L’expulsion domiciliaire, objet de recherche sociologique</w:t>
            </w:r>
            <w:r>
              <w:rPr>
                <w:noProof/>
                <w:webHidden/>
              </w:rPr>
              <w:tab/>
            </w:r>
            <w:r>
              <w:rPr>
                <w:noProof/>
                <w:webHidden/>
              </w:rPr>
              <w:fldChar w:fldCharType="begin"/>
            </w:r>
            <w:r>
              <w:rPr>
                <w:noProof/>
                <w:webHidden/>
              </w:rPr>
              <w:instrText xml:space="preserve"> PAGEREF _Toc152687187 \h </w:instrText>
            </w:r>
            <w:r>
              <w:rPr>
                <w:noProof/>
                <w:webHidden/>
              </w:rPr>
            </w:r>
            <w:r>
              <w:rPr>
                <w:noProof/>
                <w:webHidden/>
              </w:rPr>
              <w:fldChar w:fldCharType="separate"/>
            </w:r>
            <w:r>
              <w:rPr>
                <w:noProof/>
                <w:webHidden/>
              </w:rPr>
              <w:t>8</w:t>
            </w:r>
            <w:r>
              <w:rPr>
                <w:noProof/>
                <w:webHidden/>
              </w:rPr>
              <w:fldChar w:fldCharType="end"/>
            </w:r>
          </w:hyperlink>
        </w:p>
        <w:p w14:paraId="6C9FE436" w14:textId="6361D2EF" w:rsidR="00AA2E0F" w:rsidRDefault="00AA2E0F">
          <w:pPr>
            <w:pStyle w:val="TM3"/>
            <w:tabs>
              <w:tab w:val="right" w:leader="dot" w:pos="9062"/>
            </w:tabs>
            <w:rPr>
              <w:rFonts w:asciiTheme="minorHAnsi" w:eastAsiaTheme="minorEastAsia" w:hAnsiTheme="minorHAnsi"/>
              <w:noProof/>
              <w:lang w:eastAsia="fr-BE"/>
            </w:rPr>
          </w:pPr>
          <w:hyperlink w:anchor="_Toc152687188" w:history="1">
            <w:r w:rsidRPr="000163B6">
              <w:rPr>
                <w:rStyle w:val="Lienhypertexte"/>
                <w:noProof/>
              </w:rPr>
              <w:t>Politiques sociales du logement</w:t>
            </w:r>
            <w:r>
              <w:rPr>
                <w:noProof/>
                <w:webHidden/>
              </w:rPr>
              <w:tab/>
            </w:r>
            <w:r>
              <w:rPr>
                <w:noProof/>
                <w:webHidden/>
              </w:rPr>
              <w:fldChar w:fldCharType="begin"/>
            </w:r>
            <w:r>
              <w:rPr>
                <w:noProof/>
                <w:webHidden/>
              </w:rPr>
              <w:instrText xml:space="preserve"> PAGEREF _Toc152687188 \h </w:instrText>
            </w:r>
            <w:r>
              <w:rPr>
                <w:noProof/>
                <w:webHidden/>
              </w:rPr>
            </w:r>
            <w:r>
              <w:rPr>
                <w:noProof/>
                <w:webHidden/>
              </w:rPr>
              <w:fldChar w:fldCharType="separate"/>
            </w:r>
            <w:r>
              <w:rPr>
                <w:noProof/>
                <w:webHidden/>
              </w:rPr>
              <w:t>8</w:t>
            </w:r>
            <w:r>
              <w:rPr>
                <w:noProof/>
                <w:webHidden/>
              </w:rPr>
              <w:fldChar w:fldCharType="end"/>
            </w:r>
          </w:hyperlink>
        </w:p>
        <w:p w14:paraId="4D02EEE4" w14:textId="77B2CE87" w:rsidR="00AA2E0F" w:rsidRDefault="00AA2E0F">
          <w:pPr>
            <w:pStyle w:val="TM3"/>
            <w:tabs>
              <w:tab w:val="right" w:leader="dot" w:pos="9062"/>
            </w:tabs>
            <w:rPr>
              <w:rFonts w:asciiTheme="minorHAnsi" w:eastAsiaTheme="minorEastAsia" w:hAnsiTheme="minorHAnsi"/>
              <w:noProof/>
              <w:lang w:eastAsia="fr-BE"/>
            </w:rPr>
          </w:pPr>
          <w:hyperlink w:anchor="_Toc152687189" w:history="1">
            <w:r w:rsidRPr="000163B6">
              <w:rPr>
                <w:rStyle w:val="Lienhypertexte"/>
                <w:noProof/>
              </w:rPr>
              <w:t>Etudes ethnographiques longitudinales</w:t>
            </w:r>
            <w:r>
              <w:rPr>
                <w:noProof/>
                <w:webHidden/>
              </w:rPr>
              <w:tab/>
            </w:r>
            <w:r>
              <w:rPr>
                <w:noProof/>
                <w:webHidden/>
              </w:rPr>
              <w:fldChar w:fldCharType="begin"/>
            </w:r>
            <w:r>
              <w:rPr>
                <w:noProof/>
                <w:webHidden/>
              </w:rPr>
              <w:instrText xml:space="preserve"> PAGEREF _Toc152687189 \h </w:instrText>
            </w:r>
            <w:r>
              <w:rPr>
                <w:noProof/>
                <w:webHidden/>
              </w:rPr>
            </w:r>
            <w:r>
              <w:rPr>
                <w:noProof/>
                <w:webHidden/>
              </w:rPr>
              <w:fldChar w:fldCharType="separate"/>
            </w:r>
            <w:r>
              <w:rPr>
                <w:noProof/>
                <w:webHidden/>
              </w:rPr>
              <w:t>9</w:t>
            </w:r>
            <w:r>
              <w:rPr>
                <w:noProof/>
                <w:webHidden/>
              </w:rPr>
              <w:fldChar w:fldCharType="end"/>
            </w:r>
          </w:hyperlink>
        </w:p>
        <w:p w14:paraId="049383AA" w14:textId="541870CD" w:rsidR="00AA2E0F" w:rsidRDefault="00AA2E0F">
          <w:pPr>
            <w:pStyle w:val="TM3"/>
            <w:tabs>
              <w:tab w:val="right" w:leader="dot" w:pos="9062"/>
            </w:tabs>
            <w:rPr>
              <w:rFonts w:asciiTheme="minorHAnsi" w:eastAsiaTheme="minorEastAsia" w:hAnsiTheme="minorHAnsi"/>
              <w:noProof/>
              <w:lang w:eastAsia="fr-BE"/>
            </w:rPr>
          </w:pPr>
          <w:hyperlink w:anchor="_Toc152687190" w:history="1">
            <w:r w:rsidRPr="000163B6">
              <w:rPr>
                <w:rStyle w:val="Lienhypertexte"/>
                <w:noProof/>
              </w:rPr>
              <w:t>Profils des ménages menacés d’expulsion</w:t>
            </w:r>
            <w:r>
              <w:rPr>
                <w:noProof/>
                <w:webHidden/>
              </w:rPr>
              <w:tab/>
            </w:r>
            <w:r>
              <w:rPr>
                <w:noProof/>
                <w:webHidden/>
              </w:rPr>
              <w:fldChar w:fldCharType="begin"/>
            </w:r>
            <w:r>
              <w:rPr>
                <w:noProof/>
                <w:webHidden/>
              </w:rPr>
              <w:instrText xml:space="preserve"> PAGEREF _Toc152687190 \h </w:instrText>
            </w:r>
            <w:r>
              <w:rPr>
                <w:noProof/>
                <w:webHidden/>
              </w:rPr>
            </w:r>
            <w:r>
              <w:rPr>
                <w:noProof/>
                <w:webHidden/>
              </w:rPr>
              <w:fldChar w:fldCharType="separate"/>
            </w:r>
            <w:r>
              <w:rPr>
                <w:noProof/>
                <w:webHidden/>
              </w:rPr>
              <w:t>10</w:t>
            </w:r>
            <w:r>
              <w:rPr>
                <w:noProof/>
                <w:webHidden/>
              </w:rPr>
              <w:fldChar w:fldCharType="end"/>
            </w:r>
          </w:hyperlink>
        </w:p>
        <w:p w14:paraId="2A2EB447" w14:textId="55299E6B" w:rsidR="00AA2E0F" w:rsidRDefault="00AA2E0F">
          <w:pPr>
            <w:pStyle w:val="TM2"/>
            <w:tabs>
              <w:tab w:val="left" w:pos="880"/>
              <w:tab w:val="right" w:leader="dot" w:pos="9062"/>
            </w:tabs>
            <w:rPr>
              <w:rFonts w:asciiTheme="minorHAnsi" w:eastAsiaTheme="minorEastAsia" w:hAnsiTheme="minorHAnsi"/>
              <w:noProof/>
              <w:lang w:eastAsia="fr-BE"/>
            </w:rPr>
          </w:pPr>
          <w:hyperlink w:anchor="_Toc152687191" w:history="1">
            <w:r w:rsidRPr="000163B6">
              <w:rPr>
                <w:rStyle w:val="Lienhypertexte"/>
                <w:noProof/>
              </w:rPr>
              <w:t>I.2.</w:t>
            </w:r>
            <w:r>
              <w:rPr>
                <w:rFonts w:asciiTheme="minorHAnsi" w:eastAsiaTheme="minorEastAsia" w:hAnsiTheme="minorHAnsi"/>
                <w:noProof/>
                <w:lang w:eastAsia="fr-BE"/>
              </w:rPr>
              <w:tab/>
            </w:r>
            <w:r w:rsidRPr="000163B6">
              <w:rPr>
                <w:rStyle w:val="Lienhypertexte"/>
                <w:noProof/>
              </w:rPr>
              <w:t>Les expulsions locatives, récent objet d’action publique en Belgique</w:t>
            </w:r>
            <w:r>
              <w:rPr>
                <w:noProof/>
                <w:webHidden/>
              </w:rPr>
              <w:tab/>
            </w:r>
            <w:r>
              <w:rPr>
                <w:noProof/>
                <w:webHidden/>
              </w:rPr>
              <w:fldChar w:fldCharType="begin"/>
            </w:r>
            <w:r>
              <w:rPr>
                <w:noProof/>
                <w:webHidden/>
              </w:rPr>
              <w:instrText xml:space="preserve"> PAGEREF _Toc152687191 \h </w:instrText>
            </w:r>
            <w:r>
              <w:rPr>
                <w:noProof/>
                <w:webHidden/>
              </w:rPr>
            </w:r>
            <w:r>
              <w:rPr>
                <w:noProof/>
                <w:webHidden/>
              </w:rPr>
              <w:fldChar w:fldCharType="separate"/>
            </w:r>
            <w:r>
              <w:rPr>
                <w:noProof/>
                <w:webHidden/>
              </w:rPr>
              <w:t>10</w:t>
            </w:r>
            <w:r>
              <w:rPr>
                <w:noProof/>
                <w:webHidden/>
              </w:rPr>
              <w:fldChar w:fldCharType="end"/>
            </w:r>
          </w:hyperlink>
        </w:p>
        <w:p w14:paraId="5CC6BF04" w14:textId="643E3A89" w:rsidR="00AA2E0F" w:rsidRDefault="00AA2E0F">
          <w:pPr>
            <w:pStyle w:val="TM3"/>
            <w:tabs>
              <w:tab w:val="right" w:leader="dot" w:pos="9062"/>
            </w:tabs>
            <w:rPr>
              <w:rFonts w:asciiTheme="minorHAnsi" w:eastAsiaTheme="minorEastAsia" w:hAnsiTheme="minorHAnsi"/>
              <w:noProof/>
              <w:lang w:eastAsia="fr-BE"/>
            </w:rPr>
          </w:pPr>
          <w:hyperlink w:anchor="_Toc152687192" w:history="1">
            <w:r w:rsidRPr="000163B6">
              <w:rPr>
                <w:rStyle w:val="Lienhypertexte"/>
                <w:noProof/>
              </w:rPr>
              <w:t>Un récent sujet de recherche pour les institutions publiques régionales</w:t>
            </w:r>
            <w:r>
              <w:rPr>
                <w:noProof/>
                <w:webHidden/>
              </w:rPr>
              <w:tab/>
            </w:r>
            <w:r>
              <w:rPr>
                <w:noProof/>
                <w:webHidden/>
              </w:rPr>
              <w:fldChar w:fldCharType="begin"/>
            </w:r>
            <w:r>
              <w:rPr>
                <w:noProof/>
                <w:webHidden/>
              </w:rPr>
              <w:instrText xml:space="preserve"> PAGEREF _Toc152687192 \h </w:instrText>
            </w:r>
            <w:r>
              <w:rPr>
                <w:noProof/>
                <w:webHidden/>
              </w:rPr>
            </w:r>
            <w:r>
              <w:rPr>
                <w:noProof/>
                <w:webHidden/>
              </w:rPr>
              <w:fldChar w:fldCharType="separate"/>
            </w:r>
            <w:r>
              <w:rPr>
                <w:noProof/>
                <w:webHidden/>
              </w:rPr>
              <w:t>11</w:t>
            </w:r>
            <w:r>
              <w:rPr>
                <w:noProof/>
                <w:webHidden/>
              </w:rPr>
              <w:fldChar w:fldCharType="end"/>
            </w:r>
          </w:hyperlink>
        </w:p>
        <w:p w14:paraId="4F9AD145" w14:textId="1F0D65D8" w:rsidR="00AA2E0F" w:rsidRDefault="00AA2E0F">
          <w:pPr>
            <w:pStyle w:val="TM3"/>
            <w:tabs>
              <w:tab w:val="right" w:leader="dot" w:pos="9062"/>
            </w:tabs>
            <w:rPr>
              <w:rFonts w:asciiTheme="minorHAnsi" w:eastAsiaTheme="minorEastAsia" w:hAnsiTheme="minorHAnsi"/>
              <w:noProof/>
              <w:lang w:eastAsia="fr-BE"/>
            </w:rPr>
          </w:pPr>
          <w:hyperlink w:anchor="_Toc152687193" w:history="1">
            <w:r w:rsidRPr="000163B6">
              <w:rPr>
                <w:rStyle w:val="Lienhypertexte"/>
                <w:noProof/>
              </w:rPr>
              <w:t>Les outils du champ associatif</w:t>
            </w:r>
            <w:r>
              <w:rPr>
                <w:noProof/>
                <w:webHidden/>
              </w:rPr>
              <w:tab/>
            </w:r>
            <w:r>
              <w:rPr>
                <w:noProof/>
                <w:webHidden/>
              </w:rPr>
              <w:fldChar w:fldCharType="begin"/>
            </w:r>
            <w:r>
              <w:rPr>
                <w:noProof/>
                <w:webHidden/>
              </w:rPr>
              <w:instrText xml:space="preserve"> PAGEREF _Toc152687193 \h </w:instrText>
            </w:r>
            <w:r>
              <w:rPr>
                <w:noProof/>
                <w:webHidden/>
              </w:rPr>
            </w:r>
            <w:r>
              <w:rPr>
                <w:noProof/>
                <w:webHidden/>
              </w:rPr>
              <w:fldChar w:fldCharType="separate"/>
            </w:r>
            <w:r>
              <w:rPr>
                <w:noProof/>
                <w:webHidden/>
              </w:rPr>
              <w:t>12</w:t>
            </w:r>
            <w:r>
              <w:rPr>
                <w:noProof/>
                <w:webHidden/>
              </w:rPr>
              <w:fldChar w:fldCharType="end"/>
            </w:r>
          </w:hyperlink>
        </w:p>
        <w:p w14:paraId="015B3596" w14:textId="1F2E11D5" w:rsidR="00AA2E0F" w:rsidRDefault="00AA2E0F">
          <w:pPr>
            <w:pStyle w:val="TM3"/>
            <w:tabs>
              <w:tab w:val="right" w:leader="dot" w:pos="9062"/>
            </w:tabs>
            <w:rPr>
              <w:rFonts w:asciiTheme="minorHAnsi" w:eastAsiaTheme="minorEastAsia" w:hAnsiTheme="minorHAnsi"/>
              <w:noProof/>
              <w:lang w:eastAsia="fr-BE"/>
            </w:rPr>
          </w:pPr>
          <w:hyperlink w:anchor="_Toc152687194" w:history="1">
            <w:r w:rsidRPr="000163B6">
              <w:rPr>
                <w:rStyle w:val="Lienhypertexte"/>
                <w:noProof/>
                <w:shd w:val="clear" w:color="auto" w:fill="FFFFFF"/>
              </w:rPr>
              <w:t>Un nouveau regard sur les expulsions locatives ?</w:t>
            </w:r>
            <w:r>
              <w:rPr>
                <w:noProof/>
                <w:webHidden/>
              </w:rPr>
              <w:tab/>
            </w:r>
            <w:r>
              <w:rPr>
                <w:noProof/>
                <w:webHidden/>
              </w:rPr>
              <w:fldChar w:fldCharType="begin"/>
            </w:r>
            <w:r>
              <w:rPr>
                <w:noProof/>
                <w:webHidden/>
              </w:rPr>
              <w:instrText xml:space="preserve"> PAGEREF _Toc152687194 \h </w:instrText>
            </w:r>
            <w:r>
              <w:rPr>
                <w:noProof/>
                <w:webHidden/>
              </w:rPr>
            </w:r>
            <w:r>
              <w:rPr>
                <w:noProof/>
                <w:webHidden/>
              </w:rPr>
              <w:fldChar w:fldCharType="separate"/>
            </w:r>
            <w:r>
              <w:rPr>
                <w:noProof/>
                <w:webHidden/>
              </w:rPr>
              <w:t>13</w:t>
            </w:r>
            <w:r>
              <w:rPr>
                <w:noProof/>
                <w:webHidden/>
              </w:rPr>
              <w:fldChar w:fldCharType="end"/>
            </w:r>
          </w:hyperlink>
        </w:p>
        <w:p w14:paraId="23237617" w14:textId="17FBCF02" w:rsidR="00AA2E0F" w:rsidRDefault="00AA2E0F">
          <w:pPr>
            <w:pStyle w:val="TM1"/>
            <w:tabs>
              <w:tab w:val="left" w:pos="480"/>
              <w:tab w:val="right" w:leader="dot" w:pos="9062"/>
            </w:tabs>
            <w:rPr>
              <w:rFonts w:asciiTheme="minorHAnsi" w:eastAsiaTheme="minorEastAsia" w:hAnsiTheme="minorHAnsi"/>
              <w:noProof/>
              <w:lang w:eastAsia="fr-BE"/>
            </w:rPr>
          </w:pPr>
          <w:hyperlink w:anchor="_Toc152687195" w:history="1">
            <w:r w:rsidRPr="000163B6">
              <w:rPr>
                <w:rStyle w:val="Lienhypertexte"/>
                <w:noProof/>
              </w:rPr>
              <w:t>II.</w:t>
            </w:r>
            <w:r>
              <w:rPr>
                <w:rFonts w:asciiTheme="minorHAnsi" w:eastAsiaTheme="minorEastAsia" w:hAnsiTheme="minorHAnsi"/>
                <w:noProof/>
                <w:lang w:eastAsia="fr-BE"/>
              </w:rPr>
              <w:tab/>
            </w:r>
            <w:r w:rsidRPr="000163B6">
              <w:rPr>
                <w:rStyle w:val="Lienhypertexte"/>
                <w:noProof/>
              </w:rPr>
              <w:t>Expulsions locatives : Etat des lieux</w:t>
            </w:r>
            <w:r>
              <w:rPr>
                <w:noProof/>
                <w:webHidden/>
              </w:rPr>
              <w:tab/>
            </w:r>
            <w:r>
              <w:rPr>
                <w:noProof/>
                <w:webHidden/>
              </w:rPr>
              <w:fldChar w:fldCharType="begin"/>
            </w:r>
            <w:r>
              <w:rPr>
                <w:noProof/>
                <w:webHidden/>
              </w:rPr>
              <w:instrText xml:space="preserve"> PAGEREF _Toc152687195 \h </w:instrText>
            </w:r>
            <w:r>
              <w:rPr>
                <w:noProof/>
                <w:webHidden/>
              </w:rPr>
            </w:r>
            <w:r>
              <w:rPr>
                <w:noProof/>
                <w:webHidden/>
              </w:rPr>
              <w:fldChar w:fldCharType="separate"/>
            </w:r>
            <w:r>
              <w:rPr>
                <w:noProof/>
                <w:webHidden/>
              </w:rPr>
              <w:t>16</w:t>
            </w:r>
            <w:r>
              <w:rPr>
                <w:noProof/>
                <w:webHidden/>
              </w:rPr>
              <w:fldChar w:fldCharType="end"/>
            </w:r>
          </w:hyperlink>
        </w:p>
        <w:p w14:paraId="2276057C" w14:textId="3667596A" w:rsidR="00AA2E0F" w:rsidRDefault="00AA2E0F">
          <w:pPr>
            <w:pStyle w:val="TM2"/>
            <w:tabs>
              <w:tab w:val="left" w:pos="880"/>
              <w:tab w:val="right" w:leader="dot" w:pos="9062"/>
            </w:tabs>
            <w:rPr>
              <w:rFonts w:asciiTheme="minorHAnsi" w:eastAsiaTheme="minorEastAsia" w:hAnsiTheme="minorHAnsi"/>
              <w:noProof/>
              <w:lang w:eastAsia="fr-BE"/>
            </w:rPr>
          </w:pPr>
          <w:hyperlink w:anchor="_Toc152687196" w:history="1">
            <w:r w:rsidRPr="000163B6">
              <w:rPr>
                <w:rStyle w:val="Lienhypertexte"/>
                <w:noProof/>
              </w:rPr>
              <w:t>II.1.</w:t>
            </w:r>
            <w:r>
              <w:rPr>
                <w:rFonts w:asciiTheme="minorHAnsi" w:eastAsiaTheme="minorEastAsia" w:hAnsiTheme="minorHAnsi"/>
                <w:noProof/>
                <w:lang w:eastAsia="fr-BE"/>
              </w:rPr>
              <w:tab/>
            </w:r>
            <w:r w:rsidRPr="000163B6">
              <w:rPr>
                <w:rStyle w:val="Lienhypertexte"/>
                <w:noProof/>
              </w:rPr>
              <w:t>De quoi parle-t-on ?</w:t>
            </w:r>
            <w:r>
              <w:rPr>
                <w:noProof/>
                <w:webHidden/>
              </w:rPr>
              <w:tab/>
            </w:r>
            <w:r>
              <w:rPr>
                <w:noProof/>
                <w:webHidden/>
              </w:rPr>
              <w:fldChar w:fldCharType="begin"/>
            </w:r>
            <w:r>
              <w:rPr>
                <w:noProof/>
                <w:webHidden/>
              </w:rPr>
              <w:instrText xml:space="preserve"> PAGEREF _Toc152687196 \h </w:instrText>
            </w:r>
            <w:r>
              <w:rPr>
                <w:noProof/>
                <w:webHidden/>
              </w:rPr>
            </w:r>
            <w:r>
              <w:rPr>
                <w:noProof/>
                <w:webHidden/>
              </w:rPr>
              <w:fldChar w:fldCharType="separate"/>
            </w:r>
            <w:r>
              <w:rPr>
                <w:noProof/>
                <w:webHidden/>
              </w:rPr>
              <w:t>16</w:t>
            </w:r>
            <w:r>
              <w:rPr>
                <w:noProof/>
                <w:webHidden/>
              </w:rPr>
              <w:fldChar w:fldCharType="end"/>
            </w:r>
          </w:hyperlink>
        </w:p>
        <w:p w14:paraId="24BD1CB6" w14:textId="54DF9C31" w:rsidR="00AA2E0F" w:rsidRDefault="00AA2E0F">
          <w:pPr>
            <w:pStyle w:val="TM2"/>
            <w:tabs>
              <w:tab w:val="left" w:pos="880"/>
              <w:tab w:val="right" w:leader="dot" w:pos="9062"/>
            </w:tabs>
            <w:rPr>
              <w:rFonts w:asciiTheme="minorHAnsi" w:eastAsiaTheme="minorEastAsia" w:hAnsiTheme="minorHAnsi"/>
              <w:noProof/>
              <w:lang w:eastAsia="fr-BE"/>
            </w:rPr>
          </w:pPr>
          <w:hyperlink w:anchor="_Toc152687197" w:history="1">
            <w:r w:rsidRPr="000163B6">
              <w:rPr>
                <w:rStyle w:val="Lienhypertexte"/>
                <w:noProof/>
              </w:rPr>
              <w:t>II.2.</w:t>
            </w:r>
            <w:r>
              <w:rPr>
                <w:rFonts w:asciiTheme="minorHAnsi" w:eastAsiaTheme="minorEastAsia" w:hAnsiTheme="minorHAnsi"/>
                <w:noProof/>
                <w:lang w:eastAsia="fr-BE"/>
              </w:rPr>
              <w:tab/>
            </w:r>
            <w:r w:rsidRPr="000163B6">
              <w:rPr>
                <w:rStyle w:val="Lienhypertexte"/>
                <w:noProof/>
              </w:rPr>
              <w:t>Etat des lieux en quelques chiffres</w:t>
            </w:r>
            <w:r>
              <w:rPr>
                <w:noProof/>
                <w:webHidden/>
              </w:rPr>
              <w:tab/>
            </w:r>
            <w:r>
              <w:rPr>
                <w:noProof/>
                <w:webHidden/>
              </w:rPr>
              <w:fldChar w:fldCharType="begin"/>
            </w:r>
            <w:r>
              <w:rPr>
                <w:noProof/>
                <w:webHidden/>
              </w:rPr>
              <w:instrText xml:space="preserve"> PAGEREF _Toc152687197 \h </w:instrText>
            </w:r>
            <w:r>
              <w:rPr>
                <w:noProof/>
                <w:webHidden/>
              </w:rPr>
            </w:r>
            <w:r>
              <w:rPr>
                <w:noProof/>
                <w:webHidden/>
              </w:rPr>
              <w:fldChar w:fldCharType="separate"/>
            </w:r>
            <w:r>
              <w:rPr>
                <w:noProof/>
                <w:webHidden/>
              </w:rPr>
              <w:t>17</w:t>
            </w:r>
            <w:r>
              <w:rPr>
                <w:noProof/>
                <w:webHidden/>
              </w:rPr>
              <w:fldChar w:fldCharType="end"/>
            </w:r>
          </w:hyperlink>
        </w:p>
        <w:p w14:paraId="060325DC" w14:textId="203D5586" w:rsidR="00AA2E0F" w:rsidRDefault="00AA2E0F">
          <w:pPr>
            <w:pStyle w:val="TM2"/>
            <w:tabs>
              <w:tab w:val="left" w:pos="880"/>
              <w:tab w:val="right" w:leader="dot" w:pos="9062"/>
            </w:tabs>
            <w:rPr>
              <w:rFonts w:asciiTheme="minorHAnsi" w:eastAsiaTheme="minorEastAsia" w:hAnsiTheme="minorHAnsi"/>
              <w:noProof/>
              <w:lang w:eastAsia="fr-BE"/>
            </w:rPr>
          </w:pPr>
          <w:hyperlink w:anchor="_Toc152687198" w:history="1">
            <w:r w:rsidRPr="000163B6">
              <w:rPr>
                <w:rStyle w:val="Lienhypertexte"/>
                <w:noProof/>
              </w:rPr>
              <w:t>II.3.</w:t>
            </w:r>
            <w:r>
              <w:rPr>
                <w:rFonts w:asciiTheme="minorHAnsi" w:eastAsiaTheme="minorEastAsia" w:hAnsiTheme="minorHAnsi"/>
                <w:noProof/>
                <w:lang w:eastAsia="fr-BE"/>
              </w:rPr>
              <w:tab/>
            </w:r>
            <w:r w:rsidRPr="000163B6">
              <w:rPr>
                <w:rStyle w:val="Lienhypertexte"/>
                <w:noProof/>
              </w:rPr>
              <w:t>Qu’est-ce qu’une procédure d’expulsion judiciaire : précisions terminologiques</w:t>
            </w:r>
            <w:r>
              <w:rPr>
                <w:noProof/>
                <w:webHidden/>
              </w:rPr>
              <w:tab/>
            </w:r>
            <w:r>
              <w:rPr>
                <w:noProof/>
                <w:webHidden/>
              </w:rPr>
              <w:fldChar w:fldCharType="begin"/>
            </w:r>
            <w:r>
              <w:rPr>
                <w:noProof/>
                <w:webHidden/>
              </w:rPr>
              <w:instrText xml:space="preserve"> PAGEREF _Toc152687198 \h </w:instrText>
            </w:r>
            <w:r>
              <w:rPr>
                <w:noProof/>
                <w:webHidden/>
              </w:rPr>
            </w:r>
            <w:r>
              <w:rPr>
                <w:noProof/>
                <w:webHidden/>
              </w:rPr>
              <w:fldChar w:fldCharType="separate"/>
            </w:r>
            <w:r>
              <w:rPr>
                <w:noProof/>
                <w:webHidden/>
              </w:rPr>
              <w:t>20</w:t>
            </w:r>
            <w:r>
              <w:rPr>
                <w:noProof/>
                <w:webHidden/>
              </w:rPr>
              <w:fldChar w:fldCharType="end"/>
            </w:r>
          </w:hyperlink>
        </w:p>
        <w:p w14:paraId="41D01970" w14:textId="6CB04972" w:rsidR="00AA2E0F" w:rsidRDefault="00AA2E0F">
          <w:pPr>
            <w:pStyle w:val="TM3"/>
            <w:tabs>
              <w:tab w:val="right" w:leader="dot" w:pos="9062"/>
            </w:tabs>
            <w:rPr>
              <w:rFonts w:asciiTheme="minorHAnsi" w:eastAsiaTheme="minorEastAsia" w:hAnsiTheme="minorHAnsi"/>
              <w:noProof/>
              <w:lang w:eastAsia="fr-BE"/>
            </w:rPr>
          </w:pPr>
          <w:hyperlink w:anchor="_Toc152687199" w:history="1">
            <w:r w:rsidRPr="000163B6">
              <w:rPr>
                <w:rStyle w:val="Lienhypertexte"/>
                <w:noProof/>
              </w:rPr>
              <w:t>La requête</w:t>
            </w:r>
            <w:r>
              <w:rPr>
                <w:noProof/>
                <w:webHidden/>
              </w:rPr>
              <w:tab/>
            </w:r>
            <w:r>
              <w:rPr>
                <w:noProof/>
                <w:webHidden/>
              </w:rPr>
              <w:fldChar w:fldCharType="begin"/>
            </w:r>
            <w:r>
              <w:rPr>
                <w:noProof/>
                <w:webHidden/>
              </w:rPr>
              <w:instrText xml:space="preserve"> PAGEREF _Toc152687199 \h </w:instrText>
            </w:r>
            <w:r>
              <w:rPr>
                <w:noProof/>
                <w:webHidden/>
              </w:rPr>
            </w:r>
            <w:r>
              <w:rPr>
                <w:noProof/>
                <w:webHidden/>
              </w:rPr>
              <w:fldChar w:fldCharType="separate"/>
            </w:r>
            <w:r>
              <w:rPr>
                <w:noProof/>
                <w:webHidden/>
              </w:rPr>
              <w:t>21</w:t>
            </w:r>
            <w:r>
              <w:rPr>
                <w:noProof/>
                <w:webHidden/>
              </w:rPr>
              <w:fldChar w:fldCharType="end"/>
            </w:r>
          </w:hyperlink>
        </w:p>
        <w:p w14:paraId="676CBBD5" w14:textId="0CA8C9B2" w:rsidR="00AA2E0F" w:rsidRDefault="00AA2E0F">
          <w:pPr>
            <w:pStyle w:val="TM3"/>
            <w:tabs>
              <w:tab w:val="right" w:leader="dot" w:pos="9062"/>
            </w:tabs>
            <w:rPr>
              <w:rFonts w:asciiTheme="minorHAnsi" w:eastAsiaTheme="minorEastAsia" w:hAnsiTheme="minorHAnsi"/>
              <w:noProof/>
              <w:lang w:eastAsia="fr-BE"/>
            </w:rPr>
          </w:pPr>
          <w:hyperlink w:anchor="_Toc152687200" w:history="1">
            <w:r w:rsidRPr="000163B6">
              <w:rPr>
                <w:rStyle w:val="Lienhypertexte"/>
                <w:noProof/>
              </w:rPr>
              <w:t>L’audience</w:t>
            </w:r>
            <w:r>
              <w:rPr>
                <w:noProof/>
                <w:webHidden/>
              </w:rPr>
              <w:tab/>
            </w:r>
            <w:r>
              <w:rPr>
                <w:noProof/>
                <w:webHidden/>
              </w:rPr>
              <w:fldChar w:fldCharType="begin"/>
            </w:r>
            <w:r>
              <w:rPr>
                <w:noProof/>
                <w:webHidden/>
              </w:rPr>
              <w:instrText xml:space="preserve"> PAGEREF _Toc152687200 \h </w:instrText>
            </w:r>
            <w:r>
              <w:rPr>
                <w:noProof/>
                <w:webHidden/>
              </w:rPr>
            </w:r>
            <w:r>
              <w:rPr>
                <w:noProof/>
                <w:webHidden/>
              </w:rPr>
              <w:fldChar w:fldCharType="separate"/>
            </w:r>
            <w:r>
              <w:rPr>
                <w:noProof/>
                <w:webHidden/>
              </w:rPr>
              <w:t>22</w:t>
            </w:r>
            <w:r>
              <w:rPr>
                <w:noProof/>
                <w:webHidden/>
              </w:rPr>
              <w:fldChar w:fldCharType="end"/>
            </w:r>
          </w:hyperlink>
        </w:p>
        <w:p w14:paraId="516ED051" w14:textId="247C6493" w:rsidR="00AA2E0F" w:rsidRDefault="00AA2E0F">
          <w:pPr>
            <w:pStyle w:val="TM3"/>
            <w:tabs>
              <w:tab w:val="right" w:leader="dot" w:pos="9062"/>
            </w:tabs>
            <w:rPr>
              <w:rFonts w:asciiTheme="minorHAnsi" w:eastAsiaTheme="minorEastAsia" w:hAnsiTheme="minorHAnsi"/>
              <w:noProof/>
              <w:lang w:eastAsia="fr-BE"/>
            </w:rPr>
          </w:pPr>
          <w:hyperlink w:anchor="_Toc152687201" w:history="1">
            <w:r w:rsidRPr="000163B6">
              <w:rPr>
                <w:rStyle w:val="Lienhypertexte"/>
                <w:noProof/>
              </w:rPr>
              <w:t>Le jugement</w:t>
            </w:r>
            <w:r>
              <w:rPr>
                <w:noProof/>
                <w:webHidden/>
              </w:rPr>
              <w:tab/>
            </w:r>
            <w:r>
              <w:rPr>
                <w:noProof/>
                <w:webHidden/>
              </w:rPr>
              <w:fldChar w:fldCharType="begin"/>
            </w:r>
            <w:r>
              <w:rPr>
                <w:noProof/>
                <w:webHidden/>
              </w:rPr>
              <w:instrText xml:space="preserve"> PAGEREF _Toc152687201 \h </w:instrText>
            </w:r>
            <w:r>
              <w:rPr>
                <w:noProof/>
                <w:webHidden/>
              </w:rPr>
            </w:r>
            <w:r>
              <w:rPr>
                <w:noProof/>
                <w:webHidden/>
              </w:rPr>
              <w:fldChar w:fldCharType="separate"/>
            </w:r>
            <w:r>
              <w:rPr>
                <w:noProof/>
                <w:webHidden/>
              </w:rPr>
              <w:t>23</w:t>
            </w:r>
            <w:r>
              <w:rPr>
                <w:noProof/>
                <w:webHidden/>
              </w:rPr>
              <w:fldChar w:fldCharType="end"/>
            </w:r>
          </w:hyperlink>
        </w:p>
        <w:p w14:paraId="233A8985" w14:textId="59301949" w:rsidR="00AA2E0F" w:rsidRDefault="00AA2E0F">
          <w:pPr>
            <w:pStyle w:val="TM3"/>
            <w:tabs>
              <w:tab w:val="right" w:leader="dot" w:pos="9062"/>
            </w:tabs>
            <w:rPr>
              <w:rFonts w:asciiTheme="minorHAnsi" w:eastAsiaTheme="minorEastAsia" w:hAnsiTheme="minorHAnsi"/>
              <w:noProof/>
              <w:lang w:eastAsia="fr-BE"/>
            </w:rPr>
          </w:pPr>
          <w:hyperlink w:anchor="_Toc152687202" w:history="1">
            <w:r w:rsidRPr="000163B6">
              <w:rPr>
                <w:rStyle w:val="Lienhypertexte"/>
                <w:noProof/>
              </w:rPr>
              <w:t>La signification du jugement par huissier</w:t>
            </w:r>
            <w:r>
              <w:rPr>
                <w:noProof/>
                <w:webHidden/>
              </w:rPr>
              <w:tab/>
            </w:r>
            <w:r>
              <w:rPr>
                <w:noProof/>
                <w:webHidden/>
              </w:rPr>
              <w:fldChar w:fldCharType="begin"/>
            </w:r>
            <w:r>
              <w:rPr>
                <w:noProof/>
                <w:webHidden/>
              </w:rPr>
              <w:instrText xml:space="preserve"> PAGEREF _Toc152687202 \h </w:instrText>
            </w:r>
            <w:r>
              <w:rPr>
                <w:noProof/>
                <w:webHidden/>
              </w:rPr>
            </w:r>
            <w:r>
              <w:rPr>
                <w:noProof/>
                <w:webHidden/>
              </w:rPr>
              <w:fldChar w:fldCharType="separate"/>
            </w:r>
            <w:r>
              <w:rPr>
                <w:noProof/>
                <w:webHidden/>
              </w:rPr>
              <w:t>24</w:t>
            </w:r>
            <w:r>
              <w:rPr>
                <w:noProof/>
                <w:webHidden/>
              </w:rPr>
              <w:fldChar w:fldCharType="end"/>
            </w:r>
          </w:hyperlink>
        </w:p>
        <w:p w14:paraId="17BA81D8" w14:textId="37EE84EB" w:rsidR="00AA2E0F" w:rsidRDefault="00AA2E0F">
          <w:pPr>
            <w:pStyle w:val="TM3"/>
            <w:tabs>
              <w:tab w:val="right" w:leader="dot" w:pos="9062"/>
            </w:tabs>
            <w:rPr>
              <w:rFonts w:asciiTheme="minorHAnsi" w:eastAsiaTheme="minorEastAsia" w:hAnsiTheme="minorHAnsi"/>
              <w:noProof/>
              <w:lang w:eastAsia="fr-BE"/>
            </w:rPr>
          </w:pPr>
          <w:hyperlink w:anchor="_Toc152687203" w:history="1">
            <w:r w:rsidRPr="000163B6">
              <w:rPr>
                <w:rStyle w:val="Lienhypertexte"/>
                <w:noProof/>
              </w:rPr>
              <w:t>Un délai de 30 jours</w:t>
            </w:r>
            <w:r>
              <w:rPr>
                <w:noProof/>
                <w:webHidden/>
              </w:rPr>
              <w:tab/>
            </w:r>
            <w:r>
              <w:rPr>
                <w:noProof/>
                <w:webHidden/>
              </w:rPr>
              <w:fldChar w:fldCharType="begin"/>
            </w:r>
            <w:r>
              <w:rPr>
                <w:noProof/>
                <w:webHidden/>
              </w:rPr>
              <w:instrText xml:space="preserve"> PAGEREF _Toc152687203 \h </w:instrText>
            </w:r>
            <w:r>
              <w:rPr>
                <w:noProof/>
                <w:webHidden/>
              </w:rPr>
            </w:r>
            <w:r>
              <w:rPr>
                <w:noProof/>
                <w:webHidden/>
              </w:rPr>
              <w:fldChar w:fldCharType="separate"/>
            </w:r>
            <w:r>
              <w:rPr>
                <w:noProof/>
                <w:webHidden/>
              </w:rPr>
              <w:t>25</w:t>
            </w:r>
            <w:r>
              <w:rPr>
                <w:noProof/>
                <w:webHidden/>
              </w:rPr>
              <w:fldChar w:fldCharType="end"/>
            </w:r>
          </w:hyperlink>
        </w:p>
        <w:p w14:paraId="6913FCBB" w14:textId="2D6DC6ED" w:rsidR="00AA2E0F" w:rsidRDefault="00AA2E0F">
          <w:pPr>
            <w:pStyle w:val="TM3"/>
            <w:tabs>
              <w:tab w:val="right" w:leader="dot" w:pos="9062"/>
            </w:tabs>
            <w:rPr>
              <w:rFonts w:asciiTheme="minorHAnsi" w:eastAsiaTheme="minorEastAsia" w:hAnsiTheme="minorHAnsi"/>
              <w:noProof/>
              <w:lang w:eastAsia="fr-BE"/>
            </w:rPr>
          </w:pPr>
          <w:hyperlink w:anchor="_Toc152687204" w:history="1">
            <w:r w:rsidRPr="000163B6">
              <w:rPr>
                <w:rStyle w:val="Lienhypertexte"/>
                <w:noProof/>
              </w:rPr>
              <w:t>L’expulsion</w:t>
            </w:r>
            <w:r>
              <w:rPr>
                <w:noProof/>
                <w:webHidden/>
              </w:rPr>
              <w:tab/>
            </w:r>
            <w:r>
              <w:rPr>
                <w:noProof/>
                <w:webHidden/>
              </w:rPr>
              <w:fldChar w:fldCharType="begin"/>
            </w:r>
            <w:r>
              <w:rPr>
                <w:noProof/>
                <w:webHidden/>
              </w:rPr>
              <w:instrText xml:space="preserve"> PAGEREF _Toc152687204 \h </w:instrText>
            </w:r>
            <w:r>
              <w:rPr>
                <w:noProof/>
                <w:webHidden/>
              </w:rPr>
            </w:r>
            <w:r>
              <w:rPr>
                <w:noProof/>
                <w:webHidden/>
              </w:rPr>
              <w:fldChar w:fldCharType="separate"/>
            </w:r>
            <w:r>
              <w:rPr>
                <w:noProof/>
                <w:webHidden/>
              </w:rPr>
              <w:t>26</w:t>
            </w:r>
            <w:r>
              <w:rPr>
                <w:noProof/>
                <w:webHidden/>
              </w:rPr>
              <w:fldChar w:fldCharType="end"/>
            </w:r>
          </w:hyperlink>
        </w:p>
        <w:p w14:paraId="3ED373CA" w14:textId="549767BB" w:rsidR="00AA2E0F" w:rsidRDefault="00AA2E0F">
          <w:pPr>
            <w:pStyle w:val="TM3"/>
            <w:tabs>
              <w:tab w:val="right" w:leader="dot" w:pos="9062"/>
            </w:tabs>
            <w:rPr>
              <w:rFonts w:asciiTheme="minorHAnsi" w:eastAsiaTheme="minorEastAsia" w:hAnsiTheme="minorHAnsi"/>
              <w:noProof/>
              <w:lang w:eastAsia="fr-BE"/>
            </w:rPr>
          </w:pPr>
          <w:hyperlink w:anchor="_Toc152687205" w:history="1">
            <w:r w:rsidRPr="000163B6">
              <w:rPr>
                <w:rStyle w:val="Lienhypertexte"/>
                <w:noProof/>
              </w:rPr>
              <w:t>Conclusion</w:t>
            </w:r>
            <w:r>
              <w:rPr>
                <w:noProof/>
                <w:webHidden/>
              </w:rPr>
              <w:tab/>
            </w:r>
            <w:r>
              <w:rPr>
                <w:noProof/>
                <w:webHidden/>
              </w:rPr>
              <w:fldChar w:fldCharType="begin"/>
            </w:r>
            <w:r>
              <w:rPr>
                <w:noProof/>
                <w:webHidden/>
              </w:rPr>
              <w:instrText xml:space="preserve"> PAGEREF _Toc152687205 \h </w:instrText>
            </w:r>
            <w:r>
              <w:rPr>
                <w:noProof/>
                <w:webHidden/>
              </w:rPr>
            </w:r>
            <w:r>
              <w:rPr>
                <w:noProof/>
                <w:webHidden/>
              </w:rPr>
              <w:fldChar w:fldCharType="separate"/>
            </w:r>
            <w:r>
              <w:rPr>
                <w:noProof/>
                <w:webHidden/>
              </w:rPr>
              <w:t>26</w:t>
            </w:r>
            <w:r>
              <w:rPr>
                <w:noProof/>
                <w:webHidden/>
              </w:rPr>
              <w:fldChar w:fldCharType="end"/>
            </w:r>
          </w:hyperlink>
        </w:p>
        <w:p w14:paraId="510DEEC3" w14:textId="410E2142" w:rsidR="00AA2E0F" w:rsidRDefault="00AA2E0F">
          <w:pPr>
            <w:pStyle w:val="TM1"/>
            <w:tabs>
              <w:tab w:val="left" w:pos="660"/>
              <w:tab w:val="right" w:leader="dot" w:pos="9062"/>
            </w:tabs>
            <w:rPr>
              <w:rFonts w:asciiTheme="minorHAnsi" w:eastAsiaTheme="minorEastAsia" w:hAnsiTheme="minorHAnsi"/>
              <w:noProof/>
              <w:lang w:eastAsia="fr-BE"/>
            </w:rPr>
          </w:pPr>
          <w:hyperlink w:anchor="_Toc152687206" w:history="1">
            <w:r w:rsidRPr="000163B6">
              <w:rPr>
                <w:rStyle w:val="Lienhypertexte"/>
                <w:noProof/>
              </w:rPr>
              <w:t>III.</w:t>
            </w:r>
            <w:r>
              <w:rPr>
                <w:rFonts w:asciiTheme="minorHAnsi" w:eastAsiaTheme="minorEastAsia" w:hAnsiTheme="minorHAnsi"/>
                <w:noProof/>
                <w:lang w:eastAsia="fr-BE"/>
              </w:rPr>
              <w:tab/>
            </w:r>
            <w:r w:rsidRPr="000163B6">
              <w:rPr>
                <w:rStyle w:val="Lienhypertexte"/>
                <w:noProof/>
              </w:rPr>
              <w:t>Des outils sociologiques pour saisir les parcours d’expulsion</w:t>
            </w:r>
            <w:r>
              <w:rPr>
                <w:noProof/>
                <w:webHidden/>
              </w:rPr>
              <w:tab/>
            </w:r>
            <w:r>
              <w:rPr>
                <w:noProof/>
                <w:webHidden/>
              </w:rPr>
              <w:fldChar w:fldCharType="begin"/>
            </w:r>
            <w:r>
              <w:rPr>
                <w:noProof/>
                <w:webHidden/>
              </w:rPr>
              <w:instrText xml:space="preserve"> PAGEREF _Toc152687206 \h </w:instrText>
            </w:r>
            <w:r>
              <w:rPr>
                <w:noProof/>
                <w:webHidden/>
              </w:rPr>
            </w:r>
            <w:r>
              <w:rPr>
                <w:noProof/>
                <w:webHidden/>
              </w:rPr>
              <w:fldChar w:fldCharType="separate"/>
            </w:r>
            <w:r>
              <w:rPr>
                <w:noProof/>
                <w:webHidden/>
              </w:rPr>
              <w:t>28</w:t>
            </w:r>
            <w:r>
              <w:rPr>
                <w:noProof/>
                <w:webHidden/>
              </w:rPr>
              <w:fldChar w:fldCharType="end"/>
            </w:r>
          </w:hyperlink>
        </w:p>
        <w:p w14:paraId="1E8D9BA3" w14:textId="7A0053DF" w:rsidR="00AA2E0F" w:rsidRDefault="00AA2E0F">
          <w:pPr>
            <w:pStyle w:val="TM2"/>
            <w:tabs>
              <w:tab w:val="left" w:pos="660"/>
              <w:tab w:val="right" w:leader="dot" w:pos="9062"/>
            </w:tabs>
            <w:rPr>
              <w:rFonts w:asciiTheme="minorHAnsi" w:eastAsiaTheme="minorEastAsia" w:hAnsiTheme="minorHAnsi"/>
              <w:noProof/>
              <w:lang w:eastAsia="fr-BE"/>
            </w:rPr>
          </w:pPr>
          <w:hyperlink w:anchor="_Toc152687207" w:history="1">
            <w:r w:rsidRPr="000163B6">
              <w:rPr>
                <w:rStyle w:val="Lienhypertexte"/>
                <w:noProof/>
              </w:rPr>
              <w:t>1.</w:t>
            </w:r>
            <w:r>
              <w:rPr>
                <w:rFonts w:asciiTheme="minorHAnsi" w:eastAsiaTheme="minorEastAsia" w:hAnsiTheme="minorHAnsi"/>
                <w:noProof/>
                <w:lang w:eastAsia="fr-BE"/>
              </w:rPr>
              <w:tab/>
            </w:r>
            <w:r w:rsidRPr="000163B6">
              <w:rPr>
                <w:rStyle w:val="Lienhypertexte"/>
                <w:noProof/>
              </w:rPr>
              <w:t>Récits de vie, trajectoires et carrières</w:t>
            </w:r>
            <w:r>
              <w:rPr>
                <w:noProof/>
                <w:webHidden/>
              </w:rPr>
              <w:tab/>
            </w:r>
            <w:r>
              <w:rPr>
                <w:noProof/>
                <w:webHidden/>
              </w:rPr>
              <w:fldChar w:fldCharType="begin"/>
            </w:r>
            <w:r>
              <w:rPr>
                <w:noProof/>
                <w:webHidden/>
              </w:rPr>
              <w:instrText xml:space="preserve"> PAGEREF _Toc152687207 \h </w:instrText>
            </w:r>
            <w:r>
              <w:rPr>
                <w:noProof/>
                <w:webHidden/>
              </w:rPr>
            </w:r>
            <w:r>
              <w:rPr>
                <w:noProof/>
                <w:webHidden/>
              </w:rPr>
              <w:fldChar w:fldCharType="separate"/>
            </w:r>
            <w:r>
              <w:rPr>
                <w:noProof/>
                <w:webHidden/>
              </w:rPr>
              <w:t>28</w:t>
            </w:r>
            <w:r>
              <w:rPr>
                <w:noProof/>
                <w:webHidden/>
              </w:rPr>
              <w:fldChar w:fldCharType="end"/>
            </w:r>
          </w:hyperlink>
        </w:p>
        <w:p w14:paraId="39988C2A" w14:textId="7E89CDBD" w:rsidR="00AA2E0F" w:rsidRDefault="00AA2E0F">
          <w:pPr>
            <w:pStyle w:val="TM3"/>
            <w:tabs>
              <w:tab w:val="right" w:leader="dot" w:pos="9062"/>
            </w:tabs>
            <w:rPr>
              <w:rFonts w:asciiTheme="minorHAnsi" w:eastAsiaTheme="minorEastAsia" w:hAnsiTheme="minorHAnsi"/>
              <w:noProof/>
              <w:lang w:eastAsia="fr-BE"/>
            </w:rPr>
          </w:pPr>
          <w:hyperlink w:anchor="_Toc152687208" w:history="1">
            <w:r w:rsidRPr="000163B6">
              <w:rPr>
                <w:rStyle w:val="Lienhypertexte"/>
                <w:noProof/>
              </w:rPr>
              <w:t>La notion de trajectoire</w:t>
            </w:r>
            <w:r>
              <w:rPr>
                <w:noProof/>
                <w:webHidden/>
              </w:rPr>
              <w:tab/>
            </w:r>
            <w:r>
              <w:rPr>
                <w:noProof/>
                <w:webHidden/>
              </w:rPr>
              <w:fldChar w:fldCharType="begin"/>
            </w:r>
            <w:r>
              <w:rPr>
                <w:noProof/>
                <w:webHidden/>
              </w:rPr>
              <w:instrText xml:space="preserve"> PAGEREF _Toc152687208 \h </w:instrText>
            </w:r>
            <w:r>
              <w:rPr>
                <w:noProof/>
                <w:webHidden/>
              </w:rPr>
            </w:r>
            <w:r>
              <w:rPr>
                <w:noProof/>
                <w:webHidden/>
              </w:rPr>
              <w:fldChar w:fldCharType="separate"/>
            </w:r>
            <w:r>
              <w:rPr>
                <w:noProof/>
                <w:webHidden/>
              </w:rPr>
              <w:t>28</w:t>
            </w:r>
            <w:r>
              <w:rPr>
                <w:noProof/>
                <w:webHidden/>
              </w:rPr>
              <w:fldChar w:fldCharType="end"/>
            </w:r>
          </w:hyperlink>
        </w:p>
        <w:p w14:paraId="2C45F9D5" w14:textId="2C879073" w:rsidR="00AA2E0F" w:rsidRDefault="00AA2E0F">
          <w:pPr>
            <w:pStyle w:val="TM3"/>
            <w:tabs>
              <w:tab w:val="right" w:leader="dot" w:pos="9062"/>
            </w:tabs>
            <w:rPr>
              <w:rFonts w:asciiTheme="minorHAnsi" w:eastAsiaTheme="minorEastAsia" w:hAnsiTheme="minorHAnsi"/>
              <w:noProof/>
              <w:lang w:eastAsia="fr-BE"/>
            </w:rPr>
          </w:pPr>
          <w:hyperlink w:anchor="_Toc152687209" w:history="1">
            <w:r w:rsidRPr="000163B6">
              <w:rPr>
                <w:rStyle w:val="Lienhypertexte"/>
                <w:noProof/>
              </w:rPr>
              <w:t>Une carrière de mal-logé</w:t>
            </w:r>
            <w:r>
              <w:rPr>
                <w:noProof/>
                <w:webHidden/>
              </w:rPr>
              <w:tab/>
            </w:r>
            <w:r>
              <w:rPr>
                <w:noProof/>
                <w:webHidden/>
              </w:rPr>
              <w:fldChar w:fldCharType="begin"/>
            </w:r>
            <w:r>
              <w:rPr>
                <w:noProof/>
                <w:webHidden/>
              </w:rPr>
              <w:instrText xml:space="preserve"> PAGEREF _Toc152687209 \h </w:instrText>
            </w:r>
            <w:r>
              <w:rPr>
                <w:noProof/>
                <w:webHidden/>
              </w:rPr>
            </w:r>
            <w:r>
              <w:rPr>
                <w:noProof/>
                <w:webHidden/>
              </w:rPr>
              <w:fldChar w:fldCharType="separate"/>
            </w:r>
            <w:r>
              <w:rPr>
                <w:noProof/>
                <w:webHidden/>
              </w:rPr>
              <w:t>29</w:t>
            </w:r>
            <w:r>
              <w:rPr>
                <w:noProof/>
                <w:webHidden/>
              </w:rPr>
              <w:fldChar w:fldCharType="end"/>
            </w:r>
          </w:hyperlink>
        </w:p>
        <w:p w14:paraId="138E1A4D" w14:textId="4F752FEE" w:rsidR="00AA2E0F" w:rsidRDefault="00AA2E0F">
          <w:pPr>
            <w:pStyle w:val="TM3"/>
            <w:tabs>
              <w:tab w:val="right" w:leader="dot" w:pos="9062"/>
            </w:tabs>
            <w:rPr>
              <w:rFonts w:asciiTheme="minorHAnsi" w:eastAsiaTheme="minorEastAsia" w:hAnsiTheme="minorHAnsi"/>
              <w:noProof/>
              <w:lang w:eastAsia="fr-BE"/>
            </w:rPr>
          </w:pPr>
          <w:hyperlink w:anchor="_Toc152687210" w:history="1">
            <w:r w:rsidRPr="000163B6">
              <w:rPr>
                <w:rStyle w:val="Lienhypertexte"/>
                <w:noProof/>
              </w:rPr>
              <w:t>Articuler dispositions et situations</w:t>
            </w:r>
            <w:r>
              <w:rPr>
                <w:noProof/>
                <w:webHidden/>
              </w:rPr>
              <w:tab/>
            </w:r>
            <w:r>
              <w:rPr>
                <w:noProof/>
                <w:webHidden/>
              </w:rPr>
              <w:fldChar w:fldCharType="begin"/>
            </w:r>
            <w:r>
              <w:rPr>
                <w:noProof/>
                <w:webHidden/>
              </w:rPr>
              <w:instrText xml:space="preserve"> PAGEREF _Toc152687210 \h </w:instrText>
            </w:r>
            <w:r>
              <w:rPr>
                <w:noProof/>
                <w:webHidden/>
              </w:rPr>
            </w:r>
            <w:r>
              <w:rPr>
                <w:noProof/>
                <w:webHidden/>
              </w:rPr>
              <w:fldChar w:fldCharType="separate"/>
            </w:r>
            <w:r>
              <w:rPr>
                <w:noProof/>
                <w:webHidden/>
              </w:rPr>
              <w:t>31</w:t>
            </w:r>
            <w:r>
              <w:rPr>
                <w:noProof/>
                <w:webHidden/>
              </w:rPr>
              <w:fldChar w:fldCharType="end"/>
            </w:r>
          </w:hyperlink>
        </w:p>
        <w:p w14:paraId="4D93BF1C" w14:textId="7881A72C" w:rsidR="00AA2E0F" w:rsidRDefault="00AA2E0F">
          <w:pPr>
            <w:pStyle w:val="TM2"/>
            <w:tabs>
              <w:tab w:val="left" w:pos="660"/>
              <w:tab w:val="right" w:leader="dot" w:pos="9062"/>
            </w:tabs>
            <w:rPr>
              <w:rFonts w:asciiTheme="minorHAnsi" w:eastAsiaTheme="minorEastAsia" w:hAnsiTheme="minorHAnsi"/>
              <w:noProof/>
              <w:lang w:eastAsia="fr-BE"/>
            </w:rPr>
          </w:pPr>
          <w:hyperlink w:anchor="_Toc152687211" w:history="1">
            <w:r w:rsidRPr="000163B6">
              <w:rPr>
                <w:rStyle w:val="Lienhypertexte"/>
                <w:noProof/>
              </w:rPr>
              <w:t>2.</w:t>
            </w:r>
            <w:r>
              <w:rPr>
                <w:rFonts w:asciiTheme="minorHAnsi" w:eastAsiaTheme="minorEastAsia" w:hAnsiTheme="minorHAnsi"/>
                <w:noProof/>
                <w:lang w:eastAsia="fr-BE"/>
              </w:rPr>
              <w:tab/>
            </w:r>
            <w:r w:rsidRPr="000163B6">
              <w:rPr>
                <w:rStyle w:val="Lienhypertexte"/>
                <w:noProof/>
              </w:rPr>
              <w:t>Une approche interactionniste de l’institution</w:t>
            </w:r>
            <w:r>
              <w:rPr>
                <w:noProof/>
                <w:webHidden/>
              </w:rPr>
              <w:tab/>
            </w:r>
            <w:r>
              <w:rPr>
                <w:noProof/>
                <w:webHidden/>
              </w:rPr>
              <w:fldChar w:fldCharType="begin"/>
            </w:r>
            <w:r>
              <w:rPr>
                <w:noProof/>
                <w:webHidden/>
              </w:rPr>
              <w:instrText xml:space="preserve"> PAGEREF _Toc152687211 \h </w:instrText>
            </w:r>
            <w:r>
              <w:rPr>
                <w:noProof/>
                <w:webHidden/>
              </w:rPr>
            </w:r>
            <w:r>
              <w:rPr>
                <w:noProof/>
                <w:webHidden/>
              </w:rPr>
              <w:fldChar w:fldCharType="separate"/>
            </w:r>
            <w:r>
              <w:rPr>
                <w:noProof/>
                <w:webHidden/>
              </w:rPr>
              <w:t>33</w:t>
            </w:r>
            <w:r>
              <w:rPr>
                <w:noProof/>
                <w:webHidden/>
              </w:rPr>
              <w:fldChar w:fldCharType="end"/>
            </w:r>
          </w:hyperlink>
        </w:p>
        <w:p w14:paraId="3817656C" w14:textId="09A4AC2F" w:rsidR="00AA2E0F" w:rsidRDefault="00AA2E0F">
          <w:pPr>
            <w:pStyle w:val="TM3"/>
            <w:tabs>
              <w:tab w:val="right" w:leader="dot" w:pos="9062"/>
            </w:tabs>
            <w:rPr>
              <w:rFonts w:asciiTheme="minorHAnsi" w:eastAsiaTheme="minorEastAsia" w:hAnsiTheme="minorHAnsi"/>
              <w:noProof/>
              <w:lang w:eastAsia="fr-BE"/>
            </w:rPr>
          </w:pPr>
          <w:hyperlink w:anchor="_Toc152687212" w:history="1">
            <w:r w:rsidRPr="000163B6">
              <w:rPr>
                <w:rStyle w:val="Lienhypertexte"/>
                <w:noProof/>
              </w:rPr>
              <w:t>Le rôle des agents de l’administration</w:t>
            </w:r>
            <w:r>
              <w:rPr>
                <w:noProof/>
                <w:webHidden/>
              </w:rPr>
              <w:tab/>
            </w:r>
            <w:r>
              <w:rPr>
                <w:noProof/>
                <w:webHidden/>
              </w:rPr>
              <w:fldChar w:fldCharType="begin"/>
            </w:r>
            <w:r>
              <w:rPr>
                <w:noProof/>
                <w:webHidden/>
              </w:rPr>
              <w:instrText xml:space="preserve"> PAGEREF _Toc152687212 \h </w:instrText>
            </w:r>
            <w:r>
              <w:rPr>
                <w:noProof/>
                <w:webHidden/>
              </w:rPr>
            </w:r>
            <w:r>
              <w:rPr>
                <w:noProof/>
                <w:webHidden/>
              </w:rPr>
              <w:fldChar w:fldCharType="separate"/>
            </w:r>
            <w:r>
              <w:rPr>
                <w:noProof/>
                <w:webHidden/>
              </w:rPr>
              <w:t>34</w:t>
            </w:r>
            <w:r>
              <w:rPr>
                <w:noProof/>
                <w:webHidden/>
              </w:rPr>
              <w:fldChar w:fldCharType="end"/>
            </w:r>
          </w:hyperlink>
        </w:p>
        <w:p w14:paraId="749AA850" w14:textId="6FD785CB" w:rsidR="00AA2E0F" w:rsidRDefault="00AA2E0F">
          <w:pPr>
            <w:pStyle w:val="TM3"/>
            <w:tabs>
              <w:tab w:val="right" w:leader="dot" w:pos="9062"/>
            </w:tabs>
            <w:rPr>
              <w:rFonts w:asciiTheme="minorHAnsi" w:eastAsiaTheme="minorEastAsia" w:hAnsiTheme="minorHAnsi"/>
              <w:noProof/>
              <w:lang w:eastAsia="fr-BE"/>
            </w:rPr>
          </w:pPr>
          <w:hyperlink w:anchor="_Toc152687213" w:history="1">
            <w:r w:rsidRPr="000163B6">
              <w:rPr>
                <w:rStyle w:val="Lienhypertexte"/>
                <w:noProof/>
              </w:rPr>
              <w:t>Agentivité des acteurs et zones de liberté</w:t>
            </w:r>
            <w:r>
              <w:rPr>
                <w:noProof/>
                <w:webHidden/>
              </w:rPr>
              <w:tab/>
            </w:r>
            <w:r>
              <w:rPr>
                <w:noProof/>
                <w:webHidden/>
              </w:rPr>
              <w:fldChar w:fldCharType="begin"/>
            </w:r>
            <w:r>
              <w:rPr>
                <w:noProof/>
                <w:webHidden/>
              </w:rPr>
              <w:instrText xml:space="preserve"> PAGEREF _Toc152687213 \h </w:instrText>
            </w:r>
            <w:r>
              <w:rPr>
                <w:noProof/>
                <w:webHidden/>
              </w:rPr>
            </w:r>
            <w:r>
              <w:rPr>
                <w:noProof/>
                <w:webHidden/>
              </w:rPr>
              <w:fldChar w:fldCharType="separate"/>
            </w:r>
            <w:r>
              <w:rPr>
                <w:noProof/>
                <w:webHidden/>
              </w:rPr>
              <w:t>35</w:t>
            </w:r>
            <w:r>
              <w:rPr>
                <w:noProof/>
                <w:webHidden/>
              </w:rPr>
              <w:fldChar w:fldCharType="end"/>
            </w:r>
          </w:hyperlink>
        </w:p>
        <w:p w14:paraId="6C37FB39" w14:textId="209EDEA1" w:rsidR="00AA2E0F" w:rsidRDefault="00AA2E0F">
          <w:pPr>
            <w:pStyle w:val="TM3"/>
            <w:tabs>
              <w:tab w:val="right" w:leader="dot" w:pos="9062"/>
            </w:tabs>
            <w:rPr>
              <w:rFonts w:asciiTheme="minorHAnsi" w:eastAsiaTheme="minorEastAsia" w:hAnsiTheme="minorHAnsi"/>
              <w:noProof/>
              <w:lang w:eastAsia="fr-BE"/>
            </w:rPr>
          </w:pPr>
          <w:hyperlink w:anchor="_Toc152687214" w:history="1">
            <w:r w:rsidRPr="000163B6">
              <w:rPr>
                <w:rStyle w:val="Lienhypertexte"/>
                <w:noProof/>
              </w:rPr>
              <w:t>Les conflits d’interprétation : rendre compte du décalage</w:t>
            </w:r>
            <w:r>
              <w:rPr>
                <w:noProof/>
                <w:webHidden/>
              </w:rPr>
              <w:tab/>
            </w:r>
            <w:r>
              <w:rPr>
                <w:noProof/>
                <w:webHidden/>
              </w:rPr>
              <w:fldChar w:fldCharType="begin"/>
            </w:r>
            <w:r>
              <w:rPr>
                <w:noProof/>
                <w:webHidden/>
              </w:rPr>
              <w:instrText xml:space="preserve"> PAGEREF _Toc152687214 \h </w:instrText>
            </w:r>
            <w:r>
              <w:rPr>
                <w:noProof/>
                <w:webHidden/>
              </w:rPr>
            </w:r>
            <w:r>
              <w:rPr>
                <w:noProof/>
                <w:webHidden/>
              </w:rPr>
              <w:fldChar w:fldCharType="separate"/>
            </w:r>
            <w:r>
              <w:rPr>
                <w:noProof/>
                <w:webHidden/>
              </w:rPr>
              <w:t>36</w:t>
            </w:r>
            <w:r>
              <w:rPr>
                <w:noProof/>
                <w:webHidden/>
              </w:rPr>
              <w:fldChar w:fldCharType="end"/>
            </w:r>
          </w:hyperlink>
        </w:p>
        <w:p w14:paraId="3AADA4C8" w14:textId="55EBD270" w:rsidR="00AA2E0F" w:rsidRDefault="00AA2E0F">
          <w:pPr>
            <w:pStyle w:val="TM2"/>
            <w:tabs>
              <w:tab w:val="left" w:pos="660"/>
              <w:tab w:val="right" w:leader="dot" w:pos="9062"/>
            </w:tabs>
            <w:rPr>
              <w:rFonts w:asciiTheme="minorHAnsi" w:eastAsiaTheme="minorEastAsia" w:hAnsiTheme="minorHAnsi"/>
              <w:noProof/>
              <w:lang w:eastAsia="fr-BE"/>
            </w:rPr>
          </w:pPr>
          <w:hyperlink w:anchor="_Toc152687215" w:history="1">
            <w:r w:rsidRPr="000163B6">
              <w:rPr>
                <w:rStyle w:val="Lienhypertexte"/>
                <w:noProof/>
              </w:rPr>
              <w:t>3.</w:t>
            </w:r>
            <w:r>
              <w:rPr>
                <w:rFonts w:asciiTheme="minorHAnsi" w:eastAsiaTheme="minorEastAsia" w:hAnsiTheme="minorHAnsi"/>
                <w:noProof/>
                <w:lang w:eastAsia="fr-BE"/>
              </w:rPr>
              <w:tab/>
            </w:r>
            <w:r w:rsidRPr="000163B6">
              <w:rPr>
                <w:rStyle w:val="Lienhypertexte"/>
                <w:noProof/>
              </w:rPr>
              <w:t>La notion de « configuration » chez Elias</w:t>
            </w:r>
            <w:r>
              <w:rPr>
                <w:noProof/>
                <w:webHidden/>
              </w:rPr>
              <w:tab/>
            </w:r>
            <w:r>
              <w:rPr>
                <w:noProof/>
                <w:webHidden/>
              </w:rPr>
              <w:fldChar w:fldCharType="begin"/>
            </w:r>
            <w:r>
              <w:rPr>
                <w:noProof/>
                <w:webHidden/>
              </w:rPr>
              <w:instrText xml:space="preserve"> PAGEREF _Toc152687215 \h </w:instrText>
            </w:r>
            <w:r>
              <w:rPr>
                <w:noProof/>
                <w:webHidden/>
              </w:rPr>
            </w:r>
            <w:r>
              <w:rPr>
                <w:noProof/>
                <w:webHidden/>
              </w:rPr>
              <w:fldChar w:fldCharType="separate"/>
            </w:r>
            <w:r>
              <w:rPr>
                <w:noProof/>
                <w:webHidden/>
              </w:rPr>
              <w:t>38</w:t>
            </w:r>
            <w:r>
              <w:rPr>
                <w:noProof/>
                <w:webHidden/>
              </w:rPr>
              <w:fldChar w:fldCharType="end"/>
            </w:r>
          </w:hyperlink>
        </w:p>
        <w:p w14:paraId="329755DD" w14:textId="140CCF18" w:rsidR="00AA2E0F" w:rsidRDefault="00AA2E0F">
          <w:pPr>
            <w:pStyle w:val="TM3"/>
            <w:tabs>
              <w:tab w:val="right" w:leader="dot" w:pos="9062"/>
            </w:tabs>
            <w:rPr>
              <w:rFonts w:asciiTheme="minorHAnsi" w:eastAsiaTheme="minorEastAsia" w:hAnsiTheme="minorHAnsi"/>
              <w:noProof/>
              <w:lang w:eastAsia="fr-BE"/>
            </w:rPr>
          </w:pPr>
          <w:hyperlink w:anchor="_Toc152687216" w:history="1">
            <w:r w:rsidRPr="000163B6">
              <w:rPr>
                <w:rStyle w:val="Lienhypertexte"/>
                <w:noProof/>
              </w:rPr>
              <w:t>Le social comme jeu</w:t>
            </w:r>
            <w:r>
              <w:rPr>
                <w:noProof/>
                <w:webHidden/>
              </w:rPr>
              <w:tab/>
            </w:r>
            <w:r>
              <w:rPr>
                <w:noProof/>
                <w:webHidden/>
              </w:rPr>
              <w:fldChar w:fldCharType="begin"/>
            </w:r>
            <w:r>
              <w:rPr>
                <w:noProof/>
                <w:webHidden/>
              </w:rPr>
              <w:instrText xml:space="preserve"> PAGEREF _Toc152687216 \h </w:instrText>
            </w:r>
            <w:r>
              <w:rPr>
                <w:noProof/>
                <w:webHidden/>
              </w:rPr>
            </w:r>
            <w:r>
              <w:rPr>
                <w:noProof/>
                <w:webHidden/>
              </w:rPr>
              <w:fldChar w:fldCharType="separate"/>
            </w:r>
            <w:r>
              <w:rPr>
                <w:noProof/>
                <w:webHidden/>
              </w:rPr>
              <w:t>38</w:t>
            </w:r>
            <w:r>
              <w:rPr>
                <w:noProof/>
                <w:webHidden/>
              </w:rPr>
              <w:fldChar w:fldCharType="end"/>
            </w:r>
          </w:hyperlink>
        </w:p>
        <w:p w14:paraId="72C5C484" w14:textId="0B16CA31" w:rsidR="00AA2E0F" w:rsidRDefault="00AA2E0F">
          <w:pPr>
            <w:pStyle w:val="TM3"/>
            <w:tabs>
              <w:tab w:val="right" w:leader="dot" w:pos="9062"/>
            </w:tabs>
            <w:rPr>
              <w:rFonts w:asciiTheme="minorHAnsi" w:eastAsiaTheme="minorEastAsia" w:hAnsiTheme="minorHAnsi"/>
              <w:noProof/>
              <w:lang w:eastAsia="fr-BE"/>
            </w:rPr>
          </w:pPr>
          <w:hyperlink w:anchor="_Toc152687217" w:history="1">
            <w:r w:rsidRPr="000163B6">
              <w:rPr>
                <w:rStyle w:val="Lienhypertexte"/>
                <w:rFonts w:eastAsia="Times New Roman"/>
                <w:noProof/>
                <w:lang w:eastAsia="fr-BE"/>
              </w:rPr>
              <w:t>Saisir un processus</w:t>
            </w:r>
            <w:r>
              <w:rPr>
                <w:noProof/>
                <w:webHidden/>
              </w:rPr>
              <w:tab/>
            </w:r>
            <w:r>
              <w:rPr>
                <w:noProof/>
                <w:webHidden/>
              </w:rPr>
              <w:fldChar w:fldCharType="begin"/>
            </w:r>
            <w:r>
              <w:rPr>
                <w:noProof/>
                <w:webHidden/>
              </w:rPr>
              <w:instrText xml:space="preserve"> PAGEREF _Toc152687217 \h </w:instrText>
            </w:r>
            <w:r>
              <w:rPr>
                <w:noProof/>
                <w:webHidden/>
              </w:rPr>
            </w:r>
            <w:r>
              <w:rPr>
                <w:noProof/>
                <w:webHidden/>
              </w:rPr>
              <w:fldChar w:fldCharType="separate"/>
            </w:r>
            <w:r>
              <w:rPr>
                <w:noProof/>
                <w:webHidden/>
              </w:rPr>
              <w:t>39</w:t>
            </w:r>
            <w:r>
              <w:rPr>
                <w:noProof/>
                <w:webHidden/>
              </w:rPr>
              <w:fldChar w:fldCharType="end"/>
            </w:r>
          </w:hyperlink>
        </w:p>
        <w:p w14:paraId="2810F5DD" w14:textId="45FA73E4" w:rsidR="00AA2E0F" w:rsidRDefault="00AA2E0F">
          <w:pPr>
            <w:pStyle w:val="TM3"/>
            <w:tabs>
              <w:tab w:val="right" w:leader="dot" w:pos="9062"/>
            </w:tabs>
            <w:rPr>
              <w:rFonts w:asciiTheme="minorHAnsi" w:eastAsiaTheme="minorEastAsia" w:hAnsiTheme="minorHAnsi"/>
              <w:noProof/>
              <w:lang w:eastAsia="fr-BE"/>
            </w:rPr>
          </w:pPr>
          <w:hyperlink w:anchor="_Toc152687218" w:history="1">
            <w:r w:rsidRPr="000163B6">
              <w:rPr>
                <w:rStyle w:val="Lienhypertexte"/>
                <w:rFonts w:eastAsia="Times New Roman"/>
                <w:noProof/>
                <w:lang w:eastAsia="fr-BE"/>
              </w:rPr>
              <w:t>Les règles du jeu</w:t>
            </w:r>
            <w:r>
              <w:rPr>
                <w:noProof/>
                <w:webHidden/>
              </w:rPr>
              <w:tab/>
            </w:r>
            <w:r>
              <w:rPr>
                <w:noProof/>
                <w:webHidden/>
              </w:rPr>
              <w:fldChar w:fldCharType="begin"/>
            </w:r>
            <w:r>
              <w:rPr>
                <w:noProof/>
                <w:webHidden/>
              </w:rPr>
              <w:instrText xml:space="preserve"> PAGEREF _Toc152687218 \h </w:instrText>
            </w:r>
            <w:r>
              <w:rPr>
                <w:noProof/>
                <w:webHidden/>
              </w:rPr>
            </w:r>
            <w:r>
              <w:rPr>
                <w:noProof/>
                <w:webHidden/>
              </w:rPr>
              <w:fldChar w:fldCharType="separate"/>
            </w:r>
            <w:r>
              <w:rPr>
                <w:noProof/>
                <w:webHidden/>
              </w:rPr>
              <w:t>40</w:t>
            </w:r>
            <w:r>
              <w:rPr>
                <w:noProof/>
                <w:webHidden/>
              </w:rPr>
              <w:fldChar w:fldCharType="end"/>
            </w:r>
          </w:hyperlink>
        </w:p>
        <w:p w14:paraId="2DB4E725" w14:textId="6855B84B" w:rsidR="00AA2E0F" w:rsidRDefault="00AA2E0F">
          <w:pPr>
            <w:pStyle w:val="TM3"/>
            <w:tabs>
              <w:tab w:val="right" w:leader="dot" w:pos="9062"/>
            </w:tabs>
            <w:rPr>
              <w:rFonts w:asciiTheme="minorHAnsi" w:eastAsiaTheme="minorEastAsia" w:hAnsiTheme="minorHAnsi"/>
              <w:noProof/>
              <w:lang w:eastAsia="fr-BE"/>
            </w:rPr>
          </w:pPr>
          <w:hyperlink w:anchor="_Toc152687219" w:history="1">
            <w:r w:rsidRPr="000163B6">
              <w:rPr>
                <w:rStyle w:val="Lienhypertexte"/>
                <w:noProof/>
                <w:lang w:val="fr-FR"/>
              </w:rPr>
              <w:t>Un jeu d’échelle</w:t>
            </w:r>
            <w:r>
              <w:rPr>
                <w:noProof/>
                <w:webHidden/>
              </w:rPr>
              <w:tab/>
            </w:r>
            <w:r>
              <w:rPr>
                <w:noProof/>
                <w:webHidden/>
              </w:rPr>
              <w:fldChar w:fldCharType="begin"/>
            </w:r>
            <w:r>
              <w:rPr>
                <w:noProof/>
                <w:webHidden/>
              </w:rPr>
              <w:instrText xml:space="preserve"> PAGEREF _Toc152687219 \h </w:instrText>
            </w:r>
            <w:r>
              <w:rPr>
                <w:noProof/>
                <w:webHidden/>
              </w:rPr>
            </w:r>
            <w:r>
              <w:rPr>
                <w:noProof/>
                <w:webHidden/>
              </w:rPr>
              <w:fldChar w:fldCharType="separate"/>
            </w:r>
            <w:r>
              <w:rPr>
                <w:noProof/>
                <w:webHidden/>
              </w:rPr>
              <w:t>40</w:t>
            </w:r>
            <w:r>
              <w:rPr>
                <w:noProof/>
                <w:webHidden/>
              </w:rPr>
              <w:fldChar w:fldCharType="end"/>
            </w:r>
          </w:hyperlink>
        </w:p>
        <w:p w14:paraId="10143157" w14:textId="64927F0A" w:rsidR="00AA2E0F" w:rsidRDefault="00AA2E0F">
          <w:pPr>
            <w:pStyle w:val="TM2"/>
            <w:tabs>
              <w:tab w:val="left" w:pos="660"/>
              <w:tab w:val="right" w:leader="dot" w:pos="9062"/>
            </w:tabs>
            <w:rPr>
              <w:rFonts w:asciiTheme="minorHAnsi" w:eastAsiaTheme="minorEastAsia" w:hAnsiTheme="minorHAnsi"/>
              <w:noProof/>
              <w:lang w:eastAsia="fr-BE"/>
            </w:rPr>
          </w:pPr>
          <w:hyperlink w:anchor="_Toc152687220" w:history="1">
            <w:r w:rsidRPr="000163B6">
              <w:rPr>
                <w:rStyle w:val="Lienhypertexte"/>
                <w:noProof/>
              </w:rPr>
              <w:t>4.</w:t>
            </w:r>
            <w:r>
              <w:rPr>
                <w:rFonts w:asciiTheme="minorHAnsi" w:eastAsiaTheme="minorEastAsia" w:hAnsiTheme="minorHAnsi"/>
                <w:noProof/>
                <w:lang w:eastAsia="fr-BE"/>
              </w:rPr>
              <w:tab/>
            </w:r>
            <w:r w:rsidRPr="000163B6">
              <w:rPr>
                <w:rStyle w:val="Lienhypertexte"/>
                <w:noProof/>
              </w:rPr>
              <w:t>Ethnographie économique</w:t>
            </w:r>
            <w:r>
              <w:rPr>
                <w:noProof/>
                <w:webHidden/>
              </w:rPr>
              <w:tab/>
            </w:r>
            <w:r>
              <w:rPr>
                <w:noProof/>
                <w:webHidden/>
              </w:rPr>
              <w:fldChar w:fldCharType="begin"/>
            </w:r>
            <w:r>
              <w:rPr>
                <w:noProof/>
                <w:webHidden/>
              </w:rPr>
              <w:instrText xml:space="preserve"> PAGEREF _Toc152687220 \h </w:instrText>
            </w:r>
            <w:r>
              <w:rPr>
                <w:noProof/>
                <w:webHidden/>
              </w:rPr>
            </w:r>
            <w:r>
              <w:rPr>
                <w:noProof/>
                <w:webHidden/>
              </w:rPr>
              <w:fldChar w:fldCharType="separate"/>
            </w:r>
            <w:r>
              <w:rPr>
                <w:noProof/>
                <w:webHidden/>
              </w:rPr>
              <w:t>42</w:t>
            </w:r>
            <w:r>
              <w:rPr>
                <w:noProof/>
                <w:webHidden/>
              </w:rPr>
              <w:fldChar w:fldCharType="end"/>
            </w:r>
          </w:hyperlink>
        </w:p>
        <w:p w14:paraId="71B5813D" w14:textId="529658B3" w:rsidR="00AA2E0F" w:rsidRDefault="00AA2E0F">
          <w:pPr>
            <w:pStyle w:val="TM3"/>
            <w:tabs>
              <w:tab w:val="right" w:leader="dot" w:pos="9062"/>
            </w:tabs>
            <w:rPr>
              <w:rFonts w:asciiTheme="minorHAnsi" w:eastAsiaTheme="minorEastAsia" w:hAnsiTheme="minorHAnsi"/>
              <w:noProof/>
              <w:lang w:eastAsia="fr-BE"/>
            </w:rPr>
          </w:pPr>
          <w:hyperlink w:anchor="_Toc152687221" w:history="1">
            <w:r w:rsidRPr="000163B6">
              <w:rPr>
                <w:rStyle w:val="Lienhypertexte"/>
                <w:noProof/>
              </w:rPr>
              <w:t>Hériter de Karl Polanyi</w:t>
            </w:r>
            <w:r>
              <w:rPr>
                <w:noProof/>
                <w:webHidden/>
              </w:rPr>
              <w:tab/>
            </w:r>
            <w:r>
              <w:rPr>
                <w:noProof/>
                <w:webHidden/>
              </w:rPr>
              <w:fldChar w:fldCharType="begin"/>
            </w:r>
            <w:r>
              <w:rPr>
                <w:noProof/>
                <w:webHidden/>
              </w:rPr>
              <w:instrText xml:space="preserve"> PAGEREF _Toc152687221 \h </w:instrText>
            </w:r>
            <w:r>
              <w:rPr>
                <w:noProof/>
                <w:webHidden/>
              </w:rPr>
            </w:r>
            <w:r>
              <w:rPr>
                <w:noProof/>
                <w:webHidden/>
              </w:rPr>
              <w:fldChar w:fldCharType="separate"/>
            </w:r>
            <w:r>
              <w:rPr>
                <w:noProof/>
                <w:webHidden/>
              </w:rPr>
              <w:t>43</w:t>
            </w:r>
            <w:r>
              <w:rPr>
                <w:noProof/>
                <w:webHidden/>
              </w:rPr>
              <w:fldChar w:fldCharType="end"/>
            </w:r>
          </w:hyperlink>
        </w:p>
        <w:p w14:paraId="5B2BE88F" w14:textId="2FA21DAE" w:rsidR="00AA2E0F" w:rsidRDefault="00AA2E0F">
          <w:pPr>
            <w:pStyle w:val="TM3"/>
            <w:tabs>
              <w:tab w:val="right" w:leader="dot" w:pos="9062"/>
            </w:tabs>
            <w:rPr>
              <w:rFonts w:asciiTheme="minorHAnsi" w:eastAsiaTheme="minorEastAsia" w:hAnsiTheme="minorHAnsi"/>
              <w:noProof/>
              <w:lang w:eastAsia="fr-BE"/>
            </w:rPr>
          </w:pPr>
          <w:hyperlink w:anchor="_Toc152687222" w:history="1">
            <w:r w:rsidRPr="000163B6">
              <w:rPr>
                <w:rStyle w:val="Lienhypertexte"/>
                <w:noProof/>
              </w:rPr>
              <w:t>Observer les pratiques, étudier les cadres de transaction</w:t>
            </w:r>
            <w:r>
              <w:rPr>
                <w:noProof/>
                <w:webHidden/>
              </w:rPr>
              <w:tab/>
            </w:r>
            <w:r>
              <w:rPr>
                <w:noProof/>
                <w:webHidden/>
              </w:rPr>
              <w:fldChar w:fldCharType="begin"/>
            </w:r>
            <w:r>
              <w:rPr>
                <w:noProof/>
                <w:webHidden/>
              </w:rPr>
              <w:instrText xml:space="preserve"> PAGEREF _Toc152687222 \h </w:instrText>
            </w:r>
            <w:r>
              <w:rPr>
                <w:noProof/>
                <w:webHidden/>
              </w:rPr>
            </w:r>
            <w:r>
              <w:rPr>
                <w:noProof/>
                <w:webHidden/>
              </w:rPr>
              <w:fldChar w:fldCharType="separate"/>
            </w:r>
            <w:r>
              <w:rPr>
                <w:noProof/>
                <w:webHidden/>
              </w:rPr>
              <w:t>44</w:t>
            </w:r>
            <w:r>
              <w:rPr>
                <w:noProof/>
                <w:webHidden/>
              </w:rPr>
              <w:fldChar w:fldCharType="end"/>
            </w:r>
          </w:hyperlink>
        </w:p>
        <w:p w14:paraId="3E85A944" w14:textId="358594A0" w:rsidR="00AA2E0F" w:rsidRDefault="00AA2E0F">
          <w:pPr>
            <w:pStyle w:val="TM3"/>
            <w:tabs>
              <w:tab w:val="right" w:leader="dot" w:pos="9062"/>
            </w:tabs>
            <w:rPr>
              <w:rFonts w:asciiTheme="minorHAnsi" w:eastAsiaTheme="minorEastAsia" w:hAnsiTheme="minorHAnsi"/>
              <w:noProof/>
              <w:lang w:eastAsia="fr-BE"/>
            </w:rPr>
          </w:pPr>
          <w:hyperlink w:anchor="_Toc152687223" w:history="1">
            <w:r w:rsidRPr="000163B6">
              <w:rPr>
                <w:rStyle w:val="Lienhypertexte"/>
                <w:noProof/>
              </w:rPr>
              <w:t>Louer son bien : mettre en suspens les relations sociales ?</w:t>
            </w:r>
            <w:r>
              <w:rPr>
                <w:noProof/>
                <w:webHidden/>
              </w:rPr>
              <w:tab/>
            </w:r>
            <w:r>
              <w:rPr>
                <w:noProof/>
                <w:webHidden/>
              </w:rPr>
              <w:fldChar w:fldCharType="begin"/>
            </w:r>
            <w:r>
              <w:rPr>
                <w:noProof/>
                <w:webHidden/>
              </w:rPr>
              <w:instrText xml:space="preserve"> PAGEREF _Toc152687223 \h </w:instrText>
            </w:r>
            <w:r>
              <w:rPr>
                <w:noProof/>
                <w:webHidden/>
              </w:rPr>
            </w:r>
            <w:r>
              <w:rPr>
                <w:noProof/>
                <w:webHidden/>
              </w:rPr>
              <w:fldChar w:fldCharType="separate"/>
            </w:r>
            <w:r>
              <w:rPr>
                <w:noProof/>
                <w:webHidden/>
              </w:rPr>
              <w:t>45</w:t>
            </w:r>
            <w:r>
              <w:rPr>
                <w:noProof/>
                <w:webHidden/>
              </w:rPr>
              <w:fldChar w:fldCharType="end"/>
            </w:r>
          </w:hyperlink>
        </w:p>
        <w:p w14:paraId="28BB5E16" w14:textId="36801E13" w:rsidR="00AA2E0F" w:rsidRDefault="00AA2E0F">
          <w:pPr>
            <w:pStyle w:val="TM1"/>
            <w:tabs>
              <w:tab w:val="right" w:leader="dot" w:pos="9062"/>
            </w:tabs>
            <w:rPr>
              <w:rFonts w:asciiTheme="minorHAnsi" w:eastAsiaTheme="minorEastAsia" w:hAnsiTheme="minorHAnsi"/>
              <w:noProof/>
              <w:lang w:eastAsia="fr-BE"/>
            </w:rPr>
          </w:pPr>
          <w:hyperlink w:anchor="_Toc152687224" w:history="1">
            <w:r w:rsidRPr="000163B6">
              <w:rPr>
                <w:rStyle w:val="Lienhypertexte"/>
                <w:noProof/>
              </w:rPr>
              <w:t>Conclusion générale</w:t>
            </w:r>
            <w:r>
              <w:rPr>
                <w:noProof/>
                <w:webHidden/>
              </w:rPr>
              <w:tab/>
            </w:r>
            <w:r>
              <w:rPr>
                <w:noProof/>
                <w:webHidden/>
              </w:rPr>
              <w:fldChar w:fldCharType="begin"/>
            </w:r>
            <w:r>
              <w:rPr>
                <w:noProof/>
                <w:webHidden/>
              </w:rPr>
              <w:instrText xml:space="preserve"> PAGEREF _Toc152687224 \h </w:instrText>
            </w:r>
            <w:r>
              <w:rPr>
                <w:noProof/>
                <w:webHidden/>
              </w:rPr>
            </w:r>
            <w:r>
              <w:rPr>
                <w:noProof/>
                <w:webHidden/>
              </w:rPr>
              <w:fldChar w:fldCharType="separate"/>
            </w:r>
            <w:r>
              <w:rPr>
                <w:noProof/>
                <w:webHidden/>
              </w:rPr>
              <w:t>47</w:t>
            </w:r>
            <w:r>
              <w:rPr>
                <w:noProof/>
                <w:webHidden/>
              </w:rPr>
              <w:fldChar w:fldCharType="end"/>
            </w:r>
          </w:hyperlink>
        </w:p>
        <w:p w14:paraId="3715374D" w14:textId="629DB448" w:rsidR="00AA2E0F" w:rsidRDefault="00AA2E0F">
          <w:pPr>
            <w:pStyle w:val="TM1"/>
            <w:tabs>
              <w:tab w:val="right" w:leader="dot" w:pos="9062"/>
            </w:tabs>
            <w:rPr>
              <w:rFonts w:asciiTheme="minorHAnsi" w:eastAsiaTheme="minorEastAsia" w:hAnsiTheme="minorHAnsi"/>
              <w:noProof/>
              <w:lang w:eastAsia="fr-BE"/>
            </w:rPr>
          </w:pPr>
          <w:hyperlink w:anchor="_Toc152687225" w:history="1">
            <w:r w:rsidRPr="000163B6">
              <w:rPr>
                <w:rStyle w:val="Lienhypertexte"/>
                <w:noProof/>
              </w:rPr>
              <w:t>Bibliographie</w:t>
            </w:r>
            <w:r>
              <w:rPr>
                <w:noProof/>
                <w:webHidden/>
              </w:rPr>
              <w:tab/>
            </w:r>
            <w:r>
              <w:rPr>
                <w:noProof/>
                <w:webHidden/>
              </w:rPr>
              <w:fldChar w:fldCharType="begin"/>
            </w:r>
            <w:r>
              <w:rPr>
                <w:noProof/>
                <w:webHidden/>
              </w:rPr>
              <w:instrText xml:space="preserve"> PAGEREF _Toc152687225 \h </w:instrText>
            </w:r>
            <w:r>
              <w:rPr>
                <w:noProof/>
                <w:webHidden/>
              </w:rPr>
            </w:r>
            <w:r>
              <w:rPr>
                <w:noProof/>
                <w:webHidden/>
              </w:rPr>
              <w:fldChar w:fldCharType="separate"/>
            </w:r>
            <w:r>
              <w:rPr>
                <w:noProof/>
                <w:webHidden/>
              </w:rPr>
              <w:t>49</w:t>
            </w:r>
            <w:r>
              <w:rPr>
                <w:noProof/>
                <w:webHidden/>
              </w:rPr>
              <w:fldChar w:fldCharType="end"/>
            </w:r>
          </w:hyperlink>
        </w:p>
        <w:p w14:paraId="43F75F7C" w14:textId="2A9212A4" w:rsidR="00AA2E0F" w:rsidRDefault="00AA2E0F">
          <w:pPr>
            <w:pStyle w:val="TM2"/>
            <w:tabs>
              <w:tab w:val="right" w:leader="dot" w:pos="9062"/>
            </w:tabs>
            <w:rPr>
              <w:rFonts w:asciiTheme="minorHAnsi" w:eastAsiaTheme="minorEastAsia" w:hAnsiTheme="minorHAnsi"/>
              <w:noProof/>
              <w:lang w:eastAsia="fr-BE"/>
            </w:rPr>
          </w:pPr>
          <w:hyperlink w:anchor="_Toc152687226" w:history="1">
            <w:r w:rsidRPr="000163B6">
              <w:rPr>
                <w:rStyle w:val="Lienhypertexte"/>
                <w:noProof/>
              </w:rPr>
              <w:t>Publications scientifiques</w:t>
            </w:r>
            <w:r>
              <w:rPr>
                <w:noProof/>
                <w:webHidden/>
              </w:rPr>
              <w:tab/>
            </w:r>
            <w:r>
              <w:rPr>
                <w:noProof/>
                <w:webHidden/>
              </w:rPr>
              <w:fldChar w:fldCharType="begin"/>
            </w:r>
            <w:r>
              <w:rPr>
                <w:noProof/>
                <w:webHidden/>
              </w:rPr>
              <w:instrText xml:space="preserve"> PAGEREF _Toc152687226 \h </w:instrText>
            </w:r>
            <w:r>
              <w:rPr>
                <w:noProof/>
                <w:webHidden/>
              </w:rPr>
            </w:r>
            <w:r>
              <w:rPr>
                <w:noProof/>
                <w:webHidden/>
              </w:rPr>
              <w:fldChar w:fldCharType="separate"/>
            </w:r>
            <w:r>
              <w:rPr>
                <w:noProof/>
                <w:webHidden/>
              </w:rPr>
              <w:t>49</w:t>
            </w:r>
            <w:r>
              <w:rPr>
                <w:noProof/>
                <w:webHidden/>
              </w:rPr>
              <w:fldChar w:fldCharType="end"/>
            </w:r>
          </w:hyperlink>
        </w:p>
        <w:p w14:paraId="04170213" w14:textId="660FBAC7" w:rsidR="00AA2E0F" w:rsidRDefault="00AA2E0F">
          <w:pPr>
            <w:pStyle w:val="TM2"/>
            <w:tabs>
              <w:tab w:val="right" w:leader="dot" w:pos="9062"/>
            </w:tabs>
            <w:rPr>
              <w:rFonts w:asciiTheme="minorHAnsi" w:eastAsiaTheme="minorEastAsia" w:hAnsiTheme="minorHAnsi"/>
              <w:noProof/>
              <w:lang w:eastAsia="fr-BE"/>
            </w:rPr>
          </w:pPr>
          <w:hyperlink w:anchor="_Toc152687227" w:history="1">
            <w:r w:rsidRPr="000163B6">
              <w:rPr>
                <w:rStyle w:val="Lienhypertexte"/>
                <w:noProof/>
              </w:rPr>
              <w:t>Rapports et expertises publiques</w:t>
            </w:r>
            <w:r>
              <w:rPr>
                <w:noProof/>
                <w:webHidden/>
              </w:rPr>
              <w:tab/>
            </w:r>
            <w:r>
              <w:rPr>
                <w:noProof/>
                <w:webHidden/>
              </w:rPr>
              <w:fldChar w:fldCharType="begin"/>
            </w:r>
            <w:r>
              <w:rPr>
                <w:noProof/>
                <w:webHidden/>
              </w:rPr>
              <w:instrText xml:space="preserve"> PAGEREF _Toc152687227 \h </w:instrText>
            </w:r>
            <w:r>
              <w:rPr>
                <w:noProof/>
                <w:webHidden/>
              </w:rPr>
            </w:r>
            <w:r>
              <w:rPr>
                <w:noProof/>
                <w:webHidden/>
              </w:rPr>
              <w:fldChar w:fldCharType="separate"/>
            </w:r>
            <w:r>
              <w:rPr>
                <w:noProof/>
                <w:webHidden/>
              </w:rPr>
              <w:t>52</w:t>
            </w:r>
            <w:r>
              <w:rPr>
                <w:noProof/>
                <w:webHidden/>
              </w:rPr>
              <w:fldChar w:fldCharType="end"/>
            </w:r>
          </w:hyperlink>
        </w:p>
        <w:p w14:paraId="01B74735" w14:textId="7FAE924E" w:rsidR="00AA2E0F" w:rsidRDefault="00AA2E0F">
          <w:pPr>
            <w:pStyle w:val="TM2"/>
            <w:tabs>
              <w:tab w:val="right" w:leader="dot" w:pos="9062"/>
            </w:tabs>
            <w:rPr>
              <w:rFonts w:asciiTheme="minorHAnsi" w:eastAsiaTheme="minorEastAsia" w:hAnsiTheme="minorHAnsi"/>
              <w:noProof/>
              <w:lang w:eastAsia="fr-BE"/>
            </w:rPr>
          </w:pPr>
          <w:hyperlink w:anchor="_Toc152687228" w:history="1">
            <w:r w:rsidRPr="000163B6">
              <w:rPr>
                <w:rStyle w:val="Lienhypertexte"/>
                <w:noProof/>
              </w:rPr>
              <w:t>Publications associatives et philanthropes</w:t>
            </w:r>
            <w:r>
              <w:rPr>
                <w:noProof/>
                <w:webHidden/>
              </w:rPr>
              <w:tab/>
            </w:r>
            <w:r>
              <w:rPr>
                <w:noProof/>
                <w:webHidden/>
              </w:rPr>
              <w:fldChar w:fldCharType="begin"/>
            </w:r>
            <w:r>
              <w:rPr>
                <w:noProof/>
                <w:webHidden/>
              </w:rPr>
              <w:instrText xml:space="preserve"> PAGEREF _Toc152687228 \h </w:instrText>
            </w:r>
            <w:r>
              <w:rPr>
                <w:noProof/>
                <w:webHidden/>
              </w:rPr>
            </w:r>
            <w:r>
              <w:rPr>
                <w:noProof/>
                <w:webHidden/>
              </w:rPr>
              <w:fldChar w:fldCharType="separate"/>
            </w:r>
            <w:r>
              <w:rPr>
                <w:noProof/>
                <w:webHidden/>
              </w:rPr>
              <w:t>53</w:t>
            </w:r>
            <w:r>
              <w:rPr>
                <w:noProof/>
                <w:webHidden/>
              </w:rPr>
              <w:fldChar w:fldCharType="end"/>
            </w:r>
          </w:hyperlink>
        </w:p>
        <w:p w14:paraId="6F33677C" w14:textId="3DC74645" w:rsidR="00AA2E0F" w:rsidRDefault="00AA2E0F">
          <w:pPr>
            <w:pStyle w:val="TM1"/>
            <w:tabs>
              <w:tab w:val="right" w:leader="dot" w:pos="9062"/>
            </w:tabs>
            <w:rPr>
              <w:rFonts w:asciiTheme="minorHAnsi" w:eastAsiaTheme="minorEastAsia" w:hAnsiTheme="minorHAnsi"/>
              <w:noProof/>
              <w:lang w:eastAsia="fr-BE"/>
            </w:rPr>
          </w:pPr>
          <w:hyperlink w:anchor="_Toc152687229" w:history="1">
            <w:r w:rsidRPr="000163B6">
              <w:rPr>
                <w:rStyle w:val="Lienhypertexte"/>
                <w:noProof/>
              </w:rPr>
              <w:t>ANNEXE 1- Loi du 30 novembre 1998</w:t>
            </w:r>
            <w:r>
              <w:rPr>
                <w:noProof/>
                <w:webHidden/>
              </w:rPr>
              <w:tab/>
            </w:r>
            <w:r>
              <w:rPr>
                <w:noProof/>
                <w:webHidden/>
              </w:rPr>
              <w:fldChar w:fldCharType="begin"/>
            </w:r>
            <w:r>
              <w:rPr>
                <w:noProof/>
                <w:webHidden/>
              </w:rPr>
              <w:instrText xml:space="preserve"> PAGEREF _Toc152687229 \h </w:instrText>
            </w:r>
            <w:r>
              <w:rPr>
                <w:noProof/>
                <w:webHidden/>
              </w:rPr>
            </w:r>
            <w:r>
              <w:rPr>
                <w:noProof/>
                <w:webHidden/>
              </w:rPr>
              <w:fldChar w:fldCharType="separate"/>
            </w:r>
            <w:r>
              <w:rPr>
                <w:noProof/>
                <w:webHidden/>
              </w:rPr>
              <w:t>54</w:t>
            </w:r>
            <w:r>
              <w:rPr>
                <w:noProof/>
                <w:webHidden/>
              </w:rPr>
              <w:fldChar w:fldCharType="end"/>
            </w:r>
          </w:hyperlink>
        </w:p>
        <w:p w14:paraId="2215F8D6" w14:textId="17F55963" w:rsidR="00AA2E0F" w:rsidRDefault="00AA2E0F">
          <w:pPr>
            <w:pStyle w:val="TM1"/>
            <w:tabs>
              <w:tab w:val="right" w:leader="dot" w:pos="9062"/>
            </w:tabs>
            <w:rPr>
              <w:rFonts w:asciiTheme="minorHAnsi" w:eastAsiaTheme="minorEastAsia" w:hAnsiTheme="minorHAnsi"/>
              <w:noProof/>
              <w:lang w:eastAsia="fr-BE"/>
            </w:rPr>
          </w:pPr>
          <w:hyperlink w:anchor="_Toc152687230" w:history="1">
            <w:r w:rsidRPr="000163B6">
              <w:rPr>
                <w:rStyle w:val="Lienhypertexte"/>
                <w:noProof/>
              </w:rPr>
              <w:t>ANNEXE 2 – Liste des tableaux</w:t>
            </w:r>
            <w:r>
              <w:rPr>
                <w:noProof/>
                <w:webHidden/>
              </w:rPr>
              <w:tab/>
            </w:r>
            <w:r>
              <w:rPr>
                <w:noProof/>
                <w:webHidden/>
              </w:rPr>
              <w:fldChar w:fldCharType="begin"/>
            </w:r>
            <w:r>
              <w:rPr>
                <w:noProof/>
                <w:webHidden/>
              </w:rPr>
              <w:instrText xml:space="preserve"> PAGEREF _Toc152687230 \h </w:instrText>
            </w:r>
            <w:r>
              <w:rPr>
                <w:noProof/>
                <w:webHidden/>
              </w:rPr>
            </w:r>
            <w:r>
              <w:rPr>
                <w:noProof/>
                <w:webHidden/>
              </w:rPr>
              <w:fldChar w:fldCharType="separate"/>
            </w:r>
            <w:r>
              <w:rPr>
                <w:noProof/>
                <w:webHidden/>
              </w:rPr>
              <w:t>56</w:t>
            </w:r>
            <w:r>
              <w:rPr>
                <w:noProof/>
                <w:webHidden/>
              </w:rPr>
              <w:fldChar w:fldCharType="end"/>
            </w:r>
          </w:hyperlink>
        </w:p>
        <w:p w14:paraId="3FF7ECCE" w14:textId="04FB102D" w:rsidR="00AA2E0F" w:rsidRDefault="00AA2E0F">
          <w:pPr>
            <w:pStyle w:val="TM1"/>
            <w:tabs>
              <w:tab w:val="right" w:leader="dot" w:pos="9062"/>
            </w:tabs>
            <w:rPr>
              <w:rFonts w:asciiTheme="minorHAnsi" w:eastAsiaTheme="minorEastAsia" w:hAnsiTheme="minorHAnsi"/>
              <w:noProof/>
              <w:lang w:eastAsia="fr-BE"/>
            </w:rPr>
          </w:pPr>
          <w:hyperlink w:anchor="_Toc152687231" w:history="1">
            <w:r w:rsidRPr="000163B6">
              <w:rPr>
                <w:rStyle w:val="Lienhypertexte"/>
                <w:noProof/>
              </w:rPr>
              <w:t>ANNEXE 3 – Liste des abréviations</w:t>
            </w:r>
            <w:r>
              <w:rPr>
                <w:noProof/>
                <w:webHidden/>
              </w:rPr>
              <w:tab/>
            </w:r>
            <w:r>
              <w:rPr>
                <w:noProof/>
                <w:webHidden/>
              </w:rPr>
              <w:fldChar w:fldCharType="begin"/>
            </w:r>
            <w:r>
              <w:rPr>
                <w:noProof/>
                <w:webHidden/>
              </w:rPr>
              <w:instrText xml:space="preserve"> PAGEREF _Toc152687231 \h </w:instrText>
            </w:r>
            <w:r>
              <w:rPr>
                <w:noProof/>
                <w:webHidden/>
              </w:rPr>
            </w:r>
            <w:r>
              <w:rPr>
                <w:noProof/>
                <w:webHidden/>
              </w:rPr>
              <w:fldChar w:fldCharType="separate"/>
            </w:r>
            <w:r>
              <w:rPr>
                <w:noProof/>
                <w:webHidden/>
              </w:rPr>
              <w:t>57</w:t>
            </w:r>
            <w:r>
              <w:rPr>
                <w:noProof/>
                <w:webHidden/>
              </w:rPr>
              <w:fldChar w:fldCharType="end"/>
            </w:r>
          </w:hyperlink>
        </w:p>
        <w:p w14:paraId="54690645" w14:textId="12C4D91B" w:rsidR="00DC0E70" w:rsidRDefault="00DC0E70" w:rsidP="00E505A5">
          <w:pPr>
            <w:spacing w:line="276" w:lineRule="auto"/>
          </w:pPr>
          <w:r>
            <w:rPr>
              <w:b/>
              <w:bCs/>
              <w:lang w:val="fr-FR"/>
            </w:rPr>
            <w:fldChar w:fldCharType="end"/>
          </w:r>
        </w:p>
      </w:sdtContent>
    </w:sdt>
    <w:p w14:paraId="1E355DA5" w14:textId="77777777" w:rsidR="00E632FA" w:rsidRDefault="00E632FA" w:rsidP="00E505A5">
      <w:pPr>
        <w:spacing w:line="276" w:lineRule="auto"/>
        <w:jc w:val="left"/>
      </w:pPr>
      <w:r>
        <w:br w:type="page"/>
      </w:r>
    </w:p>
    <w:p w14:paraId="641CD68D" w14:textId="77777777" w:rsidR="00C03ADD" w:rsidRDefault="00C03ADD" w:rsidP="00E505A5">
      <w:pPr>
        <w:pStyle w:val="Titre1"/>
        <w:spacing w:line="276" w:lineRule="auto"/>
        <w:sectPr w:rsidR="00C03ADD">
          <w:headerReference w:type="default" r:id="rId8"/>
          <w:pgSz w:w="11906" w:h="16838"/>
          <w:pgMar w:top="1417" w:right="1417" w:bottom="1417" w:left="1417" w:header="708" w:footer="708" w:gutter="0"/>
          <w:cols w:space="708"/>
          <w:docGrid w:linePitch="360"/>
        </w:sectPr>
      </w:pPr>
    </w:p>
    <w:p w14:paraId="184939C4" w14:textId="715C2599" w:rsidR="008E33E1" w:rsidRDefault="00163A16" w:rsidP="00E505A5">
      <w:pPr>
        <w:pStyle w:val="Titre1"/>
        <w:spacing w:line="276" w:lineRule="auto"/>
      </w:pPr>
      <w:bookmarkStart w:id="2" w:name="_Toc152687185"/>
      <w:r>
        <w:lastRenderedPageBreak/>
        <w:t>Introduction </w:t>
      </w:r>
      <w:r w:rsidR="009C1E02">
        <w:t>générale</w:t>
      </w:r>
      <w:bookmarkEnd w:id="2"/>
      <w:r>
        <w:t xml:space="preserve"> </w:t>
      </w:r>
    </w:p>
    <w:p w14:paraId="506946DD" w14:textId="5B296E8A" w:rsidR="009C3E25" w:rsidRPr="001E16DC" w:rsidRDefault="00B61F44" w:rsidP="00E505A5">
      <w:pPr>
        <w:spacing w:line="276" w:lineRule="auto"/>
      </w:pPr>
      <w:r w:rsidRPr="001E16DC">
        <w:t xml:space="preserve">Engagée depuis deux ans dans un projet de thèse sur les trajectoires au logement des ménages en situation de précarité </w:t>
      </w:r>
      <w:r w:rsidR="006E4008" w:rsidRPr="001E16DC">
        <w:t xml:space="preserve">sociale et </w:t>
      </w:r>
      <w:r w:rsidRPr="001E16DC">
        <w:t xml:space="preserve">économique, </w:t>
      </w:r>
      <w:r w:rsidR="009C3E25" w:rsidRPr="001E16DC">
        <w:t>après de</w:t>
      </w:r>
      <w:r w:rsidR="005F009D" w:rsidRPr="001E16DC">
        <w:t>s dizaines d’</w:t>
      </w:r>
      <w:r w:rsidR="009C3E25" w:rsidRPr="001E16DC">
        <w:t xml:space="preserve">entretiens avec des acteurs de terrains et des locataires précaires, </w:t>
      </w:r>
      <w:r w:rsidR="00DB0338" w:rsidRPr="001E16DC">
        <w:t xml:space="preserve">6 mois de terrain dans un CPAS de la Région bruxelloise, </w:t>
      </w:r>
      <w:r w:rsidRPr="001E16DC">
        <w:t xml:space="preserve">mener à bien ce travail de </w:t>
      </w:r>
      <w:r w:rsidR="00DB0338" w:rsidRPr="001E16DC">
        <w:t>fin d’étude en master</w:t>
      </w:r>
      <w:r w:rsidRPr="001E16DC">
        <w:t xml:space="preserve"> </w:t>
      </w:r>
      <w:r w:rsidR="00663CA8" w:rsidRPr="001E16DC">
        <w:t xml:space="preserve">me semble </w:t>
      </w:r>
      <w:r w:rsidR="0097019E" w:rsidRPr="001E16DC">
        <w:t xml:space="preserve">une tâche </w:t>
      </w:r>
      <w:r w:rsidR="00E65F17">
        <w:t>difficile</w:t>
      </w:r>
      <w:r w:rsidR="00893890" w:rsidRPr="001E16DC">
        <w:t xml:space="preserve"> : </w:t>
      </w:r>
      <w:r w:rsidR="00663CA8" w:rsidRPr="001E16DC">
        <w:t xml:space="preserve">j’ai l’impression de devoir prendre les choses à rebours. </w:t>
      </w:r>
      <w:r w:rsidR="00C55982" w:rsidRPr="001E16DC">
        <w:t xml:space="preserve">Comment construire une problématique théorique, y répondre à recours </w:t>
      </w:r>
      <w:r w:rsidR="009C3E25" w:rsidRPr="001E16DC">
        <w:t>d’ouvrages scientifiques</w:t>
      </w:r>
      <w:r w:rsidR="00C55982" w:rsidRPr="001E16DC">
        <w:t>, alors qu</w:t>
      </w:r>
      <w:r w:rsidR="00E65F17">
        <w:t>’il me faut aussi</w:t>
      </w:r>
      <w:r w:rsidR="00DB0338" w:rsidRPr="001E16DC">
        <w:t xml:space="preserve"> </w:t>
      </w:r>
      <w:r w:rsidR="009C3E25" w:rsidRPr="001E16DC">
        <w:t>poursuivre m</w:t>
      </w:r>
      <w:r w:rsidR="0097019E" w:rsidRPr="001E16DC">
        <w:t xml:space="preserve">on enquête </w:t>
      </w:r>
      <w:r w:rsidR="005F009D" w:rsidRPr="001E16DC">
        <w:t>sur le</w:t>
      </w:r>
      <w:r w:rsidR="0097019E" w:rsidRPr="001E16DC">
        <w:t xml:space="preserve"> </w:t>
      </w:r>
      <w:r w:rsidR="009C3E25" w:rsidRPr="001E16DC">
        <w:t>terrain</w:t>
      </w:r>
      <w:r w:rsidR="005F009D" w:rsidRPr="001E16DC">
        <w:t xml:space="preserve">, </w:t>
      </w:r>
      <w:r w:rsidR="0097019E" w:rsidRPr="001E16DC">
        <w:t>répondre à</w:t>
      </w:r>
      <w:r w:rsidR="00DB0338" w:rsidRPr="001E16DC">
        <w:t xml:space="preserve"> la multitude de questions qui ont émergé ces derniers mois et qui exigent un ancrage concret et pratique, au plus près des acteurs sociaux. </w:t>
      </w:r>
    </w:p>
    <w:p w14:paraId="2F14E470" w14:textId="33F82934" w:rsidR="00C55982" w:rsidRPr="001E16DC" w:rsidRDefault="0097019E" w:rsidP="00E505A5">
      <w:pPr>
        <w:spacing w:line="276" w:lineRule="auto"/>
      </w:pPr>
      <w:r w:rsidRPr="001E16DC">
        <w:t xml:space="preserve">Il me faut </w:t>
      </w:r>
      <w:r w:rsidR="00DB0338" w:rsidRPr="001E16DC">
        <w:t xml:space="preserve">donc </w:t>
      </w:r>
      <w:r w:rsidR="00F46F7E" w:rsidRPr="001E16DC">
        <w:t>trouver un sujet de TFE</w:t>
      </w:r>
      <w:r w:rsidR="00BC4807">
        <w:t xml:space="preserve"> (travail de fin d’étude)</w:t>
      </w:r>
      <w:r w:rsidR="00F46F7E" w:rsidRPr="001E16DC">
        <w:t xml:space="preserve"> qui </w:t>
      </w:r>
      <w:r w:rsidR="005F009D" w:rsidRPr="001E16DC">
        <w:t>aliment</w:t>
      </w:r>
      <w:r w:rsidR="00E65F17">
        <w:t>e</w:t>
      </w:r>
      <w:r w:rsidR="00F46F7E" w:rsidRPr="001E16DC">
        <w:t xml:space="preserve"> la suite de m</w:t>
      </w:r>
      <w:r w:rsidR="005F009D" w:rsidRPr="001E16DC">
        <w:t>on enquête</w:t>
      </w:r>
      <w:r w:rsidR="00F46F7E" w:rsidRPr="001E16DC">
        <w:t xml:space="preserve">, </w:t>
      </w:r>
      <w:r w:rsidR="005F009D" w:rsidRPr="001E16DC">
        <w:t xml:space="preserve">m’aide à préciser mes questions de recherche, m’oriente au milieu de cette </w:t>
      </w:r>
      <w:r w:rsidRPr="001E16DC">
        <w:t>série d’énigme</w:t>
      </w:r>
      <w:r w:rsidR="00DB0338" w:rsidRPr="001E16DC">
        <w:t xml:space="preserve">s qu’il </w:t>
      </w:r>
      <w:r w:rsidRPr="001E16DC">
        <w:t>me reste encore à résoudre</w:t>
      </w:r>
      <w:r w:rsidR="00DB0338" w:rsidRPr="001E16DC">
        <w:t xml:space="preserve">. </w:t>
      </w:r>
      <w:r w:rsidR="00EF47E7" w:rsidRPr="001E16DC">
        <w:t>Je décide donc d’appréhender ce travail</w:t>
      </w:r>
      <w:r w:rsidR="005F009D" w:rsidRPr="001E16DC">
        <w:t xml:space="preserve"> comme une « boite à outils » que je me constitue au milieu de mon projet de recherche. </w:t>
      </w:r>
      <w:r w:rsidR="005205AA" w:rsidRPr="001E16DC">
        <w:t>Cette image de la boite à outil</w:t>
      </w:r>
      <w:r w:rsidR="00DB0338" w:rsidRPr="001E16DC">
        <w:t>, je l’emprunte</w:t>
      </w:r>
      <w:r w:rsidR="005F009D" w:rsidRPr="001E16DC">
        <w:t xml:space="preserve"> </w:t>
      </w:r>
      <w:r w:rsidR="00DB0338" w:rsidRPr="001E16DC">
        <w:t>à Michel Foucault</w:t>
      </w:r>
      <w:r w:rsidR="005F009D" w:rsidRPr="001E16DC">
        <w:t xml:space="preserve"> qui écrit</w:t>
      </w:r>
      <w:r w:rsidR="00DB0338" w:rsidRPr="001E16DC">
        <w:t xml:space="preserve"> : </w:t>
      </w:r>
    </w:p>
    <w:p w14:paraId="4F8C5B1A" w14:textId="3C626FFE" w:rsidR="00C55982" w:rsidRPr="001E16DC" w:rsidRDefault="00C55982" w:rsidP="00E505A5">
      <w:pPr>
        <w:pStyle w:val="Paragraphedeliste"/>
        <w:spacing w:line="276" w:lineRule="auto"/>
        <w:ind w:left="708"/>
      </w:pPr>
      <w:r w:rsidRPr="001E16DC">
        <w:t>« Je voudrais que mes livres soient une sorte de </w:t>
      </w:r>
      <w:proofErr w:type="spellStart"/>
      <w:r w:rsidRPr="001E16DC">
        <w:t>tool</w:t>
      </w:r>
      <w:proofErr w:type="spellEnd"/>
      <w:r w:rsidRPr="001E16DC">
        <w:t>-box dans lequel les autres puissent aller fouiller pour y trouver un outil avec lequel ils pourraient faire ce que bon leur semble, dans leur domaine […]. Je n’écris pas pour un public, j’écris pour des utilisateurs, non pas pour des lecteurs</w:t>
      </w:r>
      <w:r w:rsidR="00DB0338" w:rsidRPr="001E16DC">
        <w:t>.</w:t>
      </w:r>
      <w:r w:rsidRPr="001E16DC">
        <w:t> »</w:t>
      </w:r>
      <w:r w:rsidR="003678C5">
        <w:t xml:space="preserve"> (Foucault, 2001 : 1391)</w:t>
      </w:r>
    </w:p>
    <w:p w14:paraId="568FDA0C" w14:textId="77777777" w:rsidR="00C55982" w:rsidRPr="001E16DC" w:rsidRDefault="00C55982" w:rsidP="00E505A5">
      <w:pPr>
        <w:pStyle w:val="Paragraphedeliste"/>
        <w:spacing w:line="276" w:lineRule="auto"/>
        <w:ind w:left="0"/>
      </w:pPr>
    </w:p>
    <w:p w14:paraId="09DA49D5" w14:textId="0FA20841" w:rsidR="003678C5" w:rsidRPr="001E16DC" w:rsidRDefault="00C55982" w:rsidP="003678C5">
      <w:pPr>
        <w:pStyle w:val="Paragraphedeliste"/>
        <w:spacing w:line="276" w:lineRule="auto"/>
        <w:ind w:left="708"/>
      </w:pPr>
      <w:r w:rsidRPr="001E16DC">
        <w:t>« Un livre est fait pour servir à des usages non définis par celui qui l’a écrit. Plus il y aura d’usages nouveaux, possibles, imprévus, plus je serai content. Tous mes livres, que ce soit l’Histoire de la folie ou [Surveiller et punir], sont, si vous voulez, de petites boîtes à outils. Si les gens veulent bien les ouvrir, se servir de telle phrase, telle idée, telle analyse comme d’un tournevis ou d’un desserre-boulon pour court-circuiter, disqualifier, casser les systèmes de pouvoir, y compris éventuellement ceux-là mêmes dont mes livres sont issus… eh bien c’est tant mieux ! »</w:t>
      </w:r>
      <w:r w:rsidR="003678C5" w:rsidRPr="003678C5">
        <w:t xml:space="preserve"> </w:t>
      </w:r>
      <w:r w:rsidR="003678C5">
        <w:t>(Foucault, 2001 : 1588)</w:t>
      </w:r>
    </w:p>
    <w:p w14:paraId="1675268B" w14:textId="74C3E490" w:rsidR="00DB0338" w:rsidRPr="001E16DC" w:rsidRDefault="00DB0338" w:rsidP="00E505A5">
      <w:pPr>
        <w:spacing w:line="276" w:lineRule="auto"/>
      </w:pPr>
      <w:r w:rsidRPr="001E16DC">
        <w:t>Voilà</w:t>
      </w:r>
      <w:r w:rsidR="00BD63D1" w:rsidRPr="001E16DC">
        <w:t xml:space="preserve"> une manière satisfaisante d’appréhender</w:t>
      </w:r>
      <w:r w:rsidRPr="001E16DC">
        <w:t xml:space="preserve"> </w:t>
      </w:r>
      <w:r w:rsidR="00BD63D1" w:rsidRPr="001E16DC">
        <w:t>c</w:t>
      </w:r>
      <w:r w:rsidRPr="001E16DC">
        <w:t>e TFE : me constituer un</w:t>
      </w:r>
      <w:r w:rsidR="00D350DF" w:rsidRPr="001E16DC">
        <w:t>e</w:t>
      </w:r>
      <w:r w:rsidRPr="001E16DC">
        <w:t xml:space="preserve"> boîte à outil, que je pourrai ouvrir par la suite, pour y puiser tel</w:t>
      </w:r>
      <w:r w:rsidR="00EF47E7" w:rsidRPr="001E16DC">
        <w:t>le</w:t>
      </w:r>
      <w:r w:rsidRPr="001E16DC">
        <w:t xml:space="preserve"> ou tel</w:t>
      </w:r>
      <w:r w:rsidR="00EF47E7" w:rsidRPr="001E16DC">
        <w:t xml:space="preserve">le </w:t>
      </w:r>
      <w:r w:rsidRPr="001E16DC">
        <w:t xml:space="preserve">notion, concept, méthode, afin </w:t>
      </w:r>
      <w:r w:rsidR="00EF47E7" w:rsidRPr="001E16DC">
        <w:t>de poursuivre</w:t>
      </w:r>
      <w:r w:rsidRPr="001E16DC">
        <w:t xml:space="preserve"> mon travail d’enquête sociologique, avancer, construire m</w:t>
      </w:r>
      <w:r w:rsidR="00EF47E7" w:rsidRPr="001E16DC">
        <w:t>a thèse</w:t>
      </w:r>
      <w:r w:rsidRPr="001E16DC">
        <w:t xml:space="preserve">. </w:t>
      </w:r>
    </w:p>
    <w:p w14:paraId="4AAF3C24" w14:textId="01DAEDE2" w:rsidR="003B0E9E" w:rsidRPr="001E16DC" w:rsidRDefault="00D350DF" w:rsidP="00E505A5">
      <w:pPr>
        <w:spacing w:line="276" w:lineRule="auto"/>
      </w:pPr>
      <w:r w:rsidRPr="001E16DC">
        <w:t xml:space="preserve">J’ai parlé jusqu’ici de ma manière d’envisager ce TFE. Pour ce qui est du sujet, </w:t>
      </w:r>
      <w:r w:rsidR="00EF47E7" w:rsidRPr="001E16DC">
        <w:t>ce travail m’offre l’opportunité</w:t>
      </w:r>
      <w:r w:rsidR="003B0E9E" w:rsidRPr="001E16DC">
        <w:t xml:space="preserve"> de creuser davantage un sujet qui </w:t>
      </w:r>
      <w:r w:rsidR="00EF47E7" w:rsidRPr="001E16DC">
        <w:t>suscite</w:t>
      </w:r>
      <w:r w:rsidR="003B0E9E" w:rsidRPr="001E16DC">
        <w:t xml:space="preserve"> mon intérêt depuis longtemps, d’abord pour des raisons de trajectoire personnelle</w:t>
      </w:r>
      <w:r w:rsidR="00EF47E7" w:rsidRPr="001E16DC">
        <w:t>,</w:t>
      </w:r>
      <w:r w:rsidR="003B0E9E" w:rsidRPr="001E16DC">
        <w:t xml:space="preserve"> puis par intérêt politique lié au droit au logement</w:t>
      </w:r>
      <w:r w:rsidR="00C60A89" w:rsidRPr="001E16DC">
        <w:t>, avant que la</w:t>
      </w:r>
      <w:r w:rsidR="00830AF8">
        <w:t xml:space="preserve"> </w:t>
      </w:r>
      <w:r w:rsidR="003B0E9E" w:rsidRPr="001E16DC">
        <w:t>curiosité sociologique</w:t>
      </w:r>
      <w:r w:rsidR="003678C5">
        <w:t xml:space="preserve"> </w:t>
      </w:r>
      <w:r w:rsidR="00C60A89" w:rsidRPr="001E16DC">
        <w:t>ne m’y ramène dans</w:t>
      </w:r>
      <w:r w:rsidR="005F009D" w:rsidRPr="001E16DC">
        <w:t xml:space="preserve"> </w:t>
      </w:r>
      <w:r w:rsidR="003B0E9E" w:rsidRPr="001E16DC">
        <w:t xml:space="preserve">le cadre de ma thèse : les procédures d’expulsion locative. </w:t>
      </w:r>
    </w:p>
    <w:p w14:paraId="626C8152" w14:textId="09D61DA3" w:rsidR="00C60A89" w:rsidRPr="001E16DC" w:rsidRDefault="00C60A89" w:rsidP="00E505A5">
      <w:pPr>
        <w:spacing w:line="276" w:lineRule="auto"/>
      </w:pPr>
      <w:r w:rsidRPr="001E16DC">
        <w:t>Comme (apprentie) sociologue, j</w:t>
      </w:r>
      <w:r w:rsidR="003B0E9E" w:rsidRPr="001E16DC">
        <w:t xml:space="preserve">’ai été confrontée à cette problématique pour la première fois lors de ma participation au </w:t>
      </w:r>
      <w:r w:rsidR="005205AA" w:rsidRPr="001E16DC">
        <w:t xml:space="preserve">projet de dénombrement de </w:t>
      </w:r>
      <w:r w:rsidR="003678C5" w:rsidRPr="001E16DC">
        <w:t>sans-abris</w:t>
      </w:r>
      <w:r w:rsidR="005205AA" w:rsidRPr="001E16DC">
        <w:t xml:space="preserve"> </w:t>
      </w:r>
      <w:r w:rsidR="005F009D" w:rsidRPr="001E16DC">
        <w:t xml:space="preserve">en octobre 2021 </w:t>
      </w:r>
      <w:r w:rsidR="005205AA" w:rsidRPr="001E16DC">
        <w:t xml:space="preserve">à Namur et Charleroi. </w:t>
      </w:r>
      <w:r w:rsidR="00E65F17">
        <w:t>Fondée</w:t>
      </w:r>
      <w:r w:rsidRPr="001E16DC">
        <w:t xml:space="preserve"> </w:t>
      </w:r>
      <w:r w:rsidR="005205AA" w:rsidRPr="001E16DC">
        <w:t>sur la typologie ETHOS établie par la FEANTSA</w:t>
      </w:r>
      <w:r w:rsidR="00F06AD4" w:rsidRPr="001E16DC">
        <w:t xml:space="preserve">, la méthodologie mobilisée </w:t>
      </w:r>
      <w:r w:rsidR="005F009D" w:rsidRPr="001E16DC">
        <w:t xml:space="preserve">propose une </w:t>
      </w:r>
      <w:r w:rsidR="005F009D" w:rsidRPr="001E16DC">
        <w:rPr>
          <w:i/>
        </w:rPr>
        <w:t>approche globale</w:t>
      </w:r>
      <w:r w:rsidR="005F009D" w:rsidRPr="001E16DC">
        <w:t xml:space="preserve"> du sans</w:t>
      </w:r>
      <w:r w:rsidR="00E65F17">
        <w:t>-</w:t>
      </w:r>
      <w:r w:rsidR="005F009D" w:rsidRPr="001E16DC">
        <w:t>abrisme</w:t>
      </w:r>
      <w:r w:rsidR="00391E62" w:rsidRPr="001E16DC">
        <w:t xml:space="preserve">, qui </w:t>
      </w:r>
      <w:r w:rsidRPr="001E16DC">
        <w:t>intègre à la fois</w:t>
      </w:r>
      <w:r w:rsidR="00391E62" w:rsidRPr="001E16DC">
        <w:t xml:space="preserve"> </w:t>
      </w:r>
      <w:r w:rsidR="003735FF" w:rsidRPr="001E16DC">
        <w:t>la prévention ciblée (expulsions et sorties d’institutions) et la prévention systémique (à travers les politiques générales de logement, d’emploi et d’éducation)</w:t>
      </w:r>
      <w:r w:rsidR="00391E62" w:rsidRPr="001E16DC">
        <w:t xml:space="preserve"> </w:t>
      </w:r>
      <w:r w:rsidR="00391E62" w:rsidRPr="009A7869">
        <w:t>(F</w:t>
      </w:r>
      <w:r w:rsidR="00055A30">
        <w:t>EANTSA</w:t>
      </w:r>
      <w:r w:rsidR="00391E62" w:rsidRPr="009A7869">
        <w:t>,</w:t>
      </w:r>
      <w:r w:rsidR="003735FF" w:rsidRPr="009A7869">
        <w:t xml:space="preserve"> </w:t>
      </w:r>
      <w:r w:rsidR="009A7869" w:rsidRPr="009A7869">
        <w:t xml:space="preserve">2010 : </w:t>
      </w:r>
      <w:r w:rsidR="003735FF" w:rsidRPr="009A7869">
        <w:t>23</w:t>
      </w:r>
      <w:r w:rsidR="00391E62" w:rsidRPr="009A7869">
        <w:t>).</w:t>
      </w:r>
      <w:r w:rsidR="00F06AD4" w:rsidRPr="009A7869">
        <w:t xml:space="preserve"> Concrètement</w:t>
      </w:r>
      <w:r w:rsidR="00F06AD4" w:rsidRPr="001E16DC">
        <w:t>, cela signifie que les acteurs de terrain prenant part au dénombrement devaient recenser comme « sans abris » les personnes en procédure d’expulsion</w:t>
      </w:r>
      <w:r w:rsidR="00F06AD4" w:rsidRPr="001E16DC">
        <w:rPr>
          <w:rStyle w:val="Appelnotedebasdep"/>
        </w:rPr>
        <w:footnoteReference w:id="1"/>
      </w:r>
      <w:r w:rsidR="00F06AD4" w:rsidRPr="001E16DC">
        <w:t xml:space="preserve">. </w:t>
      </w:r>
    </w:p>
    <w:p w14:paraId="7C96FAE7" w14:textId="76499F7F" w:rsidR="00F06AD4" w:rsidRPr="001E16DC" w:rsidRDefault="00F06AD4" w:rsidP="00E505A5">
      <w:pPr>
        <w:spacing w:line="276" w:lineRule="auto"/>
      </w:pPr>
      <w:r w:rsidRPr="001E16DC">
        <w:lastRenderedPageBreak/>
        <w:t xml:space="preserve">Une de mes missions était </w:t>
      </w:r>
      <w:r w:rsidR="00BE53F4">
        <w:t xml:space="preserve">de </w:t>
      </w:r>
      <w:r w:rsidRPr="001E16DC">
        <w:t>former les acteurs de terrains qui seraient chargé</w:t>
      </w:r>
      <w:r w:rsidR="00BE53F4">
        <w:t>s</w:t>
      </w:r>
      <w:r w:rsidRPr="001E16DC">
        <w:t xml:space="preserve"> du dénombrement.</w:t>
      </w:r>
      <w:r w:rsidR="00C60A89" w:rsidRPr="001E16DC">
        <w:t xml:space="preserve"> </w:t>
      </w:r>
      <w:r w:rsidRPr="001E16DC">
        <w:t xml:space="preserve">Alors que je présentais la méthodologie ETHOS, la catégorie de « personnes en situation d’expulsion » donnait souvent </w:t>
      </w:r>
      <w:r w:rsidR="00BE53F4">
        <w:t xml:space="preserve">lieu </w:t>
      </w:r>
      <w:r w:rsidRPr="001E16DC">
        <w:t>à des échanges</w:t>
      </w:r>
      <w:r w:rsidR="009A121E" w:rsidRPr="001E16DC">
        <w:t xml:space="preserve"> intenses. Certains ne comprenaient pas pourquoi on considérait ces personnes comme sans abris alors qu’elles avaient </w:t>
      </w:r>
      <w:r w:rsidRPr="001E16DC">
        <w:t>encore littéralement un toit sur la tête</w:t>
      </w:r>
      <w:r w:rsidR="009A121E" w:rsidRPr="001E16DC">
        <w:t xml:space="preserve">. </w:t>
      </w:r>
      <w:r w:rsidR="00C60A89" w:rsidRPr="001E16DC">
        <w:t>Tandis que d</w:t>
      </w:r>
      <w:r w:rsidR="009A121E" w:rsidRPr="001E16DC">
        <w:t>’autre</w:t>
      </w:r>
      <w:r w:rsidR="00BE53F4">
        <w:t>s</w:t>
      </w:r>
      <w:r w:rsidR="009A121E" w:rsidRPr="001E16DC">
        <w:t xml:space="preserve"> </w:t>
      </w:r>
      <w:r w:rsidR="00C60A89" w:rsidRPr="001E16DC">
        <w:t>considéraient que la</w:t>
      </w:r>
      <w:r w:rsidRPr="001E16DC">
        <w:t xml:space="preserve"> précarité</w:t>
      </w:r>
      <w:r w:rsidR="009A121E" w:rsidRPr="001E16DC">
        <w:t xml:space="preserve"> </w:t>
      </w:r>
      <w:r w:rsidR="00C60A89" w:rsidRPr="001E16DC">
        <w:t>de la situation justifiait qu’on parle de sans</w:t>
      </w:r>
      <w:r w:rsidR="00BE53F4">
        <w:t>-</w:t>
      </w:r>
      <w:r w:rsidR="00C60A89" w:rsidRPr="001E16DC">
        <w:t>abrisme : ces personnes sont</w:t>
      </w:r>
      <w:r w:rsidRPr="001E16DC">
        <w:t xml:space="preserve"> comme </w:t>
      </w:r>
      <w:r w:rsidR="009A121E" w:rsidRPr="001E16DC">
        <w:t>« </w:t>
      </w:r>
      <w:r w:rsidRPr="001E16DC">
        <w:t>suspendu</w:t>
      </w:r>
      <w:r w:rsidR="009A121E" w:rsidRPr="001E16DC">
        <w:t>es à</w:t>
      </w:r>
      <w:r w:rsidRPr="001E16DC">
        <w:t xml:space="preserve"> un fil</w:t>
      </w:r>
      <w:r w:rsidR="009A121E" w:rsidRPr="001E16DC">
        <w:t> »</w:t>
      </w:r>
      <w:r w:rsidRPr="001E16DC">
        <w:t xml:space="preserve">, à un moment où tout peut encore basculer. </w:t>
      </w:r>
      <w:r w:rsidR="009A121E" w:rsidRPr="001E16DC">
        <w:t>Ce que je comprenais aussi de ces échanges, c’est l’intensité de l’engagement de travailleurs sociaux chargés d’accompagner ces personnes, leur sentiment de responsabilité, l’inquiétude de ne pas parvenir à « saisir les bons leviers », malgré</w:t>
      </w:r>
      <w:r w:rsidRPr="001E16DC">
        <w:t xml:space="preserve"> </w:t>
      </w:r>
      <w:r w:rsidR="00BE53F4">
        <w:t xml:space="preserve">les </w:t>
      </w:r>
      <w:r w:rsidRPr="001E16DC">
        <w:t xml:space="preserve">obstacles </w:t>
      </w:r>
      <w:r w:rsidR="009A121E" w:rsidRPr="001E16DC">
        <w:t xml:space="preserve">auxquels ils ont à faire face, tant individuels (addiction, maladie, </w:t>
      </w:r>
      <w:r w:rsidR="00BE53F4">
        <w:t>absence de</w:t>
      </w:r>
      <w:r w:rsidR="009A121E" w:rsidRPr="001E16DC">
        <w:t xml:space="preserve"> revenus, etc.) que structurels (absence de logement abordable ou de solution de relogement).</w:t>
      </w:r>
    </w:p>
    <w:p w14:paraId="04AFFBB9" w14:textId="51A35D4D" w:rsidR="00C60A89" w:rsidRPr="001E16DC" w:rsidRDefault="003870B3" w:rsidP="00E505A5">
      <w:pPr>
        <w:spacing w:line="276" w:lineRule="auto"/>
      </w:pPr>
      <w:r w:rsidRPr="001E16DC">
        <w:t>Après avoir repris mon enquête de terrain, je restais attentive à la question des expulsions locatives. J’étais</w:t>
      </w:r>
      <w:r w:rsidR="00F46F7E" w:rsidRPr="001E16DC">
        <w:t xml:space="preserve"> frappée par les</w:t>
      </w:r>
      <w:r w:rsidRPr="001E16DC">
        <w:t xml:space="preserve"> discours et</w:t>
      </w:r>
      <w:r w:rsidR="00F46F7E" w:rsidRPr="001E16DC">
        <w:t xml:space="preserve"> représentations</w:t>
      </w:r>
      <w:r w:rsidRPr="001E16DC">
        <w:t xml:space="preserve"> différent</w:t>
      </w:r>
      <w:r w:rsidR="00C60A89" w:rsidRPr="001E16DC">
        <w:t>e</w:t>
      </w:r>
      <w:r w:rsidRPr="001E16DC">
        <w:t>s voire divergent</w:t>
      </w:r>
      <w:r w:rsidR="00C60A89" w:rsidRPr="001E16DC">
        <w:t>e</w:t>
      </w:r>
      <w:r w:rsidRPr="001E16DC">
        <w:t>s que l</w:t>
      </w:r>
      <w:r w:rsidR="00F46F7E" w:rsidRPr="001E16DC">
        <w:t xml:space="preserve">es travailleurs sociaux </w:t>
      </w:r>
      <w:r w:rsidRPr="001E16DC">
        <w:t xml:space="preserve">mobilisaient </w:t>
      </w:r>
      <w:r w:rsidR="00F46F7E" w:rsidRPr="001E16DC">
        <w:t>lorsque nous échangions sur la question</w:t>
      </w:r>
      <w:r w:rsidRPr="001E16DC">
        <w:t xml:space="preserve">. Du </w:t>
      </w:r>
      <w:r w:rsidR="008C74CB" w:rsidRPr="001E16DC">
        <w:t>côté</w:t>
      </w:r>
      <w:r w:rsidRPr="001E16DC">
        <w:t xml:space="preserve"> des travailleuses sociales </w:t>
      </w:r>
      <w:r w:rsidR="00454B6F" w:rsidRPr="001E16DC">
        <w:t xml:space="preserve">de la cellule expulsion </w:t>
      </w:r>
      <w:r w:rsidRPr="001E16DC">
        <w:t>des CPAS, deux profils de locataires apparaissaient : ce</w:t>
      </w:r>
      <w:r w:rsidR="00BE53F4">
        <w:t>ux</w:t>
      </w:r>
      <w:r w:rsidRPr="001E16DC">
        <w:t xml:space="preserve"> pour qui l’</w:t>
      </w:r>
      <w:r w:rsidR="00454B6F" w:rsidRPr="001E16DC">
        <w:t>expulsion</w:t>
      </w:r>
      <w:r w:rsidRPr="001E16DC">
        <w:t xml:space="preserve"> relève d’un « </w:t>
      </w:r>
      <w:r w:rsidRPr="001E16DC">
        <w:rPr>
          <w:i/>
        </w:rPr>
        <w:t>accident</w:t>
      </w:r>
      <w:r w:rsidRPr="001E16DC">
        <w:t xml:space="preserve"> de parcours » et </w:t>
      </w:r>
      <w:r w:rsidR="00454B6F" w:rsidRPr="001E16DC">
        <w:t xml:space="preserve">les autres qui « ne </w:t>
      </w:r>
      <w:r w:rsidRPr="001E16DC">
        <w:t>savent pas gérer », « préfèrent dépenser de l’argent dans des vêtements et des téléphones plutôt que payer leur loyer », etc.</w:t>
      </w:r>
      <w:r w:rsidR="00830AF8">
        <w:t xml:space="preserve"> </w:t>
      </w:r>
      <w:r w:rsidR="00454B6F" w:rsidRPr="001E16DC">
        <w:t xml:space="preserve">Dans </w:t>
      </w:r>
      <w:r w:rsidR="00C60A89" w:rsidRPr="001E16DC">
        <w:t>ce dernier cas</w:t>
      </w:r>
      <w:r w:rsidR="00454B6F" w:rsidRPr="001E16DC">
        <w:t>, la situation relevait de la responsabilité voire des compétences individuelles du locataire</w:t>
      </w:r>
      <w:r w:rsidR="00C60A89" w:rsidRPr="001E16DC">
        <w:t xml:space="preserve">, </w:t>
      </w:r>
      <w:r w:rsidR="00454B6F" w:rsidRPr="001E16DC">
        <w:t>de sa capacité</w:t>
      </w:r>
      <w:r w:rsidR="00C60A89" w:rsidRPr="001E16DC">
        <w:t>, voire de s</w:t>
      </w:r>
      <w:r w:rsidR="00454B6F" w:rsidRPr="001E16DC">
        <w:t xml:space="preserve">a volonté </w:t>
      </w:r>
      <w:r w:rsidR="00BE53F4">
        <w:t>de</w:t>
      </w:r>
      <w:r w:rsidR="00454B6F" w:rsidRPr="001E16DC">
        <w:t xml:space="preserve"> gérer son budget et payer son loyer. </w:t>
      </w:r>
    </w:p>
    <w:p w14:paraId="64F6FC57" w14:textId="09076418" w:rsidR="00454B6F" w:rsidRPr="001E16DC" w:rsidRDefault="00454B6F" w:rsidP="00E505A5">
      <w:pPr>
        <w:spacing w:line="276" w:lineRule="auto"/>
      </w:pPr>
      <w:r w:rsidRPr="001E16DC">
        <w:t xml:space="preserve">Les travailleuses sociales m’expliquaient qu’en fonction du profil du locataire, il serait plus ou moins facile d’arrêter sa procédure, de payer </w:t>
      </w:r>
      <w:r w:rsidR="00C60A89" w:rsidRPr="001E16DC">
        <w:t>l</w:t>
      </w:r>
      <w:r w:rsidRPr="001E16DC">
        <w:t>a dette locative ou d</w:t>
      </w:r>
      <w:r w:rsidR="00C60A89" w:rsidRPr="001E16DC">
        <w:t>e</w:t>
      </w:r>
      <w:r w:rsidRPr="001E16DC">
        <w:t xml:space="preserve"> reloger</w:t>
      </w:r>
      <w:r w:rsidR="00145CDC" w:rsidRPr="001E16DC">
        <w:t> </w:t>
      </w:r>
      <w:r w:rsidR="00C60A89" w:rsidRPr="001E16DC">
        <w:t xml:space="preserve">la personne </w:t>
      </w:r>
      <w:r w:rsidR="00145CDC" w:rsidRPr="001E16DC">
        <w:t>: pour ceux qui sont victimes d’un « accident de parcours », il suffit de les aider à retrouver un logement pour que l’accompagnement social aboutisse. Pour les autres, « ceux qui ne savent pas gérer », c’est plus compliqué : e</w:t>
      </w:r>
      <w:r w:rsidRPr="001E16DC">
        <w:t>lles m’expliquaient</w:t>
      </w:r>
      <w:r w:rsidR="00145CDC" w:rsidRPr="001E16DC">
        <w:t>, notamment</w:t>
      </w:r>
      <w:r w:rsidRPr="001E16DC">
        <w:t xml:space="preserve"> être confrontées à des situation de « récidive » : « lui</w:t>
      </w:r>
      <w:r w:rsidR="00BE53F4">
        <w:t xml:space="preserve">, </w:t>
      </w:r>
      <w:r w:rsidRPr="001E16DC">
        <w:t>on le reloge mais on sait que dans deux ans, il sera là à nouveau. »</w:t>
      </w:r>
    </w:p>
    <w:p w14:paraId="57B230C2" w14:textId="090349F9" w:rsidR="00454B6F" w:rsidRPr="001E16DC" w:rsidRDefault="00454B6F" w:rsidP="00E505A5">
      <w:pPr>
        <w:spacing w:line="276" w:lineRule="auto"/>
      </w:pPr>
      <w:r w:rsidRPr="001E16DC">
        <w:t>Je rencontrais d’autres travailleurs sociaux, cette fois-ci actifs dans les milieux associatifs</w:t>
      </w:r>
      <w:r w:rsidR="00145CDC" w:rsidRPr="001E16DC">
        <w:t xml:space="preserve">, </w:t>
      </w:r>
      <w:r w:rsidRPr="001E16DC">
        <w:t>militant</w:t>
      </w:r>
      <w:r w:rsidR="00145CDC" w:rsidRPr="001E16DC">
        <w:t>s</w:t>
      </w:r>
      <w:r w:rsidRPr="001E16DC">
        <w:t xml:space="preserve"> pour le droit au logement, qui </w:t>
      </w:r>
      <w:r w:rsidR="00BE53F4">
        <w:t>adoptaient</w:t>
      </w:r>
      <w:r w:rsidRPr="001E16DC">
        <w:t xml:space="preserve"> une lecture non plus individuelle mais structurelle de la situation</w:t>
      </w:r>
      <w:r w:rsidR="00BE53F4">
        <w:t>,</w:t>
      </w:r>
      <w:r w:rsidRPr="001E16DC">
        <w:t xml:space="preserve"> et renvoyai</w:t>
      </w:r>
      <w:r w:rsidR="00BE53F4">
        <w:t>en</w:t>
      </w:r>
      <w:r w:rsidRPr="001E16DC">
        <w:t xml:space="preserve">t au manque de logement abordable et à la flambée des prix pour expliquer les situations d’expulsions. </w:t>
      </w:r>
      <w:r w:rsidR="00145CDC" w:rsidRPr="001E16DC">
        <w:t>Cette</w:t>
      </w:r>
      <w:r w:rsidRPr="001E16DC">
        <w:t xml:space="preserve"> approche du phénomène </w:t>
      </w:r>
      <w:r w:rsidR="00145CDC" w:rsidRPr="001E16DC">
        <w:t>charriait avec elle d’autres types d</w:t>
      </w:r>
      <w:r w:rsidR="00C60A89" w:rsidRPr="001E16DC">
        <w:t>e pratiques</w:t>
      </w:r>
      <w:r w:rsidR="00145CDC" w:rsidRPr="001E16DC">
        <w:t>, moins axées sur l’accompagnement social individuel mais plutôt sur la mobilisation collective et politique</w:t>
      </w:r>
      <w:r w:rsidR="00C60A89" w:rsidRPr="001E16DC">
        <w:t xml:space="preserve">, liées notamment à Bruxelles au </w:t>
      </w:r>
      <w:r w:rsidR="00C60A89" w:rsidRPr="00BE53F4">
        <w:rPr>
          <w:i/>
        </w:rPr>
        <w:t>Front anti-expulsion</w:t>
      </w:r>
      <w:r w:rsidR="00BE53F4">
        <w:rPr>
          <w:rStyle w:val="Appelnotedebasdep"/>
          <w:i/>
        </w:rPr>
        <w:footnoteReference w:id="2"/>
      </w:r>
      <w:r w:rsidR="00145CDC" w:rsidRPr="001E16DC">
        <w:t>. L’un de ces travailleurs</w:t>
      </w:r>
      <w:r w:rsidR="00212DC4">
        <w:t xml:space="preserve"> sociaux</w:t>
      </w:r>
      <w:r w:rsidR="00145CDC" w:rsidRPr="001E16DC">
        <w:t xml:space="preserve"> allant jusqu’à m’expliquer que le phénomène des expulsions étant structurelles, quand une personne se présente dans cette situation, « il n’y a pas grand-chose à faire ».</w:t>
      </w:r>
    </w:p>
    <w:p w14:paraId="54FFDE12" w14:textId="365D53CB" w:rsidR="00232294" w:rsidRPr="001E16DC" w:rsidRDefault="00145CDC" w:rsidP="00E505A5">
      <w:pPr>
        <w:spacing w:line="276" w:lineRule="auto"/>
      </w:pPr>
      <w:r w:rsidRPr="001E16DC">
        <w:t>Après un an et demi de thèse sur l’accès au logement des locataires pauvres, c</w:t>
      </w:r>
      <w:r w:rsidR="0047307A" w:rsidRPr="001E16DC">
        <w:t>ette question de l’expulsion locative me semblait d’autant plus</w:t>
      </w:r>
      <w:r w:rsidR="00212DC4">
        <w:t xml:space="preserve"> cruciale</w:t>
      </w:r>
      <w:r w:rsidR="0047307A" w:rsidRPr="001E16DC">
        <w:t>, qu’elle condense des discours</w:t>
      </w:r>
      <w:r w:rsidR="00C60A89" w:rsidRPr="001E16DC">
        <w:t>, des p</w:t>
      </w:r>
      <w:r w:rsidRPr="001E16DC">
        <w:t>ratiques</w:t>
      </w:r>
      <w:r w:rsidR="00DD1D48" w:rsidRPr="001E16DC">
        <w:t xml:space="preserve">, un rapport au temps et à la notion d’urgence, </w:t>
      </w:r>
      <w:r w:rsidR="0047307A" w:rsidRPr="001E16DC">
        <w:t>complètement di</w:t>
      </w:r>
      <w:r w:rsidRPr="001E16DC">
        <w:t>fférents</w:t>
      </w:r>
      <w:r w:rsidR="0047307A" w:rsidRPr="001E16DC">
        <w:t xml:space="preserve"> </w:t>
      </w:r>
      <w:r w:rsidR="00DD1D48" w:rsidRPr="001E16DC">
        <w:t>d’un travailleur social à l’autre, ou d’une institution à l’autre : q</w:t>
      </w:r>
      <w:r w:rsidRPr="001E16DC">
        <w:t>uand certains vivent dans l’urgence au quotidien,</w:t>
      </w:r>
      <w:r w:rsidR="00232294" w:rsidRPr="001E16DC">
        <w:t xml:space="preserve"> </w:t>
      </w:r>
      <w:r w:rsidRPr="001E16DC">
        <w:t>d’autres appréhendent leur mission comme un travail routinier</w:t>
      </w:r>
      <w:r w:rsidR="00232294" w:rsidRPr="001E16DC">
        <w:t xml:space="preserve">. C’est aussi pour certains, travailleurs sociaux comme locataires, </w:t>
      </w:r>
      <w:r w:rsidR="00261A52" w:rsidRPr="001E16DC">
        <w:t xml:space="preserve">une situation qui condense </w:t>
      </w:r>
      <w:r w:rsidR="00C60A89" w:rsidRPr="001E16DC">
        <w:t>tous les effets</w:t>
      </w:r>
      <w:r w:rsidR="00261A52" w:rsidRPr="001E16DC">
        <w:t xml:space="preserve"> de la crise du logement. L’une des assistantes sociales de la cellule expulsion d’un CPAS de Bruxelles m’expliquait qu’elle percevait son travail comme « la quadrature du cercle » : « on nous demande de trouver des logements aux personnes expulsées alors que tout le monde sait qu’il n’y a pas de logement pour ces gens-là. »</w:t>
      </w:r>
      <w:r w:rsidR="00DD1D48" w:rsidRPr="001E16DC">
        <w:t xml:space="preserve"> Moment d’extrême urgence, de grande précarité, de peur et d’angoisse pour les locataires concernés, je n’avais jamais envisagé la « crise du </w:t>
      </w:r>
      <w:r w:rsidR="00DD1D48" w:rsidRPr="001E16DC">
        <w:lastRenderedPageBreak/>
        <w:t>logement » sous l’angle de son impact sur le travail social et</w:t>
      </w:r>
      <w:r w:rsidR="00212DC4">
        <w:t xml:space="preserve"> sur</w:t>
      </w:r>
      <w:r w:rsidR="00DD1D48" w:rsidRPr="001E16DC">
        <w:t xml:space="preserve"> les acteurs publics engagés dans ce domaine.</w:t>
      </w:r>
    </w:p>
    <w:p w14:paraId="6017E7E9" w14:textId="17BD2D42" w:rsidR="0047307A" w:rsidRPr="001E16DC" w:rsidRDefault="00DD1D48" w:rsidP="00E505A5">
      <w:pPr>
        <w:spacing w:line="276" w:lineRule="auto"/>
      </w:pPr>
      <w:r w:rsidRPr="001E16DC">
        <w:t xml:space="preserve">Petit à petit, </w:t>
      </w:r>
      <w:r w:rsidR="00212DC4">
        <w:t>j’ai pris la mesure de l’importance de</w:t>
      </w:r>
      <w:r w:rsidRPr="001E16DC">
        <w:t xml:space="preserve"> travailler sur la question des </w:t>
      </w:r>
      <w:r w:rsidR="00232294" w:rsidRPr="001E16DC">
        <w:t xml:space="preserve">expulsions locatives pour toute personne qui souhaite travailler sur la prévention de la perte du logement. </w:t>
      </w:r>
      <w:r w:rsidRPr="001E16DC">
        <w:t xml:space="preserve">Au-delà de l’intérêt politique, </w:t>
      </w:r>
      <w:r w:rsidR="00212DC4">
        <w:t>j’ai découvert</w:t>
      </w:r>
      <w:r w:rsidRPr="001E16DC">
        <w:t xml:space="preserve"> aussi l’intérêt sociologique du phénomène</w:t>
      </w:r>
      <w:r w:rsidR="00232294" w:rsidRPr="001E16DC">
        <w:t xml:space="preserve">, tant il </w:t>
      </w:r>
      <w:r w:rsidRPr="001E16DC">
        <w:t>mobilise</w:t>
      </w:r>
      <w:r w:rsidR="00232294" w:rsidRPr="001E16DC">
        <w:t xml:space="preserve"> une multitude d’acteurs, de</w:t>
      </w:r>
      <w:r w:rsidR="00261A52" w:rsidRPr="001E16DC">
        <w:t xml:space="preserve"> situations, de</w:t>
      </w:r>
      <w:r w:rsidR="00232294" w:rsidRPr="001E16DC">
        <w:t xml:space="preserve"> trajectoires mais aussi de discours et de pratiques divergentes. </w:t>
      </w:r>
      <w:r w:rsidRPr="001E16DC">
        <w:t xml:space="preserve">Une série de questions </w:t>
      </w:r>
      <w:r w:rsidR="00212DC4">
        <w:t>ont émergé</w:t>
      </w:r>
      <w:r w:rsidRPr="001E16DC">
        <w:t xml:space="preserve"> : </w:t>
      </w:r>
    </w:p>
    <w:p w14:paraId="3BCF8419" w14:textId="44E5B34D" w:rsidR="00261A52" w:rsidRPr="001E16DC" w:rsidRDefault="00AE111B" w:rsidP="001229BC">
      <w:pPr>
        <w:pStyle w:val="Paragraphedeliste"/>
        <w:numPr>
          <w:ilvl w:val="0"/>
          <w:numId w:val="5"/>
        </w:numPr>
        <w:spacing w:line="276" w:lineRule="auto"/>
        <w:rPr>
          <w:i/>
        </w:rPr>
      </w:pPr>
      <w:r w:rsidRPr="001E16DC">
        <w:rPr>
          <w:i/>
        </w:rPr>
        <w:t xml:space="preserve">Ce phénomène </w:t>
      </w:r>
      <w:r w:rsidR="00261A52" w:rsidRPr="001E16DC">
        <w:rPr>
          <w:i/>
        </w:rPr>
        <w:t>relève</w:t>
      </w:r>
      <w:r w:rsidR="00B47C60" w:rsidRPr="001E16DC">
        <w:rPr>
          <w:i/>
        </w:rPr>
        <w:t>-t</w:t>
      </w:r>
      <w:r w:rsidR="008C74CB">
        <w:rPr>
          <w:i/>
        </w:rPr>
        <w:t>-</w:t>
      </w:r>
      <w:r w:rsidR="00B47C60" w:rsidRPr="001E16DC">
        <w:rPr>
          <w:i/>
        </w:rPr>
        <w:t>il</w:t>
      </w:r>
      <w:r w:rsidR="00261A52" w:rsidRPr="001E16DC">
        <w:rPr>
          <w:i/>
        </w:rPr>
        <w:t xml:space="preserve"> de facteurs individuels</w:t>
      </w:r>
      <w:r w:rsidRPr="001E16DC">
        <w:rPr>
          <w:i/>
        </w:rPr>
        <w:t xml:space="preserve"> (le « mauvais locataire »)</w:t>
      </w:r>
      <w:r w:rsidR="00261A52" w:rsidRPr="001E16DC">
        <w:rPr>
          <w:i/>
        </w:rPr>
        <w:t xml:space="preserve"> ou de facteurs </w:t>
      </w:r>
      <w:r w:rsidRPr="001E16DC">
        <w:rPr>
          <w:i/>
        </w:rPr>
        <w:t xml:space="preserve">conjoncturels (« crise du logement »), voire </w:t>
      </w:r>
      <w:r w:rsidR="00261A52" w:rsidRPr="001E16DC">
        <w:rPr>
          <w:i/>
        </w:rPr>
        <w:t>structurels</w:t>
      </w:r>
      <w:r w:rsidRPr="001E16DC">
        <w:rPr>
          <w:i/>
        </w:rPr>
        <w:t xml:space="preserve"> (politique du </w:t>
      </w:r>
      <w:proofErr w:type="gramStart"/>
      <w:r w:rsidRPr="001E16DC">
        <w:rPr>
          <w:i/>
        </w:rPr>
        <w:t>logement )</w:t>
      </w:r>
      <w:proofErr w:type="gramEnd"/>
      <w:r w:rsidRPr="001E16DC">
        <w:rPr>
          <w:i/>
        </w:rPr>
        <w:t xml:space="preserve"> </w:t>
      </w:r>
      <w:r w:rsidR="00261A52" w:rsidRPr="001E16DC">
        <w:rPr>
          <w:i/>
        </w:rPr>
        <w:t xml:space="preserve">? </w:t>
      </w:r>
    </w:p>
    <w:p w14:paraId="308CA3E8" w14:textId="3B8AD034" w:rsidR="0047307A" w:rsidRPr="001E16DC" w:rsidRDefault="00AE111B" w:rsidP="001229BC">
      <w:pPr>
        <w:pStyle w:val="Paragraphedeliste"/>
        <w:numPr>
          <w:ilvl w:val="0"/>
          <w:numId w:val="5"/>
        </w:numPr>
        <w:spacing w:line="276" w:lineRule="auto"/>
        <w:rPr>
          <w:i/>
        </w:rPr>
      </w:pPr>
      <w:r w:rsidRPr="001E16DC">
        <w:rPr>
          <w:i/>
        </w:rPr>
        <w:t>Outre les locataires et les t</w:t>
      </w:r>
      <w:r w:rsidR="00261A52" w:rsidRPr="001E16DC">
        <w:rPr>
          <w:i/>
        </w:rPr>
        <w:t>ravailleurs sociaux, quels sont les autres acteurs engagés dans les procédures d’expulsions ? Porte</w:t>
      </w:r>
      <w:r w:rsidR="00212DC4">
        <w:rPr>
          <w:i/>
        </w:rPr>
        <w:t>nt</w:t>
      </w:r>
      <w:r w:rsidR="00261A52" w:rsidRPr="001E16DC">
        <w:rPr>
          <w:i/>
        </w:rPr>
        <w:t>-t</w:t>
      </w:r>
      <w:r w:rsidR="00212DC4">
        <w:rPr>
          <w:i/>
        </w:rPr>
        <w:t>-</w:t>
      </w:r>
      <w:r w:rsidR="00261A52" w:rsidRPr="001E16DC">
        <w:rPr>
          <w:i/>
        </w:rPr>
        <w:t xml:space="preserve">ils un même regard sur le phénomène ? </w:t>
      </w:r>
    </w:p>
    <w:p w14:paraId="2344CF4D" w14:textId="57601770" w:rsidR="00CF030F" w:rsidRPr="001E16DC" w:rsidRDefault="00261A52" w:rsidP="001229BC">
      <w:pPr>
        <w:pStyle w:val="Paragraphedeliste"/>
        <w:numPr>
          <w:ilvl w:val="0"/>
          <w:numId w:val="5"/>
        </w:numPr>
        <w:spacing w:line="276" w:lineRule="auto"/>
        <w:rPr>
          <w:i/>
        </w:rPr>
      </w:pPr>
      <w:r w:rsidRPr="001E16DC">
        <w:rPr>
          <w:i/>
        </w:rPr>
        <w:t>Qu’est ce qui relève de « l’accident de parcours » ? Quelles différences avec les autres situations d’expulsion ? Comment comprendre ces phénomènes de « récidives » ? Quelles sont les parcours des locataires qui se retrouvent plusieurs fois dans des procédures d’expulsion ?</w:t>
      </w:r>
    </w:p>
    <w:p w14:paraId="111C8CD9" w14:textId="57622CB6" w:rsidR="006308DA" w:rsidRPr="001E16DC" w:rsidRDefault="00261A52" w:rsidP="001229BC">
      <w:pPr>
        <w:pStyle w:val="Paragraphedeliste"/>
        <w:numPr>
          <w:ilvl w:val="0"/>
          <w:numId w:val="5"/>
        </w:numPr>
        <w:spacing w:line="276" w:lineRule="auto"/>
        <w:rPr>
          <w:i/>
        </w:rPr>
      </w:pPr>
      <w:r w:rsidRPr="001E16DC">
        <w:rPr>
          <w:i/>
        </w:rPr>
        <w:t xml:space="preserve">Enfin, comment comprendre que </w:t>
      </w:r>
      <w:r w:rsidR="006308DA" w:rsidRPr="001E16DC">
        <w:rPr>
          <w:i/>
        </w:rPr>
        <w:t xml:space="preserve">certaines </w:t>
      </w:r>
      <w:r w:rsidRPr="001E16DC">
        <w:rPr>
          <w:i/>
        </w:rPr>
        <w:t>procédures d’</w:t>
      </w:r>
      <w:r w:rsidR="006308DA" w:rsidRPr="001E16DC">
        <w:rPr>
          <w:i/>
        </w:rPr>
        <w:t xml:space="preserve">expulsion aboutissent </w:t>
      </w:r>
      <w:r w:rsidRPr="001E16DC">
        <w:rPr>
          <w:i/>
        </w:rPr>
        <w:t xml:space="preserve">(les locataires sont mis à la rue le jour J avec présence des huissiers et de la police) quand </w:t>
      </w:r>
      <w:r w:rsidR="006308DA" w:rsidRPr="001E16DC">
        <w:rPr>
          <w:i/>
        </w:rPr>
        <w:t xml:space="preserve">d’autres </w:t>
      </w:r>
      <w:r w:rsidRPr="001E16DC">
        <w:rPr>
          <w:i/>
        </w:rPr>
        <w:t xml:space="preserve">procédures n’aboutissent </w:t>
      </w:r>
      <w:r w:rsidR="006308DA" w:rsidRPr="001E16DC">
        <w:rPr>
          <w:i/>
        </w:rPr>
        <w:t>pas</w:t>
      </w:r>
      <w:r w:rsidRPr="001E16DC">
        <w:rPr>
          <w:i/>
        </w:rPr>
        <w:t>, parce que les locataires sont parvenus à négocier avec les propriétaires</w:t>
      </w:r>
      <w:r w:rsidR="00212DC4">
        <w:rPr>
          <w:i/>
        </w:rPr>
        <w:t>,</w:t>
      </w:r>
      <w:r w:rsidRPr="001E16DC">
        <w:rPr>
          <w:i/>
        </w:rPr>
        <w:t xml:space="preserve"> ou parce qu’ils auront déménagé avant la date butoir</w:t>
      </w:r>
      <w:r w:rsidR="006308DA" w:rsidRPr="001E16DC">
        <w:rPr>
          <w:i/>
        </w:rPr>
        <w:t xml:space="preserve"> ? </w:t>
      </w:r>
    </w:p>
    <w:p w14:paraId="6BAA5F55" w14:textId="14F8054C" w:rsidR="00232294" w:rsidRPr="001E16DC" w:rsidRDefault="00BD63D1" w:rsidP="00E505A5">
      <w:pPr>
        <w:spacing w:line="276" w:lineRule="auto"/>
      </w:pPr>
      <w:r w:rsidRPr="001E16DC">
        <w:t xml:space="preserve">Si ce travail de fin d’étude, </w:t>
      </w:r>
      <w:r w:rsidR="00F7129B" w:rsidRPr="001E16DC">
        <w:t xml:space="preserve">distinct de toute recherche empirique, ne peut pas me permettre de répondre à ces questions, il peut me servir d’occasion pour identifier les outils sociologiques nécessaires pour y répondre. </w:t>
      </w:r>
      <w:r w:rsidR="00212DC4">
        <w:t xml:space="preserve">Tel est </w:t>
      </w:r>
      <w:r w:rsidR="00AE111B" w:rsidRPr="001E16DC">
        <w:t xml:space="preserve">donc l’objet de ce </w:t>
      </w:r>
      <w:r w:rsidR="00FC1EC2">
        <w:t>TFE</w:t>
      </w:r>
      <w:r w:rsidR="00AE111B" w:rsidRPr="001E16DC">
        <w:t xml:space="preserve"> : </w:t>
      </w:r>
    </w:p>
    <w:p w14:paraId="105BBCB4" w14:textId="3C0BE698" w:rsidR="00AE111B" w:rsidRPr="001E16DC" w:rsidRDefault="00AE111B" w:rsidP="00E505A5">
      <w:pPr>
        <w:spacing w:line="276" w:lineRule="auto"/>
        <w:ind w:left="708"/>
        <w:rPr>
          <w:i/>
        </w:rPr>
      </w:pPr>
      <w:r w:rsidRPr="001E16DC">
        <w:rPr>
          <w:i/>
        </w:rPr>
        <w:t>Identifier un</w:t>
      </w:r>
      <w:r w:rsidR="00FD1AD0" w:rsidRPr="001E16DC">
        <w:rPr>
          <w:i/>
        </w:rPr>
        <w:t>e</w:t>
      </w:r>
      <w:r w:rsidRPr="001E16DC">
        <w:rPr>
          <w:i/>
        </w:rPr>
        <w:t xml:space="preserve"> série d’outils sociologique</w:t>
      </w:r>
      <w:r w:rsidR="00F7129B" w:rsidRPr="001E16DC">
        <w:rPr>
          <w:i/>
        </w:rPr>
        <w:t>s</w:t>
      </w:r>
      <w:r w:rsidRPr="001E16DC">
        <w:rPr>
          <w:i/>
        </w:rPr>
        <w:t xml:space="preserve"> qui permettent de comprendre les parcours d’expulsions locative. </w:t>
      </w:r>
    </w:p>
    <w:p w14:paraId="48CFC6D6" w14:textId="68F68BF9" w:rsidR="00F7129B" w:rsidRPr="001E16DC" w:rsidRDefault="00F7129B" w:rsidP="00E505A5">
      <w:pPr>
        <w:spacing w:line="276" w:lineRule="auto"/>
      </w:pPr>
      <w:r w:rsidRPr="001E16DC">
        <w:t>Le lecteur comprendra que si mon questionnement a émergé de mon enquête de terrain</w:t>
      </w:r>
      <w:r w:rsidR="00212DC4">
        <w:t>,</w:t>
      </w:r>
      <w:r w:rsidRPr="001E16DC">
        <w:t xml:space="preserve"> lié à mon projet de thèse, il s’agit là d’un travail théorique, où seul</w:t>
      </w:r>
      <w:r w:rsidR="00212DC4">
        <w:t>s</w:t>
      </w:r>
      <w:r w:rsidRPr="001E16DC">
        <w:t xml:space="preserve"> les ouvrages d’autres sociologues peuvent me servir de matériau pour avancer. Pour le mener à bien, je décide donc de suspendre le travail empirique, et de me consacrer à la formulation d’une </w:t>
      </w:r>
      <w:r w:rsidRPr="001E16DC">
        <w:rPr>
          <w:i/>
        </w:rPr>
        <w:t xml:space="preserve">énigme </w:t>
      </w:r>
      <w:r w:rsidRPr="001E16DC">
        <w:t>sociologique</w:t>
      </w:r>
      <w:r w:rsidRPr="001E16DC">
        <w:rPr>
          <w:rStyle w:val="Appelnotedebasdep"/>
        </w:rPr>
        <w:footnoteReference w:id="3"/>
      </w:r>
      <w:r w:rsidRPr="001E16DC">
        <w:t xml:space="preserve"> et à l’identification de </w:t>
      </w:r>
      <w:r w:rsidRPr="001E16DC">
        <w:rPr>
          <w:i/>
        </w:rPr>
        <w:t>moyens</w:t>
      </w:r>
      <w:r w:rsidRPr="001E16DC">
        <w:t xml:space="preserve"> théoriques et méthodologiques pour la résoudre. </w:t>
      </w:r>
    </w:p>
    <w:p w14:paraId="277BD7F5" w14:textId="2EC57FA5" w:rsidR="00AE111B" w:rsidRPr="001E16DC" w:rsidRDefault="00AE111B" w:rsidP="00E505A5">
      <w:pPr>
        <w:spacing w:line="276" w:lineRule="auto"/>
      </w:pPr>
      <w:r w:rsidRPr="001E16DC">
        <w:t xml:space="preserve">Ce </w:t>
      </w:r>
      <w:r w:rsidR="00FC1EC2">
        <w:t xml:space="preserve">TFE </w:t>
      </w:r>
      <w:r w:rsidRPr="001E16DC">
        <w:t xml:space="preserve">est construit en </w:t>
      </w:r>
      <w:r w:rsidR="00940641">
        <w:t>trois</w:t>
      </w:r>
      <w:r w:rsidRPr="001E16DC">
        <w:t xml:space="preserve"> partie. Dans la première partie, je propose un état de l’art des recherches sur le phénomène. Nous verrons qu’</w:t>
      </w:r>
      <w:r w:rsidR="00C3468E" w:rsidRPr="001E16DC">
        <w:t>étonnam</w:t>
      </w:r>
      <w:r w:rsidR="00C3468E">
        <w:t>m</w:t>
      </w:r>
      <w:r w:rsidR="00C3468E" w:rsidRPr="001E16DC">
        <w:t>ent</w:t>
      </w:r>
      <w:r w:rsidRPr="001E16DC">
        <w:t xml:space="preserve">, il existe peu de travaux proprement académiques sur le phénomène dans les pays d’Europe francophone. Les expulsions locatives étant plutôt l’objet – depuis peu en Belgique </w:t>
      </w:r>
      <w:r w:rsidR="00C3468E">
        <w:t xml:space="preserve">– de </w:t>
      </w:r>
      <w:r w:rsidRPr="001E16DC">
        <w:t>recherche</w:t>
      </w:r>
      <w:r w:rsidR="00940641">
        <w:t>s</w:t>
      </w:r>
      <w:r w:rsidRPr="001E16DC">
        <w:t xml:space="preserve"> relevant de l’expertise institutionnelle (</w:t>
      </w:r>
      <w:r w:rsidR="007A6EC2">
        <w:t xml:space="preserve">principalement </w:t>
      </w:r>
      <w:r w:rsidRPr="001E16DC">
        <w:t>IWEPS</w:t>
      </w:r>
      <w:r w:rsidR="007A6EC2">
        <w:t xml:space="preserve"> et</w:t>
      </w:r>
      <w:r w:rsidRPr="001E16DC">
        <w:t xml:space="preserve"> COCOM)</w:t>
      </w:r>
      <w:r w:rsidR="007A6EC2">
        <w:t>.</w:t>
      </w:r>
    </w:p>
    <w:p w14:paraId="34EF3609" w14:textId="3C7694D4" w:rsidR="00AE111B" w:rsidRPr="001E16DC" w:rsidRDefault="00AE111B" w:rsidP="00E505A5">
      <w:pPr>
        <w:spacing w:line="276" w:lineRule="auto"/>
      </w:pPr>
      <w:r w:rsidRPr="001E16DC">
        <w:t xml:space="preserve">La seconde partie de ce </w:t>
      </w:r>
      <w:r w:rsidR="00FC1EC2">
        <w:t>TFE</w:t>
      </w:r>
      <w:r w:rsidRPr="001E16DC">
        <w:t xml:space="preserve"> propose un état des lieux du phénomène en Belgique et plus particulièrement en Wallonie et à Bruxelles, à partir d</w:t>
      </w:r>
      <w:r w:rsidR="004B0C1A" w:rsidRPr="001E16DC">
        <w:t>’une compilation des</w:t>
      </w:r>
      <w:r w:rsidRPr="001E16DC">
        <w:t xml:space="preserve"> </w:t>
      </w:r>
      <w:r w:rsidR="004B0C1A" w:rsidRPr="001E16DC">
        <w:t>chiffres</w:t>
      </w:r>
      <w:r w:rsidRPr="001E16DC">
        <w:t xml:space="preserve"> </w:t>
      </w:r>
      <w:r w:rsidR="004B0C1A" w:rsidRPr="001E16DC">
        <w:t>disponibles</w:t>
      </w:r>
      <w:r w:rsidRPr="001E16DC">
        <w:t xml:space="preserve">. </w:t>
      </w:r>
      <w:r w:rsidR="004B0C1A" w:rsidRPr="001E16DC">
        <w:t>C</w:t>
      </w:r>
      <w:r w:rsidR="00C3468E">
        <w:t>’est</w:t>
      </w:r>
      <w:r w:rsidR="004B0C1A" w:rsidRPr="001E16DC">
        <w:t xml:space="preserve"> aussi l’occasion de revenir sur les aspects juridiques de la procédure d’expulsion et leur application concrète. </w:t>
      </w:r>
    </w:p>
    <w:p w14:paraId="6A16460B" w14:textId="299C4303" w:rsidR="004B0C1A" w:rsidRPr="001E16DC" w:rsidRDefault="00C3468E" w:rsidP="00E505A5">
      <w:pPr>
        <w:spacing w:line="276" w:lineRule="auto"/>
      </w:pPr>
      <w:r>
        <w:lastRenderedPageBreak/>
        <w:t>De ces deux premières parties émergeront alors une série de questions ou problèmes</w:t>
      </w:r>
      <w:r w:rsidR="00940641">
        <w:t xml:space="preserve"> que l’on peut qualifier de sociologiques. Ce travail de fin d’étude, théorique, proposera d’identifier une série d’instruments qui permettraient d’y répondre.</w:t>
      </w:r>
      <w:r>
        <w:t xml:space="preserve"> </w:t>
      </w:r>
    </w:p>
    <w:p w14:paraId="02182C28" w14:textId="030C5ECD" w:rsidR="00232294" w:rsidRPr="001E16DC" w:rsidRDefault="006C4F2E" w:rsidP="00E505A5">
      <w:pPr>
        <w:spacing w:line="276" w:lineRule="auto"/>
      </w:pPr>
      <w:r>
        <w:t xml:space="preserve">C’est là l’objet de </w:t>
      </w:r>
      <w:r w:rsidR="00C3468E">
        <w:t xml:space="preserve">la </w:t>
      </w:r>
      <w:r w:rsidR="00940641">
        <w:t>troisième</w:t>
      </w:r>
      <w:r w:rsidR="00C3468E">
        <w:t xml:space="preserve"> partie</w:t>
      </w:r>
      <w:r w:rsidR="00940641">
        <w:t xml:space="preserve"> de ce travail </w:t>
      </w:r>
      <w:r>
        <w:t>dans laquelle j’exposerai</w:t>
      </w:r>
      <w:r w:rsidR="00940641">
        <w:t xml:space="preserve"> une série d’outils conceptuels ou méthodologiques, </w:t>
      </w:r>
      <w:r w:rsidR="00AF0103" w:rsidRPr="001E16DC">
        <w:t xml:space="preserve">propres à différents courants sociologiques. Ils sont au nombre de quatre : </w:t>
      </w:r>
    </w:p>
    <w:p w14:paraId="4ED5F223" w14:textId="26917F4B" w:rsidR="00AF0103" w:rsidRPr="001E16DC" w:rsidRDefault="00AF0103" w:rsidP="001229BC">
      <w:pPr>
        <w:pStyle w:val="Paragraphedeliste"/>
        <w:numPr>
          <w:ilvl w:val="0"/>
          <w:numId w:val="2"/>
        </w:numPr>
        <w:spacing w:line="276" w:lineRule="auto"/>
      </w:pPr>
      <w:r w:rsidRPr="001E16DC">
        <w:t>L’étude des parcours à travers les notions de trajectoire et de carrière ;</w:t>
      </w:r>
    </w:p>
    <w:p w14:paraId="7AAFA2E8" w14:textId="78BBE0DC" w:rsidR="00AF0103" w:rsidRPr="001E16DC" w:rsidRDefault="00AF0103" w:rsidP="001229BC">
      <w:pPr>
        <w:pStyle w:val="Paragraphedeliste"/>
        <w:numPr>
          <w:ilvl w:val="0"/>
          <w:numId w:val="2"/>
        </w:numPr>
        <w:spacing w:line="276" w:lineRule="auto"/>
      </w:pPr>
      <w:r w:rsidRPr="001E16DC">
        <w:t>L’approche interactive ;</w:t>
      </w:r>
    </w:p>
    <w:p w14:paraId="21580951" w14:textId="5C6FB095" w:rsidR="00AF0103" w:rsidRPr="001E16DC" w:rsidRDefault="00AF0103" w:rsidP="001229BC">
      <w:pPr>
        <w:pStyle w:val="Paragraphedeliste"/>
        <w:numPr>
          <w:ilvl w:val="0"/>
          <w:numId w:val="2"/>
        </w:numPr>
        <w:spacing w:line="276" w:lineRule="auto"/>
      </w:pPr>
      <w:r w:rsidRPr="001E16DC">
        <w:t>La notion de configuration ;</w:t>
      </w:r>
    </w:p>
    <w:p w14:paraId="6D1545DA" w14:textId="312B7BA5" w:rsidR="00AF0103" w:rsidRPr="001E16DC" w:rsidRDefault="00AF0103" w:rsidP="001229BC">
      <w:pPr>
        <w:pStyle w:val="Paragraphedeliste"/>
        <w:numPr>
          <w:ilvl w:val="0"/>
          <w:numId w:val="2"/>
        </w:numPr>
        <w:spacing w:line="276" w:lineRule="auto"/>
      </w:pPr>
      <w:r w:rsidRPr="001E16DC">
        <w:t>L’ethnographie économique.</w:t>
      </w:r>
    </w:p>
    <w:p w14:paraId="6C332FAC" w14:textId="0FB82F3D" w:rsidR="00AF0103" w:rsidRPr="001E16DC" w:rsidRDefault="00AF0103" w:rsidP="00E505A5">
      <w:pPr>
        <w:spacing w:line="276" w:lineRule="auto"/>
      </w:pPr>
      <w:r w:rsidRPr="001E16DC">
        <w:t>Si ces outils appartiennent à différents courant</w:t>
      </w:r>
      <w:r w:rsidR="00C3468E">
        <w:t>s</w:t>
      </w:r>
      <w:r w:rsidRPr="001E16DC">
        <w:t xml:space="preserve"> ou écoles, j’expliquerai en quoi je considère qu’ils se combinent et se complètent pour nous </w:t>
      </w:r>
      <w:r w:rsidR="00C3468E" w:rsidRPr="001E16DC">
        <w:t>permet</w:t>
      </w:r>
      <w:r w:rsidR="00C3468E">
        <w:t>tre de saisir et analyser les parcours d’</w:t>
      </w:r>
      <w:r w:rsidRPr="001E16DC">
        <w:t>expulsions locative</w:t>
      </w:r>
      <w:r w:rsidR="00C3468E">
        <w:t>s</w:t>
      </w:r>
      <w:r w:rsidRPr="001E16DC">
        <w:t xml:space="preserve"> dans toute leur complexité. </w:t>
      </w:r>
    </w:p>
    <w:p w14:paraId="0F971519" w14:textId="77777777" w:rsidR="00AF0103" w:rsidRPr="00AF0103" w:rsidRDefault="00AF0103" w:rsidP="00E505A5">
      <w:pPr>
        <w:spacing w:line="276" w:lineRule="auto"/>
      </w:pPr>
    </w:p>
    <w:p w14:paraId="39768DB5" w14:textId="70BBB20C" w:rsidR="006308DA" w:rsidRDefault="006308DA" w:rsidP="00E505A5">
      <w:pPr>
        <w:spacing w:line="276" w:lineRule="auto"/>
        <w:jc w:val="left"/>
      </w:pPr>
      <w:r>
        <w:br w:type="page"/>
      </w:r>
    </w:p>
    <w:p w14:paraId="47C4F995" w14:textId="71FA4F94" w:rsidR="007E5649" w:rsidRDefault="007E5649" w:rsidP="001229BC">
      <w:pPr>
        <w:pStyle w:val="Titre1"/>
        <w:numPr>
          <w:ilvl w:val="0"/>
          <w:numId w:val="6"/>
        </w:numPr>
        <w:spacing w:line="276" w:lineRule="auto"/>
      </w:pPr>
      <w:bookmarkStart w:id="3" w:name="_Toc152687186"/>
      <w:r>
        <w:lastRenderedPageBreak/>
        <w:t>Etat de l’art</w:t>
      </w:r>
      <w:bookmarkEnd w:id="3"/>
    </w:p>
    <w:p w14:paraId="4EF0B37E" w14:textId="35B7CB53" w:rsidR="00D732AF" w:rsidRPr="001E16DC" w:rsidRDefault="00E339A4" w:rsidP="00E505A5">
      <w:pPr>
        <w:autoSpaceDE w:val="0"/>
        <w:autoSpaceDN w:val="0"/>
        <w:adjustRightInd w:val="0"/>
        <w:spacing w:line="276" w:lineRule="auto"/>
        <w:rPr>
          <w:rFonts w:cs="Times New Roman"/>
        </w:rPr>
      </w:pPr>
      <w:r w:rsidRPr="001E16DC">
        <w:rPr>
          <w:rFonts w:cs="Times New Roman"/>
        </w:rPr>
        <w:t xml:space="preserve">En 2017, le sociologue Camille François défend une thèse sur l'administration des expulsions locatives </w:t>
      </w:r>
      <w:r w:rsidRPr="00690A5F">
        <w:rPr>
          <w:rFonts w:cs="Times New Roman"/>
        </w:rPr>
        <w:t>(</w:t>
      </w:r>
      <w:r w:rsidR="004E5EFD" w:rsidRPr="00690A5F">
        <w:rPr>
          <w:rFonts w:cs="Times New Roman"/>
        </w:rPr>
        <w:t>François</w:t>
      </w:r>
      <w:r w:rsidRPr="00690A5F">
        <w:rPr>
          <w:rFonts w:cs="Times New Roman"/>
        </w:rPr>
        <w:t>, 2017).</w:t>
      </w:r>
      <w:r w:rsidRPr="001E16DC">
        <w:rPr>
          <w:rFonts w:cs="Times New Roman"/>
        </w:rPr>
        <w:t xml:space="preserve"> Dans l’introduction, il remarque qu</w:t>
      </w:r>
      <w:r w:rsidR="00D732AF" w:rsidRPr="001E16DC">
        <w:rPr>
          <w:rFonts w:cs="Times New Roman"/>
        </w:rPr>
        <w:t>’en France</w:t>
      </w:r>
      <w:r w:rsidRPr="001E16DC">
        <w:rPr>
          <w:rFonts w:cs="Times New Roman"/>
        </w:rPr>
        <w:t xml:space="preserve"> les expulsions pour dette locative ont peu attiré l'attention des travaux de sociologie et de sciences politiques</w:t>
      </w:r>
      <w:r w:rsidR="00E505A5" w:rsidRPr="001E16DC">
        <w:rPr>
          <w:rFonts w:cs="Times New Roman"/>
        </w:rPr>
        <w:t xml:space="preserve">. L’auteur souligne que ce silence relatif relève d’un paradoxe, au regard du </w:t>
      </w:r>
      <w:r w:rsidRPr="001E16DC">
        <w:rPr>
          <w:rFonts w:cs="Times New Roman"/>
        </w:rPr>
        <w:t xml:space="preserve">nombre de travaux portant sur des objets socialement et juridiquement proches comme l’étude des expulsions liées aux habitats précaires et temporaires (squats, </w:t>
      </w:r>
      <w:r w:rsidR="00E505A5" w:rsidRPr="001E16DC">
        <w:rPr>
          <w:rFonts w:cs="Times New Roman"/>
        </w:rPr>
        <w:t>campements de sans</w:t>
      </w:r>
      <w:r w:rsidR="008231FD">
        <w:rPr>
          <w:rFonts w:cs="Times New Roman"/>
        </w:rPr>
        <w:t>-</w:t>
      </w:r>
      <w:r w:rsidR="00E505A5" w:rsidRPr="001E16DC">
        <w:rPr>
          <w:rFonts w:cs="Times New Roman"/>
        </w:rPr>
        <w:t>abris, de migrants, …), les études sur les trajectoires de sans</w:t>
      </w:r>
      <w:r w:rsidR="00B31CA9">
        <w:rPr>
          <w:rFonts w:cs="Times New Roman"/>
        </w:rPr>
        <w:t>-</w:t>
      </w:r>
      <w:r w:rsidR="00E505A5" w:rsidRPr="001E16DC">
        <w:rPr>
          <w:rFonts w:cs="Times New Roman"/>
        </w:rPr>
        <w:t xml:space="preserve">abris ou de l’endettement des ménages populaires. </w:t>
      </w:r>
      <w:r w:rsidR="00D732AF" w:rsidRPr="001E16DC">
        <w:rPr>
          <w:rFonts w:cs="Times New Roman"/>
        </w:rPr>
        <w:t xml:space="preserve">François remarque que la littérature dédiée au sujet ces dernières années dans le contexte français émane plutôt de l’expertise administrative et associative. </w:t>
      </w:r>
    </w:p>
    <w:p w14:paraId="2316F9F4" w14:textId="7230D09F" w:rsidR="00D732AF" w:rsidRPr="001E16DC" w:rsidRDefault="00D732AF" w:rsidP="00E505A5">
      <w:pPr>
        <w:autoSpaceDE w:val="0"/>
        <w:autoSpaceDN w:val="0"/>
        <w:adjustRightInd w:val="0"/>
        <w:spacing w:line="276" w:lineRule="auto"/>
        <w:rPr>
          <w:rFonts w:cs="Times New Roman"/>
        </w:rPr>
      </w:pPr>
      <w:r w:rsidRPr="001E16DC">
        <w:rPr>
          <w:rFonts w:cs="Times New Roman"/>
        </w:rPr>
        <w:t>Le constat est le même pour la Belgique : mis à part quelques exceptions sur lesquelles nous reviendron</w:t>
      </w:r>
      <w:r w:rsidR="00B31CA9">
        <w:rPr>
          <w:rFonts w:cs="Times New Roman"/>
        </w:rPr>
        <w:t>s</w:t>
      </w:r>
      <w:r w:rsidRPr="001E16DC">
        <w:rPr>
          <w:rFonts w:cs="Times New Roman"/>
        </w:rPr>
        <w:t>, la question des expulsions liées aux dettes locative</w:t>
      </w:r>
      <w:r w:rsidR="00B31CA9">
        <w:rPr>
          <w:rFonts w:cs="Times New Roman"/>
        </w:rPr>
        <w:t>s</w:t>
      </w:r>
      <w:r w:rsidRPr="001E16DC">
        <w:rPr>
          <w:rFonts w:cs="Times New Roman"/>
        </w:rPr>
        <w:t xml:space="preserve"> est absent</w:t>
      </w:r>
      <w:r w:rsidR="00B31CA9">
        <w:rPr>
          <w:rFonts w:cs="Times New Roman"/>
        </w:rPr>
        <w:t>e</w:t>
      </w:r>
      <w:r w:rsidRPr="001E16DC">
        <w:rPr>
          <w:rFonts w:cs="Times New Roman"/>
        </w:rPr>
        <w:t xml:space="preserve"> du champ de la recherche </w:t>
      </w:r>
      <w:r w:rsidR="00CA02D9" w:rsidRPr="001E16DC">
        <w:rPr>
          <w:rFonts w:cs="Times New Roman"/>
        </w:rPr>
        <w:t>académique belge. Mais c’est plutôt du côté des administrations régionales et des associations que nous trouverons</w:t>
      </w:r>
      <w:r w:rsidR="00B31CA9">
        <w:rPr>
          <w:rFonts w:cs="Times New Roman"/>
        </w:rPr>
        <w:t xml:space="preserve"> – depuis </w:t>
      </w:r>
      <w:r w:rsidR="00CA02D9" w:rsidRPr="001E16DC">
        <w:rPr>
          <w:rFonts w:cs="Times New Roman"/>
        </w:rPr>
        <w:t>peu de temps, il faut le dire</w:t>
      </w:r>
      <w:r w:rsidR="00B31CA9">
        <w:rPr>
          <w:rFonts w:cs="Times New Roman"/>
        </w:rPr>
        <w:t xml:space="preserve"> – quelques </w:t>
      </w:r>
      <w:r w:rsidR="00CA02D9" w:rsidRPr="001E16DC">
        <w:rPr>
          <w:rFonts w:cs="Times New Roman"/>
        </w:rPr>
        <w:t xml:space="preserve">productions sur le sujet. </w:t>
      </w:r>
    </w:p>
    <w:p w14:paraId="64B966EF" w14:textId="7AD31DD4" w:rsidR="00CA02D9" w:rsidRPr="001E16DC" w:rsidRDefault="00CA02D9" w:rsidP="00E505A5">
      <w:pPr>
        <w:autoSpaceDE w:val="0"/>
        <w:autoSpaceDN w:val="0"/>
        <w:adjustRightInd w:val="0"/>
        <w:spacing w:line="276" w:lineRule="auto"/>
        <w:rPr>
          <w:rFonts w:cs="Times New Roman"/>
        </w:rPr>
      </w:pPr>
      <w:r w:rsidRPr="001E16DC">
        <w:rPr>
          <w:rFonts w:cs="Times New Roman"/>
        </w:rPr>
        <w:t>Je propose donc de construire cet Etat de l’art en deux parties</w:t>
      </w:r>
      <w:r w:rsidR="00B31CA9">
        <w:rPr>
          <w:rFonts w:cs="Times New Roman"/>
        </w:rPr>
        <w:t>,</w:t>
      </w:r>
      <w:r w:rsidRPr="001E16DC">
        <w:rPr>
          <w:rFonts w:cs="Times New Roman"/>
        </w:rPr>
        <w:t xml:space="preserve"> la première portant sur la recherche académique consacrée au sujet des expulsions locatives</w:t>
      </w:r>
      <w:r w:rsidR="00B31CA9">
        <w:rPr>
          <w:rFonts w:cs="Times New Roman"/>
        </w:rPr>
        <w:t xml:space="preserve"> (</w:t>
      </w:r>
      <w:r w:rsidRPr="001E16DC">
        <w:rPr>
          <w:rFonts w:cs="Times New Roman"/>
        </w:rPr>
        <w:t xml:space="preserve">ces recherches émanant principalement de pays </w:t>
      </w:r>
      <w:r w:rsidR="0036366A">
        <w:rPr>
          <w:rFonts w:cs="Times New Roman"/>
        </w:rPr>
        <w:t>étrangers</w:t>
      </w:r>
      <w:r w:rsidR="00B31CA9">
        <w:rPr>
          <w:rFonts w:cs="Times New Roman"/>
        </w:rPr>
        <w:t xml:space="preserve">), </w:t>
      </w:r>
      <w:r w:rsidRPr="001E16DC">
        <w:rPr>
          <w:rFonts w:cs="Times New Roman"/>
        </w:rPr>
        <w:t>la seconde portant sur les rapports administratifs et documents associatifs belges sur le sujet qui nous occupe.</w:t>
      </w:r>
    </w:p>
    <w:p w14:paraId="6AB8CB04" w14:textId="102C5950" w:rsidR="00163A16" w:rsidRDefault="00D350DF" w:rsidP="001229BC">
      <w:pPr>
        <w:pStyle w:val="Titre2"/>
        <w:numPr>
          <w:ilvl w:val="1"/>
          <w:numId w:val="6"/>
        </w:numPr>
        <w:spacing w:line="276" w:lineRule="auto"/>
      </w:pPr>
      <w:bookmarkStart w:id="4" w:name="_Toc152687187"/>
      <w:r>
        <w:t>L</w:t>
      </w:r>
      <w:r w:rsidR="00075992">
        <w:t xml:space="preserve">’expulsion </w:t>
      </w:r>
      <w:r w:rsidR="008E33E1">
        <w:t>domiciliaire</w:t>
      </w:r>
      <w:r w:rsidR="00B31CA9">
        <w:t>,</w:t>
      </w:r>
      <w:r w:rsidR="001E16DC">
        <w:t xml:space="preserve"> </w:t>
      </w:r>
      <w:r w:rsidR="00642B43">
        <w:t xml:space="preserve">objet de </w:t>
      </w:r>
      <w:r>
        <w:t xml:space="preserve">recherche </w:t>
      </w:r>
      <w:r w:rsidR="004E5EFD">
        <w:t>sociologique</w:t>
      </w:r>
      <w:bookmarkEnd w:id="4"/>
    </w:p>
    <w:p w14:paraId="46E0DCC2" w14:textId="34041D75" w:rsidR="00B95641" w:rsidRDefault="00B95641" w:rsidP="00B95641">
      <w:pPr>
        <w:spacing w:line="276" w:lineRule="auto"/>
      </w:pPr>
      <w:r>
        <w:t>Si</w:t>
      </w:r>
      <w:r w:rsidR="001E16DC">
        <w:t xml:space="preserve"> </w:t>
      </w:r>
      <w:r w:rsidR="00B31CA9">
        <w:t xml:space="preserve">en </w:t>
      </w:r>
      <w:r w:rsidR="001E16DC">
        <w:t>France comme en Belgique les recherches académiques sur les e</w:t>
      </w:r>
      <w:r w:rsidR="00D04F3E">
        <w:t>xpulsions locatives</w:t>
      </w:r>
      <w:r>
        <w:t xml:space="preserve"> et les trajectoires des ménages endettés</w:t>
      </w:r>
      <w:r w:rsidR="00D04F3E">
        <w:t xml:space="preserve"> reste</w:t>
      </w:r>
      <w:r w:rsidR="001E16DC">
        <w:t xml:space="preserve">nt </w:t>
      </w:r>
      <w:r>
        <w:t xml:space="preserve">relativement </w:t>
      </w:r>
      <w:r w:rsidR="001E16DC">
        <w:t xml:space="preserve">absentes du </w:t>
      </w:r>
      <w:r>
        <w:t xml:space="preserve">champ de la sociologie, il </w:t>
      </w:r>
      <w:r w:rsidR="00B31CA9">
        <w:t xml:space="preserve">existe </w:t>
      </w:r>
      <w:r>
        <w:t xml:space="preserve">cependant </w:t>
      </w:r>
      <w:r w:rsidR="00B31CA9">
        <w:t>d</w:t>
      </w:r>
      <w:r>
        <w:t xml:space="preserve">es travaux portant sur les politiques sociales liées au logement. </w:t>
      </w:r>
    </w:p>
    <w:p w14:paraId="31C48579" w14:textId="3BF2BF5F" w:rsidR="00C50B7A" w:rsidRDefault="00C50B7A" w:rsidP="00C50B7A">
      <w:pPr>
        <w:pStyle w:val="Titre3"/>
      </w:pPr>
      <w:bookmarkStart w:id="5" w:name="_Toc152687188"/>
      <w:r>
        <w:t>Politiques sociales du logement</w:t>
      </w:r>
      <w:bookmarkEnd w:id="5"/>
    </w:p>
    <w:p w14:paraId="19BF2152" w14:textId="5AB40366" w:rsidR="00B95641" w:rsidRPr="00A81DE2" w:rsidRDefault="00B95641" w:rsidP="00A81DE2">
      <w:pPr>
        <w:spacing w:line="276" w:lineRule="auto"/>
      </w:pPr>
      <w:r w:rsidRPr="00A81DE2">
        <w:t>Nathalie Guimard a</w:t>
      </w:r>
      <w:r w:rsidR="00A81DE2" w:rsidRPr="00A81DE2">
        <w:t xml:space="preserve"> </w:t>
      </w:r>
      <w:r w:rsidRPr="00A81DE2">
        <w:t xml:space="preserve">ainsi </w:t>
      </w:r>
      <w:r w:rsidR="00A81DE2" w:rsidRPr="00A81DE2">
        <w:t>étudié</w:t>
      </w:r>
      <w:r w:rsidRPr="00A81DE2">
        <w:t xml:space="preserve"> la construction juridique et sociale de la figure du « locataire endetté »</w:t>
      </w:r>
      <w:r w:rsidR="00A81DE2" w:rsidRPr="00A81DE2">
        <w:t xml:space="preserve">, devenu la cible directe de l'intervention publique suite à l’entrée en vigueur de </w:t>
      </w:r>
      <w:r w:rsidR="00A81DE2">
        <w:t>la « loi Besson »</w:t>
      </w:r>
      <w:r w:rsidR="00A81DE2">
        <w:rPr>
          <w:rStyle w:val="Appelnotedebasdep"/>
        </w:rPr>
        <w:footnoteReference w:id="4"/>
      </w:r>
      <w:r w:rsidR="00A81DE2">
        <w:t xml:space="preserve"> en France. </w:t>
      </w:r>
      <w:r w:rsidR="00A81DE2" w:rsidRPr="00A81DE2">
        <w:t xml:space="preserve">S'attardant sur les débats concernant les diverses manières d'intervenir auprès des personnes, elle constate </w:t>
      </w:r>
      <w:r w:rsidRPr="00A81DE2">
        <w:t>l'extension progressive des « mesures d'assistance » à la sphère du logement</w:t>
      </w:r>
      <w:r w:rsidR="00A81DE2" w:rsidRPr="00A81DE2">
        <w:t xml:space="preserve"> </w:t>
      </w:r>
      <w:r w:rsidRPr="00A81DE2">
        <w:t xml:space="preserve">(Guimard, 2008). </w:t>
      </w:r>
    </w:p>
    <w:p w14:paraId="6953ECFA" w14:textId="6D9983EE" w:rsidR="00AE77C9" w:rsidRPr="00AE77C9" w:rsidRDefault="00AE77C9" w:rsidP="00AE77C9">
      <w:pPr>
        <w:autoSpaceDE w:val="0"/>
        <w:autoSpaceDN w:val="0"/>
        <w:adjustRightInd w:val="0"/>
        <w:spacing w:after="0" w:line="276" w:lineRule="auto"/>
        <w:rPr>
          <w:rFonts w:cs="Times New Roman"/>
        </w:rPr>
      </w:pPr>
      <w:r w:rsidRPr="00AE77C9">
        <w:rPr>
          <w:rFonts w:cs="Times New Roman"/>
        </w:rPr>
        <w:t xml:space="preserve">La même année, Louis Bertrand défend une thèse sur les </w:t>
      </w:r>
      <w:r w:rsidRPr="00AE77C9">
        <w:rPr>
          <w:rFonts w:cs="Times New Roman"/>
          <w:shd w:val="clear" w:color="auto" w:fill="FFFFFF"/>
        </w:rPr>
        <w:t xml:space="preserve">politiques du logement des personnes défavorisées. </w:t>
      </w:r>
      <w:r w:rsidRPr="00AE77C9">
        <w:rPr>
          <w:rFonts w:cs="Times New Roman"/>
        </w:rPr>
        <w:t>Il étudie</w:t>
      </w:r>
      <w:r w:rsidR="00B95641" w:rsidRPr="00AE77C9">
        <w:rPr>
          <w:rFonts w:cs="Times New Roman"/>
        </w:rPr>
        <w:t xml:space="preserve"> la mise en place et le fonctionnement du « Plan pour le logement des personnes défavorisées » (PDALPD)</w:t>
      </w:r>
      <w:r w:rsidRPr="00AE77C9">
        <w:rPr>
          <w:rStyle w:val="Appelnotedebasdep"/>
          <w:rFonts w:cs="Times New Roman"/>
        </w:rPr>
        <w:footnoteReference w:id="5"/>
      </w:r>
      <w:r w:rsidR="00B95641" w:rsidRPr="00AE77C9">
        <w:rPr>
          <w:rFonts w:cs="Times New Roman"/>
        </w:rPr>
        <w:t xml:space="preserve"> et des commissions d</w:t>
      </w:r>
      <w:r w:rsidRPr="00AE77C9">
        <w:rPr>
          <w:rFonts w:cs="Times New Roman"/>
        </w:rPr>
        <w:t>’attribution de logements (</w:t>
      </w:r>
      <w:r w:rsidR="00B95641" w:rsidRPr="00AE77C9">
        <w:rPr>
          <w:rFonts w:cs="Times New Roman"/>
        </w:rPr>
        <w:t>Fonds solidarité logement</w:t>
      </w:r>
      <w:r w:rsidRPr="00AE77C9">
        <w:rPr>
          <w:rFonts w:cs="Times New Roman"/>
        </w:rPr>
        <w:t xml:space="preserve">). </w:t>
      </w:r>
      <w:r w:rsidRPr="00AE77C9">
        <w:rPr>
          <w:rFonts w:cs="Times New Roman"/>
          <w:shd w:val="clear" w:color="auto" w:fill="FFFFFF"/>
        </w:rPr>
        <w:t xml:space="preserve">Pour le sociologue, ces politiques du logement des personnes défavorisées peuvent être vues comme proches des politiques d'insertion, qui </w:t>
      </w:r>
      <w:r w:rsidR="00B31CA9">
        <w:rPr>
          <w:rFonts w:cs="Times New Roman"/>
          <w:shd w:val="clear" w:color="auto" w:fill="FFFFFF"/>
        </w:rPr>
        <w:t xml:space="preserve">reposent sur </w:t>
      </w:r>
      <w:r w:rsidRPr="00AE77C9">
        <w:rPr>
          <w:rFonts w:cs="Times New Roman"/>
          <w:shd w:val="clear" w:color="auto" w:fill="FFFFFF"/>
        </w:rPr>
        <w:t xml:space="preserve">une certaine vision de l'individu, autonome et responsable. L’auteur identifie trois modes de prise en compte des individus défaillants par rapport à ce modèle de l’individu : les victimes </w:t>
      </w:r>
      <w:r w:rsidR="00B31CA9">
        <w:rPr>
          <w:rFonts w:cs="Times New Roman"/>
          <w:shd w:val="clear" w:color="auto" w:fill="FFFFFF"/>
        </w:rPr>
        <w:t>(</w:t>
      </w:r>
      <w:r w:rsidRPr="00AE77C9">
        <w:rPr>
          <w:rFonts w:cs="Times New Roman"/>
          <w:shd w:val="clear" w:color="auto" w:fill="FFFFFF"/>
        </w:rPr>
        <w:t>de contraintes extérieures</w:t>
      </w:r>
      <w:r w:rsidR="00B31CA9">
        <w:rPr>
          <w:rFonts w:cs="Times New Roman"/>
          <w:shd w:val="clear" w:color="auto" w:fill="FFFFFF"/>
        </w:rPr>
        <w:t>)</w:t>
      </w:r>
      <w:r w:rsidRPr="00AE77C9">
        <w:rPr>
          <w:rFonts w:cs="Times New Roman"/>
          <w:shd w:val="clear" w:color="auto" w:fill="FFFFFF"/>
        </w:rPr>
        <w:t xml:space="preserve">, les coupables-responsables </w:t>
      </w:r>
      <w:r w:rsidR="00B31CA9">
        <w:rPr>
          <w:rFonts w:cs="Times New Roman"/>
          <w:shd w:val="clear" w:color="auto" w:fill="FFFFFF"/>
        </w:rPr>
        <w:t>(e</w:t>
      </w:r>
      <w:r w:rsidRPr="00AE77C9">
        <w:rPr>
          <w:rFonts w:cs="Times New Roman"/>
          <w:shd w:val="clear" w:color="auto" w:fill="FFFFFF"/>
        </w:rPr>
        <w:t>n raison de leurs actes</w:t>
      </w:r>
      <w:r w:rsidR="00B31CA9">
        <w:rPr>
          <w:rFonts w:cs="Times New Roman"/>
          <w:shd w:val="clear" w:color="auto" w:fill="FFFFFF"/>
        </w:rPr>
        <w:t>)</w:t>
      </w:r>
      <w:r w:rsidRPr="00AE77C9">
        <w:rPr>
          <w:rFonts w:cs="Times New Roman"/>
          <w:shd w:val="clear" w:color="auto" w:fill="FFFFFF"/>
        </w:rPr>
        <w:t xml:space="preserve"> et les incapables </w:t>
      </w:r>
      <w:r w:rsidR="00B31CA9">
        <w:rPr>
          <w:rFonts w:cs="Times New Roman"/>
          <w:shd w:val="clear" w:color="auto" w:fill="FFFFFF"/>
        </w:rPr>
        <w:t>(</w:t>
      </w:r>
      <w:r w:rsidRPr="00AE77C9">
        <w:rPr>
          <w:rFonts w:cs="Times New Roman"/>
          <w:shd w:val="clear" w:color="auto" w:fill="FFFFFF"/>
        </w:rPr>
        <w:t>dont certaines compétences sont altérées</w:t>
      </w:r>
      <w:r w:rsidR="00B31CA9">
        <w:rPr>
          <w:rFonts w:cs="Times New Roman"/>
          <w:shd w:val="clear" w:color="auto" w:fill="FFFFFF"/>
        </w:rPr>
        <w:t>)</w:t>
      </w:r>
      <w:r w:rsidRPr="00AE77C9">
        <w:rPr>
          <w:rFonts w:cs="Times New Roman"/>
          <w:shd w:val="clear" w:color="auto" w:fill="FFFFFF"/>
        </w:rPr>
        <w:t>. L’auteur constate que la question de la bonne foi, posée dans le cadre de la prévention des expulsions locatives, vise alors à départager des situations indécises entre les figures de victime et de coupable-responsable (Bertrand,</w:t>
      </w:r>
      <w:r w:rsidR="00B31CA9">
        <w:rPr>
          <w:rFonts w:cs="Times New Roman"/>
          <w:shd w:val="clear" w:color="auto" w:fill="FFFFFF"/>
        </w:rPr>
        <w:t xml:space="preserve"> </w:t>
      </w:r>
      <w:r w:rsidRPr="00AE77C9">
        <w:rPr>
          <w:rFonts w:cs="Times New Roman"/>
          <w:shd w:val="clear" w:color="auto" w:fill="FFFFFF"/>
        </w:rPr>
        <w:t>2008).</w:t>
      </w:r>
    </w:p>
    <w:p w14:paraId="348991BC" w14:textId="77777777" w:rsidR="00AE77C9" w:rsidRDefault="00AE77C9" w:rsidP="00AE77C9">
      <w:pPr>
        <w:autoSpaceDE w:val="0"/>
        <w:autoSpaceDN w:val="0"/>
        <w:adjustRightInd w:val="0"/>
        <w:spacing w:after="0" w:line="240" w:lineRule="auto"/>
        <w:jc w:val="left"/>
        <w:rPr>
          <w:rFonts w:ascii="TimesNewRomanPSMT" w:hAnsi="TimesNewRomanPSMT" w:cs="TimesNewRomanPSMT"/>
          <w:sz w:val="24"/>
          <w:szCs w:val="24"/>
        </w:rPr>
      </w:pPr>
    </w:p>
    <w:p w14:paraId="481AE590" w14:textId="7C7ABE15" w:rsidR="008567A8" w:rsidRPr="008567A8" w:rsidRDefault="00B95641" w:rsidP="008567A8">
      <w:pPr>
        <w:pStyle w:val="Default"/>
        <w:spacing w:line="276" w:lineRule="auto"/>
        <w:jc w:val="both"/>
        <w:rPr>
          <w:rFonts w:ascii="Times New Roman" w:hAnsi="Times New Roman" w:cs="Times New Roman"/>
          <w:sz w:val="22"/>
          <w:szCs w:val="22"/>
        </w:rPr>
      </w:pPr>
      <w:r w:rsidRPr="008567A8">
        <w:rPr>
          <w:rFonts w:ascii="Times New Roman" w:hAnsi="Times New Roman" w:cs="Times New Roman"/>
          <w:sz w:val="22"/>
          <w:szCs w:val="22"/>
        </w:rPr>
        <w:lastRenderedPageBreak/>
        <w:t xml:space="preserve">Enfin, </w:t>
      </w:r>
      <w:r w:rsidR="008567A8" w:rsidRPr="008567A8">
        <w:rPr>
          <w:rFonts w:ascii="Times New Roman" w:hAnsi="Times New Roman" w:cs="Times New Roman"/>
          <w:sz w:val="22"/>
          <w:szCs w:val="22"/>
        </w:rPr>
        <w:t xml:space="preserve">il faut </w:t>
      </w:r>
      <w:r w:rsidR="00055A30">
        <w:rPr>
          <w:rFonts w:ascii="Times New Roman" w:hAnsi="Times New Roman" w:cs="Times New Roman"/>
          <w:sz w:val="22"/>
          <w:szCs w:val="22"/>
        </w:rPr>
        <w:t xml:space="preserve">signaler </w:t>
      </w:r>
      <w:r w:rsidR="008567A8" w:rsidRPr="008567A8">
        <w:rPr>
          <w:rFonts w:ascii="Times New Roman" w:hAnsi="Times New Roman" w:cs="Times New Roman"/>
          <w:sz w:val="22"/>
          <w:szCs w:val="22"/>
        </w:rPr>
        <w:t xml:space="preserve">les travaux de la sociologue Cégolène Frisque. En 2003, elle publie une recherche sur </w:t>
      </w:r>
      <w:r w:rsidR="00055A30">
        <w:rPr>
          <w:rFonts w:ascii="Times New Roman" w:hAnsi="Times New Roman" w:cs="Times New Roman"/>
          <w:sz w:val="22"/>
          <w:szCs w:val="22"/>
        </w:rPr>
        <w:t>l</w:t>
      </w:r>
      <w:r w:rsidR="008567A8" w:rsidRPr="008567A8">
        <w:rPr>
          <w:rFonts w:ascii="Times New Roman" w:hAnsi="Times New Roman" w:cs="Times New Roman"/>
          <w:sz w:val="22"/>
          <w:szCs w:val="22"/>
        </w:rPr>
        <w:t>e rôle des cadres administratifs intermédiaires dans l’inscription locale des politiques sociales du logement. En comparant la mise en œuvre des dispositifs publics en matière de logement des personnes défavorisées dans trois départements français</w:t>
      </w:r>
      <w:r w:rsidR="00055A30">
        <w:rPr>
          <w:rFonts w:ascii="Times New Roman" w:hAnsi="Times New Roman" w:cs="Times New Roman"/>
          <w:sz w:val="22"/>
          <w:szCs w:val="22"/>
        </w:rPr>
        <w:t xml:space="preserve"> </w:t>
      </w:r>
      <w:r w:rsidR="008567A8" w:rsidRPr="008567A8">
        <w:rPr>
          <w:rFonts w:ascii="Times New Roman" w:hAnsi="Times New Roman" w:cs="Times New Roman"/>
          <w:sz w:val="22"/>
          <w:szCs w:val="22"/>
        </w:rPr>
        <w:t>(Vendée, Charente Maritime et Loire Atlantique), l’auteure montre les manières différenciées dont ces agents exercent leur travail</w:t>
      </w:r>
      <w:r w:rsidR="00055A30">
        <w:rPr>
          <w:rFonts w:ascii="Times New Roman" w:hAnsi="Times New Roman" w:cs="Times New Roman"/>
          <w:sz w:val="22"/>
          <w:szCs w:val="22"/>
        </w:rPr>
        <w:t>,</w:t>
      </w:r>
      <w:r w:rsidR="008567A8" w:rsidRPr="008567A8">
        <w:rPr>
          <w:rFonts w:ascii="Times New Roman" w:hAnsi="Times New Roman" w:cs="Times New Roman"/>
          <w:sz w:val="22"/>
          <w:szCs w:val="22"/>
        </w:rPr>
        <w:t xml:space="preserve"> donnant des contenus très différents à cette « politique publique », dont la définition nationale est virtuelle (Frisque, 2003).</w:t>
      </w:r>
      <w:r w:rsidR="00BA7565">
        <w:rPr>
          <w:rFonts w:ascii="Times New Roman" w:hAnsi="Times New Roman" w:cs="Times New Roman"/>
          <w:sz w:val="22"/>
          <w:szCs w:val="22"/>
        </w:rPr>
        <w:t xml:space="preserve"> </w:t>
      </w:r>
    </w:p>
    <w:p w14:paraId="78CFDA24" w14:textId="77777777" w:rsidR="008567A8" w:rsidRDefault="008567A8" w:rsidP="008567A8">
      <w:pPr>
        <w:autoSpaceDE w:val="0"/>
        <w:autoSpaceDN w:val="0"/>
        <w:adjustRightInd w:val="0"/>
        <w:spacing w:after="0" w:line="240" w:lineRule="auto"/>
        <w:jc w:val="left"/>
        <w:rPr>
          <w:rFonts w:ascii="TimesNewRomanPSMT" w:hAnsi="TimesNewRomanPSMT" w:cs="TimesNewRomanPSMT"/>
          <w:sz w:val="24"/>
          <w:szCs w:val="24"/>
        </w:rPr>
      </w:pPr>
    </w:p>
    <w:p w14:paraId="703A186B" w14:textId="067FF76C" w:rsidR="00B95641" w:rsidRPr="00590B93" w:rsidRDefault="00A408CE" w:rsidP="00BA7565">
      <w:pPr>
        <w:pStyle w:val="Default"/>
        <w:spacing w:line="276" w:lineRule="auto"/>
        <w:jc w:val="both"/>
        <w:rPr>
          <w:rFonts w:ascii="Times New Roman" w:hAnsi="Times New Roman" w:cs="Times New Roman"/>
          <w:sz w:val="22"/>
          <w:szCs w:val="22"/>
        </w:rPr>
      </w:pPr>
      <w:r w:rsidRPr="00BA7565">
        <w:rPr>
          <w:rFonts w:ascii="Times New Roman" w:hAnsi="Times New Roman" w:cs="Times New Roman"/>
          <w:sz w:val="22"/>
          <w:szCs w:val="22"/>
        </w:rPr>
        <w:t xml:space="preserve">En 2006, </w:t>
      </w:r>
      <w:r w:rsidR="00BA7565" w:rsidRPr="00BA7565">
        <w:rPr>
          <w:rFonts w:ascii="Times New Roman" w:hAnsi="Times New Roman" w:cs="Times New Roman"/>
          <w:sz w:val="22"/>
          <w:szCs w:val="22"/>
        </w:rPr>
        <w:t xml:space="preserve">Frisque publie une recherche sur les effets paradoxaux des politiques de prévention des expulsions en France. Elle montre les modalités pratiques de construction du « risque d’expulsion », les ambiguïtés de ses fondements, ses déplacements successifs, et ses usages sur le terrain, </w:t>
      </w:r>
      <w:r w:rsidR="00055A30">
        <w:rPr>
          <w:rFonts w:ascii="Times New Roman" w:hAnsi="Times New Roman" w:cs="Times New Roman"/>
          <w:sz w:val="22"/>
          <w:szCs w:val="22"/>
        </w:rPr>
        <w:t xml:space="preserve">qui </w:t>
      </w:r>
      <w:r w:rsidR="00BA7565" w:rsidRPr="00BA7565">
        <w:rPr>
          <w:rFonts w:ascii="Times New Roman" w:hAnsi="Times New Roman" w:cs="Times New Roman"/>
          <w:sz w:val="22"/>
          <w:szCs w:val="22"/>
        </w:rPr>
        <w:t xml:space="preserve">aboutissent à une individualisation du risque et un transfert de responsabilité sur les victimes elles-mêmes. </w:t>
      </w:r>
      <w:r w:rsidR="00055A30">
        <w:rPr>
          <w:rFonts w:ascii="Times New Roman" w:hAnsi="Times New Roman" w:cs="Times New Roman"/>
          <w:sz w:val="22"/>
          <w:szCs w:val="22"/>
        </w:rPr>
        <w:t xml:space="preserve">Elle montre </w:t>
      </w:r>
      <w:r w:rsidR="00BA7565" w:rsidRPr="00BA7565">
        <w:rPr>
          <w:rFonts w:ascii="Times New Roman" w:hAnsi="Times New Roman" w:cs="Times New Roman"/>
          <w:sz w:val="22"/>
          <w:szCs w:val="22"/>
        </w:rPr>
        <w:t xml:space="preserve">que ces politiques, </w:t>
      </w:r>
      <w:r w:rsidR="00B95641" w:rsidRPr="00BA7565">
        <w:rPr>
          <w:rFonts w:ascii="Times New Roman" w:hAnsi="Times New Roman" w:cs="Times New Roman"/>
          <w:sz w:val="22"/>
          <w:szCs w:val="22"/>
        </w:rPr>
        <w:t>construites sur l'extension de la</w:t>
      </w:r>
      <w:r w:rsidR="008567A8" w:rsidRPr="00BA7565">
        <w:rPr>
          <w:rFonts w:ascii="Times New Roman" w:hAnsi="Times New Roman" w:cs="Times New Roman"/>
          <w:sz w:val="22"/>
          <w:szCs w:val="22"/>
        </w:rPr>
        <w:t xml:space="preserve"> </w:t>
      </w:r>
      <w:r w:rsidR="00B95641" w:rsidRPr="00BA7565">
        <w:rPr>
          <w:rFonts w:ascii="Times New Roman" w:hAnsi="Times New Roman" w:cs="Times New Roman"/>
          <w:sz w:val="22"/>
          <w:szCs w:val="22"/>
        </w:rPr>
        <w:t>notion de « risque » aux expulsions</w:t>
      </w:r>
      <w:r w:rsidR="00055A30">
        <w:rPr>
          <w:rFonts w:ascii="Times New Roman" w:hAnsi="Times New Roman" w:cs="Times New Roman"/>
          <w:sz w:val="22"/>
          <w:szCs w:val="22"/>
        </w:rPr>
        <w:t>,</w:t>
      </w:r>
      <w:r w:rsidR="00B95641" w:rsidRPr="00BA7565">
        <w:rPr>
          <w:rFonts w:ascii="Times New Roman" w:hAnsi="Times New Roman" w:cs="Times New Roman"/>
          <w:sz w:val="22"/>
          <w:szCs w:val="22"/>
        </w:rPr>
        <w:t xml:space="preserve"> et </w:t>
      </w:r>
      <w:r w:rsidR="00055A30">
        <w:rPr>
          <w:rFonts w:ascii="Times New Roman" w:hAnsi="Times New Roman" w:cs="Times New Roman"/>
          <w:sz w:val="22"/>
          <w:szCs w:val="22"/>
        </w:rPr>
        <w:t>sur le</w:t>
      </w:r>
      <w:r w:rsidR="00B95641" w:rsidRPr="00BA7565">
        <w:rPr>
          <w:rFonts w:ascii="Times New Roman" w:hAnsi="Times New Roman" w:cs="Times New Roman"/>
          <w:sz w:val="22"/>
          <w:szCs w:val="22"/>
        </w:rPr>
        <w:t xml:space="preserve"> traitement « le plus en amont possible » des</w:t>
      </w:r>
      <w:r w:rsidR="008567A8" w:rsidRPr="00BA7565">
        <w:rPr>
          <w:rFonts w:ascii="Times New Roman" w:hAnsi="Times New Roman" w:cs="Times New Roman"/>
          <w:sz w:val="22"/>
          <w:szCs w:val="22"/>
        </w:rPr>
        <w:t xml:space="preserve"> </w:t>
      </w:r>
      <w:r w:rsidR="00B95641" w:rsidRPr="00BA7565">
        <w:rPr>
          <w:rFonts w:ascii="Times New Roman" w:hAnsi="Times New Roman" w:cs="Times New Roman"/>
          <w:sz w:val="22"/>
          <w:szCs w:val="22"/>
        </w:rPr>
        <w:t xml:space="preserve">arriérés de loyer, conduit à </w:t>
      </w:r>
      <w:r w:rsidR="00BA7565" w:rsidRPr="00BA7565">
        <w:rPr>
          <w:rFonts w:ascii="Times New Roman" w:hAnsi="Times New Roman" w:cs="Times New Roman"/>
          <w:sz w:val="22"/>
          <w:szCs w:val="22"/>
        </w:rPr>
        <w:t>légitimer la répression accrue des impayés de loyer.</w:t>
      </w:r>
      <w:r w:rsidR="00B95641" w:rsidRPr="00BA7565">
        <w:rPr>
          <w:rFonts w:ascii="Times New Roman" w:hAnsi="Times New Roman" w:cs="Times New Roman"/>
          <w:sz w:val="22"/>
          <w:szCs w:val="22"/>
        </w:rPr>
        <w:t xml:space="preserve"> </w:t>
      </w:r>
      <w:r w:rsidR="00B95641" w:rsidRPr="00590B93">
        <w:rPr>
          <w:rFonts w:ascii="Times New Roman" w:hAnsi="Times New Roman" w:cs="Times New Roman"/>
          <w:sz w:val="22"/>
          <w:szCs w:val="22"/>
        </w:rPr>
        <w:t>(Frisque, 2006).</w:t>
      </w:r>
    </w:p>
    <w:p w14:paraId="3D3C8B6A" w14:textId="33224F13" w:rsidR="00C50B7A" w:rsidRPr="00590B93" w:rsidRDefault="00C50B7A" w:rsidP="00BA7565">
      <w:pPr>
        <w:pStyle w:val="Default"/>
        <w:spacing w:line="276" w:lineRule="auto"/>
        <w:jc w:val="both"/>
        <w:rPr>
          <w:rFonts w:ascii="Times New Roman" w:hAnsi="Times New Roman" w:cs="Times New Roman"/>
          <w:sz w:val="22"/>
          <w:szCs w:val="22"/>
        </w:rPr>
      </w:pPr>
    </w:p>
    <w:p w14:paraId="464050D6" w14:textId="7FF887B2" w:rsidR="00C50B7A" w:rsidRPr="00C50B7A" w:rsidRDefault="00C50B7A" w:rsidP="00BA7565">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Si</w:t>
      </w:r>
      <w:r w:rsidRPr="00C50B7A">
        <w:rPr>
          <w:rFonts w:ascii="Times New Roman" w:hAnsi="Times New Roman" w:cs="Times New Roman"/>
          <w:sz w:val="22"/>
          <w:szCs w:val="22"/>
        </w:rPr>
        <w:t xml:space="preserve"> G</w:t>
      </w:r>
      <w:r>
        <w:rPr>
          <w:rFonts w:ascii="Times New Roman" w:hAnsi="Times New Roman" w:cs="Times New Roman"/>
          <w:sz w:val="22"/>
          <w:szCs w:val="22"/>
        </w:rPr>
        <w:t xml:space="preserve">uimard, Bertrand ou Frisque étudient les expulsions locatives liées aux dettes de loyer, ces auteurs ont en commun de prendre pour angle d’entrée les politiques publiques et les acteurs chargés de leur mise en œuvre. </w:t>
      </w:r>
      <w:r w:rsidRPr="00C50B7A">
        <w:rPr>
          <w:rFonts w:ascii="Times New Roman" w:hAnsi="Times New Roman" w:cs="Times New Roman"/>
          <w:sz w:val="22"/>
          <w:szCs w:val="22"/>
        </w:rPr>
        <w:t>Pour ce qui est de comprendre le phénomène dans sa dimension processuel</w:t>
      </w:r>
      <w:r w:rsidR="00055A30">
        <w:rPr>
          <w:rFonts w:ascii="Times New Roman" w:hAnsi="Times New Roman" w:cs="Times New Roman"/>
          <w:sz w:val="22"/>
          <w:szCs w:val="22"/>
        </w:rPr>
        <w:t>le</w:t>
      </w:r>
      <w:r>
        <w:rPr>
          <w:rFonts w:ascii="Times New Roman" w:hAnsi="Times New Roman" w:cs="Times New Roman"/>
          <w:sz w:val="22"/>
          <w:szCs w:val="22"/>
        </w:rPr>
        <w:t xml:space="preserve"> et</w:t>
      </w:r>
      <w:r w:rsidRPr="00C50B7A">
        <w:rPr>
          <w:rFonts w:ascii="Times New Roman" w:hAnsi="Times New Roman" w:cs="Times New Roman"/>
          <w:sz w:val="22"/>
          <w:szCs w:val="22"/>
        </w:rPr>
        <w:t xml:space="preserve"> </w:t>
      </w:r>
      <w:r w:rsidR="00055A30">
        <w:rPr>
          <w:rFonts w:ascii="Times New Roman" w:hAnsi="Times New Roman" w:cs="Times New Roman"/>
          <w:sz w:val="22"/>
          <w:szCs w:val="22"/>
        </w:rPr>
        <w:t xml:space="preserve">de </w:t>
      </w:r>
      <w:r w:rsidRPr="00C50B7A">
        <w:rPr>
          <w:rFonts w:ascii="Times New Roman" w:hAnsi="Times New Roman" w:cs="Times New Roman"/>
          <w:sz w:val="22"/>
          <w:szCs w:val="22"/>
        </w:rPr>
        <w:t>saisir les parcours des ménages expulsés ou menacés d’expulsion</w:t>
      </w:r>
      <w:r w:rsidR="00055A30">
        <w:rPr>
          <w:rFonts w:ascii="Times New Roman" w:hAnsi="Times New Roman" w:cs="Times New Roman"/>
          <w:sz w:val="22"/>
          <w:szCs w:val="22"/>
        </w:rPr>
        <w:t>,</w:t>
      </w:r>
      <w:r>
        <w:rPr>
          <w:rFonts w:ascii="Times New Roman" w:hAnsi="Times New Roman" w:cs="Times New Roman"/>
          <w:sz w:val="22"/>
          <w:szCs w:val="22"/>
        </w:rPr>
        <w:t xml:space="preserve"> il faut aller voir du </w:t>
      </w:r>
      <w:proofErr w:type="spellStart"/>
      <w:r>
        <w:rPr>
          <w:rFonts w:ascii="Times New Roman" w:hAnsi="Times New Roman" w:cs="Times New Roman"/>
          <w:sz w:val="22"/>
          <w:szCs w:val="22"/>
        </w:rPr>
        <w:t>coté</w:t>
      </w:r>
      <w:proofErr w:type="spellEnd"/>
      <w:r>
        <w:rPr>
          <w:rFonts w:ascii="Times New Roman" w:hAnsi="Times New Roman" w:cs="Times New Roman"/>
          <w:sz w:val="22"/>
          <w:szCs w:val="22"/>
        </w:rPr>
        <w:t xml:space="preserve"> des </w:t>
      </w:r>
      <w:r w:rsidR="00055A30">
        <w:rPr>
          <w:rFonts w:ascii="Times New Roman" w:hAnsi="Times New Roman" w:cs="Times New Roman"/>
          <w:sz w:val="22"/>
          <w:szCs w:val="22"/>
        </w:rPr>
        <w:t>p</w:t>
      </w:r>
      <w:r>
        <w:rPr>
          <w:rFonts w:ascii="Times New Roman" w:hAnsi="Times New Roman" w:cs="Times New Roman"/>
          <w:sz w:val="22"/>
          <w:szCs w:val="22"/>
        </w:rPr>
        <w:t>ays d’Europe ou d’Amérique du Nord.</w:t>
      </w:r>
    </w:p>
    <w:p w14:paraId="443A7312" w14:textId="115D64C4" w:rsidR="00C50B7A" w:rsidRPr="00C50B7A" w:rsidRDefault="00C50B7A" w:rsidP="00BA7565">
      <w:pPr>
        <w:pStyle w:val="Default"/>
        <w:spacing w:line="276" w:lineRule="auto"/>
        <w:jc w:val="both"/>
        <w:rPr>
          <w:rFonts w:ascii="Times New Roman" w:hAnsi="Times New Roman" w:cs="Times New Roman"/>
          <w:sz w:val="22"/>
          <w:szCs w:val="22"/>
        </w:rPr>
      </w:pPr>
    </w:p>
    <w:p w14:paraId="31E5A205" w14:textId="4DA0E686" w:rsidR="008567A8" w:rsidRPr="00C50B7A" w:rsidRDefault="00C50B7A" w:rsidP="00C50B7A">
      <w:pPr>
        <w:pStyle w:val="Titre3"/>
      </w:pPr>
      <w:bookmarkStart w:id="6" w:name="_Toc152687189"/>
      <w:r w:rsidRPr="00C50B7A">
        <w:t>Etudes ethnographiques longitudinales</w:t>
      </w:r>
      <w:bookmarkEnd w:id="6"/>
    </w:p>
    <w:p w14:paraId="0F34C680" w14:textId="7DC65318" w:rsidR="00C5083C" w:rsidRPr="00DD6BB9" w:rsidRDefault="00D11AD9" w:rsidP="00EB0F99">
      <w:pPr>
        <w:spacing w:line="276" w:lineRule="auto"/>
        <w:rPr>
          <w:color w:val="FF0000"/>
        </w:rPr>
      </w:pPr>
      <w:r>
        <w:t>Sur ce sujet</w:t>
      </w:r>
      <w:r w:rsidR="00C50B7A">
        <w:t>,</w:t>
      </w:r>
      <w:r w:rsidR="00EB0F99" w:rsidRPr="00EB0F99">
        <w:t xml:space="preserve"> les pays scandinaves connaissent une riche tradition de recherche scientifique, sans aucun doute liée à l’importance de leurs politiques sociales en la matière. En 1995, les auteurs </w:t>
      </w:r>
      <w:proofErr w:type="spellStart"/>
      <w:r w:rsidR="00C5083C" w:rsidRPr="00EB0F99">
        <w:t>Stenberg</w:t>
      </w:r>
      <w:proofErr w:type="spellEnd"/>
      <w:r w:rsidR="00C5083C" w:rsidRPr="00EB0F99">
        <w:t xml:space="preserve">, </w:t>
      </w:r>
      <w:proofErr w:type="spellStart"/>
      <w:r w:rsidR="00C5083C" w:rsidRPr="00EB0F99">
        <w:t>Kareholt</w:t>
      </w:r>
      <w:proofErr w:type="spellEnd"/>
      <w:r w:rsidR="00C5083C" w:rsidRPr="00EB0F99">
        <w:t xml:space="preserve"> </w:t>
      </w:r>
      <w:r w:rsidR="00EB0F99" w:rsidRPr="00EB0F99">
        <w:t>et</w:t>
      </w:r>
      <w:r w:rsidR="00C5083C" w:rsidRPr="00EB0F99">
        <w:t xml:space="preserve"> Caroll </w:t>
      </w:r>
      <w:r w:rsidR="00EB0F99" w:rsidRPr="00EB0F99">
        <w:t xml:space="preserve">réalisent </w:t>
      </w:r>
      <w:r w:rsidR="00C5083C" w:rsidRPr="00EB0F99">
        <w:t xml:space="preserve">une étude longitudinale </w:t>
      </w:r>
      <w:r w:rsidR="00EB0F99" w:rsidRPr="00EB0F99">
        <w:t>sur</w:t>
      </w:r>
      <w:r w:rsidR="00C5083C" w:rsidRPr="00EB0F99">
        <w:t xml:space="preserve"> le</w:t>
      </w:r>
      <w:r w:rsidR="00EB0F99" w:rsidRPr="00EB0F99">
        <w:t>s</w:t>
      </w:r>
      <w:r w:rsidR="00C5083C" w:rsidRPr="00EB0F99">
        <w:t xml:space="preserve"> risque</w:t>
      </w:r>
      <w:r w:rsidR="00EB0F99" w:rsidRPr="00EB0F99">
        <w:t>s</w:t>
      </w:r>
      <w:r w:rsidR="00C5083C" w:rsidRPr="00EB0F99">
        <w:t xml:space="preserve"> d'expulsion </w:t>
      </w:r>
      <w:r w:rsidR="00EB0F99" w:rsidRPr="00EB0F99">
        <w:t>en Suède au cours des années 80</w:t>
      </w:r>
      <w:r w:rsidR="00C5083C" w:rsidRPr="00EB0F99">
        <w:t xml:space="preserve">. </w:t>
      </w:r>
      <w:r w:rsidR="00EB0F99" w:rsidRPr="00EB0F99">
        <w:t>Les auteurs constatent que</w:t>
      </w:r>
      <w:r w:rsidR="00C5083C" w:rsidRPr="00EB0F99">
        <w:t xml:space="preserve"> le risque d'expulsion peut s'expliquer par une combinaison de circonstances sociales et de problèmes personnels</w:t>
      </w:r>
      <w:r w:rsidR="00EB0F99" w:rsidRPr="00EB0F99">
        <w:t xml:space="preserve"> : </w:t>
      </w:r>
      <w:r w:rsidR="00C5083C" w:rsidRPr="00EB0F99">
        <w:t xml:space="preserve">le divorce, la présence </w:t>
      </w:r>
      <w:r w:rsidR="00C5083C" w:rsidRPr="001369E1">
        <w:t>d'enfants et l'implication dans la criminalité</w:t>
      </w:r>
      <w:r w:rsidR="00EB0F99" w:rsidRPr="001369E1">
        <w:t>, notamment,</w:t>
      </w:r>
      <w:r w:rsidR="00C5083C" w:rsidRPr="001369E1">
        <w:t xml:space="preserve"> augmentent </w:t>
      </w:r>
      <w:r w:rsidR="00EB0F99" w:rsidRPr="001369E1">
        <w:t>ce risque (</w:t>
      </w:r>
      <w:proofErr w:type="spellStart"/>
      <w:r w:rsidR="00EB0F99" w:rsidRPr="001369E1">
        <w:t>Stenberg</w:t>
      </w:r>
      <w:proofErr w:type="spellEnd"/>
      <w:r w:rsidR="00EB0F99" w:rsidRPr="001369E1">
        <w:t xml:space="preserve">, </w:t>
      </w:r>
      <w:proofErr w:type="spellStart"/>
      <w:r w:rsidR="00EB0F99" w:rsidRPr="001369E1">
        <w:t>Kareholt</w:t>
      </w:r>
      <w:proofErr w:type="spellEnd"/>
      <w:r w:rsidR="00EB0F99" w:rsidRPr="001369E1">
        <w:t xml:space="preserve"> et Caroll, 1995)</w:t>
      </w:r>
      <w:r w:rsidR="00C5083C" w:rsidRPr="001369E1">
        <w:t xml:space="preserve">. </w:t>
      </w:r>
      <w:proofErr w:type="spellStart"/>
      <w:r w:rsidR="00EB0F99" w:rsidRPr="001369E1">
        <w:t>Stenberg</w:t>
      </w:r>
      <w:proofErr w:type="spellEnd"/>
      <w:r w:rsidR="00EB0F99" w:rsidRPr="00EB0F99">
        <w:t xml:space="preserve"> montrait déjà, dans une étude antérieure, </w:t>
      </w:r>
      <w:r w:rsidR="00EB0F99" w:rsidRPr="001369E1">
        <w:t>que les critères comme u</w:t>
      </w:r>
      <w:r w:rsidR="00C5083C" w:rsidRPr="001369E1">
        <w:t xml:space="preserve">n faible revenu, un casier judiciaire, le refus de l'aide des autorités sociales et le fait d'être un immigrant </w:t>
      </w:r>
      <w:r w:rsidR="00EB0F99" w:rsidRPr="001369E1">
        <w:t>augmentai</w:t>
      </w:r>
      <w:r w:rsidR="006F6B70" w:rsidRPr="001369E1">
        <w:t>en</w:t>
      </w:r>
      <w:r w:rsidR="00EB0F99" w:rsidRPr="001369E1">
        <w:t xml:space="preserve">t le risque de voir </w:t>
      </w:r>
      <w:r w:rsidR="006F6B70" w:rsidRPr="001369E1">
        <w:t>une</w:t>
      </w:r>
      <w:r w:rsidR="00EB0F99" w:rsidRPr="001369E1">
        <w:t xml:space="preserve"> procédure d’expulsion aboutir</w:t>
      </w:r>
      <w:r w:rsidR="006F6B70" w:rsidRPr="001369E1">
        <w:t xml:space="preserve"> </w:t>
      </w:r>
      <w:r w:rsidR="00C5083C" w:rsidRPr="001369E1">
        <w:t>(</w:t>
      </w:r>
      <w:proofErr w:type="spellStart"/>
      <w:r w:rsidR="00C5083C" w:rsidRPr="001369E1">
        <w:t>Stenberg</w:t>
      </w:r>
      <w:proofErr w:type="spellEnd"/>
      <w:r w:rsidR="001369E1" w:rsidRPr="001369E1">
        <w:t xml:space="preserve">, </w:t>
      </w:r>
      <w:r w:rsidR="00C5083C" w:rsidRPr="001369E1">
        <w:t>1990).</w:t>
      </w:r>
    </w:p>
    <w:p w14:paraId="4DB1DF92" w14:textId="79C28271" w:rsidR="00C35FD0" w:rsidRDefault="00EB0F99" w:rsidP="00EB0F99">
      <w:pPr>
        <w:spacing w:line="276" w:lineRule="auto"/>
      </w:pPr>
      <w:r>
        <w:t>Si la recherche suédoise propose dès les année</w:t>
      </w:r>
      <w:r w:rsidR="006F6B70">
        <w:t>s</w:t>
      </w:r>
      <w:r>
        <w:t xml:space="preserve"> nonante une approche longitudinale du phénomène, dans</w:t>
      </w:r>
      <w:r w:rsidR="00C35FD0">
        <w:t xml:space="preserve"> l'ensemble, les études ethnographiques sur les expulsions sont rares</w:t>
      </w:r>
      <w:r w:rsidR="00206087">
        <w:t>, y compris en dehors du monde francophone</w:t>
      </w:r>
      <w:r w:rsidR="00C35FD0">
        <w:t xml:space="preserve">. </w:t>
      </w:r>
      <w:r>
        <w:t xml:space="preserve">L’états-unien </w:t>
      </w:r>
      <w:r w:rsidR="00C35FD0">
        <w:t xml:space="preserve">Matthew Desmond </w:t>
      </w:r>
      <w:r>
        <w:t xml:space="preserve">est l’un </w:t>
      </w:r>
      <w:r w:rsidR="00C35FD0">
        <w:t xml:space="preserve">des premiers sociologues à </w:t>
      </w:r>
      <w:r w:rsidR="00206087">
        <w:t>faire exceptio</w:t>
      </w:r>
      <w:r w:rsidR="00206087" w:rsidRPr="007A6EC2">
        <w:t xml:space="preserve">n et à s’engager dans une recherche ethnographique sur le </w:t>
      </w:r>
      <w:r w:rsidR="00206087" w:rsidRPr="00CF1135">
        <w:t xml:space="preserve">sujet, </w:t>
      </w:r>
      <w:r w:rsidR="007A6EC2" w:rsidRPr="00CF1135">
        <w:t>en suivant par exemple des</w:t>
      </w:r>
      <w:r w:rsidR="00206087" w:rsidRPr="00CF1135">
        <w:t xml:space="preserve"> expulsion</w:t>
      </w:r>
      <w:r w:rsidR="006F6B70" w:rsidRPr="00CF1135">
        <w:t>s</w:t>
      </w:r>
      <w:r w:rsidR="00206087" w:rsidRPr="00CF1135">
        <w:t xml:space="preserve"> </w:t>
      </w:r>
      <w:r w:rsidR="007A6EC2" w:rsidRPr="00CF1135">
        <w:t>tout au long du processus</w:t>
      </w:r>
      <w:r w:rsidR="00075334" w:rsidRPr="00CF1135">
        <w:t xml:space="preserve"> (Desmond 2012, 2016)</w:t>
      </w:r>
      <w:r w:rsidR="00206087" w:rsidRPr="00CF1135">
        <w:t>.</w:t>
      </w:r>
      <w:r w:rsidR="00206087">
        <w:t xml:space="preserve"> Sur base </w:t>
      </w:r>
      <w:r w:rsidR="00075334">
        <w:t>de sa recherche</w:t>
      </w:r>
      <w:r w:rsidR="00206087">
        <w:t xml:space="preserve"> </w:t>
      </w:r>
      <w:r w:rsidR="00075334">
        <w:t>d’</w:t>
      </w:r>
      <w:r w:rsidR="00206087">
        <w:t>envergure mené</w:t>
      </w:r>
      <w:r w:rsidR="00075334">
        <w:t>e</w:t>
      </w:r>
      <w:r w:rsidR="00206087">
        <w:t xml:space="preserve"> à Milwaukee, aux Etats-Unis,</w:t>
      </w:r>
      <w:r w:rsidR="00075334">
        <w:t xml:space="preserve"> </w:t>
      </w:r>
      <w:r w:rsidR="00206087">
        <w:t>il</w:t>
      </w:r>
      <w:r w:rsidR="00C35FD0">
        <w:t xml:space="preserve"> </w:t>
      </w:r>
      <w:r>
        <w:t xml:space="preserve">constate </w:t>
      </w:r>
      <w:r w:rsidR="00C35FD0">
        <w:t xml:space="preserve">que </w:t>
      </w:r>
      <w:r w:rsidR="00075334">
        <w:t xml:space="preserve">les expulsions sont </w:t>
      </w:r>
      <w:r w:rsidR="00206087">
        <w:t>un facteur déterminant</w:t>
      </w:r>
      <w:r w:rsidR="00075334">
        <w:t xml:space="preserve"> de la vie des population</w:t>
      </w:r>
      <w:r w:rsidR="006F6B70">
        <w:t>s</w:t>
      </w:r>
      <w:r w:rsidR="00075334">
        <w:t xml:space="preserve"> pauvres</w:t>
      </w:r>
      <w:r w:rsidR="00C35FD0">
        <w:t xml:space="preserve">. </w:t>
      </w:r>
      <w:r w:rsidR="00075334">
        <w:t xml:space="preserve">A la dimension qualitative de sa recherche (ethnographie, et entretiens), il ajoute une dimension quantitative en récoltant une série de données </w:t>
      </w:r>
      <w:r w:rsidR="006F6B70">
        <w:t>chiffrées</w:t>
      </w:r>
      <w:r w:rsidR="00075334">
        <w:t xml:space="preserve"> au sein des administrations chargées d’organiser les expulsions. </w:t>
      </w:r>
      <w:r w:rsidR="0098595E">
        <w:t>Cette étude quantitative</w:t>
      </w:r>
      <w:r w:rsidR="00075334">
        <w:t xml:space="preserve"> lui permet de constater que le sexe et </w:t>
      </w:r>
      <w:r w:rsidR="00C35FD0">
        <w:t xml:space="preserve">l'ethnicité </w:t>
      </w:r>
      <w:r w:rsidR="00075334">
        <w:t xml:space="preserve">sont des facteurs </w:t>
      </w:r>
      <w:r w:rsidR="00C35FD0">
        <w:t>important</w:t>
      </w:r>
      <w:r w:rsidR="00075334">
        <w:t>s</w:t>
      </w:r>
      <w:r w:rsidR="00C35FD0">
        <w:t xml:space="preserve"> dans la reproduction de la p</w:t>
      </w:r>
      <w:r w:rsidR="00075334">
        <w:t>récarité au logement : ce sont principalement des femmes n</w:t>
      </w:r>
      <w:r w:rsidR="00C35FD0">
        <w:t>oires</w:t>
      </w:r>
      <w:r w:rsidR="00075334">
        <w:t xml:space="preserve"> qui sont expulsées de leurs logements</w:t>
      </w:r>
      <w:r w:rsidR="00C35FD0">
        <w:t xml:space="preserve">. </w:t>
      </w:r>
      <w:r w:rsidR="0098595E" w:rsidRPr="004A0BCA">
        <w:t>Le</w:t>
      </w:r>
      <w:r w:rsidR="0098595E">
        <w:t xml:space="preserve">s expulsions locatives s’inscrivent dans les rapports sociaux qui structurent nos sociétés : les inégalités économiques ou encore le genre, ou </w:t>
      </w:r>
      <w:r w:rsidR="001369E1">
        <w:t>« </w:t>
      </w:r>
      <w:r w:rsidR="008558B5">
        <w:t>l’ethnie</w:t>
      </w:r>
      <w:r w:rsidR="001369E1">
        <w:t> »</w:t>
      </w:r>
      <w:r w:rsidR="008558B5">
        <w:rPr>
          <w:rStyle w:val="Appelnotedebasdep"/>
        </w:rPr>
        <w:footnoteReference w:id="6"/>
      </w:r>
      <w:r w:rsidR="0098595E">
        <w:t>.</w:t>
      </w:r>
    </w:p>
    <w:p w14:paraId="47531745" w14:textId="110F540F" w:rsidR="00C50B7A" w:rsidRDefault="001369E1" w:rsidP="00C50B7A">
      <w:pPr>
        <w:pStyle w:val="Titre3"/>
      </w:pPr>
      <w:bookmarkStart w:id="7" w:name="_Toc152687190"/>
      <w:r>
        <w:lastRenderedPageBreak/>
        <w:t>P</w:t>
      </w:r>
      <w:r w:rsidR="00C50B7A">
        <w:t>rofil</w:t>
      </w:r>
      <w:r w:rsidR="004E5EFD">
        <w:t>s</w:t>
      </w:r>
      <w:r w:rsidR="00C50B7A">
        <w:t xml:space="preserve"> des ménages menacés d’expulsion</w:t>
      </w:r>
      <w:bookmarkEnd w:id="7"/>
    </w:p>
    <w:p w14:paraId="2E0FD590" w14:textId="1741509D" w:rsidR="0098595E" w:rsidRDefault="00075334" w:rsidP="0098595E">
      <w:pPr>
        <w:spacing w:line="276" w:lineRule="auto"/>
      </w:pPr>
      <w:r>
        <w:t>D’autres recherche</w:t>
      </w:r>
      <w:r w:rsidR="00645606">
        <w:t>s</w:t>
      </w:r>
      <w:r>
        <w:t xml:space="preserve"> états-uniennes </w:t>
      </w:r>
      <w:r w:rsidR="00C5083C">
        <w:t>donne</w:t>
      </w:r>
      <w:r>
        <w:t>nt également</w:t>
      </w:r>
      <w:r w:rsidR="00C5083C">
        <w:t xml:space="preserve"> des informations sur les profils des personnes expulsées</w:t>
      </w:r>
      <w:r w:rsidR="00645606">
        <w:t>.</w:t>
      </w:r>
      <w:r w:rsidR="00C5083C" w:rsidRPr="00DD6BB9">
        <w:rPr>
          <w:color w:val="FF0000"/>
        </w:rPr>
        <w:t xml:space="preserve"> </w:t>
      </w:r>
      <w:r w:rsidR="0098595E" w:rsidRPr="004D6802">
        <w:t xml:space="preserve">Sur la base d'une étude auprès de mères célibataires bénéficiant de l'aide sociale aux Etats-Unis, </w:t>
      </w:r>
      <w:proofErr w:type="spellStart"/>
      <w:r w:rsidR="0098595E" w:rsidRPr="004D6802">
        <w:t>Phinney</w:t>
      </w:r>
      <w:proofErr w:type="spellEnd"/>
      <w:r w:rsidR="004839DB">
        <w:t xml:space="preserve"> et al. </w:t>
      </w:r>
      <w:proofErr w:type="gramStart"/>
      <w:r w:rsidR="004839DB">
        <w:t>et</w:t>
      </w:r>
      <w:proofErr w:type="gramEnd"/>
      <w:r w:rsidR="0098595E" w:rsidRPr="004D6802">
        <w:t xml:space="preserve"> montre</w:t>
      </w:r>
      <w:r w:rsidR="004839DB">
        <w:t>nt</w:t>
      </w:r>
      <w:r w:rsidR="0098595E" w:rsidRPr="004D6802">
        <w:t xml:space="preserve"> que 20 % d'entre elles ont été expulsés au cours de leur trajectoire et un sixième a été sans abri entre 1997 </w:t>
      </w:r>
      <w:r w:rsidR="0098595E" w:rsidRPr="004839DB">
        <w:t>et 2003 (</w:t>
      </w:r>
      <w:proofErr w:type="spellStart"/>
      <w:r w:rsidR="0098595E" w:rsidRPr="004839DB">
        <w:t>Phinney</w:t>
      </w:r>
      <w:proofErr w:type="spellEnd"/>
      <w:r w:rsidR="004839DB" w:rsidRPr="004839DB">
        <w:t xml:space="preserve"> et al.,</w:t>
      </w:r>
      <w:r w:rsidR="0098595E" w:rsidRPr="004839DB">
        <w:t xml:space="preserve"> 2007). D’autres groupes se profilent</w:t>
      </w:r>
      <w:r w:rsidR="0098595E" w:rsidRPr="004D6802">
        <w:t xml:space="preserve">, parmi les personnes ayant </w:t>
      </w:r>
      <w:r w:rsidR="00DB6758">
        <w:t xml:space="preserve">plus souvent que la moyenne </w:t>
      </w:r>
      <w:r w:rsidR="0098595E" w:rsidRPr="004D6802">
        <w:t>subi une procédure d’expulsion :</w:t>
      </w:r>
      <w:r w:rsidR="0098595E">
        <w:t xml:space="preserve"> </w:t>
      </w:r>
      <w:r w:rsidR="0098595E" w:rsidRPr="004D6802">
        <w:t>les personnes condamnées pour un crime ; les personnes qui n’ont pas obtenu de diplôme du secondaire ; les usagers de drogues dures ; les personnes exposées aux violences conjugales.</w:t>
      </w:r>
      <w:r w:rsidR="0098595E">
        <w:t xml:space="preserve"> </w:t>
      </w:r>
    </w:p>
    <w:p w14:paraId="6A797E8A" w14:textId="77777777" w:rsidR="00DB6758" w:rsidRDefault="0098595E" w:rsidP="00304300">
      <w:pPr>
        <w:spacing w:line="276" w:lineRule="auto"/>
        <w:rPr>
          <w:lang w:val="en-US"/>
        </w:rPr>
      </w:pPr>
      <w:r>
        <w:t xml:space="preserve">L’étude de </w:t>
      </w:r>
      <w:r w:rsidR="00C5083C" w:rsidRPr="00304300">
        <w:t xml:space="preserve">Hartman et Robinson </w:t>
      </w:r>
      <w:r>
        <w:t>montre, elle aussi,</w:t>
      </w:r>
      <w:r w:rsidR="00C5083C" w:rsidRPr="00304300">
        <w:t xml:space="preserve"> que les personnes expulsées sont principalement des pauvres, des femmes et des </w:t>
      </w:r>
      <w:r w:rsidR="00DB6758">
        <w:t xml:space="preserve">membres des </w:t>
      </w:r>
      <w:r w:rsidR="00C5083C" w:rsidRPr="00304300">
        <w:t>minorités</w:t>
      </w:r>
      <w:r w:rsidR="00075334" w:rsidRPr="00304300">
        <w:t xml:space="preserve"> </w:t>
      </w:r>
      <w:r w:rsidR="00075334" w:rsidRPr="003A43F2">
        <w:t>ethnique</w:t>
      </w:r>
      <w:r w:rsidR="00DB6758" w:rsidRPr="003A43F2">
        <w:t>s</w:t>
      </w:r>
      <w:r w:rsidR="00075334" w:rsidRPr="003A43F2">
        <w:t xml:space="preserve"> (Hartman et Robinson, 2003)</w:t>
      </w:r>
      <w:r w:rsidR="00C5083C" w:rsidRPr="003A43F2">
        <w:t xml:space="preserve">. </w:t>
      </w:r>
      <w:r w:rsidR="00645606" w:rsidRPr="003A43F2">
        <w:t xml:space="preserve">Le projet « The </w:t>
      </w:r>
      <w:proofErr w:type="spellStart"/>
      <w:r w:rsidR="00645606" w:rsidRPr="003A43F2">
        <w:t>eviction</w:t>
      </w:r>
      <w:proofErr w:type="spellEnd"/>
      <w:r w:rsidR="00645606" w:rsidRPr="003A43F2">
        <w:t xml:space="preserve"> </w:t>
      </w:r>
      <w:proofErr w:type="spellStart"/>
      <w:r w:rsidR="00645606" w:rsidRPr="003A43F2">
        <w:t>study</w:t>
      </w:r>
      <w:proofErr w:type="spellEnd"/>
      <w:r w:rsidR="00645606" w:rsidRPr="003A43F2">
        <w:t> »</w:t>
      </w:r>
      <w:r w:rsidR="00645606" w:rsidRPr="003A43F2">
        <w:rPr>
          <w:rStyle w:val="Appelnotedebasdep"/>
        </w:rPr>
        <w:footnoteReference w:id="7"/>
      </w:r>
      <w:r w:rsidR="00645606" w:rsidRPr="003A43F2">
        <w:t xml:space="preserve"> </w:t>
      </w:r>
      <w:r w:rsidR="004A0BCA" w:rsidRPr="003A43F2">
        <w:t>réunit une série de</w:t>
      </w:r>
      <w:r w:rsidR="00645606" w:rsidRPr="003A43F2">
        <w:t xml:space="preserve"> données </w:t>
      </w:r>
      <w:r w:rsidR="004A0BCA" w:rsidRPr="003A43F2">
        <w:t>sur les</w:t>
      </w:r>
      <w:r w:rsidR="00645606" w:rsidRPr="003A43F2">
        <w:t xml:space="preserve"> expulsions réalisées dans l’</w:t>
      </w:r>
      <w:r w:rsidR="00C5083C" w:rsidRPr="003A43F2">
        <w:t xml:space="preserve">État de Washington </w:t>
      </w:r>
      <w:r w:rsidR="00645606" w:rsidRPr="003A43F2">
        <w:t xml:space="preserve">entre 2013 et 2017. La recherche </w:t>
      </w:r>
      <w:r w:rsidR="00C5083C" w:rsidRPr="003A43F2">
        <w:t>établi</w:t>
      </w:r>
      <w:r w:rsidR="00645606" w:rsidRPr="003A43F2">
        <w:t>t</w:t>
      </w:r>
      <w:r w:rsidR="00C5083C" w:rsidRPr="003A43F2">
        <w:t xml:space="preserve"> que les expulsions affectent de</w:t>
      </w:r>
      <w:r w:rsidR="00C5083C" w:rsidRPr="00304300">
        <w:t xml:space="preserve"> manière disproportionnée les personnes de couleur, en particulier les </w:t>
      </w:r>
      <w:r w:rsidR="00C5083C" w:rsidRPr="00DB6758">
        <w:t>adultes noirs</w:t>
      </w:r>
      <w:r w:rsidR="00645606" w:rsidRPr="00DB6758">
        <w:t> : e</w:t>
      </w:r>
      <w:r w:rsidR="00C5083C" w:rsidRPr="00DB6758">
        <w:t xml:space="preserve">nviron 1 adulte noir sur 6 a été </w:t>
      </w:r>
      <w:r w:rsidR="00645606" w:rsidRPr="00DB6758">
        <w:t xml:space="preserve">engagé dans une procédure </w:t>
      </w:r>
      <w:r w:rsidR="00C5083C" w:rsidRPr="00DB6758">
        <w:t>d'expulsion entre 2013 et 2017.</w:t>
      </w:r>
      <w:r w:rsidR="00645606" w:rsidRPr="00DB6758">
        <w:t xml:space="preserve"> </w:t>
      </w:r>
      <w:r w:rsidR="00645606" w:rsidRPr="00590B93">
        <w:rPr>
          <w:lang w:val="en-US"/>
        </w:rPr>
        <w:t xml:space="preserve">Et </w:t>
      </w:r>
      <w:r w:rsidR="004A0BCA" w:rsidRPr="00590B93">
        <w:rPr>
          <w:lang w:val="en-US"/>
        </w:rPr>
        <w:t xml:space="preserve">les </w:t>
      </w:r>
      <w:proofErr w:type="spellStart"/>
      <w:r w:rsidR="004A0BCA" w:rsidRPr="00590B93">
        <w:rPr>
          <w:lang w:val="en-US"/>
        </w:rPr>
        <w:t>chercheurs</w:t>
      </w:r>
      <w:proofErr w:type="spellEnd"/>
      <w:r w:rsidR="004A0BCA" w:rsidRPr="00590B93">
        <w:rPr>
          <w:lang w:val="en-US"/>
        </w:rPr>
        <w:t xml:space="preserve"> de </w:t>
      </w:r>
      <w:proofErr w:type="spellStart"/>
      <w:proofErr w:type="gramStart"/>
      <w:r w:rsidR="004A0BCA" w:rsidRPr="00590B93">
        <w:rPr>
          <w:lang w:val="en-US"/>
        </w:rPr>
        <w:t>conclure</w:t>
      </w:r>
      <w:proofErr w:type="spellEnd"/>
      <w:r w:rsidR="00645606" w:rsidRPr="00590B93">
        <w:rPr>
          <w:lang w:val="en-US"/>
        </w:rPr>
        <w:t> :</w:t>
      </w:r>
      <w:proofErr w:type="gramEnd"/>
      <w:r w:rsidR="00645606" w:rsidRPr="00304300">
        <w:rPr>
          <w:lang w:val="en-US"/>
        </w:rPr>
        <w:t> </w:t>
      </w:r>
    </w:p>
    <w:p w14:paraId="47350DF1" w14:textId="3E58A9DE" w:rsidR="004A0BCA" w:rsidRPr="00DB6758" w:rsidRDefault="00645606" w:rsidP="00DB6758">
      <w:pPr>
        <w:spacing w:line="240" w:lineRule="auto"/>
        <w:ind w:left="708"/>
        <w:rPr>
          <w:sz w:val="20"/>
          <w:szCs w:val="20"/>
          <w:lang w:val="en-US"/>
        </w:rPr>
      </w:pPr>
      <w:r w:rsidRPr="00DB6758">
        <w:rPr>
          <w:sz w:val="20"/>
          <w:szCs w:val="20"/>
          <w:lang w:val="en-US"/>
        </w:rPr>
        <w:t>« Our demographic estimates show a massive racial disparity making evictions a civil rights issue related to contemporary discrimination in housing access and economic inequality linked to the legacies of segregation, policies, and practices directed against persons of color. »</w:t>
      </w:r>
      <w:r w:rsidR="00304300" w:rsidRPr="00DB6758">
        <w:rPr>
          <w:sz w:val="20"/>
          <w:szCs w:val="20"/>
          <w:lang w:val="en-US"/>
        </w:rPr>
        <w:t xml:space="preserve"> </w:t>
      </w:r>
    </w:p>
    <w:p w14:paraId="4CFB30E3" w14:textId="765B5FD0" w:rsidR="00304300" w:rsidRPr="00C604A7" w:rsidRDefault="00304300" w:rsidP="00304300">
      <w:pPr>
        <w:spacing w:line="276" w:lineRule="auto"/>
      </w:pPr>
      <w:r w:rsidRPr="004D6802">
        <w:t xml:space="preserve">Les Etats-Unis ne sont pas les seuls </w:t>
      </w:r>
      <w:r w:rsidR="004A0BCA">
        <w:t>pays où l’on retrouve</w:t>
      </w:r>
      <w:r w:rsidRPr="004D6802">
        <w:t xml:space="preserve"> </w:t>
      </w:r>
      <w:r w:rsidR="004A0BCA">
        <w:t>ce type de disparité</w:t>
      </w:r>
      <w:r w:rsidRPr="004D6802">
        <w:t xml:space="preserve"> : d’autres recherches ancrées sur le terrain canadien constatent également </w:t>
      </w:r>
      <w:r w:rsidR="00645606" w:rsidRPr="004D6802">
        <w:t>l</w:t>
      </w:r>
      <w:r w:rsidRPr="004D6802">
        <w:t xml:space="preserve">’ampleur disproportionnée du phénomène auprès des populations racialisées. </w:t>
      </w:r>
      <w:r w:rsidR="00645606" w:rsidRPr="004D6802">
        <w:t xml:space="preserve">En 2020, </w:t>
      </w:r>
      <w:r w:rsidR="00C5083C" w:rsidRPr="004D6802">
        <w:t xml:space="preserve">Leon et </w:t>
      </w:r>
      <w:proofErr w:type="spellStart"/>
      <w:r w:rsidR="00C5083C" w:rsidRPr="004D6802">
        <w:t>Iveniuk</w:t>
      </w:r>
      <w:proofErr w:type="spellEnd"/>
      <w:r w:rsidR="00C5083C" w:rsidRPr="004D6802">
        <w:t xml:space="preserve"> </w:t>
      </w:r>
      <w:r w:rsidR="00645606" w:rsidRPr="004D6802">
        <w:t xml:space="preserve">constatent </w:t>
      </w:r>
      <w:r w:rsidR="00C5083C" w:rsidRPr="004D6802">
        <w:t xml:space="preserve">que les </w:t>
      </w:r>
      <w:r w:rsidR="00C5083C" w:rsidRPr="00C604A7">
        <w:t xml:space="preserve">quartiers de Toronto </w:t>
      </w:r>
      <w:r w:rsidR="00DB6758" w:rsidRPr="00C604A7">
        <w:t>qui ont</w:t>
      </w:r>
      <w:r w:rsidR="00C5083C" w:rsidRPr="00C604A7">
        <w:t xml:space="preserve"> un taux plus élevé de population noire</w:t>
      </w:r>
      <w:r w:rsidR="00DB6758" w:rsidRPr="00C604A7">
        <w:t>,</w:t>
      </w:r>
      <w:r w:rsidR="00C5083C" w:rsidRPr="00C604A7">
        <w:t xml:space="preserve"> ont </w:t>
      </w:r>
      <w:r w:rsidR="00DB6758" w:rsidRPr="00C604A7">
        <w:t xml:space="preserve">aussi </w:t>
      </w:r>
      <w:r w:rsidR="00C5083C" w:rsidRPr="00C604A7">
        <w:t>des taux d'expulsion plus élevés</w:t>
      </w:r>
      <w:r w:rsidR="00645606" w:rsidRPr="00C604A7">
        <w:t xml:space="preserve"> (Leon et </w:t>
      </w:r>
      <w:proofErr w:type="spellStart"/>
      <w:r w:rsidR="00645606" w:rsidRPr="00C604A7">
        <w:t>Iveniuk</w:t>
      </w:r>
      <w:proofErr w:type="spellEnd"/>
      <w:r w:rsidR="00645606" w:rsidRPr="00C604A7">
        <w:t>, 2020)</w:t>
      </w:r>
      <w:r w:rsidR="00C5083C" w:rsidRPr="00C604A7">
        <w:t xml:space="preserve">. </w:t>
      </w:r>
    </w:p>
    <w:p w14:paraId="7E3546AD" w14:textId="0AEC5BC8" w:rsidR="006D088F" w:rsidRDefault="004E5EFD" w:rsidP="00E33474">
      <w:pPr>
        <w:spacing w:line="276" w:lineRule="auto"/>
      </w:pPr>
      <w:r w:rsidRPr="00C604A7">
        <w:t xml:space="preserve">La littérature nord-américaine (Etats-Unis et Canada) </w:t>
      </w:r>
      <w:r w:rsidR="00142867" w:rsidRPr="00C604A7">
        <w:t>et d’Europe scandinave, en</w:t>
      </w:r>
      <w:r w:rsidR="00142867">
        <w:t xml:space="preserve"> </w:t>
      </w:r>
      <w:r w:rsidR="006D088F">
        <w:t>combinant</w:t>
      </w:r>
      <w:r w:rsidR="00142867">
        <w:t xml:space="preserve"> travail ethnographique</w:t>
      </w:r>
      <w:r w:rsidR="006D088F">
        <w:t>, récolte statistique et approche l</w:t>
      </w:r>
      <w:r w:rsidR="00142867">
        <w:t>ongitudinal</w:t>
      </w:r>
      <w:r w:rsidR="006D088F">
        <w:t>e</w:t>
      </w:r>
      <w:r w:rsidR="00142867">
        <w:t xml:space="preserve">, </w:t>
      </w:r>
      <w:r>
        <w:t xml:space="preserve">nous permet d’en savoir plus sur </w:t>
      </w:r>
      <w:r w:rsidR="00142867">
        <w:t xml:space="preserve">le phénomène des expulsions, </w:t>
      </w:r>
      <w:r w:rsidR="00DB6758">
        <w:t xml:space="preserve">et notamment sur </w:t>
      </w:r>
      <w:r w:rsidR="00142867">
        <w:t>les trajectoires et les profils des personnes concernées</w:t>
      </w:r>
      <w:r>
        <w:t xml:space="preserve">. </w:t>
      </w:r>
      <w:r w:rsidR="00E33474">
        <w:t xml:space="preserve">Nous verrons que pour la Belgique, </w:t>
      </w:r>
      <w:r w:rsidR="00B61DB1">
        <w:t>l’</w:t>
      </w:r>
      <w:r w:rsidR="00E33474">
        <w:t xml:space="preserve">absence de récolte statistique d’envergure </w:t>
      </w:r>
      <w:r w:rsidR="00142867">
        <w:t xml:space="preserve">ou de travaux ethnographiques </w:t>
      </w:r>
      <w:r w:rsidR="00E33474">
        <w:t xml:space="preserve">sur le sujet </w:t>
      </w:r>
      <w:r w:rsidR="00DB6758">
        <w:t>nous prive de ce type d’informations.</w:t>
      </w:r>
      <w:r w:rsidR="00E33474">
        <w:t xml:space="preserve"> </w:t>
      </w:r>
    </w:p>
    <w:p w14:paraId="338E1B07" w14:textId="2889C2C7" w:rsidR="00C5083C" w:rsidRPr="004E5EFD" w:rsidRDefault="00E33474" w:rsidP="00E33474">
      <w:pPr>
        <w:spacing w:line="276" w:lineRule="auto"/>
      </w:pPr>
      <w:r>
        <w:t xml:space="preserve">Mais de </w:t>
      </w:r>
      <w:r w:rsidR="004E5EFD">
        <w:t xml:space="preserve">récentes </w:t>
      </w:r>
      <w:r w:rsidR="00BF0B93" w:rsidRPr="004E5EFD">
        <w:t>recherche</w:t>
      </w:r>
      <w:r w:rsidR="004E5EFD" w:rsidRPr="004E5EFD">
        <w:t>s</w:t>
      </w:r>
      <w:r w:rsidR="00BF0B93" w:rsidRPr="004E5EFD">
        <w:t xml:space="preserve"> émanant</w:t>
      </w:r>
      <w:r w:rsidR="00142867">
        <w:t xml:space="preserve">, non pas du champ </w:t>
      </w:r>
      <w:r w:rsidR="006D088F">
        <w:t>académique,</w:t>
      </w:r>
      <w:r w:rsidR="00142867">
        <w:t xml:space="preserve"> mais</w:t>
      </w:r>
      <w:r w:rsidR="00BF0B93" w:rsidRPr="004E5EFD">
        <w:t xml:space="preserve"> des institutions publiques</w:t>
      </w:r>
      <w:r w:rsidR="00DB6758">
        <w:t>,</w:t>
      </w:r>
      <w:r w:rsidR="00BF0B93" w:rsidRPr="004E5EFD">
        <w:t xml:space="preserve"> </w:t>
      </w:r>
      <w:r>
        <w:t>commencent à s’intéresser à</w:t>
      </w:r>
      <w:r w:rsidR="00BF0B93" w:rsidRPr="004E5EFD">
        <w:t xml:space="preserve"> la problématique. </w:t>
      </w:r>
    </w:p>
    <w:p w14:paraId="04BADCB9" w14:textId="32399524" w:rsidR="00C5083C" w:rsidRDefault="00C5083C" w:rsidP="00E505A5">
      <w:pPr>
        <w:spacing w:line="276" w:lineRule="auto"/>
        <w:rPr>
          <w:color w:val="FF0000"/>
        </w:rPr>
      </w:pPr>
    </w:p>
    <w:p w14:paraId="6E0A41B1" w14:textId="7AA535BB" w:rsidR="00311D2E" w:rsidRDefault="00D350DF" w:rsidP="001229BC">
      <w:pPr>
        <w:pStyle w:val="Titre2"/>
        <w:numPr>
          <w:ilvl w:val="1"/>
          <w:numId w:val="6"/>
        </w:numPr>
        <w:spacing w:line="276" w:lineRule="auto"/>
      </w:pPr>
      <w:bookmarkStart w:id="8" w:name="_Toc152687191"/>
      <w:r w:rsidRPr="00F7129B">
        <w:t>L</w:t>
      </w:r>
      <w:r w:rsidR="007A6EC2">
        <w:t>es expulsions locatives</w:t>
      </w:r>
      <w:r w:rsidRPr="00F7129B">
        <w:t xml:space="preserve">, </w:t>
      </w:r>
      <w:r w:rsidR="004E5EFD">
        <w:t xml:space="preserve">récent </w:t>
      </w:r>
      <w:r w:rsidR="00311D2E" w:rsidRPr="00F7129B">
        <w:t xml:space="preserve">objet </w:t>
      </w:r>
      <w:r w:rsidR="004E5EFD">
        <w:t>d’</w:t>
      </w:r>
      <w:r w:rsidR="00311D2E" w:rsidRPr="00F7129B">
        <w:t>action</w:t>
      </w:r>
      <w:r w:rsidR="00311D2E">
        <w:t xml:space="preserve"> publique </w:t>
      </w:r>
      <w:r w:rsidR="004E5EFD">
        <w:t>en Belgique</w:t>
      </w:r>
      <w:bookmarkEnd w:id="8"/>
      <w:r w:rsidR="004E5EFD">
        <w:t> </w:t>
      </w:r>
    </w:p>
    <w:p w14:paraId="36CDDA62" w14:textId="0B7A6E8A" w:rsidR="006D088F" w:rsidRDefault="006D088F" w:rsidP="007A6B04">
      <w:pPr>
        <w:spacing w:line="276" w:lineRule="auto"/>
      </w:pPr>
      <w:r>
        <w:t>En 1994, le Rapport général sur la pauvreté en Belgique, réalisé par la Fondation Roi Baudoin à la demande du Ministre de l’intégration social</w:t>
      </w:r>
      <w:r w:rsidR="00B22B4B">
        <w:t>e</w:t>
      </w:r>
      <w:r>
        <w:t xml:space="preserve"> évoqu</w:t>
      </w:r>
      <w:r w:rsidR="00B22B4B">
        <w:t>e</w:t>
      </w:r>
      <w:r>
        <w:t xml:space="preserve"> les expulsions </w:t>
      </w:r>
      <w:r w:rsidR="007A6B04">
        <w:t>domiciliaires</w:t>
      </w:r>
      <w:r>
        <w:t xml:space="preserve"> en ces termes :</w:t>
      </w:r>
    </w:p>
    <w:p w14:paraId="1D891B91" w14:textId="2A8B50F6" w:rsidR="00142867" w:rsidRDefault="006D088F" w:rsidP="007A6B04">
      <w:pPr>
        <w:spacing w:line="276" w:lineRule="auto"/>
        <w:ind w:left="708"/>
        <w:rPr>
          <w:sz w:val="20"/>
        </w:rPr>
      </w:pPr>
      <w:r w:rsidRPr="007A6B04">
        <w:rPr>
          <w:sz w:val="20"/>
        </w:rPr>
        <w:t>« L’expulsion, c’est avant tout une violation des droits de l’homme, de la dignité humaine et du droit à se loger. La réaction de la société et le regard qu’elle porte provoquent une humiliation publique. L’expulsion crée une profonde souffrance humaine et familiale et est vécue comme un traumatisme. C’est un drame qui se vit avant (angoisse de l’endettement, peur des poursuites judiciaires, énervement, troubles familiaux, dépressions), pendant (jugement de déguerpissent, saisie des biens, bris et perte des meubles) et après l’expulsion (placement des enfants, éclatement de la famille, perte du travail, désordres administratifs, troubles psychologiques).</w:t>
      </w:r>
      <w:r w:rsidR="00F07200">
        <w:rPr>
          <w:sz w:val="20"/>
        </w:rPr>
        <w:t> »</w:t>
      </w:r>
      <w:r w:rsidR="00581314">
        <w:rPr>
          <w:sz w:val="20"/>
        </w:rPr>
        <w:t xml:space="preserve"> </w:t>
      </w:r>
      <w:r w:rsidRPr="007A6B04">
        <w:rPr>
          <w:sz w:val="20"/>
        </w:rPr>
        <w:t>(</w:t>
      </w:r>
      <w:r w:rsidR="007A6B04" w:rsidRPr="007A6B04">
        <w:rPr>
          <w:sz w:val="20"/>
        </w:rPr>
        <w:t>Fondation Roi Baudoin, 1994 : 245)</w:t>
      </w:r>
    </w:p>
    <w:p w14:paraId="1CF14144" w14:textId="496B65DF" w:rsidR="00160AE8" w:rsidRDefault="00DC57E9" w:rsidP="00160AE8">
      <w:pPr>
        <w:spacing w:line="276" w:lineRule="auto"/>
      </w:pPr>
      <w:r>
        <w:t>Dans la suite du rapport, les auteurs s’inqui</w:t>
      </w:r>
      <w:r w:rsidR="00B22B4B">
        <w:t>è</w:t>
      </w:r>
      <w:r>
        <w:t>tent de l’absence de collecte de données</w:t>
      </w:r>
      <w:r w:rsidRPr="00DC57E9">
        <w:t xml:space="preserve"> pour se faire une idée précise de l'ampleur du phénomène.</w:t>
      </w:r>
      <w:r>
        <w:t xml:space="preserve"> Il faut attendre l’année 2015</w:t>
      </w:r>
      <w:r w:rsidR="00B22B4B">
        <w:t>,</w:t>
      </w:r>
      <w:r>
        <w:t xml:space="preserve"> soit 21 ans</w:t>
      </w:r>
      <w:r w:rsidR="00B22B4B">
        <w:t>,</w:t>
      </w:r>
      <w:r>
        <w:t xml:space="preserve"> pour qu’une institution régionale emboite le pas sur le sujet. C’est</w:t>
      </w:r>
      <w:r w:rsidR="00581314">
        <w:t xml:space="preserve"> </w:t>
      </w:r>
      <w:r>
        <w:rPr>
          <w:rFonts w:cs="Times New Roman"/>
        </w:rPr>
        <w:t>l</w:t>
      </w:r>
      <w:r w:rsidRPr="000F4498">
        <w:rPr>
          <w:rFonts w:cs="Times New Roman"/>
        </w:rPr>
        <w:t>’</w:t>
      </w:r>
      <w:r w:rsidR="00B22B4B">
        <w:rPr>
          <w:rFonts w:cs="Times New Roman"/>
        </w:rPr>
        <w:t>I</w:t>
      </w:r>
      <w:r w:rsidRPr="000F4498">
        <w:rPr>
          <w:rFonts w:cs="Times New Roman"/>
        </w:rPr>
        <w:t xml:space="preserve">nstitut wallon de l’évaluation, de la prospective </w:t>
      </w:r>
      <w:r w:rsidRPr="000F4498">
        <w:rPr>
          <w:rFonts w:cs="Times New Roman"/>
        </w:rPr>
        <w:lastRenderedPageBreak/>
        <w:t>et de la statistique (I</w:t>
      </w:r>
      <w:r w:rsidR="00D2449B">
        <w:rPr>
          <w:rFonts w:cs="Times New Roman"/>
        </w:rPr>
        <w:t>WEPS</w:t>
      </w:r>
      <w:r w:rsidRPr="000F4498">
        <w:rPr>
          <w:rFonts w:cs="Times New Roman"/>
        </w:rPr>
        <w:t xml:space="preserve">) </w:t>
      </w:r>
      <w:r>
        <w:rPr>
          <w:rFonts w:cs="Times New Roman"/>
        </w:rPr>
        <w:t xml:space="preserve">qui s’intéresse </w:t>
      </w:r>
      <w:r w:rsidRPr="000F4498">
        <w:rPr>
          <w:rFonts w:cs="Times New Roman"/>
        </w:rPr>
        <w:t xml:space="preserve">le premier </w:t>
      </w:r>
      <w:r>
        <w:rPr>
          <w:rFonts w:cs="Times New Roman"/>
        </w:rPr>
        <w:t>au</w:t>
      </w:r>
      <w:r w:rsidRPr="000F4498">
        <w:rPr>
          <w:rFonts w:cs="Times New Roman"/>
        </w:rPr>
        <w:t xml:space="preserve"> phénomène des expulsions locatives en Wallonie</w:t>
      </w:r>
      <w:r>
        <w:rPr>
          <w:rFonts w:cs="Times New Roman"/>
        </w:rPr>
        <w:t>.</w:t>
      </w:r>
    </w:p>
    <w:p w14:paraId="21B3C40C" w14:textId="77AC3156" w:rsidR="006D088F" w:rsidRPr="00142867" w:rsidRDefault="006D088F" w:rsidP="006D088F">
      <w:pPr>
        <w:pStyle w:val="Titre3"/>
      </w:pPr>
      <w:bookmarkStart w:id="9" w:name="_Toc152687192"/>
      <w:r>
        <w:t>Un récent sujet de recherche pour les institutions publiques régionales</w:t>
      </w:r>
      <w:bookmarkEnd w:id="9"/>
      <w:r>
        <w:t xml:space="preserve"> </w:t>
      </w:r>
    </w:p>
    <w:p w14:paraId="7381798F" w14:textId="6351A489" w:rsidR="00BF0B93" w:rsidRPr="000F4498" w:rsidRDefault="00CA58E8" w:rsidP="00E505A5">
      <w:pPr>
        <w:spacing w:line="276" w:lineRule="auto"/>
        <w:rPr>
          <w:rFonts w:cs="Times New Roman"/>
        </w:rPr>
      </w:pPr>
      <w:r w:rsidRPr="000F4498">
        <w:rPr>
          <w:rFonts w:cs="Times New Roman"/>
        </w:rPr>
        <w:t>D</w:t>
      </w:r>
      <w:r w:rsidR="00BF0B93" w:rsidRPr="000F4498">
        <w:rPr>
          <w:rFonts w:cs="Times New Roman"/>
          <w:shd w:val="clear" w:color="auto" w:fill="FFFFFF"/>
        </w:rPr>
        <w:t xml:space="preserve">e janvier 2013 à septembre 2014, l’IWEPS </w:t>
      </w:r>
      <w:r w:rsidRPr="000F4498">
        <w:rPr>
          <w:rFonts w:cs="Times New Roman"/>
          <w:shd w:val="clear" w:color="auto" w:fill="FFFFFF"/>
        </w:rPr>
        <w:t xml:space="preserve">réalise donc une </w:t>
      </w:r>
      <w:r w:rsidR="00BF0B93" w:rsidRPr="000F4498">
        <w:rPr>
          <w:rFonts w:cs="Times New Roman"/>
          <w:shd w:val="clear" w:color="auto" w:fill="FFFFFF"/>
        </w:rPr>
        <w:t xml:space="preserve">étude exploratoire sur les expulsions locatives </w:t>
      </w:r>
      <w:r w:rsidR="00B22B4B">
        <w:rPr>
          <w:rFonts w:cs="Times New Roman"/>
          <w:shd w:val="clear" w:color="auto" w:fill="FFFFFF"/>
        </w:rPr>
        <w:t>en</w:t>
      </w:r>
      <w:r w:rsidRPr="000F4498">
        <w:rPr>
          <w:rFonts w:cs="Times New Roman"/>
          <w:shd w:val="clear" w:color="auto" w:fill="FFFFFF"/>
        </w:rPr>
        <w:t xml:space="preserve"> territoire </w:t>
      </w:r>
      <w:r w:rsidRPr="00F07200">
        <w:rPr>
          <w:rFonts w:cs="Times New Roman"/>
          <w:shd w:val="clear" w:color="auto" w:fill="FFFFFF"/>
        </w:rPr>
        <w:t>wallon</w:t>
      </w:r>
      <w:r w:rsidR="00172CD3" w:rsidRPr="00F07200">
        <w:rPr>
          <w:rFonts w:cs="Times New Roman"/>
          <w:shd w:val="clear" w:color="auto" w:fill="FFFFFF"/>
        </w:rPr>
        <w:t xml:space="preserve"> (</w:t>
      </w:r>
      <w:r w:rsidR="00DF213E" w:rsidRPr="00F07200">
        <w:rPr>
          <w:rFonts w:cs="Times New Roman"/>
          <w:shd w:val="clear" w:color="auto" w:fill="FFFFFF"/>
        </w:rPr>
        <w:t>IWEPS, 2014)</w:t>
      </w:r>
      <w:r w:rsidR="00BF0B93" w:rsidRPr="00F07200">
        <w:rPr>
          <w:rFonts w:cs="Times New Roman"/>
          <w:shd w:val="clear" w:color="auto" w:fill="FFFFFF"/>
        </w:rPr>
        <w:t>.</w:t>
      </w:r>
      <w:r w:rsidRPr="00F07200">
        <w:rPr>
          <w:rFonts w:cs="Times New Roman"/>
          <w:shd w:val="clear" w:color="auto" w:fill="FFFFFF"/>
        </w:rPr>
        <w:t xml:space="preserve"> Le rapport reprend un premier </w:t>
      </w:r>
      <w:r w:rsidR="00BF0B93" w:rsidRPr="00F07200">
        <w:rPr>
          <w:rFonts w:cs="Times New Roman"/>
          <w:shd w:val="clear" w:color="auto" w:fill="FFFFFF"/>
        </w:rPr>
        <w:t>volet</w:t>
      </w:r>
      <w:r w:rsidRPr="00F07200">
        <w:rPr>
          <w:rFonts w:cs="Times New Roman"/>
          <w:shd w:val="clear" w:color="auto" w:fill="FFFFFF"/>
        </w:rPr>
        <w:t xml:space="preserve">, </w:t>
      </w:r>
      <w:r w:rsidR="00BF0B93" w:rsidRPr="00F07200">
        <w:rPr>
          <w:rFonts w:cs="Times New Roman"/>
          <w:shd w:val="clear" w:color="auto" w:fill="FFFFFF"/>
        </w:rPr>
        <w:t>quantitatif</w:t>
      </w:r>
      <w:r w:rsidRPr="00F07200">
        <w:rPr>
          <w:rFonts w:cs="Times New Roman"/>
          <w:shd w:val="clear" w:color="auto" w:fill="FFFFFF"/>
        </w:rPr>
        <w:t xml:space="preserve">, qui rassemble différentes </w:t>
      </w:r>
      <w:r w:rsidR="00BF0B93" w:rsidRPr="00F07200">
        <w:rPr>
          <w:rFonts w:cs="Times New Roman"/>
          <w:shd w:val="clear" w:color="auto" w:fill="FFFFFF"/>
        </w:rPr>
        <w:t>données relatives aux expulsions administratives et aux expulsions judiciaires au niveau wallon</w:t>
      </w:r>
      <w:r w:rsidRPr="00F07200">
        <w:rPr>
          <w:rFonts w:cs="Times New Roman"/>
          <w:shd w:val="clear" w:color="auto" w:fill="FFFFFF"/>
        </w:rPr>
        <w:t xml:space="preserve"> (</w:t>
      </w:r>
      <w:r w:rsidR="003F70EA" w:rsidRPr="00F07200">
        <w:rPr>
          <w:rFonts w:cs="Times New Roman"/>
          <w:shd w:val="clear" w:color="auto" w:fill="FFFFFF"/>
        </w:rPr>
        <w:t>données récoltées via des questionnaires</w:t>
      </w:r>
      <w:r w:rsidR="003F70EA" w:rsidRPr="003F70EA">
        <w:rPr>
          <w:rFonts w:cs="Times New Roman"/>
          <w:shd w:val="clear" w:color="auto" w:fill="FFFFFF"/>
        </w:rPr>
        <w:t xml:space="preserve"> adressés aux communes, aux Agences immobilières sociales, à la chambre des huissiers et aux Société</w:t>
      </w:r>
      <w:r w:rsidR="00D25603">
        <w:rPr>
          <w:rFonts w:cs="Times New Roman"/>
          <w:shd w:val="clear" w:color="auto" w:fill="FFFFFF"/>
        </w:rPr>
        <w:t>s</w:t>
      </w:r>
      <w:r w:rsidR="003F70EA" w:rsidRPr="003F70EA">
        <w:rPr>
          <w:rFonts w:cs="Times New Roman"/>
          <w:shd w:val="clear" w:color="auto" w:fill="FFFFFF"/>
        </w:rPr>
        <w:t xml:space="preserve"> de logement de service public).</w:t>
      </w:r>
      <w:r w:rsidRPr="000F4498">
        <w:rPr>
          <w:rFonts w:cs="Times New Roman"/>
          <w:shd w:val="clear" w:color="auto" w:fill="FFFFFF"/>
        </w:rPr>
        <w:t xml:space="preserve"> C’est la première fois que le phénomène est mesuré au niveau régional. Le rapport comprend également un second volet, qualitatif, qui </w:t>
      </w:r>
      <w:r w:rsidR="00BF0B93" w:rsidRPr="000F4498">
        <w:rPr>
          <w:rFonts w:cs="Times New Roman"/>
          <w:shd w:val="clear" w:color="auto" w:fill="FFFFFF"/>
        </w:rPr>
        <w:t>permet de mieux comprendre le vécu des expulsions</w:t>
      </w:r>
      <w:r w:rsidR="00D25603">
        <w:rPr>
          <w:rFonts w:cs="Times New Roman"/>
          <w:shd w:val="clear" w:color="auto" w:fill="FFFFFF"/>
        </w:rPr>
        <w:t> :</w:t>
      </w:r>
      <w:r w:rsidRPr="000F4498">
        <w:rPr>
          <w:rFonts w:cs="Times New Roman"/>
          <w:shd w:val="clear" w:color="auto" w:fill="FFFFFF"/>
        </w:rPr>
        <w:t xml:space="preserve"> </w:t>
      </w:r>
      <w:r w:rsidR="00BF0B93" w:rsidRPr="000F4498">
        <w:rPr>
          <w:rFonts w:cs="Times New Roman"/>
          <w:shd w:val="clear" w:color="auto" w:fill="FFFFFF"/>
        </w:rPr>
        <w:t>comment les acteurs concernés, locataires, propriétaires privés et publics, professionnels du droit et du social, interprètent et réagissent face à ces phénomènes.</w:t>
      </w:r>
    </w:p>
    <w:p w14:paraId="4C06FDBF" w14:textId="6808B57F" w:rsidR="00CA58E8" w:rsidRPr="000F4498" w:rsidRDefault="00CA58E8" w:rsidP="00E505A5">
      <w:pPr>
        <w:spacing w:line="276" w:lineRule="auto"/>
        <w:rPr>
          <w:rFonts w:cs="Times New Roman"/>
          <w:color w:val="535658"/>
        </w:rPr>
      </w:pPr>
      <w:r w:rsidRPr="00393E82">
        <w:rPr>
          <w:rFonts w:cs="Times New Roman"/>
          <w:shd w:val="clear" w:color="auto" w:fill="FFFFFF"/>
        </w:rPr>
        <w:t xml:space="preserve">En 2018, c’est au tour de la </w:t>
      </w:r>
      <w:r w:rsidRPr="00F07200">
        <w:rPr>
          <w:rFonts w:cs="Times New Roman"/>
          <w:shd w:val="clear" w:color="auto" w:fill="FFFFFF"/>
        </w:rPr>
        <w:t>Région bruxelloise de se pencher sur le phénomène</w:t>
      </w:r>
      <w:r w:rsidR="00393E82" w:rsidRPr="00F07200">
        <w:rPr>
          <w:rFonts w:cs="Times New Roman"/>
          <w:shd w:val="clear" w:color="auto" w:fill="FFFFFF"/>
        </w:rPr>
        <w:t xml:space="preserve"> (</w:t>
      </w:r>
      <w:r w:rsidR="00F07200" w:rsidRPr="00F07200">
        <w:rPr>
          <w:rFonts w:cs="Times New Roman"/>
          <w:shd w:val="clear" w:color="auto" w:fill="FFFFFF"/>
        </w:rPr>
        <w:t>Observatoire de la santé et du social, 2019</w:t>
      </w:r>
      <w:r w:rsidR="00F07200">
        <w:rPr>
          <w:rFonts w:cs="Times New Roman"/>
          <w:shd w:val="clear" w:color="auto" w:fill="FFFFFF"/>
        </w:rPr>
        <w:t>a.</w:t>
      </w:r>
      <w:r w:rsidR="00393E82" w:rsidRPr="00F07200">
        <w:rPr>
          <w:rFonts w:cs="Times New Roman"/>
          <w:shd w:val="clear" w:color="auto" w:fill="FFFFFF"/>
        </w:rPr>
        <w:t>)</w:t>
      </w:r>
      <w:r w:rsidRPr="00F07200">
        <w:rPr>
          <w:rFonts w:cs="Times New Roman"/>
          <w:shd w:val="clear" w:color="auto" w:fill="FFFFFF"/>
        </w:rPr>
        <w:t xml:space="preserve">. </w:t>
      </w:r>
      <w:r w:rsidR="00393E82" w:rsidRPr="00F07200">
        <w:rPr>
          <w:rFonts w:cs="Times New Roman"/>
          <w:shd w:val="clear" w:color="auto" w:fill="FFFFFF"/>
        </w:rPr>
        <w:t>L</w:t>
      </w:r>
      <w:r w:rsidR="009E6BDF" w:rsidRPr="00F07200">
        <w:rPr>
          <w:rFonts w:cs="Times New Roman"/>
          <w:shd w:val="clear" w:color="auto" w:fill="FFFFFF"/>
        </w:rPr>
        <w:t xml:space="preserve">’Observatoire de la Santé et du Social de Bruxelles-Capitale </w:t>
      </w:r>
      <w:r w:rsidR="00393E82" w:rsidRPr="00F07200">
        <w:rPr>
          <w:rFonts w:cs="Times New Roman"/>
          <w:shd w:val="clear" w:color="auto" w:fill="FFFFFF"/>
        </w:rPr>
        <w:t xml:space="preserve">décide cette année-là de consacrer </w:t>
      </w:r>
      <w:r w:rsidR="009E6BDF" w:rsidRPr="00F07200">
        <w:rPr>
          <w:rFonts w:cs="Times New Roman"/>
          <w:shd w:val="clear" w:color="auto" w:fill="FFFFFF"/>
        </w:rPr>
        <w:t>son Rapport thématique sur l’état de la pauvreté 2018 à la question du mal-logement</w:t>
      </w:r>
      <w:r w:rsidR="00D25603">
        <w:rPr>
          <w:rFonts w:cs="Times New Roman"/>
          <w:shd w:val="clear" w:color="auto" w:fill="FFFFFF"/>
        </w:rPr>
        <w:t>,</w:t>
      </w:r>
      <w:r w:rsidR="009E6BDF" w:rsidRPr="00F07200">
        <w:rPr>
          <w:rFonts w:cs="Times New Roman"/>
          <w:shd w:val="clear" w:color="auto" w:fill="FFFFFF"/>
        </w:rPr>
        <w:t xml:space="preserve"> </w:t>
      </w:r>
      <w:r w:rsidR="00393E82" w:rsidRPr="00F07200">
        <w:rPr>
          <w:rFonts w:cs="Times New Roman"/>
          <w:shd w:val="clear" w:color="auto" w:fill="FFFFFF"/>
        </w:rPr>
        <w:t xml:space="preserve">avec un focus sur la question des </w:t>
      </w:r>
      <w:r w:rsidRPr="00F07200">
        <w:rPr>
          <w:rFonts w:cs="Times New Roman"/>
          <w:shd w:val="clear" w:color="auto" w:fill="FFFFFF"/>
        </w:rPr>
        <w:t>expulsions</w:t>
      </w:r>
      <w:r w:rsidRPr="00393E82">
        <w:rPr>
          <w:rFonts w:cs="Times New Roman"/>
          <w:shd w:val="clear" w:color="auto" w:fill="FFFFFF"/>
        </w:rPr>
        <w:t xml:space="preserve"> domiciliaires dans la Région. </w:t>
      </w:r>
      <w:r w:rsidR="00393E82">
        <w:rPr>
          <w:rFonts w:cs="Times New Roman"/>
          <w:shd w:val="clear" w:color="auto" w:fill="FFFFFF"/>
        </w:rPr>
        <w:t>Consta</w:t>
      </w:r>
      <w:r w:rsidR="00D25603">
        <w:rPr>
          <w:rFonts w:cs="Times New Roman"/>
          <w:shd w:val="clear" w:color="auto" w:fill="FFFFFF"/>
        </w:rPr>
        <w:t>ta</w:t>
      </w:r>
      <w:r w:rsidR="00393E82">
        <w:rPr>
          <w:rFonts w:cs="Times New Roman"/>
          <w:shd w:val="clear" w:color="auto" w:fill="FFFFFF"/>
        </w:rPr>
        <w:t xml:space="preserve">nt l’absence de données quantitatives pour cerner un phénomène qui touche pourtant de nombreux belges au quotidiens, le rapport s’appuie sur des entretiens auprès d’acteurs de terrain et de personnes concernées, pour illustrer </w:t>
      </w:r>
      <w:r w:rsidRPr="00393E82">
        <w:rPr>
          <w:rFonts w:cs="Times New Roman"/>
          <w:shd w:val="clear" w:color="auto" w:fill="FFFFFF"/>
        </w:rPr>
        <w:t xml:space="preserve">les conséquences des expulsions, tant en termes de vécu traumatique qu’au niveau de ses effets </w:t>
      </w:r>
      <w:r w:rsidR="00393E82" w:rsidRPr="00393E82">
        <w:rPr>
          <w:rFonts w:cs="Times New Roman"/>
          <w:shd w:val="clear" w:color="auto" w:fill="FFFFFF"/>
        </w:rPr>
        <w:t xml:space="preserve">(amplification des situations de pauvreté et </w:t>
      </w:r>
      <w:r w:rsidRPr="00393E82">
        <w:rPr>
          <w:rFonts w:cs="Times New Roman"/>
          <w:shd w:val="clear" w:color="auto" w:fill="FFFFFF"/>
        </w:rPr>
        <w:t>non-accès aux droits</w:t>
      </w:r>
      <w:r w:rsidR="00393E82" w:rsidRPr="00393E82">
        <w:rPr>
          <w:rFonts w:cs="Times New Roman"/>
          <w:shd w:val="clear" w:color="auto" w:fill="FFFFFF"/>
        </w:rPr>
        <w:t>)</w:t>
      </w:r>
      <w:r w:rsidRPr="00393E82">
        <w:rPr>
          <w:rFonts w:cs="Times New Roman"/>
          <w:shd w:val="clear" w:color="auto" w:fill="FFFFFF"/>
        </w:rPr>
        <w:t xml:space="preserve">. </w:t>
      </w:r>
      <w:r w:rsidR="00393E82" w:rsidRPr="00393E82">
        <w:rPr>
          <w:rFonts w:cs="Times New Roman"/>
          <w:shd w:val="clear" w:color="auto" w:fill="FFFFFF"/>
        </w:rPr>
        <w:t xml:space="preserve">Le rapport </w:t>
      </w:r>
      <w:r w:rsidRPr="00393E82">
        <w:rPr>
          <w:rFonts w:cs="Times New Roman"/>
          <w:shd w:val="clear" w:color="auto" w:fill="FFFFFF"/>
        </w:rPr>
        <w:t>pointe également les grandes difficultés</w:t>
      </w:r>
      <w:r w:rsidR="00393E82" w:rsidRPr="00393E82">
        <w:rPr>
          <w:rFonts w:cs="Times New Roman"/>
          <w:shd w:val="clear" w:color="auto" w:fill="FFFFFF"/>
        </w:rPr>
        <w:t xml:space="preserve"> à</w:t>
      </w:r>
      <w:r w:rsidRPr="00393E82">
        <w:rPr>
          <w:rFonts w:cs="Times New Roman"/>
          <w:shd w:val="clear" w:color="auto" w:fill="FFFFFF"/>
        </w:rPr>
        <w:t xml:space="preserve"> trouver des solutions de relogement adéquates dans la Région pour les personnes expulsées</w:t>
      </w:r>
      <w:r w:rsidR="00393E82" w:rsidRPr="00393E82">
        <w:rPr>
          <w:rFonts w:cs="Times New Roman"/>
          <w:shd w:val="clear" w:color="auto" w:fill="FFFFFF"/>
        </w:rPr>
        <w:t>.</w:t>
      </w:r>
    </w:p>
    <w:p w14:paraId="438CC970" w14:textId="5561094C" w:rsidR="008C475A" w:rsidRPr="006879B2" w:rsidRDefault="00E1749E" w:rsidP="00E505A5">
      <w:pPr>
        <w:pStyle w:val="rteindent1"/>
        <w:shd w:val="clear" w:color="auto" w:fill="FFFFFF"/>
        <w:spacing w:before="0" w:beforeAutospacing="0" w:after="150" w:afterAutospacing="0" w:line="276" w:lineRule="auto"/>
        <w:jc w:val="both"/>
        <w:rPr>
          <w:szCs w:val="22"/>
        </w:rPr>
      </w:pPr>
      <w:r w:rsidRPr="006879B2">
        <w:rPr>
          <w:rStyle w:val="lev"/>
          <w:b w:val="0"/>
          <w:szCs w:val="22"/>
        </w:rPr>
        <w:t xml:space="preserve">Une seconde partie du Rapport bruxellois prend la forme d’un </w:t>
      </w:r>
      <w:r w:rsidR="008C475A" w:rsidRPr="006879B2">
        <w:rPr>
          <w:rStyle w:val="Accentuation"/>
          <w:szCs w:val="22"/>
        </w:rPr>
        <w:t xml:space="preserve">Regards </w:t>
      </w:r>
      <w:r w:rsidR="008C475A" w:rsidRPr="00720910">
        <w:rPr>
          <w:rStyle w:val="Accentuation"/>
          <w:szCs w:val="22"/>
        </w:rPr>
        <w:t>croisés</w:t>
      </w:r>
      <w:r w:rsidR="006879B2" w:rsidRPr="00720910">
        <w:rPr>
          <w:rStyle w:val="Accentuation"/>
          <w:szCs w:val="22"/>
        </w:rPr>
        <w:t xml:space="preserve"> </w:t>
      </w:r>
      <w:r w:rsidR="006879B2" w:rsidRPr="00720910">
        <w:rPr>
          <w:shd w:val="clear" w:color="auto" w:fill="FFFFFF"/>
        </w:rPr>
        <w:t>(</w:t>
      </w:r>
      <w:r w:rsidR="00720910" w:rsidRPr="00F07200">
        <w:rPr>
          <w:shd w:val="clear" w:color="auto" w:fill="FFFFFF"/>
        </w:rPr>
        <w:t>Observatoire de la santé et du social</w:t>
      </w:r>
      <w:r w:rsidR="00720910">
        <w:rPr>
          <w:shd w:val="clear" w:color="auto" w:fill="FFFFFF"/>
        </w:rPr>
        <w:t>,</w:t>
      </w:r>
      <w:r w:rsidR="00720910" w:rsidRPr="00720910">
        <w:rPr>
          <w:shd w:val="clear" w:color="auto" w:fill="FFFFFF"/>
        </w:rPr>
        <w:t>2019</w:t>
      </w:r>
      <w:r w:rsidR="00720910">
        <w:rPr>
          <w:shd w:val="clear" w:color="auto" w:fill="FFFFFF"/>
        </w:rPr>
        <w:t>b</w:t>
      </w:r>
      <w:r w:rsidR="006879B2" w:rsidRPr="00720910">
        <w:rPr>
          <w:shd w:val="clear" w:color="auto" w:fill="FFFFFF"/>
        </w:rPr>
        <w:t>)</w:t>
      </w:r>
      <w:r w:rsidR="006879B2" w:rsidRPr="00720910">
        <w:rPr>
          <w:rStyle w:val="Accentuation"/>
          <w:szCs w:val="22"/>
        </w:rPr>
        <w:t xml:space="preserve">. </w:t>
      </w:r>
      <w:r w:rsidR="006879B2" w:rsidRPr="00720910">
        <w:rPr>
          <w:rStyle w:val="Accentuation"/>
          <w:i w:val="0"/>
          <w:szCs w:val="22"/>
        </w:rPr>
        <w:t>Il reprend</w:t>
      </w:r>
      <w:r w:rsidR="006879B2" w:rsidRPr="006879B2">
        <w:rPr>
          <w:rStyle w:val="Accentuation"/>
          <w:i w:val="0"/>
          <w:szCs w:val="22"/>
        </w:rPr>
        <w:t xml:space="preserve"> un </w:t>
      </w:r>
      <w:r w:rsidR="008C475A" w:rsidRPr="006879B2">
        <w:rPr>
          <w:szCs w:val="22"/>
        </w:rPr>
        <w:t>ensemble de contributions d’institutions (ASBL, services publics) disposant d’une expertise spécifique concernant la thématique des expulsions et du mal-logement en Région bruxelloise. Chaque organisation propose des actions, des pistes concrètes et des recommandations en vue d’éviter les expulsions.</w:t>
      </w:r>
    </w:p>
    <w:p w14:paraId="4A6D4FE2" w14:textId="3B7CFE10" w:rsidR="005E5C5F" w:rsidRDefault="000E1E06" w:rsidP="00E505A5">
      <w:pPr>
        <w:spacing w:line="276" w:lineRule="auto"/>
        <w:rPr>
          <w:rFonts w:cs="Times New Roman"/>
          <w:shd w:val="clear" w:color="auto" w:fill="FFFFFF"/>
        </w:rPr>
      </w:pPr>
      <w:r w:rsidRPr="008C475A">
        <w:rPr>
          <w:rFonts w:cs="Times New Roman"/>
          <w:shd w:val="clear" w:color="auto" w:fill="FFFFFF"/>
        </w:rPr>
        <w:t xml:space="preserve">Le Rapport thématique 2018 sur l’état de la pauvreté sur les expulsions </w:t>
      </w:r>
      <w:r w:rsidR="00172CD3" w:rsidRPr="008C475A">
        <w:rPr>
          <w:rFonts w:cs="Times New Roman"/>
          <w:shd w:val="clear" w:color="auto" w:fill="FFFFFF"/>
        </w:rPr>
        <w:t xml:space="preserve">est ensuite </w:t>
      </w:r>
      <w:r w:rsidRPr="008C475A">
        <w:rPr>
          <w:rFonts w:cs="Times New Roman"/>
          <w:shd w:val="clear" w:color="auto" w:fill="FFFFFF"/>
        </w:rPr>
        <w:t xml:space="preserve">complété par une étude </w:t>
      </w:r>
      <w:r w:rsidRPr="00720910">
        <w:rPr>
          <w:rFonts w:cs="Times New Roman"/>
          <w:shd w:val="clear" w:color="auto" w:fill="FFFFFF"/>
        </w:rPr>
        <w:t>juridique approfondie</w:t>
      </w:r>
      <w:r w:rsidR="00D25603">
        <w:rPr>
          <w:rFonts w:cs="Times New Roman"/>
          <w:shd w:val="clear" w:color="auto" w:fill="FFFFFF"/>
        </w:rPr>
        <w:t>,</w:t>
      </w:r>
      <w:r w:rsidRPr="00720910">
        <w:rPr>
          <w:rFonts w:cs="Times New Roman"/>
          <w:shd w:val="clear" w:color="auto" w:fill="FFFFFF"/>
        </w:rPr>
        <w:t xml:space="preserve"> réalisée par </w:t>
      </w:r>
      <w:r w:rsidR="00172CD3" w:rsidRPr="00720910">
        <w:rPr>
          <w:rFonts w:cs="Times New Roman"/>
          <w:shd w:val="clear" w:color="auto" w:fill="FFFFFF"/>
        </w:rPr>
        <w:t xml:space="preserve">les chercheurs et juristes </w:t>
      </w:r>
      <w:r w:rsidRPr="00720910">
        <w:rPr>
          <w:rFonts w:cs="Times New Roman"/>
          <w:shd w:val="clear" w:color="auto" w:fill="FFFFFF"/>
        </w:rPr>
        <w:t>Véronique van der Plancke et Nicolas Bernard</w:t>
      </w:r>
      <w:r w:rsidR="008C475A" w:rsidRPr="00720910">
        <w:rPr>
          <w:rFonts w:cs="Times New Roman"/>
          <w:shd w:val="clear" w:color="auto" w:fill="FFFFFF"/>
        </w:rPr>
        <w:t xml:space="preserve"> (</w:t>
      </w:r>
      <w:r w:rsidR="00720910" w:rsidRPr="00720910">
        <w:rPr>
          <w:rFonts w:cs="Times New Roman"/>
          <w:shd w:val="clear" w:color="auto" w:fill="FFFFFF"/>
        </w:rPr>
        <w:t>Observatoire de la santé et du social, 2019c.)</w:t>
      </w:r>
      <w:r w:rsidR="00720910">
        <w:rPr>
          <w:rFonts w:cs="Times New Roman"/>
          <w:shd w:val="clear" w:color="auto" w:fill="FFFFFF"/>
        </w:rPr>
        <w:t xml:space="preserve"> </w:t>
      </w:r>
      <w:r w:rsidR="008C475A" w:rsidRPr="008C475A">
        <w:rPr>
          <w:rFonts w:cs="Times New Roman"/>
          <w:shd w:val="clear" w:color="auto" w:fill="FFFFFF"/>
        </w:rPr>
        <w:t>L</w:t>
      </w:r>
      <w:r w:rsidRPr="008C475A">
        <w:rPr>
          <w:rFonts w:cs="Times New Roman"/>
          <w:shd w:val="clear" w:color="auto" w:fill="FFFFFF"/>
        </w:rPr>
        <w:t>e dossier fournit une analyse détaillée des différentes formes d’expulsions (judiciaires, administratives, illégales), des procédures associées</w:t>
      </w:r>
      <w:r w:rsidR="00D25603">
        <w:rPr>
          <w:rFonts w:cs="Times New Roman"/>
          <w:shd w:val="clear" w:color="auto" w:fill="FFFFFF"/>
        </w:rPr>
        <w:t>,</w:t>
      </w:r>
      <w:r w:rsidRPr="008C475A">
        <w:rPr>
          <w:rFonts w:cs="Times New Roman"/>
          <w:shd w:val="clear" w:color="auto" w:fill="FFFFFF"/>
        </w:rPr>
        <w:t xml:space="preserve"> et des recours existants en région bruxelloise</w:t>
      </w:r>
      <w:r w:rsidR="00D25603">
        <w:rPr>
          <w:rFonts w:cs="Times New Roman"/>
          <w:shd w:val="clear" w:color="auto" w:fill="FFFFFF"/>
        </w:rPr>
        <w:t>,</w:t>
      </w:r>
      <w:r w:rsidR="008C475A" w:rsidRPr="008C475A">
        <w:rPr>
          <w:rFonts w:cs="Times New Roman"/>
          <w:shd w:val="clear" w:color="auto" w:fill="FFFFFF"/>
        </w:rPr>
        <w:t xml:space="preserve"> et </w:t>
      </w:r>
      <w:r w:rsidR="00D25603">
        <w:rPr>
          <w:rFonts w:cs="Times New Roman"/>
          <w:shd w:val="clear" w:color="auto" w:fill="FFFFFF"/>
        </w:rPr>
        <w:t xml:space="preserve">il </w:t>
      </w:r>
      <w:r w:rsidR="008C475A" w:rsidRPr="008C475A">
        <w:rPr>
          <w:rFonts w:cs="Times New Roman"/>
          <w:shd w:val="clear" w:color="auto" w:fill="FFFFFF"/>
        </w:rPr>
        <w:t xml:space="preserve">met en exergue les </w:t>
      </w:r>
      <w:r w:rsidRPr="008C475A">
        <w:rPr>
          <w:rFonts w:cs="Times New Roman"/>
          <w:shd w:val="clear" w:color="auto" w:fill="FFFFFF"/>
        </w:rPr>
        <w:t>récentes évolutions législatives</w:t>
      </w:r>
      <w:r w:rsidR="008C475A" w:rsidRPr="008C475A">
        <w:rPr>
          <w:rFonts w:cs="Times New Roman"/>
          <w:shd w:val="clear" w:color="auto" w:fill="FFFFFF"/>
        </w:rPr>
        <w:t>.</w:t>
      </w:r>
      <w:r w:rsidR="00142867">
        <w:rPr>
          <w:rFonts w:cs="Times New Roman"/>
          <w:shd w:val="clear" w:color="auto" w:fill="FFFFFF"/>
        </w:rPr>
        <w:t xml:space="preserve"> </w:t>
      </w:r>
      <w:r w:rsidR="00122EDE">
        <w:rPr>
          <w:rFonts w:cs="Times New Roman"/>
          <w:shd w:val="clear" w:color="auto" w:fill="FFFFFF"/>
        </w:rPr>
        <w:t xml:space="preserve">Sur cet aspect juridico-juridique, Nicolas Bernard </w:t>
      </w:r>
      <w:r w:rsidR="006E7CA5">
        <w:rPr>
          <w:rFonts w:cs="Times New Roman"/>
          <w:shd w:val="clear" w:color="auto" w:fill="FFFFFF"/>
        </w:rPr>
        <w:t xml:space="preserve">et Laurent Lemaire publiaient </w:t>
      </w:r>
      <w:r w:rsidR="00122EDE">
        <w:rPr>
          <w:rFonts w:cs="Times New Roman"/>
          <w:shd w:val="clear" w:color="auto" w:fill="FFFFFF"/>
        </w:rPr>
        <w:t xml:space="preserve">en 2010 un </w:t>
      </w:r>
      <w:r w:rsidR="005E5C5F">
        <w:rPr>
          <w:rFonts w:cs="Times New Roman"/>
          <w:shd w:val="clear" w:color="auto" w:fill="FFFFFF"/>
        </w:rPr>
        <w:t xml:space="preserve">premier </w:t>
      </w:r>
      <w:r w:rsidR="00122EDE">
        <w:rPr>
          <w:rFonts w:cs="Times New Roman"/>
          <w:shd w:val="clear" w:color="auto" w:fill="FFFFFF"/>
        </w:rPr>
        <w:t xml:space="preserve">ouvrage portant sur les </w:t>
      </w:r>
      <w:r w:rsidR="00122EDE" w:rsidRPr="00122EDE">
        <w:rPr>
          <w:rStyle w:val="a-size-extra-large"/>
          <w:rFonts w:cs="Times New Roman"/>
          <w:i/>
          <w:color w:val="0F1111"/>
        </w:rPr>
        <w:t>Expulsions de logement, sans-abrisme et relogement</w:t>
      </w:r>
      <w:r w:rsidR="00122EDE">
        <w:rPr>
          <w:rStyle w:val="a-size-extra-large"/>
          <w:rFonts w:cs="Times New Roman"/>
          <w:color w:val="0F1111"/>
        </w:rPr>
        <w:t xml:space="preserve"> </w:t>
      </w:r>
      <w:r w:rsidR="00122EDE" w:rsidRPr="00B86BC3">
        <w:rPr>
          <w:rStyle w:val="a-size-extra-large"/>
          <w:rFonts w:cs="Times New Roman"/>
          <w:color w:val="0F1111"/>
        </w:rPr>
        <w:t>(</w:t>
      </w:r>
      <w:r w:rsidR="00B86BC3" w:rsidRPr="00B86BC3">
        <w:rPr>
          <w:rStyle w:val="a-size-extra-large"/>
          <w:rFonts w:cs="Times New Roman"/>
          <w:color w:val="0F1111"/>
        </w:rPr>
        <w:t>Bernard et Lemaire, 2010</w:t>
      </w:r>
      <w:r w:rsidR="00122EDE" w:rsidRPr="00B86BC3">
        <w:rPr>
          <w:rStyle w:val="a-size-extra-large"/>
          <w:rFonts w:cs="Times New Roman"/>
          <w:color w:val="0F1111"/>
        </w:rPr>
        <w:t>)</w:t>
      </w:r>
      <w:r w:rsidR="00D25603">
        <w:rPr>
          <w:rStyle w:val="a-size-extra-large"/>
          <w:rFonts w:cs="Times New Roman"/>
          <w:color w:val="0F1111"/>
        </w:rPr>
        <w:t xml:space="preserve"> et </w:t>
      </w:r>
      <w:r w:rsidR="005E5C5F" w:rsidRPr="00B86BC3">
        <w:rPr>
          <w:rStyle w:val="a-size-extra-large"/>
          <w:rFonts w:cs="Times New Roman"/>
          <w:color w:val="0F1111"/>
        </w:rPr>
        <w:t>proposai</w:t>
      </w:r>
      <w:r w:rsidR="00D25603">
        <w:rPr>
          <w:rStyle w:val="a-size-extra-large"/>
          <w:rFonts w:cs="Times New Roman"/>
          <w:color w:val="0F1111"/>
        </w:rPr>
        <w:t>en</w:t>
      </w:r>
      <w:r w:rsidR="005E5C5F" w:rsidRPr="00B86BC3">
        <w:rPr>
          <w:rStyle w:val="a-size-extra-large"/>
          <w:rFonts w:cs="Times New Roman"/>
          <w:color w:val="0F1111"/>
        </w:rPr>
        <w:t>t</w:t>
      </w:r>
      <w:r w:rsidR="00D25603">
        <w:rPr>
          <w:rStyle w:val="a-size-extra-large"/>
          <w:rFonts w:cs="Times New Roman"/>
          <w:color w:val="0F1111"/>
        </w:rPr>
        <w:t xml:space="preserve"> un point sur l</w:t>
      </w:r>
      <w:r w:rsidR="005E5C5F" w:rsidRPr="00B86BC3">
        <w:rPr>
          <w:rFonts w:cs="Times New Roman"/>
          <w:shd w:val="clear" w:color="auto" w:fill="FFFFFF"/>
        </w:rPr>
        <w:t>es législations régissant les expulsions, douze ans après la loi du 30 novembre</w:t>
      </w:r>
      <w:r w:rsidR="005E5C5F" w:rsidRPr="000F4498">
        <w:rPr>
          <w:rFonts w:cs="Times New Roman"/>
          <w:shd w:val="clear" w:color="auto" w:fill="FFFFFF"/>
        </w:rPr>
        <w:t xml:space="preserve"> 1998 </w:t>
      </w:r>
      <w:r w:rsidR="00D25603">
        <w:rPr>
          <w:rFonts w:cs="Times New Roman"/>
          <w:shd w:val="clear" w:color="auto" w:fill="FFFFFF"/>
        </w:rPr>
        <w:t>(</w:t>
      </w:r>
      <w:r w:rsidR="005E5C5F">
        <w:rPr>
          <w:rFonts w:cs="Times New Roman"/>
          <w:shd w:val="clear" w:color="auto" w:fill="FFFFFF"/>
        </w:rPr>
        <w:t>qui vise l</w:t>
      </w:r>
      <w:proofErr w:type="gramStart"/>
      <w:r w:rsidR="005E5C5F">
        <w:rPr>
          <w:rFonts w:cs="Times New Roman"/>
          <w:shd w:val="clear" w:color="auto" w:fill="FFFFFF"/>
        </w:rPr>
        <w:t>’</w:t>
      </w:r>
      <w:r w:rsidR="005E5C5F" w:rsidRPr="000F4498">
        <w:rPr>
          <w:rFonts w:cs="Times New Roman"/>
          <w:shd w:val="clear" w:color="auto" w:fill="FFFFFF"/>
        </w:rPr>
        <w:t>«</w:t>
      </w:r>
      <w:proofErr w:type="gramEnd"/>
      <w:r w:rsidR="005E5C5F">
        <w:rPr>
          <w:rFonts w:cs="Times New Roman"/>
          <w:shd w:val="clear" w:color="auto" w:fill="FFFFFF"/>
        </w:rPr>
        <w:t xml:space="preserve"> </w:t>
      </w:r>
      <w:r w:rsidR="005E5C5F" w:rsidRPr="000F4498">
        <w:rPr>
          <w:rFonts w:cs="Times New Roman"/>
          <w:shd w:val="clear" w:color="auto" w:fill="FFFFFF"/>
        </w:rPr>
        <w:t>humanis</w:t>
      </w:r>
      <w:r w:rsidR="005E5C5F">
        <w:rPr>
          <w:rFonts w:cs="Times New Roman"/>
          <w:shd w:val="clear" w:color="auto" w:fill="FFFFFF"/>
        </w:rPr>
        <w:t>ation</w:t>
      </w:r>
      <w:r w:rsidR="005E5C5F" w:rsidRPr="000F4498">
        <w:rPr>
          <w:rFonts w:cs="Times New Roman"/>
          <w:shd w:val="clear" w:color="auto" w:fill="FFFFFF"/>
        </w:rPr>
        <w:t xml:space="preserve"> les expulsions »</w:t>
      </w:r>
      <w:r w:rsidR="00D25603">
        <w:rPr>
          <w:rFonts w:cs="Times New Roman"/>
          <w:shd w:val="clear" w:color="auto" w:fill="FFFFFF"/>
        </w:rPr>
        <w:t xml:space="preserve"> </w:t>
      </w:r>
      <w:proofErr w:type="spellStart"/>
      <w:r w:rsidR="00D25603">
        <w:rPr>
          <w:rFonts w:cs="Times New Roman"/>
          <w:shd w:val="clear" w:color="auto" w:fill="FFFFFF"/>
        </w:rPr>
        <w:t>cf.</w:t>
      </w:r>
      <w:r w:rsidR="00D25603">
        <w:rPr>
          <w:rFonts w:cs="Times New Roman"/>
          <w:i/>
          <w:shd w:val="clear" w:color="auto" w:fill="FFFFFF"/>
        </w:rPr>
        <w:t>infra</w:t>
      </w:r>
      <w:proofErr w:type="spellEnd"/>
      <w:r w:rsidR="00D25603">
        <w:rPr>
          <w:rFonts w:cs="Times New Roman"/>
          <w:shd w:val="clear" w:color="auto" w:fill="FFFFFF"/>
        </w:rPr>
        <w:t>)</w:t>
      </w:r>
      <w:r w:rsidR="005E5C5F">
        <w:rPr>
          <w:rFonts w:cs="Times New Roman"/>
          <w:shd w:val="clear" w:color="auto" w:fill="FFFFFF"/>
        </w:rPr>
        <w:t>.</w:t>
      </w:r>
    </w:p>
    <w:p w14:paraId="29C838D7" w14:textId="5D21A745" w:rsidR="006D088F" w:rsidRDefault="003F70EA" w:rsidP="00142867">
      <w:pPr>
        <w:spacing w:line="276" w:lineRule="auto"/>
        <w:rPr>
          <w:rFonts w:cs="Times New Roman"/>
          <w:shd w:val="clear" w:color="auto" w:fill="FFFFFF"/>
        </w:rPr>
      </w:pPr>
      <w:r w:rsidRPr="009F1C60">
        <w:rPr>
          <w:rFonts w:cs="Times New Roman"/>
        </w:rPr>
        <w:t>Du côté de la Flandre, citons les travaux de Pascal De Decker</w:t>
      </w:r>
      <w:r w:rsidR="009F1C60" w:rsidRPr="009F1C60">
        <w:rPr>
          <w:rFonts w:cs="Times New Roman"/>
        </w:rPr>
        <w:t xml:space="preserve"> et</w:t>
      </w:r>
      <w:r w:rsidRPr="009F1C60">
        <w:rPr>
          <w:rFonts w:cs="Times New Roman"/>
        </w:rPr>
        <w:t xml:space="preserve"> </w:t>
      </w:r>
      <w:r w:rsidR="00142867" w:rsidRPr="009F1C60">
        <w:rPr>
          <w:rFonts w:cs="Times New Roman"/>
        </w:rPr>
        <w:t xml:space="preserve">Jana </w:t>
      </w:r>
      <w:proofErr w:type="spellStart"/>
      <w:r w:rsidR="00142867" w:rsidRPr="009F1C60">
        <w:rPr>
          <w:rFonts w:cs="Times New Roman"/>
        </w:rPr>
        <w:t>Verstraete</w:t>
      </w:r>
      <w:proofErr w:type="spellEnd"/>
      <w:r w:rsidR="009F1C60" w:rsidRPr="009F1C60">
        <w:rPr>
          <w:rFonts w:cs="Times New Roman"/>
        </w:rPr>
        <w:t xml:space="preserve"> </w:t>
      </w:r>
      <w:r w:rsidRPr="009F1C60">
        <w:rPr>
          <w:rFonts w:cs="Times New Roman"/>
        </w:rPr>
        <w:t>(</w:t>
      </w:r>
      <w:r w:rsidR="009F1C60" w:rsidRPr="009F1C60">
        <w:rPr>
          <w:rFonts w:cs="Times New Roman"/>
        </w:rPr>
        <w:t xml:space="preserve">De Decker, </w:t>
      </w:r>
      <w:proofErr w:type="spellStart"/>
      <w:r w:rsidR="009F1C60" w:rsidRPr="009F1C60">
        <w:rPr>
          <w:rFonts w:cs="Times New Roman"/>
        </w:rPr>
        <w:t>Verstraete</w:t>
      </w:r>
      <w:proofErr w:type="spellEnd"/>
      <w:r w:rsidR="009F1C60" w:rsidRPr="009F1C60">
        <w:rPr>
          <w:rFonts w:cs="Times New Roman"/>
        </w:rPr>
        <w:t xml:space="preserve">, 2015 ; De Decker, </w:t>
      </w:r>
      <w:proofErr w:type="spellStart"/>
      <w:r w:rsidR="009F1C60" w:rsidRPr="009F1C60">
        <w:rPr>
          <w:rFonts w:cs="Times New Roman"/>
        </w:rPr>
        <w:t>Verstraete</w:t>
      </w:r>
      <w:proofErr w:type="spellEnd"/>
      <w:r w:rsidR="009F1C60" w:rsidRPr="009F1C60">
        <w:rPr>
          <w:rFonts w:cs="Times New Roman"/>
        </w:rPr>
        <w:t>, Vermeir, 2018</w:t>
      </w:r>
      <w:r w:rsidRPr="009F1C60">
        <w:rPr>
          <w:rFonts w:cs="Times New Roman"/>
        </w:rPr>
        <w:t>)</w:t>
      </w:r>
      <w:r w:rsidR="00142867" w:rsidRPr="009F1C60">
        <w:rPr>
          <w:rFonts w:cs="Times New Roman"/>
        </w:rPr>
        <w:t xml:space="preserve"> qui</w:t>
      </w:r>
      <w:r w:rsidR="00142867" w:rsidRPr="00142867">
        <w:rPr>
          <w:rFonts w:cs="Times New Roman"/>
          <w:shd w:val="clear" w:color="auto" w:fill="FFFFFF"/>
        </w:rPr>
        <w:t xml:space="preserve"> s’accordent avec les travaux bruxellois et wallons sur la difficulté à saisir le phénomène de manière précise, vue l’absence de collecte statistique d’envergure</w:t>
      </w:r>
      <w:r w:rsidR="006D088F">
        <w:rPr>
          <w:rFonts w:cs="Times New Roman"/>
          <w:shd w:val="clear" w:color="auto" w:fill="FFFFFF"/>
        </w:rPr>
        <w:t xml:space="preserve">. </w:t>
      </w:r>
    </w:p>
    <w:p w14:paraId="3FBF0EFD" w14:textId="4949FAD0" w:rsidR="00213D8E" w:rsidRDefault="00213D8E" w:rsidP="00213D8E">
      <w:pPr>
        <w:spacing w:line="276" w:lineRule="auto"/>
      </w:pPr>
      <w:r w:rsidRPr="00996388">
        <w:t>Nous y reviendrons plus loin, mais pour ce qui est de la Wallonie ou de Bruxelles, nous avons peu d’indication</w:t>
      </w:r>
      <w:r w:rsidR="00146A61">
        <w:t>s</w:t>
      </w:r>
      <w:r w:rsidRPr="00996388">
        <w:t xml:space="preserve"> sur les profils à ri</w:t>
      </w:r>
      <w:r>
        <w:t>s</w:t>
      </w:r>
      <w:r w:rsidRPr="00996388">
        <w:t>que d’expulsion. Si le rapport bruxellois sur l’état de la pauvreté 2018, consacré à la précarité, au mal-logement et aux expulsions domiciliaires insiste s</w:t>
      </w:r>
      <w:r w:rsidR="00146A61">
        <w:t>ur</w:t>
      </w:r>
      <w:r w:rsidRPr="00996388">
        <w:t xml:space="preserve"> la précarité économique et psychosociale comme facteur de risque, il </w:t>
      </w:r>
      <w:r>
        <w:t>ne fait pas</w:t>
      </w:r>
      <w:r w:rsidRPr="00996388">
        <w:t xml:space="preserve"> état des critères de genre ou « d’ethnicité » </w:t>
      </w:r>
      <w:r w:rsidR="00146A61">
        <w:t xml:space="preserve">– absence </w:t>
      </w:r>
      <w:r w:rsidRPr="00996388">
        <w:t xml:space="preserve">de collecte statistique en la matière oblige. </w:t>
      </w:r>
      <w:r>
        <w:t xml:space="preserve">Le rapport de </w:t>
      </w:r>
      <w:r w:rsidRPr="00720910">
        <w:t>l’IWEPS (</w:t>
      </w:r>
      <w:r w:rsidR="00720910" w:rsidRPr="00720910">
        <w:t xml:space="preserve">2015) </w:t>
      </w:r>
      <w:r w:rsidRPr="006D088F">
        <w:lastRenderedPageBreak/>
        <w:t xml:space="preserve">suggère de regarder du </w:t>
      </w:r>
      <w:r w:rsidR="00146A61" w:rsidRPr="006D088F">
        <w:t>côté</w:t>
      </w:r>
      <w:r w:rsidRPr="006D088F">
        <w:t xml:space="preserve"> des pays européens proche</w:t>
      </w:r>
      <w:r w:rsidR="00146A61">
        <w:t>s</w:t>
      </w:r>
      <w:r w:rsidRPr="006D088F">
        <w:t xml:space="preserve"> de la Belgique pour en savoir plus sur les profils des personnes expulsées. Il se réfère à l’étude de</w:t>
      </w:r>
      <w:r w:rsidRPr="002503E9">
        <w:t xml:space="preserve"> l’Agence nationale pour l’Information sur le Logement (ANIL)</w:t>
      </w:r>
      <w:r>
        <w:t xml:space="preserve"> menée dans Le Gard en </w:t>
      </w:r>
      <w:r w:rsidR="00146A61">
        <w:t>France,</w:t>
      </w:r>
      <w:r>
        <w:t xml:space="preserve"> qui indique les </w:t>
      </w:r>
      <w:r w:rsidRPr="00996388">
        <w:t>personne</w:t>
      </w:r>
      <w:r>
        <w:t xml:space="preserve">s </w:t>
      </w:r>
      <w:r w:rsidRPr="00996388">
        <w:t>âgée</w:t>
      </w:r>
      <w:r>
        <w:t>s</w:t>
      </w:r>
      <w:r w:rsidRPr="00996388">
        <w:t xml:space="preserve"> entre 25 et 45 ans sont le</w:t>
      </w:r>
      <w:r w:rsidR="00146A61">
        <w:t>s</w:t>
      </w:r>
      <w:r w:rsidRPr="00996388">
        <w:t xml:space="preserve"> plus touchés</w:t>
      </w:r>
      <w:r>
        <w:t xml:space="preserve"> par le phénomène</w:t>
      </w:r>
      <w:r w:rsidRPr="00996388">
        <w:t>. Les personnes isolées sont les plus représentées (47 %)</w:t>
      </w:r>
      <w:r w:rsidR="00146A61">
        <w:t>,</w:t>
      </w:r>
      <w:r w:rsidRPr="00996388">
        <w:t xml:space="preserve"> mais les ménages monoparentaux totalisent plus du quart de ces ménages menacés (27%). </w:t>
      </w:r>
      <w:r w:rsidR="00146A61">
        <w:t>N</w:t>
      </w:r>
      <w:r w:rsidR="006D088F">
        <w:t>ous n’avons</w:t>
      </w:r>
      <w:r w:rsidR="00146A61">
        <w:t>, cela dit,</w:t>
      </w:r>
      <w:r w:rsidR="006D088F">
        <w:t xml:space="preserve"> pas plus d’information</w:t>
      </w:r>
      <w:r w:rsidR="00146A61">
        <w:t>s</w:t>
      </w:r>
      <w:r w:rsidR="006D088F">
        <w:t xml:space="preserve"> sur les profils des ménages wallons menacés d’expulsion. </w:t>
      </w:r>
    </w:p>
    <w:p w14:paraId="6EB743C7" w14:textId="7C7EF7EA" w:rsidR="006D088F" w:rsidRDefault="00065213" w:rsidP="006D088F">
      <w:pPr>
        <w:spacing w:line="276" w:lineRule="auto"/>
        <w:rPr>
          <w:rFonts w:cs="Times New Roman"/>
          <w:shd w:val="clear" w:color="auto" w:fill="FFFFFF"/>
        </w:rPr>
      </w:pPr>
      <w:r>
        <w:t>Signalons, s’il le faut encore, que cette absence de données quantitatives,</w:t>
      </w:r>
      <w:r w:rsidR="006D088F">
        <w:t xml:space="preserve"> relève donc </w:t>
      </w:r>
      <w:r>
        <w:t>d’absence de politiques gouvernementales centralisées</w:t>
      </w:r>
      <w:r w:rsidR="006D088F">
        <w:t xml:space="preserve">, comme le souligne </w:t>
      </w:r>
      <w:proofErr w:type="spellStart"/>
      <w:r w:rsidR="006D088F" w:rsidRPr="006D088F">
        <w:rPr>
          <w:rFonts w:cs="Times New Roman"/>
          <w:shd w:val="clear" w:color="auto" w:fill="FFFFFF"/>
        </w:rPr>
        <w:t>Verstraete</w:t>
      </w:r>
      <w:proofErr w:type="spellEnd"/>
      <w:r w:rsidR="006D088F" w:rsidRPr="006D088F">
        <w:rPr>
          <w:rFonts w:cs="Times New Roman"/>
          <w:shd w:val="clear" w:color="auto" w:fill="FFFFFF"/>
        </w:rPr>
        <w:t xml:space="preserve"> et De Decker</w:t>
      </w:r>
      <w:r w:rsidR="006D088F">
        <w:rPr>
          <w:rFonts w:cs="Times New Roman"/>
          <w:shd w:val="clear" w:color="auto" w:fill="FFFFFF"/>
        </w:rPr>
        <w:t xml:space="preserve"> dans la conclusion de leur article « </w:t>
      </w:r>
      <w:r w:rsidR="006D088F" w:rsidRPr="006D088F">
        <w:rPr>
          <w:rFonts w:cs="Times New Roman"/>
          <w:shd w:val="clear" w:color="auto" w:fill="FFFFFF"/>
        </w:rPr>
        <w:t xml:space="preserve">De </w:t>
      </w:r>
      <w:proofErr w:type="spellStart"/>
      <w:r w:rsidR="006D088F" w:rsidRPr="006D088F">
        <w:rPr>
          <w:rFonts w:cs="Times New Roman"/>
          <w:shd w:val="clear" w:color="auto" w:fill="FFFFFF"/>
        </w:rPr>
        <w:t>gerechtelijke</w:t>
      </w:r>
      <w:proofErr w:type="spellEnd"/>
      <w:r w:rsidR="006D088F" w:rsidRPr="006D088F">
        <w:rPr>
          <w:rFonts w:cs="Times New Roman"/>
          <w:shd w:val="clear" w:color="auto" w:fill="FFFFFF"/>
        </w:rPr>
        <w:t xml:space="preserve"> </w:t>
      </w:r>
      <w:proofErr w:type="spellStart"/>
      <w:r w:rsidR="006D088F" w:rsidRPr="006D088F">
        <w:rPr>
          <w:rFonts w:cs="Times New Roman"/>
          <w:shd w:val="clear" w:color="auto" w:fill="FFFFFF"/>
        </w:rPr>
        <w:t>uithuiszetting</w:t>
      </w:r>
      <w:proofErr w:type="spellEnd"/>
      <w:r w:rsidR="006D088F" w:rsidRPr="006D088F">
        <w:rPr>
          <w:rFonts w:cs="Times New Roman"/>
          <w:shd w:val="clear" w:color="auto" w:fill="FFFFFF"/>
        </w:rPr>
        <w:t xml:space="preserve"> </w:t>
      </w:r>
      <w:proofErr w:type="spellStart"/>
      <w:r w:rsidR="006D088F" w:rsidRPr="006D088F">
        <w:rPr>
          <w:rFonts w:cs="Times New Roman"/>
          <w:shd w:val="clear" w:color="auto" w:fill="FFFFFF"/>
        </w:rPr>
        <w:t>nog</w:t>
      </w:r>
      <w:proofErr w:type="spellEnd"/>
      <w:r w:rsidR="006D088F" w:rsidRPr="006D088F">
        <w:rPr>
          <w:rFonts w:cs="Times New Roman"/>
          <w:shd w:val="clear" w:color="auto" w:fill="FFFFFF"/>
        </w:rPr>
        <w:t xml:space="preserve"> </w:t>
      </w:r>
      <w:proofErr w:type="spellStart"/>
      <w:r w:rsidR="006D088F" w:rsidRPr="006D088F">
        <w:rPr>
          <w:rFonts w:cs="Times New Roman"/>
          <w:shd w:val="clear" w:color="auto" w:fill="FFFFFF"/>
        </w:rPr>
        <w:t>steeds</w:t>
      </w:r>
      <w:proofErr w:type="spellEnd"/>
      <w:r w:rsidR="006D088F" w:rsidRPr="006D088F">
        <w:rPr>
          <w:rFonts w:cs="Times New Roman"/>
          <w:shd w:val="clear" w:color="auto" w:fill="FFFFFF"/>
        </w:rPr>
        <w:t xml:space="preserve"> in het </w:t>
      </w:r>
      <w:proofErr w:type="spellStart"/>
      <w:r w:rsidR="006D088F" w:rsidRPr="006D088F">
        <w:rPr>
          <w:rFonts w:cs="Times New Roman"/>
          <w:shd w:val="clear" w:color="auto" w:fill="FFFFFF"/>
        </w:rPr>
        <w:t>duister</w:t>
      </w:r>
      <w:proofErr w:type="spellEnd"/>
      <w:r w:rsidR="006D088F">
        <w:rPr>
          <w:rFonts w:cs="Times New Roman"/>
          <w:shd w:val="clear" w:color="auto" w:fill="FFFFFF"/>
        </w:rPr>
        <w:t xml:space="preserve"> » : </w:t>
      </w:r>
    </w:p>
    <w:p w14:paraId="359C142F" w14:textId="0168F995" w:rsidR="00213D8E" w:rsidRPr="00590B93" w:rsidRDefault="006D088F" w:rsidP="00DC57E9">
      <w:pPr>
        <w:spacing w:line="276" w:lineRule="auto"/>
        <w:ind w:left="708"/>
        <w:rPr>
          <w:rFonts w:cs="Times New Roman"/>
          <w:sz w:val="20"/>
          <w:shd w:val="clear" w:color="auto" w:fill="FFFFFF"/>
        </w:rPr>
      </w:pPr>
      <w:r w:rsidRPr="006D088F">
        <w:rPr>
          <w:rFonts w:cs="Times New Roman"/>
          <w:sz w:val="20"/>
          <w:shd w:val="clear" w:color="auto" w:fill="FFFFFF"/>
          <w:lang w:val="en-US"/>
        </w:rPr>
        <w:t>« </w:t>
      </w:r>
      <w:proofErr w:type="spellStart"/>
      <w:r w:rsidRPr="006D088F">
        <w:rPr>
          <w:rFonts w:cs="Times New Roman"/>
          <w:sz w:val="20"/>
          <w:shd w:val="clear" w:color="auto" w:fill="FFFFFF"/>
          <w:lang w:val="en-US"/>
        </w:rPr>
        <w:t>Nog</w:t>
      </w:r>
      <w:proofErr w:type="spellEnd"/>
      <w:r w:rsidRPr="006D088F">
        <w:rPr>
          <w:rFonts w:cs="Times New Roman"/>
          <w:sz w:val="20"/>
          <w:shd w:val="clear" w:color="auto" w:fill="FFFFFF"/>
          <w:lang w:val="en-US"/>
        </w:rPr>
        <w:t xml:space="preserve"> steeds is </w:t>
      </w:r>
      <w:proofErr w:type="spellStart"/>
      <w:r w:rsidRPr="006D088F">
        <w:rPr>
          <w:rFonts w:cs="Times New Roman"/>
          <w:sz w:val="20"/>
          <w:shd w:val="clear" w:color="auto" w:fill="FFFFFF"/>
          <w:lang w:val="en-US"/>
        </w:rPr>
        <w:t>er</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geen</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centrale</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overheid</w:t>
      </w:r>
      <w:proofErr w:type="spellEnd"/>
      <w:r w:rsidRPr="006D088F">
        <w:rPr>
          <w:rFonts w:cs="Times New Roman"/>
          <w:sz w:val="20"/>
          <w:shd w:val="clear" w:color="auto" w:fill="FFFFFF"/>
          <w:lang w:val="en-US"/>
        </w:rPr>
        <w:t xml:space="preserve"> die </w:t>
      </w:r>
      <w:proofErr w:type="spellStart"/>
      <w:r w:rsidRPr="006D088F">
        <w:rPr>
          <w:rFonts w:cs="Times New Roman"/>
          <w:sz w:val="20"/>
          <w:shd w:val="clear" w:color="auto" w:fill="FFFFFF"/>
          <w:lang w:val="en-US"/>
        </w:rPr>
        <w:t>systematisch</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gegevens</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verzamelt</w:t>
      </w:r>
      <w:proofErr w:type="spellEnd"/>
      <w:r w:rsidRPr="006D088F">
        <w:rPr>
          <w:rFonts w:cs="Times New Roman"/>
          <w:sz w:val="20"/>
          <w:shd w:val="clear" w:color="auto" w:fill="FFFFFF"/>
          <w:lang w:val="en-US"/>
        </w:rPr>
        <w:t xml:space="preserve"> om </w:t>
      </w:r>
      <w:proofErr w:type="spellStart"/>
      <w:r w:rsidRPr="006D088F">
        <w:rPr>
          <w:rFonts w:cs="Times New Roman"/>
          <w:sz w:val="20"/>
          <w:shd w:val="clear" w:color="auto" w:fill="FFFFFF"/>
          <w:lang w:val="en-US"/>
        </w:rPr>
        <w:t>een</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beeld</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te</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krijgen</w:t>
      </w:r>
      <w:proofErr w:type="spellEnd"/>
      <w:r w:rsidRPr="006D088F">
        <w:rPr>
          <w:rFonts w:cs="Times New Roman"/>
          <w:sz w:val="20"/>
          <w:shd w:val="clear" w:color="auto" w:fill="FFFFFF"/>
          <w:lang w:val="en-US"/>
        </w:rPr>
        <w:t xml:space="preserve"> over het </w:t>
      </w:r>
      <w:proofErr w:type="spellStart"/>
      <w:r w:rsidRPr="006D088F">
        <w:rPr>
          <w:rFonts w:cs="Times New Roman"/>
          <w:sz w:val="20"/>
          <w:shd w:val="clear" w:color="auto" w:fill="FFFFFF"/>
          <w:lang w:val="en-US"/>
        </w:rPr>
        <w:t>aantal</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uithuiszettingen</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noch</w:t>
      </w:r>
      <w:proofErr w:type="spellEnd"/>
      <w:r w:rsidRPr="006D088F">
        <w:rPr>
          <w:rFonts w:cs="Times New Roman"/>
          <w:sz w:val="20"/>
          <w:shd w:val="clear" w:color="auto" w:fill="FFFFFF"/>
          <w:lang w:val="en-US"/>
        </w:rPr>
        <w:t xml:space="preserve"> over het </w:t>
      </w:r>
      <w:proofErr w:type="spellStart"/>
      <w:r w:rsidRPr="006D088F">
        <w:rPr>
          <w:rFonts w:cs="Times New Roman"/>
          <w:sz w:val="20"/>
          <w:shd w:val="clear" w:color="auto" w:fill="FFFFFF"/>
          <w:lang w:val="en-US"/>
        </w:rPr>
        <w:t>profiel</w:t>
      </w:r>
      <w:proofErr w:type="spellEnd"/>
      <w:r w:rsidRPr="006D088F">
        <w:rPr>
          <w:rFonts w:cs="Times New Roman"/>
          <w:sz w:val="20"/>
          <w:shd w:val="clear" w:color="auto" w:fill="FFFFFF"/>
          <w:lang w:val="en-US"/>
        </w:rPr>
        <w:t xml:space="preserve"> van de </w:t>
      </w:r>
      <w:proofErr w:type="spellStart"/>
      <w:r w:rsidRPr="006D088F">
        <w:rPr>
          <w:rFonts w:cs="Times New Roman"/>
          <w:sz w:val="20"/>
          <w:shd w:val="clear" w:color="auto" w:fill="FFFFFF"/>
          <w:lang w:val="en-US"/>
        </w:rPr>
        <w:t>mensen</w:t>
      </w:r>
      <w:proofErr w:type="spellEnd"/>
      <w:r w:rsidRPr="006D088F">
        <w:rPr>
          <w:rFonts w:cs="Times New Roman"/>
          <w:sz w:val="20"/>
          <w:shd w:val="clear" w:color="auto" w:fill="FFFFFF"/>
          <w:lang w:val="en-US"/>
        </w:rPr>
        <w:t xml:space="preserve"> die </w:t>
      </w:r>
      <w:proofErr w:type="spellStart"/>
      <w:r w:rsidRPr="006D088F">
        <w:rPr>
          <w:rFonts w:cs="Times New Roman"/>
          <w:sz w:val="20"/>
          <w:shd w:val="clear" w:color="auto" w:fill="FFFFFF"/>
          <w:lang w:val="en-US"/>
        </w:rPr>
        <w:t>hun</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woning</w:t>
      </w:r>
      <w:proofErr w:type="spellEnd"/>
      <w:r w:rsidRPr="006D088F">
        <w:rPr>
          <w:rFonts w:cs="Times New Roman"/>
          <w:sz w:val="20"/>
          <w:shd w:val="clear" w:color="auto" w:fill="FFFFFF"/>
          <w:lang w:val="en-US"/>
        </w:rPr>
        <w:t xml:space="preserve"> op </w:t>
      </w:r>
      <w:proofErr w:type="spellStart"/>
      <w:r w:rsidRPr="006D088F">
        <w:rPr>
          <w:rFonts w:cs="Times New Roman"/>
          <w:sz w:val="20"/>
          <w:shd w:val="clear" w:color="auto" w:fill="FFFFFF"/>
          <w:lang w:val="en-US"/>
        </w:rPr>
        <w:t>deze</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manier</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verliezen</w:t>
      </w:r>
      <w:proofErr w:type="spellEnd"/>
      <w:r w:rsidRPr="006D088F">
        <w:rPr>
          <w:rFonts w:cs="Times New Roman"/>
          <w:sz w:val="20"/>
          <w:shd w:val="clear" w:color="auto" w:fill="FFFFFF"/>
          <w:lang w:val="en-US"/>
        </w:rPr>
        <w:t xml:space="preserve"> of over het </w:t>
      </w:r>
      <w:proofErr w:type="spellStart"/>
      <w:r w:rsidRPr="006D088F">
        <w:rPr>
          <w:rFonts w:cs="Times New Roman"/>
          <w:sz w:val="20"/>
          <w:shd w:val="clear" w:color="auto" w:fill="FFFFFF"/>
          <w:lang w:val="en-US"/>
        </w:rPr>
        <w:t>aantal</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personen</w:t>
      </w:r>
      <w:proofErr w:type="spellEnd"/>
      <w:r w:rsidRPr="006D088F">
        <w:rPr>
          <w:rFonts w:cs="Times New Roman"/>
          <w:sz w:val="20"/>
          <w:shd w:val="clear" w:color="auto" w:fill="FFFFFF"/>
          <w:lang w:val="en-US"/>
        </w:rPr>
        <w:t xml:space="preserve"> die door </w:t>
      </w:r>
      <w:proofErr w:type="spellStart"/>
      <w:r w:rsidRPr="006D088F">
        <w:rPr>
          <w:rFonts w:cs="Times New Roman"/>
          <w:sz w:val="20"/>
          <w:shd w:val="clear" w:color="auto" w:fill="FFFFFF"/>
          <w:lang w:val="en-US"/>
        </w:rPr>
        <w:t>een</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gebrek</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aan</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herhuisvestingsmogelijkheden</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dak</w:t>
      </w:r>
      <w:proofErr w:type="spellEnd"/>
      <w:r w:rsidRPr="006D088F">
        <w:rPr>
          <w:rFonts w:cs="Times New Roman"/>
          <w:sz w:val="20"/>
          <w:shd w:val="clear" w:color="auto" w:fill="FFFFFF"/>
          <w:lang w:val="en-US"/>
        </w:rPr>
        <w:t xml:space="preserve">- of </w:t>
      </w:r>
      <w:proofErr w:type="spellStart"/>
      <w:r w:rsidRPr="006D088F">
        <w:rPr>
          <w:rFonts w:cs="Times New Roman"/>
          <w:sz w:val="20"/>
          <w:shd w:val="clear" w:color="auto" w:fill="FFFFFF"/>
          <w:lang w:val="en-US"/>
        </w:rPr>
        <w:t>thuisloos</w:t>
      </w:r>
      <w:proofErr w:type="spellEnd"/>
      <w:r w:rsidRPr="006D088F">
        <w:rPr>
          <w:rFonts w:cs="Times New Roman"/>
          <w:sz w:val="20"/>
          <w:shd w:val="clear" w:color="auto" w:fill="FFFFFF"/>
          <w:lang w:val="en-US"/>
        </w:rPr>
        <w:t xml:space="preserve"> </w:t>
      </w:r>
      <w:proofErr w:type="spellStart"/>
      <w:r w:rsidRPr="006D088F">
        <w:rPr>
          <w:rFonts w:cs="Times New Roman"/>
          <w:sz w:val="20"/>
          <w:shd w:val="clear" w:color="auto" w:fill="FFFFFF"/>
          <w:lang w:val="en-US"/>
        </w:rPr>
        <w:t>wordt</w:t>
      </w:r>
      <w:proofErr w:type="spellEnd"/>
      <w:r w:rsidRPr="006D088F">
        <w:rPr>
          <w:rFonts w:cs="Times New Roman"/>
          <w:sz w:val="20"/>
          <w:shd w:val="clear" w:color="auto" w:fill="FFFFFF"/>
          <w:lang w:val="en-US"/>
        </w:rPr>
        <w:t xml:space="preserve">. » </w:t>
      </w:r>
      <w:r w:rsidRPr="00590B93">
        <w:rPr>
          <w:rFonts w:cs="Times New Roman"/>
          <w:sz w:val="20"/>
          <w:shd w:val="clear" w:color="auto" w:fill="FFFFFF"/>
        </w:rPr>
        <w:t>(</w:t>
      </w:r>
      <w:proofErr w:type="spellStart"/>
      <w:r w:rsidRPr="00590B93">
        <w:rPr>
          <w:rFonts w:cs="Times New Roman"/>
          <w:sz w:val="20"/>
          <w:shd w:val="clear" w:color="auto" w:fill="FFFFFF"/>
        </w:rPr>
        <w:t>Verstraete</w:t>
      </w:r>
      <w:proofErr w:type="spellEnd"/>
      <w:r w:rsidRPr="00590B93">
        <w:rPr>
          <w:rFonts w:cs="Times New Roman"/>
          <w:sz w:val="20"/>
          <w:shd w:val="clear" w:color="auto" w:fill="FFFFFF"/>
        </w:rPr>
        <w:t xml:space="preserve"> et De Decker, 2015 :14)</w:t>
      </w:r>
    </w:p>
    <w:p w14:paraId="333B7F4E" w14:textId="3D53900B" w:rsidR="00DC57E9" w:rsidRPr="00C95A2D" w:rsidRDefault="00DC57E9" w:rsidP="00DC57E9">
      <w:pPr>
        <w:spacing w:line="276" w:lineRule="auto"/>
        <w:rPr>
          <w:rFonts w:cs="Times New Roman"/>
          <w:shd w:val="clear" w:color="auto" w:fill="FFFFFF"/>
        </w:rPr>
      </w:pPr>
      <w:r w:rsidRPr="00C95A2D">
        <w:rPr>
          <w:rFonts w:cs="Times New Roman"/>
          <w:shd w:val="clear" w:color="auto" w:fill="FFFFFF"/>
        </w:rPr>
        <w:t xml:space="preserve">Malgré les initiatives régionales, il n’existe toujours pas d’étude d’ampleur menée à l’échelle du pays, pour </w:t>
      </w:r>
      <w:r w:rsidR="00065213">
        <w:rPr>
          <w:rFonts w:cs="Times New Roman"/>
          <w:shd w:val="clear" w:color="auto" w:fill="FFFFFF"/>
        </w:rPr>
        <w:t>appréhender</w:t>
      </w:r>
      <w:r w:rsidRPr="00C95A2D">
        <w:rPr>
          <w:rFonts w:cs="Times New Roman"/>
          <w:shd w:val="clear" w:color="auto" w:fill="FFFFFF"/>
        </w:rPr>
        <w:t xml:space="preserve"> la situation belge de manière précise. </w:t>
      </w:r>
      <w:r w:rsidR="00241851">
        <w:rPr>
          <w:rFonts w:cs="Times New Roman"/>
          <w:shd w:val="clear" w:color="auto" w:fill="FFFFFF"/>
        </w:rPr>
        <w:t>Il n</w:t>
      </w:r>
      <w:r w:rsidRPr="00C95A2D">
        <w:rPr>
          <w:rFonts w:cs="Times New Roman"/>
          <w:shd w:val="clear" w:color="auto" w:fill="FFFFFF"/>
        </w:rPr>
        <w:t>’existe pas non plus de méthode de récolte statistique communément partagée par les régions. La récolte de données se fait par questionnaire que les communes et CPAS ou autres agences responsables de logements publi</w:t>
      </w:r>
      <w:r w:rsidR="00241851">
        <w:rPr>
          <w:rFonts w:cs="Times New Roman"/>
          <w:shd w:val="clear" w:color="auto" w:fill="FFFFFF"/>
        </w:rPr>
        <w:t>cs</w:t>
      </w:r>
      <w:r w:rsidRPr="00C95A2D">
        <w:rPr>
          <w:rFonts w:cs="Times New Roman"/>
          <w:shd w:val="clear" w:color="auto" w:fill="FFFFFF"/>
        </w:rPr>
        <w:t xml:space="preserve"> sont chargés de remplir. Inutile de dire que de nombreux cas </w:t>
      </w:r>
      <w:r w:rsidR="00241851">
        <w:rPr>
          <w:rFonts w:cs="Times New Roman"/>
          <w:shd w:val="clear" w:color="auto" w:fill="FFFFFF"/>
        </w:rPr>
        <w:t>« passent à la trappe »</w:t>
      </w:r>
      <w:r w:rsidRPr="00C95A2D">
        <w:rPr>
          <w:rFonts w:cs="Times New Roman"/>
          <w:shd w:val="clear" w:color="auto" w:fill="FFFFFF"/>
        </w:rPr>
        <w:t xml:space="preserve">, sans compter que cette méthode ne donne pas d’indications sur les trajectoires et les profils, ce que les </w:t>
      </w:r>
      <w:r w:rsidR="00241851">
        <w:rPr>
          <w:rFonts w:cs="Times New Roman"/>
          <w:shd w:val="clear" w:color="auto" w:fill="FFFFFF"/>
        </w:rPr>
        <w:t>enquêtes</w:t>
      </w:r>
      <w:r w:rsidRPr="00C95A2D">
        <w:rPr>
          <w:rFonts w:cs="Times New Roman"/>
          <w:shd w:val="clear" w:color="auto" w:fill="FFFFFF"/>
        </w:rPr>
        <w:t xml:space="preserve"> bruxelloises et wallonnes ont tenté de combler par un travail de recherche qualitative.</w:t>
      </w:r>
      <w:r w:rsidR="00581314">
        <w:rPr>
          <w:rFonts w:cs="Times New Roman"/>
          <w:shd w:val="clear" w:color="auto" w:fill="FFFFFF"/>
        </w:rPr>
        <w:t xml:space="preserve"> </w:t>
      </w:r>
    </w:p>
    <w:p w14:paraId="6E4B8C83" w14:textId="7E56CFA2" w:rsidR="00DC57E9" w:rsidRDefault="0036366A" w:rsidP="0036366A">
      <w:pPr>
        <w:pStyle w:val="Titre3"/>
      </w:pPr>
      <w:bookmarkStart w:id="10" w:name="_Toc152687193"/>
      <w:r>
        <w:t>Les outils du champ associatif</w:t>
      </w:r>
      <w:bookmarkEnd w:id="10"/>
      <w:r>
        <w:t xml:space="preserve"> </w:t>
      </w:r>
    </w:p>
    <w:p w14:paraId="6B4B7AC9" w14:textId="76CAC9F5" w:rsidR="00C95A2D" w:rsidRDefault="0036366A" w:rsidP="00C95A2D">
      <w:pPr>
        <w:spacing w:line="276" w:lineRule="auto"/>
        <w:rPr>
          <w:rFonts w:cs="Times New Roman"/>
          <w:shd w:val="clear" w:color="auto" w:fill="FFFFFF"/>
        </w:rPr>
      </w:pPr>
      <w:r w:rsidRPr="00C95A2D">
        <w:rPr>
          <w:rFonts w:cs="Times New Roman"/>
          <w:shd w:val="clear" w:color="auto" w:fill="FFFFFF"/>
        </w:rPr>
        <w:t>L’absence de données scientifique</w:t>
      </w:r>
      <w:r w:rsidR="00241851">
        <w:rPr>
          <w:rFonts w:cs="Times New Roman"/>
          <w:shd w:val="clear" w:color="auto" w:fill="FFFFFF"/>
        </w:rPr>
        <w:t>s</w:t>
      </w:r>
      <w:r w:rsidRPr="00C95A2D">
        <w:rPr>
          <w:rFonts w:cs="Times New Roman"/>
          <w:shd w:val="clear" w:color="auto" w:fill="FFFFFF"/>
        </w:rPr>
        <w:t xml:space="preserve"> sur le sujet n’empêche pas le phénomène d’exister et les associations de se mobiliser pour le contrer. Dans la littérature belge francophone, </w:t>
      </w:r>
      <w:r w:rsidR="00222344">
        <w:rPr>
          <w:rFonts w:cs="Times New Roman"/>
          <w:shd w:val="clear" w:color="auto" w:fill="FFFFFF"/>
        </w:rPr>
        <w:t>on peut</w:t>
      </w:r>
      <w:r w:rsidRPr="00C95A2D">
        <w:rPr>
          <w:rFonts w:cs="Times New Roman"/>
          <w:shd w:val="clear" w:color="auto" w:fill="FFFFFF"/>
        </w:rPr>
        <w:t xml:space="preserve"> compter les productions des différentes associations </w:t>
      </w:r>
      <w:r w:rsidR="00C95A2D" w:rsidRPr="00C95A2D">
        <w:rPr>
          <w:rFonts w:cs="Times New Roman"/>
          <w:shd w:val="clear" w:color="auto" w:fill="FFFFFF"/>
        </w:rPr>
        <w:t>engagées sur le droit au logement</w:t>
      </w:r>
      <w:r w:rsidR="00241851">
        <w:rPr>
          <w:rFonts w:cs="Times New Roman"/>
          <w:shd w:val="clear" w:color="auto" w:fill="FFFFFF"/>
        </w:rPr>
        <w:t>,</w:t>
      </w:r>
      <w:r w:rsidR="00C95A2D" w:rsidRPr="00C95A2D">
        <w:rPr>
          <w:rFonts w:cs="Times New Roman"/>
          <w:shd w:val="clear" w:color="auto" w:fill="FFFFFF"/>
        </w:rPr>
        <w:t xml:space="preserve"> qui produisent des outils d’informations pour accompagn</w:t>
      </w:r>
      <w:r w:rsidR="00241851">
        <w:rPr>
          <w:rFonts w:cs="Times New Roman"/>
          <w:shd w:val="clear" w:color="auto" w:fill="FFFFFF"/>
        </w:rPr>
        <w:t>er</w:t>
      </w:r>
      <w:r w:rsidR="00C95A2D" w:rsidRPr="00C95A2D">
        <w:rPr>
          <w:rFonts w:cs="Times New Roman"/>
          <w:shd w:val="clear" w:color="auto" w:fill="FFFFFF"/>
        </w:rPr>
        <w:t xml:space="preserve"> les personnes menacées d’expulsion. </w:t>
      </w:r>
    </w:p>
    <w:p w14:paraId="499348F7" w14:textId="4B1EB1E6" w:rsidR="00C95A2D" w:rsidRDefault="00C95A2D" w:rsidP="003E4154">
      <w:pPr>
        <w:spacing w:line="276" w:lineRule="auto"/>
        <w:rPr>
          <w:rFonts w:cs="Times New Roman"/>
          <w:shd w:val="clear" w:color="auto" w:fill="FFFFFF"/>
        </w:rPr>
      </w:pPr>
      <w:r>
        <w:rPr>
          <w:rFonts w:cs="Times New Roman"/>
          <w:shd w:val="clear" w:color="auto" w:fill="FFFFFF"/>
        </w:rPr>
        <w:t xml:space="preserve">Le Rassemblement Bruxellois pour le droit à l’habitat (RBDH) </w:t>
      </w:r>
      <w:r w:rsidR="00C7504F">
        <w:rPr>
          <w:rFonts w:cs="Times New Roman"/>
          <w:shd w:val="clear" w:color="auto" w:fill="FFFFFF"/>
        </w:rPr>
        <w:t xml:space="preserve">publie </w:t>
      </w:r>
      <w:r w:rsidR="00222344">
        <w:rPr>
          <w:rFonts w:cs="Times New Roman"/>
          <w:shd w:val="clear" w:color="auto" w:fill="FFFFFF"/>
        </w:rPr>
        <w:t xml:space="preserve">en 2018 une première analyse sur les procédures d’expulsions : en quoi consiste la procédure ? </w:t>
      </w:r>
      <w:r w:rsidR="00222344" w:rsidRPr="00B22526">
        <w:rPr>
          <w:rFonts w:cs="Times New Roman"/>
          <w:shd w:val="clear" w:color="auto" w:fill="FFFFFF"/>
        </w:rPr>
        <w:t>comment prévenir l’expulsion ? comment favoriser le maintien en logement ? La publication contient des explications sur les procédures à destination du public concerné</w:t>
      </w:r>
      <w:r w:rsidR="00241851" w:rsidRPr="00B22526">
        <w:rPr>
          <w:rFonts w:cs="Times New Roman"/>
          <w:shd w:val="clear" w:color="auto" w:fill="FFFFFF"/>
        </w:rPr>
        <w:t>,</w:t>
      </w:r>
      <w:r w:rsidR="00222344" w:rsidRPr="00B22526">
        <w:rPr>
          <w:rFonts w:cs="Times New Roman"/>
          <w:shd w:val="clear" w:color="auto" w:fill="FFFFFF"/>
        </w:rPr>
        <w:t xml:space="preserve"> ainsi que des recommandations politiques</w:t>
      </w:r>
      <w:r w:rsidR="003E4154" w:rsidRPr="00B22526">
        <w:rPr>
          <w:rFonts w:cs="Times New Roman"/>
          <w:shd w:val="clear" w:color="auto" w:fill="FFFFFF"/>
        </w:rPr>
        <w:t xml:space="preserve"> (RBDH, 2018)</w:t>
      </w:r>
      <w:r w:rsidR="00222344" w:rsidRPr="00B22526">
        <w:rPr>
          <w:rFonts w:cs="Times New Roman"/>
          <w:shd w:val="clear" w:color="auto" w:fill="FFFFFF"/>
        </w:rPr>
        <w:t>.</w:t>
      </w:r>
      <w:r w:rsidR="003E4154" w:rsidRPr="00B22526">
        <w:rPr>
          <w:rFonts w:cs="Times New Roman"/>
          <w:shd w:val="clear" w:color="auto" w:fill="FFFFFF"/>
        </w:rPr>
        <w:t xml:space="preserve"> L’association publie une seconde </w:t>
      </w:r>
      <w:r w:rsidR="00C7504F">
        <w:rPr>
          <w:rFonts w:cs="Times New Roman"/>
          <w:shd w:val="clear" w:color="auto" w:fill="FFFFFF"/>
        </w:rPr>
        <w:t xml:space="preserve">une analyse </w:t>
      </w:r>
      <w:r w:rsidR="003E4154">
        <w:rPr>
          <w:rFonts w:cs="Times New Roman"/>
          <w:shd w:val="clear" w:color="auto" w:fill="FFFFFF"/>
        </w:rPr>
        <w:t xml:space="preserve">en mars 2018 </w:t>
      </w:r>
      <w:r w:rsidR="00C7504F">
        <w:rPr>
          <w:rFonts w:cs="Times New Roman"/>
          <w:shd w:val="clear" w:color="auto" w:fill="FFFFFF"/>
        </w:rPr>
        <w:t>sur les dispositifs régiona</w:t>
      </w:r>
      <w:r w:rsidR="003E4154">
        <w:rPr>
          <w:rFonts w:cs="Times New Roman"/>
          <w:shd w:val="clear" w:color="auto" w:fill="FFFFFF"/>
        </w:rPr>
        <w:t>ux</w:t>
      </w:r>
      <w:r w:rsidR="00C7504F">
        <w:rPr>
          <w:rFonts w:cs="Times New Roman"/>
          <w:shd w:val="clear" w:color="auto" w:fill="FFFFFF"/>
        </w:rPr>
        <w:t xml:space="preserve"> visant à prévenir les expulsions locatives. Notons que cette publication </w:t>
      </w:r>
      <w:r w:rsidR="003E4154">
        <w:rPr>
          <w:rFonts w:cs="Times New Roman"/>
          <w:shd w:val="clear" w:color="auto" w:fill="FFFFFF"/>
        </w:rPr>
        <w:t>a lieu</w:t>
      </w:r>
      <w:r w:rsidR="00C7504F">
        <w:rPr>
          <w:rFonts w:cs="Times New Roman"/>
          <w:shd w:val="clear" w:color="auto" w:fill="FFFFFF"/>
        </w:rPr>
        <w:t xml:space="preserve"> </w:t>
      </w:r>
      <w:r w:rsidR="003E4154">
        <w:rPr>
          <w:rFonts w:cs="Times New Roman"/>
          <w:shd w:val="clear" w:color="auto" w:fill="FFFFFF"/>
        </w:rPr>
        <w:t xml:space="preserve">au moment où le </w:t>
      </w:r>
      <w:r w:rsidR="00C7504F">
        <w:rPr>
          <w:rFonts w:cs="Times New Roman"/>
          <w:shd w:val="clear" w:color="auto" w:fill="FFFFFF"/>
        </w:rPr>
        <w:t>moratoire sur les expulsions liées à la crise sanitaire</w:t>
      </w:r>
      <w:r w:rsidR="003E4154">
        <w:rPr>
          <w:rFonts w:cs="Times New Roman"/>
          <w:shd w:val="clear" w:color="auto" w:fill="FFFFFF"/>
        </w:rPr>
        <w:t xml:space="preserve"> est suspendu, ce qui </w:t>
      </w:r>
      <w:r w:rsidR="00B22526">
        <w:rPr>
          <w:rFonts w:cs="Times New Roman"/>
          <w:shd w:val="clear" w:color="auto" w:fill="FFFFFF"/>
        </w:rPr>
        <w:t>inquiète</w:t>
      </w:r>
      <w:r w:rsidR="003E4154">
        <w:rPr>
          <w:rFonts w:cs="Times New Roman"/>
          <w:shd w:val="clear" w:color="auto" w:fill="FFFFFF"/>
        </w:rPr>
        <w:t xml:space="preserve"> les associations engagées sur le sujet.</w:t>
      </w:r>
      <w:r w:rsidR="00C7504F">
        <w:rPr>
          <w:rFonts w:cs="Times New Roman"/>
          <w:shd w:val="clear" w:color="auto" w:fill="FFFFFF"/>
        </w:rPr>
        <w:t xml:space="preserve"> </w:t>
      </w:r>
    </w:p>
    <w:p w14:paraId="68CCBC48" w14:textId="7E0B7BAE" w:rsidR="00C95A2D" w:rsidRPr="00C95A2D" w:rsidRDefault="00C95A2D" w:rsidP="0031511A">
      <w:pPr>
        <w:spacing w:line="276" w:lineRule="auto"/>
        <w:rPr>
          <w:rFonts w:cs="Times New Roman"/>
          <w:shd w:val="clear" w:color="auto" w:fill="FFFFFF"/>
        </w:rPr>
      </w:pPr>
      <w:r>
        <w:rPr>
          <w:rFonts w:cs="Times New Roman"/>
          <w:shd w:val="clear" w:color="auto" w:fill="FFFFFF"/>
        </w:rPr>
        <w:t xml:space="preserve">Toujours sur Bruxelles, le </w:t>
      </w:r>
      <w:r w:rsidRPr="002C30E7">
        <w:rPr>
          <w:rFonts w:cs="Times New Roman"/>
          <w:shd w:val="clear" w:color="auto" w:fill="FFFFFF"/>
        </w:rPr>
        <w:t>front anti-expulsion</w:t>
      </w:r>
      <w:r w:rsidR="003E4154" w:rsidRPr="002C30E7">
        <w:rPr>
          <w:rFonts w:cs="Times New Roman"/>
          <w:shd w:val="clear" w:color="auto" w:fill="FFFFFF"/>
        </w:rPr>
        <w:t>,</w:t>
      </w:r>
      <w:r w:rsidR="00241851">
        <w:rPr>
          <w:rFonts w:cs="Times New Roman"/>
          <w:shd w:val="clear" w:color="auto" w:fill="FFFFFF"/>
        </w:rPr>
        <w:t xml:space="preserve"> est une</w:t>
      </w:r>
      <w:r w:rsidR="003E4154" w:rsidRPr="002C30E7">
        <w:rPr>
          <w:rFonts w:cs="Times New Roman"/>
          <w:shd w:val="clear" w:color="auto" w:fill="FFFFFF"/>
        </w:rPr>
        <w:t xml:space="preserve"> initiative citoyenne qui se présente comme « un groupe de personnes (locataires, personnes sans abri, squatteurs et squatteuses, sans-papiers, </w:t>
      </w:r>
      <w:proofErr w:type="spellStart"/>
      <w:r w:rsidR="003E4154" w:rsidRPr="002C30E7">
        <w:rPr>
          <w:rFonts w:cs="Times New Roman"/>
          <w:shd w:val="clear" w:color="auto" w:fill="FFFFFF"/>
        </w:rPr>
        <w:t>habitant.</w:t>
      </w:r>
      <w:proofErr w:type="gramStart"/>
      <w:r w:rsidR="003E4154" w:rsidRPr="002C30E7">
        <w:rPr>
          <w:rFonts w:cs="Times New Roman"/>
          <w:shd w:val="clear" w:color="auto" w:fill="FFFFFF"/>
        </w:rPr>
        <w:t>e.s</w:t>
      </w:r>
      <w:proofErr w:type="spellEnd"/>
      <w:proofErr w:type="gramEnd"/>
      <w:r w:rsidR="003E4154" w:rsidRPr="002C30E7">
        <w:rPr>
          <w:rFonts w:cs="Times New Roman"/>
          <w:shd w:val="clear" w:color="auto" w:fill="FFFFFF"/>
        </w:rPr>
        <w:t>, soutenues par différents collectifs et organisations)</w:t>
      </w:r>
      <w:r w:rsidR="00241851">
        <w:rPr>
          <w:rFonts w:cs="Times New Roman"/>
          <w:shd w:val="clear" w:color="auto" w:fill="FFFFFF"/>
        </w:rPr>
        <w:t xml:space="preserve"> </w:t>
      </w:r>
      <w:r w:rsidR="003E4154" w:rsidRPr="002C30E7">
        <w:rPr>
          <w:rFonts w:cs="Times New Roman"/>
          <w:shd w:val="clear" w:color="auto" w:fill="FFFFFF"/>
        </w:rPr>
        <w:t xml:space="preserve">regroupées pour lutter contre les expulsions de domicile et tisser un réseau de solidarité. » </w:t>
      </w:r>
      <w:r w:rsidR="00241851">
        <w:rPr>
          <w:rFonts w:cs="Times New Roman"/>
          <w:shd w:val="clear" w:color="auto" w:fill="FFFFFF"/>
        </w:rPr>
        <w:t>Il est c</w:t>
      </w:r>
      <w:r w:rsidR="003E4154" w:rsidRPr="002C30E7">
        <w:rPr>
          <w:rFonts w:cs="Times New Roman"/>
          <w:shd w:val="clear" w:color="auto" w:fill="FFFFFF"/>
        </w:rPr>
        <w:t>réé en août 2020, en plein confinement, pour lutter notamment contre les expulsions à venir des personnes placées en squat ou en hébergement d’urgence durant la crise sanitaire. Plusieurs outils sont accessibles sur leur site : un podcast, un flyer et un</w:t>
      </w:r>
      <w:r w:rsidR="002C30E7" w:rsidRPr="002C30E7">
        <w:rPr>
          <w:rFonts w:cs="Times New Roman"/>
          <w:shd w:val="clear" w:color="auto" w:fill="FFFFFF"/>
        </w:rPr>
        <w:t xml:space="preserve"> guide pour les locataires assignés en justice de paix </w:t>
      </w:r>
      <w:r w:rsidR="002C30E7" w:rsidRPr="002318B3">
        <w:rPr>
          <w:rFonts w:cs="Times New Roman"/>
          <w:shd w:val="clear" w:color="auto" w:fill="FFFFFF"/>
        </w:rPr>
        <w:t>(Front anti-expulsions, 2020).</w:t>
      </w:r>
    </w:p>
    <w:p w14:paraId="59533075" w14:textId="6E2900ED" w:rsidR="00DC57E9" w:rsidRDefault="00260309" w:rsidP="0031511A">
      <w:pPr>
        <w:spacing w:line="276" w:lineRule="auto"/>
        <w:rPr>
          <w:rFonts w:cs="Times New Roman"/>
          <w:highlight w:val="yellow"/>
          <w:shd w:val="clear" w:color="auto" w:fill="FFFFFF"/>
        </w:rPr>
      </w:pPr>
      <w:r w:rsidRPr="002C30E7">
        <w:rPr>
          <w:rFonts w:cs="Times New Roman"/>
          <w:shd w:val="clear" w:color="auto" w:fill="FFFFFF"/>
        </w:rPr>
        <w:t xml:space="preserve">Pour la Wallonie, </w:t>
      </w:r>
      <w:r w:rsidR="002C30E7" w:rsidRPr="002C30E7">
        <w:rPr>
          <w:rFonts w:cs="Times New Roman"/>
          <w:shd w:val="clear" w:color="auto" w:fill="FFFFFF"/>
        </w:rPr>
        <w:t xml:space="preserve">c’est </w:t>
      </w:r>
      <w:r w:rsidR="00EC3C57">
        <w:rPr>
          <w:rFonts w:cs="Times New Roman"/>
          <w:shd w:val="clear" w:color="auto" w:fill="FFFFFF"/>
        </w:rPr>
        <w:t xml:space="preserve">principalement </w:t>
      </w:r>
      <w:r w:rsidR="002C30E7" w:rsidRPr="002C30E7">
        <w:rPr>
          <w:rFonts w:cs="Times New Roman"/>
          <w:shd w:val="clear" w:color="auto" w:fill="FFFFFF"/>
        </w:rPr>
        <w:t>le Rass</w:t>
      </w:r>
      <w:r w:rsidR="002C30E7">
        <w:rPr>
          <w:rFonts w:cs="Times New Roman"/>
          <w:shd w:val="clear" w:color="auto" w:fill="FFFFFF"/>
        </w:rPr>
        <w:t>e</w:t>
      </w:r>
      <w:r w:rsidR="002C30E7" w:rsidRPr="002C30E7">
        <w:rPr>
          <w:rFonts w:cs="Times New Roman"/>
          <w:shd w:val="clear" w:color="auto" w:fill="FFFFFF"/>
        </w:rPr>
        <w:t xml:space="preserve">mblement wallon pour le droit à l’habitat qui se mobilise, en tant qu’association, sur le sujet. Leur site internet reprend les différents communiqués adressés aux politiques contre les expulsions, ainsi que les outils </w:t>
      </w:r>
      <w:r w:rsidR="002C30E7">
        <w:rPr>
          <w:rFonts w:cs="Times New Roman"/>
          <w:shd w:val="clear" w:color="auto" w:fill="FFFFFF"/>
        </w:rPr>
        <w:t>des autres associations précité</w:t>
      </w:r>
      <w:r w:rsidR="00241851">
        <w:rPr>
          <w:rFonts w:cs="Times New Roman"/>
          <w:shd w:val="clear" w:color="auto" w:fill="FFFFFF"/>
        </w:rPr>
        <w:t>e</w:t>
      </w:r>
      <w:r w:rsidR="002C30E7">
        <w:rPr>
          <w:rFonts w:cs="Times New Roman"/>
          <w:shd w:val="clear" w:color="auto" w:fill="FFFFFF"/>
        </w:rPr>
        <w:t>s.</w:t>
      </w:r>
      <w:r w:rsidR="00622CE1">
        <w:rPr>
          <w:rStyle w:val="Appelnotedebasdep"/>
          <w:rFonts w:cs="Times New Roman"/>
          <w:shd w:val="clear" w:color="auto" w:fill="FFFFFF"/>
        </w:rPr>
        <w:footnoteReference w:id="8"/>
      </w:r>
      <w:r w:rsidR="002C30E7">
        <w:rPr>
          <w:rFonts w:cs="Times New Roman"/>
          <w:shd w:val="clear" w:color="auto" w:fill="FFFFFF"/>
        </w:rPr>
        <w:t xml:space="preserve"> En juin 2022, il </w:t>
      </w:r>
      <w:r w:rsidR="002C30E7">
        <w:rPr>
          <w:rFonts w:cs="Times New Roman"/>
          <w:shd w:val="clear" w:color="auto" w:fill="FFFFFF"/>
        </w:rPr>
        <w:lastRenderedPageBreak/>
        <w:t xml:space="preserve">publie avec </w:t>
      </w:r>
      <w:r w:rsidR="002C30E7" w:rsidRPr="002C30E7">
        <w:rPr>
          <w:rFonts w:cs="Times New Roman"/>
          <w:shd w:val="clear" w:color="auto" w:fill="FFFFFF"/>
        </w:rPr>
        <w:t xml:space="preserve">le DAL Tournai, le CIEP-MOC WAPI, l'Etape, </w:t>
      </w:r>
      <w:proofErr w:type="spellStart"/>
      <w:r w:rsidR="002C30E7" w:rsidRPr="002C30E7">
        <w:rPr>
          <w:rFonts w:cs="Times New Roman"/>
          <w:shd w:val="clear" w:color="auto" w:fill="FFFFFF"/>
        </w:rPr>
        <w:t>Periferia</w:t>
      </w:r>
      <w:proofErr w:type="spellEnd"/>
      <w:r w:rsidR="002C30E7" w:rsidRPr="002C30E7">
        <w:rPr>
          <w:rFonts w:cs="Times New Roman"/>
          <w:shd w:val="clear" w:color="auto" w:fill="FFFFFF"/>
        </w:rPr>
        <w:t xml:space="preserve"> et les ex-locataires de la rue des Campeaux à Tournai, le récit de cette quarantaine de ménages expulsés de leur logement suite à un incendie</w:t>
      </w:r>
      <w:r w:rsidR="00241851">
        <w:rPr>
          <w:rFonts w:cs="Times New Roman"/>
          <w:shd w:val="clear" w:color="auto" w:fill="FFFFFF"/>
        </w:rPr>
        <w:t xml:space="preserve"> et de leur mobilisation pour un relogement </w:t>
      </w:r>
      <w:r w:rsidR="00B22526">
        <w:rPr>
          <w:rFonts w:cs="Times New Roman"/>
          <w:shd w:val="clear" w:color="auto" w:fill="FFFFFF"/>
        </w:rPr>
        <w:t>décent</w:t>
      </w:r>
      <w:r w:rsidR="002C30E7" w:rsidRPr="002C30E7">
        <w:rPr>
          <w:rFonts w:cs="Times New Roman"/>
          <w:shd w:val="clear" w:color="auto" w:fill="FFFFFF"/>
        </w:rPr>
        <w:t xml:space="preserve"> </w:t>
      </w:r>
      <w:r w:rsidR="002C30E7" w:rsidRPr="00C476C4">
        <w:rPr>
          <w:rFonts w:cs="Times New Roman"/>
          <w:shd w:val="clear" w:color="auto" w:fill="FFFFFF"/>
        </w:rPr>
        <w:t>(</w:t>
      </w:r>
      <w:r w:rsidR="00C476C4" w:rsidRPr="00C476C4">
        <w:rPr>
          <w:rFonts w:cs="Times New Roman"/>
          <w:shd w:val="clear" w:color="auto" w:fill="FFFFFF"/>
        </w:rPr>
        <w:t xml:space="preserve">Dal </w:t>
      </w:r>
      <w:r w:rsidR="00C476C4">
        <w:rPr>
          <w:rFonts w:cs="Times New Roman"/>
          <w:shd w:val="clear" w:color="auto" w:fill="FFFFFF"/>
        </w:rPr>
        <w:t>T</w:t>
      </w:r>
      <w:r w:rsidR="00C476C4" w:rsidRPr="00C476C4">
        <w:rPr>
          <w:rFonts w:cs="Times New Roman"/>
          <w:shd w:val="clear" w:color="auto" w:fill="FFFFFF"/>
        </w:rPr>
        <w:t>ournai et al, 2022</w:t>
      </w:r>
      <w:r w:rsidR="002C30E7" w:rsidRPr="00C476C4">
        <w:rPr>
          <w:rFonts w:cs="Times New Roman"/>
          <w:shd w:val="clear" w:color="auto" w:fill="FFFFFF"/>
        </w:rPr>
        <w:t>)</w:t>
      </w:r>
      <w:r w:rsidR="00241851" w:rsidRPr="00C476C4">
        <w:rPr>
          <w:rFonts w:cs="Times New Roman"/>
          <w:shd w:val="clear" w:color="auto" w:fill="FFFFFF"/>
        </w:rPr>
        <w:t>.</w:t>
      </w:r>
    </w:p>
    <w:p w14:paraId="70052DEB" w14:textId="353E8650" w:rsidR="002C30E7" w:rsidRDefault="00314AD6" w:rsidP="0031511A">
      <w:pPr>
        <w:spacing w:line="276" w:lineRule="auto"/>
        <w:rPr>
          <w:rFonts w:cs="Times New Roman"/>
          <w:shd w:val="clear" w:color="auto" w:fill="FFFFFF"/>
        </w:rPr>
      </w:pPr>
      <w:r>
        <w:rPr>
          <w:rFonts w:cs="Times New Roman"/>
          <w:shd w:val="clear" w:color="auto" w:fill="FFFFFF"/>
        </w:rPr>
        <w:t xml:space="preserve">Cet état de l’art nous permet de constater que la majorité des études ou publications sur le sujet des expulsions locatives en Belgique émane soit de l’expertise institutionnelle </w:t>
      </w:r>
      <w:r w:rsidRPr="00C476C4">
        <w:rPr>
          <w:rFonts w:cs="Times New Roman"/>
          <w:shd w:val="clear" w:color="auto" w:fill="FFFFFF"/>
        </w:rPr>
        <w:t>(IWEPS</w:t>
      </w:r>
      <w:r w:rsidR="00C476C4" w:rsidRPr="00C476C4">
        <w:rPr>
          <w:rFonts w:cs="Times New Roman"/>
          <w:shd w:val="clear" w:color="auto" w:fill="FFFFFF"/>
        </w:rPr>
        <w:t xml:space="preserve">, </w:t>
      </w:r>
      <w:r w:rsidR="00C476C4">
        <w:rPr>
          <w:rFonts w:cs="Times New Roman"/>
          <w:shd w:val="clear" w:color="auto" w:fill="FFFFFF"/>
        </w:rPr>
        <w:t>C</w:t>
      </w:r>
      <w:r w:rsidR="00DD396D">
        <w:rPr>
          <w:rFonts w:cs="Times New Roman"/>
          <w:shd w:val="clear" w:color="auto" w:fill="FFFFFF"/>
        </w:rPr>
        <w:t>OCOM</w:t>
      </w:r>
      <w:r w:rsidR="00C476C4">
        <w:rPr>
          <w:rFonts w:cs="Times New Roman"/>
          <w:shd w:val="clear" w:color="auto" w:fill="FFFFFF"/>
        </w:rPr>
        <w:t xml:space="preserve"> via l’</w:t>
      </w:r>
      <w:r w:rsidR="00C476C4" w:rsidRPr="00C476C4">
        <w:rPr>
          <w:rFonts w:cs="Times New Roman"/>
          <w:shd w:val="clear" w:color="auto" w:fill="FFFFFF"/>
        </w:rPr>
        <w:t>Observatoire de la santé et du social</w:t>
      </w:r>
      <w:r w:rsidR="00C476C4">
        <w:rPr>
          <w:rFonts w:cs="Times New Roman"/>
          <w:shd w:val="clear" w:color="auto" w:fill="FFFFFF"/>
        </w:rPr>
        <w:t xml:space="preserve"> de Bruxelles-Capitale</w:t>
      </w:r>
      <w:r w:rsidRPr="00C476C4">
        <w:rPr>
          <w:rFonts w:cs="Times New Roman"/>
          <w:shd w:val="clear" w:color="auto" w:fill="FFFFFF"/>
        </w:rPr>
        <w:t>)</w:t>
      </w:r>
      <w:r>
        <w:rPr>
          <w:rFonts w:cs="Times New Roman"/>
          <w:shd w:val="clear" w:color="auto" w:fill="FFFFFF"/>
        </w:rPr>
        <w:t xml:space="preserve"> </w:t>
      </w:r>
      <w:r w:rsidR="00C476C4">
        <w:rPr>
          <w:rFonts w:cs="Times New Roman"/>
          <w:shd w:val="clear" w:color="auto" w:fill="FFFFFF"/>
        </w:rPr>
        <w:t xml:space="preserve">soit </w:t>
      </w:r>
      <w:r>
        <w:rPr>
          <w:rFonts w:cs="Times New Roman"/>
          <w:shd w:val="clear" w:color="auto" w:fill="FFFFFF"/>
        </w:rPr>
        <w:t xml:space="preserve">du champ associatif dont les publications visent à communiquer les aspects juridiques et techniques des procédures et </w:t>
      </w:r>
      <w:r w:rsidR="00077C5D">
        <w:rPr>
          <w:rFonts w:cs="Times New Roman"/>
          <w:shd w:val="clear" w:color="auto" w:fill="FFFFFF"/>
        </w:rPr>
        <w:t xml:space="preserve">à </w:t>
      </w:r>
      <w:r>
        <w:rPr>
          <w:rFonts w:cs="Times New Roman"/>
          <w:shd w:val="clear" w:color="auto" w:fill="FFFFFF"/>
        </w:rPr>
        <w:t xml:space="preserve">informer les locataires sur leurs droits. </w:t>
      </w:r>
    </w:p>
    <w:p w14:paraId="623394AA" w14:textId="2B14CF9E" w:rsidR="00314AD6" w:rsidRPr="00571ED0" w:rsidRDefault="00571ED0" w:rsidP="0031511A">
      <w:pPr>
        <w:autoSpaceDE w:val="0"/>
        <w:autoSpaceDN w:val="0"/>
        <w:adjustRightInd w:val="0"/>
        <w:spacing w:line="276" w:lineRule="auto"/>
        <w:rPr>
          <w:rFonts w:cs="Times New Roman"/>
          <w:shd w:val="clear" w:color="auto" w:fill="FFFFFF"/>
        </w:rPr>
      </w:pPr>
      <w:r w:rsidRPr="00571ED0">
        <w:rPr>
          <w:rFonts w:cs="Times New Roman"/>
          <w:shd w:val="clear" w:color="auto" w:fill="FFFFFF"/>
        </w:rPr>
        <w:t>Expertise institutionnelle et associati</w:t>
      </w:r>
      <w:r w:rsidR="00077C5D">
        <w:rPr>
          <w:rFonts w:cs="Times New Roman"/>
          <w:shd w:val="clear" w:color="auto" w:fill="FFFFFF"/>
        </w:rPr>
        <w:t>ve</w:t>
      </w:r>
      <w:r w:rsidRPr="00571ED0">
        <w:rPr>
          <w:rFonts w:cs="Times New Roman"/>
          <w:shd w:val="clear" w:color="auto" w:fill="FFFFFF"/>
        </w:rPr>
        <w:t xml:space="preserve"> ont en commun de mobiliser les catégories institutionnelles pour parler du phénomène : on parle des expulsions domiciliaires telles </w:t>
      </w:r>
      <w:r>
        <w:rPr>
          <w:rFonts w:cs="Times New Roman"/>
          <w:shd w:val="clear" w:color="auto" w:fill="FFFFFF"/>
        </w:rPr>
        <w:t>que</w:t>
      </w:r>
      <w:r w:rsidRPr="00571ED0">
        <w:rPr>
          <w:rFonts w:cs="Times New Roman"/>
          <w:shd w:val="clear" w:color="auto" w:fill="FFFFFF"/>
        </w:rPr>
        <w:t xml:space="preserve"> </w:t>
      </w:r>
      <w:r w:rsidR="00DF56B5">
        <w:rPr>
          <w:rFonts w:cs="Times New Roman"/>
          <w:shd w:val="clear" w:color="auto" w:fill="FFFFFF"/>
        </w:rPr>
        <w:t xml:space="preserve">strictement </w:t>
      </w:r>
      <w:r w:rsidRPr="00571ED0">
        <w:rPr>
          <w:rFonts w:cs="Times New Roman"/>
          <w:shd w:val="clear" w:color="auto" w:fill="FFFFFF"/>
        </w:rPr>
        <w:t>définies par un cadre légal</w:t>
      </w:r>
      <w:r w:rsidR="00DF56B5">
        <w:rPr>
          <w:rFonts w:cs="Times New Roman"/>
          <w:shd w:val="clear" w:color="auto" w:fill="FFFFFF"/>
        </w:rPr>
        <w:t xml:space="preserve">, opposant bailleur et locataire, </w:t>
      </w:r>
      <w:r w:rsidRPr="00571ED0">
        <w:rPr>
          <w:rFonts w:cs="Times New Roman"/>
          <w:shd w:val="clear" w:color="auto" w:fill="FFFFFF"/>
        </w:rPr>
        <w:t>et f</w:t>
      </w:r>
      <w:r>
        <w:rPr>
          <w:rFonts w:cs="Times New Roman"/>
          <w:shd w:val="clear" w:color="auto" w:fill="FFFFFF"/>
        </w:rPr>
        <w:t>aisan</w:t>
      </w:r>
      <w:r w:rsidRPr="00571ED0">
        <w:rPr>
          <w:rFonts w:cs="Times New Roman"/>
          <w:shd w:val="clear" w:color="auto" w:fill="FFFFFF"/>
        </w:rPr>
        <w:t>t l’objet d’une procédure. L’écueil, comme le note</w:t>
      </w:r>
      <w:r w:rsidR="00077C5D">
        <w:rPr>
          <w:rFonts w:cs="Times New Roman"/>
          <w:shd w:val="clear" w:color="auto" w:fill="FFFFFF"/>
        </w:rPr>
        <w:t>nt</w:t>
      </w:r>
      <w:r w:rsidRPr="00571ED0">
        <w:rPr>
          <w:rFonts w:cs="Times New Roman"/>
          <w:shd w:val="clear" w:color="auto" w:fill="FFFFFF"/>
        </w:rPr>
        <w:t xml:space="preserve"> Camille François et Cégolène Frisque avant lui (Frisque,</w:t>
      </w:r>
      <w:r w:rsidR="00F43D62">
        <w:rPr>
          <w:rFonts w:cs="Times New Roman"/>
          <w:shd w:val="clear" w:color="auto" w:fill="FFFFFF"/>
        </w:rPr>
        <w:t xml:space="preserve"> </w:t>
      </w:r>
      <w:r w:rsidRPr="00571ED0">
        <w:rPr>
          <w:rFonts w:cs="Times New Roman"/>
          <w:shd w:val="clear" w:color="auto" w:fill="FFFFFF"/>
        </w:rPr>
        <w:t xml:space="preserve">2006), c’est </w:t>
      </w:r>
      <w:r w:rsidR="00077C5D">
        <w:rPr>
          <w:rFonts w:cs="Times New Roman"/>
          <w:shd w:val="clear" w:color="auto" w:fill="FFFFFF"/>
        </w:rPr>
        <w:t>cette démarche qui</w:t>
      </w:r>
      <w:r w:rsidRPr="00571ED0">
        <w:rPr>
          <w:rFonts w:cs="Times New Roman"/>
          <w:shd w:val="clear" w:color="auto" w:fill="FFFFFF"/>
        </w:rPr>
        <w:t xml:space="preserve"> entérine la vision dominante du phénomène</w:t>
      </w:r>
      <w:r>
        <w:rPr>
          <w:rFonts w:cs="Times New Roman"/>
          <w:shd w:val="clear" w:color="auto" w:fill="FFFFFF"/>
        </w:rPr>
        <w:t xml:space="preserve"> </w:t>
      </w:r>
      <w:r w:rsidRPr="00571ED0">
        <w:rPr>
          <w:rFonts w:cs="Times New Roman"/>
          <w:shd w:val="clear" w:color="auto" w:fill="FFFFFF"/>
        </w:rPr>
        <w:t>appréhendé « </w:t>
      </w:r>
      <w:r w:rsidRPr="00571ED0">
        <w:rPr>
          <w:rFonts w:cs="Times New Roman"/>
        </w:rPr>
        <w:t xml:space="preserve">comme un « </w:t>
      </w:r>
      <w:r w:rsidRPr="00571ED0">
        <w:rPr>
          <w:rFonts w:cs="Times New Roman"/>
          <w:i/>
          <w:iCs/>
        </w:rPr>
        <w:t xml:space="preserve">risque </w:t>
      </w:r>
      <w:r w:rsidRPr="00571ED0">
        <w:rPr>
          <w:rFonts w:cs="Times New Roman"/>
        </w:rPr>
        <w:t xml:space="preserve">» menaçant un public particulier (les « </w:t>
      </w:r>
      <w:r w:rsidRPr="00571ED0">
        <w:rPr>
          <w:rFonts w:cs="Times New Roman"/>
          <w:i/>
          <w:iCs/>
        </w:rPr>
        <w:t xml:space="preserve">personnes défavorisées </w:t>
      </w:r>
      <w:r w:rsidRPr="00571ED0">
        <w:rPr>
          <w:rFonts w:cs="Times New Roman"/>
        </w:rPr>
        <w:t xml:space="preserve">»), et devant faire l'objet de mesures « </w:t>
      </w:r>
      <w:r w:rsidRPr="00571ED0">
        <w:rPr>
          <w:rFonts w:cs="Times New Roman"/>
          <w:i/>
          <w:iCs/>
        </w:rPr>
        <w:t xml:space="preserve">préventives </w:t>
      </w:r>
      <w:r w:rsidRPr="00571ED0">
        <w:rPr>
          <w:rFonts w:cs="Times New Roman"/>
        </w:rPr>
        <w:t xml:space="preserve">» ou « </w:t>
      </w:r>
      <w:r w:rsidRPr="00571ED0">
        <w:rPr>
          <w:rFonts w:cs="Times New Roman"/>
          <w:i/>
          <w:iCs/>
        </w:rPr>
        <w:t xml:space="preserve">amiables </w:t>
      </w:r>
      <w:r w:rsidRPr="00571ED0">
        <w:rPr>
          <w:rFonts w:cs="Times New Roman"/>
        </w:rPr>
        <w:t xml:space="preserve">» dans le cadre « partenarial » de la lutte menée à l'échelle « </w:t>
      </w:r>
      <w:r w:rsidRPr="00571ED0">
        <w:rPr>
          <w:rFonts w:cs="Times New Roman"/>
          <w:i/>
          <w:iCs/>
        </w:rPr>
        <w:t xml:space="preserve">locale </w:t>
      </w:r>
      <w:r w:rsidRPr="00571ED0">
        <w:rPr>
          <w:rFonts w:cs="Times New Roman"/>
        </w:rPr>
        <w:t xml:space="preserve">» contre le « </w:t>
      </w:r>
      <w:r w:rsidRPr="00571ED0">
        <w:rPr>
          <w:rFonts w:cs="Times New Roman"/>
          <w:i/>
          <w:iCs/>
        </w:rPr>
        <w:t>mal</w:t>
      </w:r>
      <w:r>
        <w:rPr>
          <w:rFonts w:cs="Times New Roman"/>
          <w:i/>
          <w:iCs/>
        </w:rPr>
        <w:t>-</w:t>
      </w:r>
      <w:r w:rsidRPr="00571ED0">
        <w:rPr>
          <w:rFonts w:cs="Times New Roman"/>
          <w:i/>
          <w:iCs/>
        </w:rPr>
        <w:t xml:space="preserve">logement </w:t>
      </w:r>
      <w:r w:rsidRPr="00571ED0">
        <w:rPr>
          <w:rFonts w:cs="Times New Roman"/>
        </w:rPr>
        <w:t>»</w:t>
      </w:r>
      <w:r>
        <w:rPr>
          <w:rFonts w:cs="Times New Roman"/>
        </w:rPr>
        <w:t> » (François, 2017)</w:t>
      </w:r>
      <w:r w:rsidRPr="00571ED0">
        <w:rPr>
          <w:rFonts w:cs="Times New Roman"/>
        </w:rPr>
        <w:t>.</w:t>
      </w:r>
    </w:p>
    <w:p w14:paraId="47E8E211" w14:textId="782A1A75" w:rsidR="00571ED0" w:rsidRPr="000F4498" w:rsidRDefault="00571ED0" w:rsidP="0031511A">
      <w:pPr>
        <w:spacing w:line="276" w:lineRule="auto"/>
        <w:rPr>
          <w:rFonts w:cs="Times New Roman"/>
        </w:rPr>
      </w:pPr>
      <w:r>
        <w:rPr>
          <w:rFonts w:cs="Times New Roman"/>
        </w:rPr>
        <w:t xml:space="preserve">Or cette vision, et les politiques qui en </w:t>
      </w:r>
      <w:r w:rsidR="00077C5D">
        <w:rPr>
          <w:rFonts w:cs="Times New Roman"/>
        </w:rPr>
        <w:t>découlent</w:t>
      </w:r>
      <w:r>
        <w:rPr>
          <w:rFonts w:cs="Times New Roman"/>
        </w:rPr>
        <w:t>, ne semble</w:t>
      </w:r>
      <w:r w:rsidR="00077C5D">
        <w:rPr>
          <w:rFonts w:cs="Times New Roman"/>
        </w:rPr>
        <w:t>nt</w:t>
      </w:r>
      <w:r>
        <w:rPr>
          <w:rFonts w:cs="Times New Roman"/>
        </w:rPr>
        <w:t xml:space="preserve"> pas </w:t>
      </w:r>
      <w:r w:rsidR="00832536">
        <w:rPr>
          <w:rFonts w:cs="Times New Roman"/>
        </w:rPr>
        <w:t xml:space="preserve">embrasser </w:t>
      </w:r>
      <w:r>
        <w:rPr>
          <w:rFonts w:cs="Times New Roman"/>
        </w:rPr>
        <w:t>l’ensemble des situations.</w:t>
      </w:r>
      <w:r w:rsidR="00832536">
        <w:rPr>
          <w:rFonts w:cs="Times New Roman"/>
        </w:rPr>
        <w:t xml:space="preserve"> Il faut pour cela sortir de la perspective et des catégories institutionnelles</w:t>
      </w:r>
      <w:r w:rsidR="00077C5D">
        <w:rPr>
          <w:rFonts w:cs="Times New Roman"/>
        </w:rPr>
        <w:t>,</w:t>
      </w:r>
      <w:r w:rsidR="00832536">
        <w:rPr>
          <w:rFonts w:cs="Times New Roman"/>
        </w:rPr>
        <w:t xml:space="preserve"> et regard</w:t>
      </w:r>
      <w:r w:rsidR="00077C5D">
        <w:rPr>
          <w:rFonts w:cs="Times New Roman"/>
        </w:rPr>
        <w:t>er</w:t>
      </w:r>
      <w:r w:rsidR="00832536">
        <w:rPr>
          <w:rFonts w:cs="Times New Roman"/>
        </w:rPr>
        <w:t xml:space="preserve"> du côté des locataires endettés ou mal-logés.</w:t>
      </w:r>
    </w:p>
    <w:p w14:paraId="5C5D1AED" w14:textId="494DF61B" w:rsidR="00122EDE" w:rsidRDefault="0036366A" w:rsidP="0036366A">
      <w:pPr>
        <w:pStyle w:val="Titre3"/>
        <w:rPr>
          <w:shd w:val="clear" w:color="auto" w:fill="FFFFFF"/>
        </w:rPr>
      </w:pPr>
      <w:bookmarkStart w:id="11" w:name="_Toc152687194"/>
      <w:r>
        <w:rPr>
          <w:shd w:val="clear" w:color="auto" w:fill="FFFFFF"/>
        </w:rPr>
        <w:t>Un</w:t>
      </w:r>
      <w:r w:rsidR="00571ED0">
        <w:rPr>
          <w:shd w:val="clear" w:color="auto" w:fill="FFFFFF"/>
        </w:rPr>
        <w:t xml:space="preserve"> nouveau regard sur les expulsions locatives </w:t>
      </w:r>
      <w:r w:rsidR="00314AD6">
        <w:rPr>
          <w:shd w:val="clear" w:color="auto" w:fill="FFFFFF"/>
        </w:rPr>
        <w:t>?</w:t>
      </w:r>
      <w:bookmarkEnd w:id="11"/>
    </w:p>
    <w:p w14:paraId="4EE74AEA" w14:textId="4E32F5FD" w:rsidR="00832536" w:rsidRPr="00832536" w:rsidRDefault="00832536" w:rsidP="00832536">
      <w:pPr>
        <w:spacing w:line="276" w:lineRule="auto"/>
      </w:pPr>
      <w:r>
        <w:t>Cette perspective nouvelle sur la précarité au logement semble notamment être un des motifs des nouveaux Contrats Locaux social-santé (CLSS) mis en place depuis 2020 en Région bruxelloise.</w:t>
      </w:r>
      <w:r w:rsidR="00581314">
        <w:t xml:space="preserve"> </w:t>
      </w:r>
    </w:p>
    <w:p w14:paraId="419AEF35" w14:textId="25F0668B" w:rsidR="00DF56B5" w:rsidRDefault="00DF56B5" w:rsidP="00DF56B5">
      <w:pPr>
        <w:spacing w:line="276" w:lineRule="auto"/>
      </w:pPr>
      <w:r>
        <w:t>L’accord du gouvernement bruxellois pour la législature 2019-2024 annonçait la réforme de la</w:t>
      </w:r>
      <w:r w:rsidRPr="00B0010B">
        <w:t xml:space="preserve"> relation aux CPAS </w:t>
      </w:r>
      <w:r>
        <w:t>via « </w:t>
      </w:r>
      <w:r w:rsidRPr="00B0010B">
        <w:t>la contractualisation, au travers de contrats locaux social</w:t>
      </w:r>
      <w:r>
        <w:t>-</w:t>
      </w:r>
      <w:r w:rsidRPr="00B0010B">
        <w:t>santé, de politiques spécifiques d’action sociale répondant aux besoins de chaque quartier et aux différentes réalités sociales locales</w:t>
      </w:r>
      <w:r>
        <w:t> »</w:t>
      </w:r>
      <w:r w:rsidRPr="00B0010B">
        <w:t xml:space="preserve">. </w:t>
      </w:r>
      <w:r>
        <w:t xml:space="preserve">Ces contrats sont </w:t>
      </w:r>
      <w:r w:rsidR="00832536">
        <w:t xml:space="preserve">actuellement </w:t>
      </w:r>
      <w:r>
        <w:t>en cours dans 9 quartiers de cinq communes bruxelloises (</w:t>
      </w:r>
      <w:r w:rsidRPr="003C1E95">
        <w:rPr>
          <w:i/>
          <w:iCs/>
        </w:rPr>
        <w:t xml:space="preserve">quartiers Brabant et Colignon à Schaerbeek, </w:t>
      </w:r>
      <w:r w:rsidRPr="00677061">
        <w:t xml:space="preserve">Bas Forest-Pont de </w:t>
      </w:r>
      <w:proofErr w:type="spellStart"/>
      <w:r w:rsidRPr="00677061">
        <w:t>Luttre</w:t>
      </w:r>
      <w:proofErr w:type="spellEnd"/>
      <w:r w:rsidRPr="003C1E95">
        <w:t xml:space="preserve"> à Forest, </w:t>
      </w:r>
      <w:r w:rsidRPr="00677061">
        <w:t>Gare de l’Ouest et Molenbeek Historique</w:t>
      </w:r>
      <w:r w:rsidRPr="003C1E95">
        <w:t xml:space="preserve"> à Molenbeek, </w:t>
      </w:r>
      <w:proofErr w:type="spellStart"/>
      <w:r w:rsidRPr="00677061">
        <w:t>Anneessens</w:t>
      </w:r>
      <w:proofErr w:type="spellEnd"/>
      <w:r w:rsidRPr="00677061">
        <w:t xml:space="preserve"> et Marolles</w:t>
      </w:r>
      <w:r w:rsidRPr="003C1E95">
        <w:t xml:space="preserve"> à Bruxelles-villes, </w:t>
      </w:r>
      <w:proofErr w:type="spellStart"/>
      <w:r w:rsidRPr="00677061">
        <w:t>Wayez</w:t>
      </w:r>
      <w:proofErr w:type="spellEnd"/>
      <w:r w:rsidRPr="00677061">
        <w:t xml:space="preserve"> et Centre Historique</w:t>
      </w:r>
      <w:r w:rsidRPr="003C1E95">
        <w:t xml:space="preserve"> à Anderlecht</w:t>
      </w:r>
      <w:r w:rsidRPr="00677061">
        <w:t>)</w:t>
      </w:r>
      <w:r w:rsidRPr="003C1E95">
        <w:t>.</w:t>
      </w:r>
      <w:r>
        <w:rPr>
          <w:rFonts w:ascii="Arial" w:eastAsia="Times New Roman" w:hAnsi="Arial" w:cs="Arial"/>
          <w:color w:val="6F6F6F"/>
          <w:sz w:val="21"/>
          <w:szCs w:val="21"/>
          <w:lang w:eastAsia="fr-BE"/>
        </w:rPr>
        <w:t xml:space="preserve"> </w:t>
      </w:r>
      <w:r w:rsidR="00832536">
        <w:t>Ils</w:t>
      </w:r>
      <w:r>
        <w:t xml:space="preserve"> engagent donc les cinq CPAS de ces cinq communes à travailler prioritairement sur deux axes</w:t>
      </w:r>
      <w:r>
        <w:rPr>
          <w:rStyle w:val="Appelnotedebasdep"/>
        </w:rPr>
        <w:footnoteReference w:id="9"/>
      </w:r>
      <w:r>
        <w:t xml:space="preserve"> : </w:t>
      </w:r>
    </w:p>
    <w:p w14:paraId="3430EF0F" w14:textId="0532BB6C" w:rsidR="00DF56B5" w:rsidRPr="00677061" w:rsidRDefault="00DF56B5" w:rsidP="001229BC">
      <w:pPr>
        <w:pStyle w:val="Paragraphedeliste"/>
        <w:numPr>
          <w:ilvl w:val="0"/>
          <w:numId w:val="12"/>
        </w:numPr>
        <w:spacing w:line="276" w:lineRule="auto"/>
        <w:rPr>
          <w:lang w:eastAsia="fr-BE"/>
        </w:rPr>
      </w:pPr>
      <w:r w:rsidRPr="00677061">
        <w:rPr>
          <w:lang w:eastAsia="fr-BE"/>
        </w:rPr>
        <w:t>Favoriser l’accès aux services existants tant sociaux que sanitaires </w:t>
      </w:r>
      <w:r w:rsidR="00077C5D">
        <w:rPr>
          <w:lang w:eastAsia="fr-BE"/>
        </w:rPr>
        <w:t>(développement et visibilisa</w:t>
      </w:r>
      <w:r w:rsidR="00C476C4">
        <w:rPr>
          <w:lang w:eastAsia="fr-BE"/>
        </w:rPr>
        <w:t>tion</w:t>
      </w:r>
      <w:r w:rsidR="00077C5D">
        <w:rPr>
          <w:lang w:eastAsia="fr-BE"/>
        </w:rPr>
        <w:t xml:space="preserve"> des réseaux informels, réseaux d’aide sociale et de soin dans le quartier) ; </w:t>
      </w:r>
    </w:p>
    <w:p w14:paraId="16516547" w14:textId="146EAB72" w:rsidR="00DF56B5" w:rsidRDefault="00DF56B5" w:rsidP="001229BC">
      <w:pPr>
        <w:pStyle w:val="Paragraphedeliste"/>
        <w:numPr>
          <w:ilvl w:val="0"/>
          <w:numId w:val="12"/>
        </w:numPr>
        <w:spacing w:line="276" w:lineRule="auto"/>
        <w:rPr>
          <w:lang w:eastAsia="fr-BE"/>
        </w:rPr>
      </w:pPr>
      <w:r w:rsidRPr="00677061">
        <w:rPr>
          <w:lang w:eastAsia="fr-BE"/>
        </w:rPr>
        <w:t>Renforcement de la prévention de la perte de logement et des expulsions et accompagnement des citoyens vers le (re)logement qualitatif </w:t>
      </w:r>
      <w:r w:rsidR="00077C5D">
        <w:rPr>
          <w:lang w:eastAsia="fr-BE"/>
        </w:rPr>
        <w:t xml:space="preserve">(mise en place d’instruments préventif et d’accompagnement pour les personnes à risque d’expulsion). </w:t>
      </w:r>
    </w:p>
    <w:p w14:paraId="62E965BE" w14:textId="6F7A4094" w:rsidR="00DF56B5" w:rsidRDefault="00832536" w:rsidP="00DF56B5">
      <w:pPr>
        <w:spacing w:line="276" w:lineRule="auto"/>
      </w:pPr>
      <w:r>
        <w:lastRenderedPageBreak/>
        <w:t>Les CLSS</w:t>
      </w:r>
      <w:r w:rsidR="00DF56B5">
        <w:t xml:space="preserve"> sont </w:t>
      </w:r>
      <w:r w:rsidR="00DF56B5" w:rsidRPr="00B0010B">
        <w:t>organisés en trois phases : une analyse et un diagnostic des besoins, l’implémentation des mesures et une phase d’évaluation.</w:t>
      </w:r>
      <w:r w:rsidR="00DF56B5">
        <w:t xml:space="preserve"> Si nous évoquons ces contrats ici, c’est qu’ils entérinent un regain d’intérêt des politiques quant aux expulsions locatives, intérêt </w:t>
      </w:r>
      <w:r>
        <w:t xml:space="preserve">qu’on devinait déjà avec </w:t>
      </w:r>
      <w:r w:rsidR="00DF56B5">
        <w:t xml:space="preserve">les récentes publications IWEPS (2015) et </w:t>
      </w:r>
      <w:r w:rsidR="00877B1F">
        <w:t>L’observatoire de la santé et du social</w:t>
      </w:r>
      <w:r w:rsidR="00DF56B5">
        <w:t xml:space="preserve"> (2018) sur le sujet. Mais c’est aussi que les matériaux récoltés par les chargées de projets CLSS dans le cadre de la phase de diagnostic est riche d’enseignement. </w:t>
      </w:r>
    </w:p>
    <w:p w14:paraId="705B50E2" w14:textId="25056E0D" w:rsidR="00DF56B5" w:rsidRDefault="00DF56B5" w:rsidP="009E6FA8">
      <w:pPr>
        <w:autoSpaceDE w:val="0"/>
        <w:autoSpaceDN w:val="0"/>
        <w:adjustRightInd w:val="0"/>
        <w:spacing w:line="276" w:lineRule="auto"/>
        <w:rPr>
          <w:rFonts w:cs="Times New Roman"/>
          <w:color w:val="000000"/>
          <w:highlight w:val="yellow"/>
        </w:rPr>
      </w:pPr>
      <w:r w:rsidRPr="00832536">
        <w:rPr>
          <w:rFonts w:cs="Times New Roman"/>
          <w:color w:val="000000"/>
        </w:rPr>
        <w:t>Le diagnostic du contrat local social santé (CLSS) de la commune de Forest, par exemple, remarque que chaque acteur rencontré</w:t>
      </w:r>
      <w:r w:rsidR="00832536">
        <w:rPr>
          <w:rFonts w:cs="Times New Roman"/>
          <w:color w:val="000000"/>
        </w:rPr>
        <w:t xml:space="preserve"> dans le cadre de la phase de diagnostic (travailleurs sociaux, acteurs associatifs, juges de paix, propriétaires, locataires)</w:t>
      </w:r>
      <w:r w:rsidRPr="00832536">
        <w:rPr>
          <w:rFonts w:cs="Times New Roman"/>
          <w:color w:val="000000"/>
        </w:rPr>
        <w:t xml:space="preserve"> attribue aux « expulsions » une signification plus ou moins large</w:t>
      </w:r>
      <w:r w:rsidR="00832536">
        <w:rPr>
          <w:rFonts w:cs="Times New Roman"/>
          <w:color w:val="000000"/>
        </w:rPr>
        <w:t xml:space="preserve"> : </w:t>
      </w:r>
      <w:r w:rsidRPr="00832536">
        <w:rPr>
          <w:rFonts w:cs="Times New Roman"/>
          <w:color w:val="000000"/>
        </w:rPr>
        <w:t xml:space="preserve">« Pour le juge de paix, les expulsions sont uniquement celles qui ont fait l’objet d’une </w:t>
      </w:r>
      <w:r w:rsidRPr="00832536">
        <w:rPr>
          <w:rFonts w:cs="Times New Roman"/>
          <w:bCs/>
          <w:color w:val="000000"/>
        </w:rPr>
        <w:t>résolution auprès de la justice de paix, ont été exécutés par un huissier</w:t>
      </w:r>
      <w:r w:rsidRPr="00832536">
        <w:rPr>
          <w:rFonts w:cs="Times New Roman"/>
          <w:color w:val="000000"/>
        </w:rPr>
        <w:t xml:space="preserve">, elles sont régies par le code civil aux articles 1708 à 1762bis du Code civil et du code bruxellois du logement en matière de « Bail d’Habitation ». » Le Juge de Paix donne donc une définition purement </w:t>
      </w:r>
      <w:r w:rsidR="00832536">
        <w:rPr>
          <w:rFonts w:cs="Times New Roman"/>
          <w:i/>
          <w:color w:val="000000"/>
        </w:rPr>
        <w:t>juridique</w:t>
      </w:r>
      <w:r w:rsidRPr="00832536">
        <w:rPr>
          <w:rFonts w:cs="Times New Roman"/>
          <w:color w:val="000000"/>
        </w:rPr>
        <w:t xml:space="preserve"> de l’expulsion</w:t>
      </w:r>
      <w:r w:rsidR="008838B2">
        <w:rPr>
          <w:rFonts w:cs="Times New Roman"/>
          <w:color w:val="000000"/>
        </w:rPr>
        <w:t>,</w:t>
      </w:r>
      <w:r w:rsidRPr="00832536">
        <w:rPr>
          <w:rFonts w:cs="Times New Roman"/>
          <w:color w:val="000000"/>
        </w:rPr>
        <w:t xml:space="preserve"> quand des acteurs de terrain, dont le Front anti-expulsion</w:t>
      </w:r>
      <w:r w:rsidRPr="00832536">
        <w:rPr>
          <w:rFonts w:cs="Times New Roman"/>
          <w:i/>
          <w:color w:val="000000"/>
        </w:rPr>
        <w:t xml:space="preserve">, </w:t>
      </w:r>
      <w:r w:rsidRPr="00832536">
        <w:rPr>
          <w:rFonts w:cs="Times New Roman"/>
          <w:color w:val="000000"/>
        </w:rPr>
        <w:t>auront une définition</w:t>
      </w:r>
      <w:r w:rsidR="00832536">
        <w:rPr>
          <w:rFonts w:cs="Times New Roman"/>
          <w:color w:val="000000"/>
        </w:rPr>
        <w:t xml:space="preserve"> ancrée </w:t>
      </w:r>
      <w:r w:rsidRPr="00832536">
        <w:rPr>
          <w:rFonts w:cs="Times New Roman"/>
          <w:color w:val="000000"/>
        </w:rPr>
        <w:t>dans le contexte bruxellois</w:t>
      </w:r>
      <w:r w:rsidR="008838B2">
        <w:rPr>
          <w:rFonts w:cs="Times New Roman"/>
          <w:color w:val="000000"/>
        </w:rPr>
        <w:t>,</w:t>
      </w:r>
      <w:r w:rsidR="00832536">
        <w:rPr>
          <w:rFonts w:cs="Times New Roman"/>
          <w:color w:val="000000"/>
        </w:rPr>
        <w:t xml:space="preserve"> que l’on peut qualifier de </w:t>
      </w:r>
      <w:r w:rsidR="00832536">
        <w:rPr>
          <w:rFonts w:cs="Times New Roman"/>
          <w:i/>
          <w:color w:val="000000"/>
        </w:rPr>
        <w:t>politique</w:t>
      </w:r>
      <w:r w:rsidRPr="00832536">
        <w:rPr>
          <w:rFonts w:cs="Times New Roman"/>
          <w:color w:val="000000"/>
        </w:rPr>
        <w:t xml:space="preserve"> : « toute action qui entraine l’expulsion du logement, y compris tout habitant sans titre ni droits, peu importe si l’expulsion fait l’objet d’une résiliation ou d’une résolution, ou qu’elle soit légale ou illégale ». Tandis que pour les habitants interviewés, « l’expulsion fait davantage référence à toute perte de logement lorsqu’on est locataire de celui-ci » et ce </w:t>
      </w:r>
      <w:r w:rsidR="008838B2">
        <w:rPr>
          <w:rFonts w:cs="Times New Roman"/>
          <w:color w:val="000000"/>
        </w:rPr>
        <w:t xml:space="preserve">y </w:t>
      </w:r>
      <w:r w:rsidRPr="00832536">
        <w:rPr>
          <w:rFonts w:cs="Times New Roman"/>
          <w:color w:val="000000"/>
        </w:rPr>
        <w:t>compris « lorsque le propriétaire met fin au contrat avant le terme de celui-ci</w:t>
      </w:r>
      <w:r w:rsidR="00832536">
        <w:rPr>
          <w:rFonts w:cs="Times New Roman"/>
          <w:color w:val="000000"/>
        </w:rPr>
        <w:t> »</w:t>
      </w:r>
      <w:r w:rsidRPr="00832536">
        <w:rPr>
          <w:rFonts w:cs="Times New Roman"/>
          <w:color w:val="000000"/>
        </w:rPr>
        <w:t xml:space="preserve">. Or, </w:t>
      </w:r>
      <w:r w:rsidR="008838B2">
        <w:rPr>
          <w:rFonts w:cs="Times New Roman"/>
          <w:color w:val="000000"/>
        </w:rPr>
        <w:t xml:space="preserve">si les conditions de rupture du contrat de bail sont respectées, </w:t>
      </w:r>
      <w:r w:rsidRPr="00832536">
        <w:rPr>
          <w:rFonts w:cs="Times New Roman"/>
          <w:color w:val="000000"/>
        </w:rPr>
        <w:t xml:space="preserve">cette procédure </w:t>
      </w:r>
      <w:r w:rsidR="00832536">
        <w:rPr>
          <w:rFonts w:cs="Times New Roman"/>
          <w:color w:val="000000"/>
        </w:rPr>
        <w:t>est légale et ne tombe pas sous la définition juridique d’une expulsion</w:t>
      </w:r>
      <w:r w:rsidRPr="00832536">
        <w:rPr>
          <w:rFonts w:cs="Times New Roman"/>
          <w:color w:val="000000"/>
        </w:rPr>
        <w:t>.</w:t>
      </w:r>
      <w:r w:rsidR="00832536">
        <w:rPr>
          <w:rFonts w:cs="Times New Roman"/>
          <w:color w:val="000000"/>
        </w:rPr>
        <w:t xml:space="preserve"> </w:t>
      </w:r>
      <w:r w:rsidR="00832536" w:rsidRPr="008838B2">
        <w:rPr>
          <w:rFonts w:cs="Times New Roman"/>
          <w:color w:val="000000"/>
        </w:rPr>
        <w:t>(</w:t>
      </w:r>
      <w:r w:rsidR="008838B2" w:rsidRPr="008838B2">
        <w:rPr>
          <w:rFonts w:cs="Times New Roman"/>
          <w:color w:val="000000"/>
        </w:rPr>
        <w:t>CPAS de Forest</w:t>
      </w:r>
      <w:r w:rsidR="00832536" w:rsidRPr="008838B2">
        <w:rPr>
          <w:rFonts w:cs="Times New Roman"/>
          <w:color w:val="000000"/>
        </w:rPr>
        <w:t>,</w:t>
      </w:r>
      <w:r w:rsidR="008838B2" w:rsidRPr="008838B2">
        <w:rPr>
          <w:rFonts w:cs="Times New Roman"/>
          <w:color w:val="000000"/>
        </w:rPr>
        <w:t xml:space="preserve"> 2021 :</w:t>
      </w:r>
      <w:r w:rsidR="00832536" w:rsidRPr="008838B2">
        <w:rPr>
          <w:rFonts w:cs="Times New Roman"/>
          <w:color w:val="000000"/>
        </w:rPr>
        <w:t xml:space="preserve"> 122)</w:t>
      </w:r>
    </w:p>
    <w:p w14:paraId="4FEE6D3E" w14:textId="59C6AD74" w:rsidR="00DF56B5" w:rsidRDefault="009E6FA8" w:rsidP="009E6FA8">
      <w:pPr>
        <w:autoSpaceDE w:val="0"/>
        <w:autoSpaceDN w:val="0"/>
        <w:adjustRightInd w:val="0"/>
        <w:spacing w:line="276" w:lineRule="auto"/>
      </w:pPr>
      <w:r>
        <w:rPr>
          <w:rFonts w:cs="Times New Roman"/>
          <w:color w:val="000000"/>
        </w:rPr>
        <w:t>Les différents diagnostics effectués dans le cadre des contrats CLSS nous donne</w:t>
      </w:r>
      <w:r w:rsidR="00586073">
        <w:rPr>
          <w:rFonts w:cs="Times New Roman"/>
          <w:color w:val="000000"/>
        </w:rPr>
        <w:t>nt</w:t>
      </w:r>
      <w:r>
        <w:rPr>
          <w:rFonts w:cs="Times New Roman"/>
          <w:color w:val="000000"/>
        </w:rPr>
        <w:t xml:space="preserve"> à voir d’autres définition</w:t>
      </w:r>
      <w:r w:rsidR="00586073">
        <w:rPr>
          <w:rFonts w:cs="Times New Roman"/>
          <w:color w:val="000000"/>
        </w:rPr>
        <w:t>s</w:t>
      </w:r>
      <w:r>
        <w:rPr>
          <w:rFonts w:cs="Times New Roman"/>
          <w:color w:val="000000"/>
        </w:rPr>
        <w:t xml:space="preserve"> de l’expulsion locative, propres à chacun des acteurs engagés en matière de logement. Nous devinons déjà qu’en matière de droit et d’accès au logement, les catégories institutionnelles ne permettent pas d’épuiser le sujet</w:t>
      </w:r>
      <w:r w:rsidR="00586073">
        <w:rPr>
          <w:rFonts w:cs="Times New Roman"/>
          <w:color w:val="000000"/>
        </w:rPr>
        <w:t>,</w:t>
      </w:r>
      <w:r w:rsidR="000D2B6B">
        <w:rPr>
          <w:rFonts w:cs="Times New Roman"/>
          <w:color w:val="000000"/>
        </w:rPr>
        <w:t xml:space="preserve"> et passe</w:t>
      </w:r>
      <w:r w:rsidR="00586073">
        <w:rPr>
          <w:rFonts w:cs="Times New Roman"/>
          <w:color w:val="000000"/>
        </w:rPr>
        <w:t>nt</w:t>
      </w:r>
      <w:r w:rsidR="000D2B6B">
        <w:rPr>
          <w:rFonts w:cs="Times New Roman"/>
          <w:color w:val="000000"/>
        </w:rPr>
        <w:t xml:space="preserve"> notamment à côté de la question des « déménagement</w:t>
      </w:r>
      <w:r w:rsidR="00586073">
        <w:rPr>
          <w:rFonts w:cs="Times New Roman"/>
          <w:color w:val="000000"/>
        </w:rPr>
        <w:t>s</w:t>
      </w:r>
      <w:r w:rsidR="000D2B6B">
        <w:rPr>
          <w:rFonts w:cs="Times New Roman"/>
          <w:color w:val="000000"/>
        </w:rPr>
        <w:t xml:space="preserve"> forcés »</w:t>
      </w:r>
      <w:r>
        <w:rPr>
          <w:rFonts w:cs="Times New Roman"/>
          <w:color w:val="000000"/>
        </w:rPr>
        <w:t>.</w:t>
      </w:r>
      <w:r w:rsidR="00DF56B5">
        <w:rPr>
          <w:rStyle w:val="Appelnotedebasdep"/>
        </w:rPr>
        <w:footnoteReference w:id="10"/>
      </w:r>
      <w:r w:rsidR="00DF56B5" w:rsidRPr="00875A4A">
        <w:t xml:space="preserve"> </w:t>
      </w:r>
    </w:p>
    <w:p w14:paraId="757C60ED" w14:textId="7159AF23" w:rsidR="00FB310C" w:rsidRDefault="00FB310C" w:rsidP="00FB310C">
      <w:pPr>
        <w:spacing w:line="276" w:lineRule="auto"/>
        <w:rPr>
          <w:rFonts w:cs="Times New Roman"/>
          <w:color w:val="111111"/>
          <w:highlight w:val="yellow"/>
          <w:shd w:val="clear" w:color="auto" w:fill="FFFFFF"/>
        </w:rPr>
      </w:pPr>
      <w:r>
        <w:rPr>
          <w:rFonts w:cs="Times New Roman"/>
        </w:rPr>
        <w:t xml:space="preserve">Nous pouvons rattacher à cette perspective </w:t>
      </w:r>
      <w:r w:rsidR="006879B2">
        <w:rPr>
          <w:rFonts w:cs="Times New Roman"/>
        </w:rPr>
        <w:t xml:space="preserve">la </w:t>
      </w:r>
      <w:r w:rsidR="006879B2" w:rsidRPr="00586073">
        <w:t>recherche en cours</w:t>
      </w:r>
      <w:r w:rsidR="00304BB9">
        <w:t xml:space="preserve"> </w:t>
      </w:r>
      <w:r w:rsidR="008B0AA8">
        <w:t>BRU-HOME</w:t>
      </w:r>
      <w:r w:rsidR="006879B2" w:rsidRPr="00586073">
        <w:t xml:space="preserve"> (2019-2023), financé</w:t>
      </w:r>
      <w:r w:rsidRPr="00586073">
        <w:t>e</w:t>
      </w:r>
      <w:r w:rsidR="006879B2" w:rsidRPr="00586073">
        <w:t xml:space="preserve"> par </w:t>
      </w:r>
      <w:proofErr w:type="spellStart"/>
      <w:r w:rsidR="006879B2" w:rsidRPr="00586073">
        <w:fldChar w:fldCharType="begin"/>
      </w:r>
      <w:r w:rsidR="006879B2" w:rsidRPr="00586073">
        <w:instrText xml:space="preserve"> HYPERLINK "https://innoviris.brussels/" \t "_blank" </w:instrText>
      </w:r>
      <w:r w:rsidR="006879B2" w:rsidRPr="00586073">
        <w:fldChar w:fldCharType="separate"/>
      </w:r>
      <w:r w:rsidR="006879B2" w:rsidRPr="00586073">
        <w:t>Innoviris.brussels</w:t>
      </w:r>
      <w:proofErr w:type="spellEnd"/>
      <w:r w:rsidR="006879B2" w:rsidRPr="00586073">
        <w:fldChar w:fldCharType="end"/>
      </w:r>
      <w:r w:rsidR="006879B2" w:rsidRPr="00586073">
        <w:t> et développé</w:t>
      </w:r>
      <w:r w:rsidR="00586073">
        <w:t>e</w:t>
      </w:r>
      <w:r w:rsidR="006879B2" w:rsidRPr="00586073">
        <w:t xml:space="preserve"> par </w:t>
      </w:r>
      <w:proofErr w:type="spellStart"/>
      <w:r w:rsidR="006879B2" w:rsidRPr="00586073">
        <w:fldChar w:fldCharType="begin"/>
      </w:r>
      <w:r w:rsidR="006879B2" w:rsidRPr="00586073">
        <w:instrText xml:space="preserve"> HYPERLINK "http://www.cosmopolis.be/research/bru-home" \t "_blank" </w:instrText>
      </w:r>
      <w:r w:rsidR="006879B2" w:rsidRPr="00586073">
        <w:fldChar w:fldCharType="separate"/>
      </w:r>
      <w:r w:rsidR="006879B2" w:rsidRPr="00586073">
        <w:t>Cosmopolis</w:t>
      </w:r>
      <w:proofErr w:type="spellEnd"/>
      <w:r w:rsidR="006879B2" w:rsidRPr="00586073">
        <w:t xml:space="preserve"> (VUB)</w:t>
      </w:r>
      <w:r w:rsidR="006879B2" w:rsidRPr="00586073">
        <w:fldChar w:fldCharType="end"/>
      </w:r>
      <w:r w:rsidR="006879B2" w:rsidRPr="00586073">
        <w:t> et </w:t>
      </w:r>
      <w:hyperlink r:id="rId9" w:tgtFrame="_blank" w:history="1">
        <w:r w:rsidR="006879B2" w:rsidRPr="00586073">
          <w:t>IGEAT (ULB)</w:t>
        </w:r>
      </w:hyperlink>
      <w:r w:rsidR="006879B2" w:rsidRPr="00586073">
        <w:t>.</w:t>
      </w:r>
      <w:r w:rsidR="006879B2">
        <w:rPr>
          <w:rFonts w:cs="Times New Roman"/>
        </w:rPr>
        <w:t xml:space="preserve"> Le projet cherche à </w:t>
      </w:r>
      <w:r w:rsidR="000E1E06" w:rsidRPr="000F4498">
        <w:rPr>
          <w:rFonts w:cs="Times New Roman"/>
          <w:color w:val="111111"/>
          <w:shd w:val="clear" w:color="auto" w:fill="FFFFFF"/>
        </w:rPr>
        <w:t>documente</w:t>
      </w:r>
      <w:r w:rsidR="006879B2">
        <w:rPr>
          <w:rFonts w:cs="Times New Roman"/>
          <w:color w:val="111111"/>
          <w:shd w:val="clear" w:color="auto" w:fill="FFFFFF"/>
        </w:rPr>
        <w:t xml:space="preserve">r </w:t>
      </w:r>
      <w:r w:rsidR="000E1E06" w:rsidRPr="000272A4">
        <w:rPr>
          <w:rStyle w:val="lev"/>
          <w:rFonts w:cs="Times New Roman"/>
          <w:b w:val="0"/>
          <w:color w:val="111111"/>
          <w:shd w:val="clear" w:color="auto" w:fill="FFFFFF"/>
        </w:rPr>
        <w:t>les expulsions de logement à Bruxelles</w:t>
      </w:r>
      <w:r w:rsidR="000272A4" w:rsidRPr="000272A4">
        <w:rPr>
          <w:rStyle w:val="lev"/>
          <w:rFonts w:cs="Times New Roman"/>
          <w:b w:val="0"/>
          <w:color w:val="111111"/>
          <w:shd w:val="clear" w:color="auto" w:fill="FFFFFF"/>
        </w:rPr>
        <w:t xml:space="preserve"> </w:t>
      </w:r>
      <w:r w:rsidR="00E8339C">
        <w:rPr>
          <w:rStyle w:val="lev"/>
          <w:rFonts w:cs="Times New Roman"/>
          <w:b w:val="0"/>
          <w:color w:val="111111"/>
          <w:shd w:val="clear" w:color="auto" w:fill="FFFFFF"/>
        </w:rPr>
        <w:t xml:space="preserve">en développant </w:t>
      </w:r>
      <w:r w:rsidR="000272A4" w:rsidRPr="000F4498">
        <w:rPr>
          <w:rFonts w:cs="Times New Roman"/>
          <w:color w:val="111111"/>
          <w:shd w:val="clear" w:color="auto" w:fill="FFFFFF"/>
        </w:rPr>
        <w:t xml:space="preserve">une estimation du nombre d'expulsions et </w:t>
      </w:r>
      <w:r w:rsidR="00E8339C">
        <w:rPr>
          <w:rFonts w:cs="Times New Roman"/>
          <w:color w:val="111111"/>
          <w:shd w:val="clear" w:color="auto" w:fill="FFFFFF"/>
        </w:rPr>
        <w:t>en analysant</w:t>
      </w:r>
      <w:r w:rsidR="000272A4" w:rsidRPr="000F4498">
        <w:rPr>
          <w:rFonts w:cs="Times New Roman"/>
          <w:color w:val="111111"/>
          <w:shd w:val="clear" w:color="auto" w:fill="FFFFFF"/>
        </w:rPr>
        <w:t xml:space="preserve"> les</w:t>
      </w:r>
      <w:r w:rsidR="000272A4" w:rsidRPr="000272A4">
        <w:rPr>
          <w:rFonts w:cs="Times New Roman"/>
          <w:color w:val="111111"/>
          <w:shd w:val="clear" w:color="auto" w:fill="FFFFFF"/>
        </w:rPr>
        <w:t xml:space="preserve"> </w:t>
      </w:r>
      <w:r w:rsidR="000272A4" w:rsidRPr="000F4498">
        <w:rPr>
          <w:rFonts w:cs="Times New Roman"/>
          <w:color w:val="111111"/>
          <w:shd w:val="clear" w:color="auto" w:fill="FFFFFF"/>
        </w:rPr>
        <w:t xml:space="preserve">caractéristiques sociodémographiques et la répartition géographique de </w:t>
      </w:r>
      <w:r w:rsidR="000272A4" w:rsidRPr="000F4498">
        <w:rPr>
          <w:rFonts w:cs="Times New Roman"/>
          <w:color w:val="111111"/>
          <w:shd w:val="clear" w:color="auto" w:fill="FFFFFF"/>
        </w:rPr>
        <w:lastRenderedPageBreak/>
        <w:t>la population expulsée</w:t>
      </w:r>
      <w:r w:rsidR="000E1E06" w:rsidRPr="000F4498">
        <w:rPr>
          <w:rFonts w:cs="Times New Roman"/>
          <w:color w:val="111111"/>
          <w:shd w:val="clear" w:color="auto" w:fill="FFFFFF"/>
        </w:rPr>
        <w:t>.</w:t>
      </w:r>
      <w:r>
        <w:rPr>
          <w:rFonts w:cs="Times New Roman"/>
          <w:color w:val="111111"/>
          <w:shd w:val="clear" w:color="auto" w:fill="FFFFFF"/>
        </w:rPr>
        <w:t xml:space="preserve"> Un premier rapport reprenant les r</w:t>
      </w:r>
      <w:r w:rsidRPr="000F4498">
        <w:rPr>
          <w:rFonts w:cs="Times New Roman"/>
          <w:color w:val="111111"/>
          <w:shd w:val="clear" w:color="auto" w:fill="FFFFFF"/>
        </w:rPr>
        <w:t>ésultats préliminaires </w:t>
      </w:r>
      <w:r>
        <w:rPr>
          <w:rFonts w:cs="Times New Roman"/>
          <w:color w:val="111111"/>
          <w:shd w:val="clear" w:color="auto" w:fill="FFFFFF"/>
        </w:rPr>
        <w:t xml:space="preserve">propose des </w:t>
      </w:r>
      <w:r w:rsidRPr="000F4498">
        <w:rPr>
          <w:rFonts w:cs="Times New Roman"/>
          <w:color w:val="111111"/>
          <w:shd w:val="clear" w:color="auto" w:fill="FFFFFF"/>
        </w:rPr>
        <w:t>cartes interactives des expulsions par communes et par quartier</w:t>
      </w:r>
      <w:r>
        <w:rPr>
          <w:rFonts w:cs="Times New Roman"/>
          <w:color w:val="111111"/>
          <w:shd w:val="clear" w:color="auto" w:fill="FFFFFF"/>
        </w:rPr>
        <w:t xml:space="preserve"> </w:t>
      </w:r>
      <w:r w:rsidR="00586073">
        <w:rPr>
          <w:rFonts w:cs="Times New Roman"/>
          <w:color w:val="111111"/>
          <w:shd w:val="clear" w:color="auto" w:fill="FFFFFF"/>
        </w:rPr>
        <w:t>sur</w:t>
      </w:r>
      <w:r>
        <w:rPr>
          <w:rFonts w:cs="Times New Roman"/>
          <w:color w:val="111111"/>
          <w:shd w:val="clear" w:color="auto" w:fill="FFFFFF"/>
        </w:rPr>
        <w:t xml:space="preserve"> la Région.</w:t>
      </w:r>
      <w:r w:rsidR="00772CA0">
        <w:rPr>
          <w:rFonts w:cs="Times New Roman"/>
          <w:color w:val="111111"/>
          <w:shd w:val="clear" w:color="auto" w:fill="FFFFFF"/>
        </w:rPr>
        <w:t xml:space="preserve"> Au moment où nous concluons de TFE, un second rapport est sorti (juillet 2022). Il </w:t>
      </w:r>
      <w:r w:rsidR="00772CA0" w:rsidRPr="00772CA0">
        <w:rPr>
          <w:rFonts w:cs="Times New Roman"/>
          <w:color w:val="111111"/>
          <w:shd w:val="clear" w:color="auto" w:fill="FFFFFF"/>
        </w:rPr>
        <w:t>présente un état des lieux chiffré et spatialisé des expulsions de logement à Bruxelles, en se basant sur un relevé exhaustif des jugements d’expulsion prononcés au cours de l’année 2018 pour l’ensemble de la Région.</w:t>
      </w:r>
      <w:r>
        <w:rPr>
          <w:rFonts w:cs="Times New Roman"/>
          <w:color w:val="111111"/>
          <w:shd w:val="clear" w:color="auto" w:fill="FFFFFF"/>
        </w:rPr>
        <w:t xml:space="preserve"> </w:t>
      </w:r>
      <w:r w:rsidRPr="000F4498">
        <w:rPr>
          <w:rFonts w:cs="Times New Roman"/>
          <w:color w:val="111111"/>
          <w:shd w:val="clear" w:color="auto" w:fill="FFFFFF"/>
        </w:rPr>
        <w:t xml:space="preserve">Ces données </w:t>
      </w:r>
      <w:r>
        <w:rPr>
          <w:rFonts w:cs="Times New Roman"/>
          <w:color w:val="111111"/>
          <w:shd w:val="clear" w:color="auto" w:fill="FFFFFF"/>
        </w:rPr>
        <w:t xml:space="preserve">reprennent donc uniquement les </w:t>
      </w:r>
      <w:r w:rsidRPr="000F4498">
        <w:rPr>
          <w:rFonts w:cs="Times New Roman"/>
          <w:color w:val="111111"/>
          <w:shd w:val="clear" w:color="auto" w:fill="FFFFFF"/>
        </w:rPr>
        <w:t>expulsions survenant dans un contexte judiciaire</w:t>
      </w:r>
      <w:r w:rsidR="007914D3">
        <w:rPr>
          <w:rFonts w:cs="Times New Roman"/>
          <w:color w:val="111111"/>
          <w:shd w:val="clear" w:color="auto" w:fill="FFFFFF"/>
        </w:rPr>
        <w:t xml:space="preserve"> (cf. </w:t>
      </w:r>
      <w:r w:rsidR="007914D3">
        <w:rPr>
          <w:rFonts w:cs="Times New Roman"/>
          <w:i/>
          <w:color w:val="111111"/>
          <w:shd w:val="clear" w:color="auto" w:fill="FFFFFF"/>
        </w:rPr>
        <w:t xml:space="preserve">infra, </w:t>
      </w:r>
      <w:r w:rsidR="007914D3">
        <w:rPr>
          <w:rFonts w:cs="Times New Roman"/>
          <w:color w:val="111111"/>
          <w:shd w:val="clear" w:color="auto" w:fill="FFFFFF"/>
        </w:rPr>
        <w:t>note 11)</w:t>
      </w:r>
      <w:r w:rsidRPr="000F4498">
        <w:rPr>
          <w:rFonts w:cs="Times New Roman"/>
          <w:color w:val="111111"/>
          <w:shd w:val="clear" w:color="auto" w:fill="FFFFFF"/>
        </w:rPr>
        <w:t xml:space="preserve">. </w:t>
      </w:r>
    </w:p>
    <w:p w14:paraId="4AE59A3B" w14:textId="0C2F87BA" w:rsidR="00FB310C" w:rsidRPr="00F7076A" w:rsidRDefault="00FB310C" w:rsidP="00E505A5">
      <w:pPr>
        <w:spacing w:line="276" w:lineRule="auto"/>
        <w:rPr>
          <w:rFonts w:cs="Times New Roman"/>
          <w:shd w:val="clear" w:color="auto" w:fill="FFFFFF"/>
        </w:rPr>
      </w:pPr>
      <w:r>
        <w:rPr>
          <w:rFonts w:cs="Times New Roman"/>
          <w:color w:val="111111"/>
          <w:shd w:val="clear" w:color="auto" w:fill="FFFFFF"/>
        </w:rPr>
        <w:t xml:space="preserve">Si ce volet quantitatif reprend à son compte les catégories et définitions institutionnelles et légales des expulsions et se donne pour tâche de les recenser </w:t>
      </w:r>
      <w:r w:rsidR="005F3A0E">
        <w:rPr>
          <w:rFonts w:cs="Times New Roman"/>
          <w:color w:val="111111"/>
          <w:shd w:val="clear" w:color="auto" w:fill="FFFFFF"/>
        </w:rPr>
        <w:t>(</w:t>
      </w:r>
      <w:r>
        <w:rPr>
          <w:rFonts w:cs="Times New Roman"/>
          <w:color w:val="111111"/>
          <w:shd w:val="clear" w:color="auto" w:fill="FFFFFF"/>
        </w:rPr>
        <w:t>tache au demeurant essentielle d’un point de vu sociologique et politique</w:t>
      </w:r>
      <w:r w:rsidR="005F3A0E">
        <w:rPr>
          <w:rFonts w:cs="Times New Roman"/>
          <w:color w:val="111111"/>
          <w:shd w:val="clear" w:color="auto" w:fill="FFFFFF"/>
        </w:rPr>
        <w:t>)</w:t>
      </w:r>
      <w:r>
        <w:rPr>
          <w:rFonts w:cs="Times New Roman"/>
          <w:color w:val="111111"/>
          <w:shd w:val="clear" w:color="auto" w:fill="FFFFFF"/>
        </w:rPr>
        <w:t xml:space="preserve"> le projet de recherche annonce prévoir un volet qualitatif qui sera effectué sur base d’une série d’entretiens avec des travailleurs sociaux, des propriétaires et des locataires expulsés </w:t>
      </w:r>
      <w:r w:rsidRPr="00F7076A">
        <w:rPr>
          <w:rFonts w:cs="Times New Roman"/>
          <w:shd w:val="clear" w:color="auto" w:fill="FFFFFF"/>
        </w:rPr>
        <w:t xml:space="preserve">ou menacés d’expulsion. </w:t>
      </w:r>
    </w:p>
    <w:p w14:paraId="21240EE9" w14:textId="7D30E985" w:rsidR="00F7076A" w:rsidRPr="00F7076A" w:rsidRDefault="00481DA6" w:rsidP="00481DA6">
      <w:pPr>
        <w:spacing w:line="276" w:lineRule="auto"/>
      </w:pPr>
      <w:r>
        <w:t>En plus de cela, l’é</w:t>
      </w:r>
      <w:r w:rsidR="00DE21AA" w:rsidRPr="00F7076A">
        <w:t>tat de l’art préalable</w:t>
      </w:r>
      <w:r w:rsidR="00F7076A" w:rsidRPr="00F7076A">
        <w:t xml:space="preserve"> publié sur leur site internet</w:t>
      </w:r>
      <w:r>
        <w:t xml:space="preserve"> par </w:t>
      </w:r>
      <w:r w:rsidR="00F7076A" w:rsidRPr="00F7076A">
        <w:t>les chercheuses engagées dans la recherche</w:t>
      </w:r>
      <w:r w:rsidR="00304BB9">
        <w:t xml:space="preserve"> </w:t>
      </w:r>
      <w:r w:rsidR="008B0AA8">
        <w:t>BRU-HOME</w:t>
      </w:r>
      <w:r>
        <w:t xml:space="preserve"> nous laisse entrevoir un projet attentif à la question des déménagement</w:t>
      </w:r>
      <w:r w:rsidR="005F3A0E">
        <w:t>s</w:t>
      </w:r>
      <w:r>
        <w:t xml:space="preserve"> forcés, en dehors du strict cadre des expulsions sous procédure judiciaire. Les chercheuses, en effet, </w:t>
      </w:r>
      <w:r w:rsidR="00DE21AA" w:rsidRPr="00F7076A">
        <w:t>identifie</w:t>
      </w:r>
      <w:r w:rsidR="00F7076A" w:rsidRPr="00F7076A">
        <w:t>nt quatre c</w:t>
      </w:r>
      <w:r w:rsidR="00DE21AA" w:rsidRPr="00F7076A">
        <w:t xml:space="preserve">auses structurelles potentielles </w:t>
      </w:r>
      <w:r w:rsidR="005F3A0E">
        <w:t>pour</w:t>
      </w:r>
      <w:r w:rsidR="00DE21AA" w:rsidRPr="00F7076A">
        <w:t xml:space="preserve"> la perte du logement</w:t>
      </w:r>
      <w:r w:rsidR="000D2B6B">
        <w:t xml:space="preserve"> </w:t>
      </w:r>
      <w:r w:rsidR="00DE21AA" w:rsidRPr="00F7076A">
        <w:t>:</w:t>
      </w:r>
      <w:r>
        <w:t xml:space="preserve"> l</w:t>
      </w:r>
      <w:r w:rsidR="00306417" w:rsidRPr="00F7076A">
        <w:t>es logements inabordables</w:t>
      </w:r>
      <w:r w:rsidR="00306417">
        <w:t xml:space="preserve"> financièrement ;</w:t>
      </w:r>
      <w:r>
        <w:t xml:space="preserve"> l</w:t>
      </w:r>
      <w:r w:rsidR="00DE21AA" w:rsidRPr="00F7076A">
        <w:t>es logements de mauvaise qualité</w:t>
      </w:r>
      <w:r w:rsidR="00F7076A" w:rsidRPr="00F7076A">
        <w:t> ;</w:t>
      </w:r>
      <w:r>
        <w:t xml:space="preserve"> l</w:t>
      </w:r>
      <w:r w:rsidR="00DE21AA" w:rsidRPr="00F7076A">
        <w:t>es démolitions de masse</w:t>
      </w:r>
      <w:r w:rsidR="00F7076A">
        <w:t> ;</w:t>
      </w:r>
      <w:r>
        <w:t xml:space="preserve"> l</w:t>
      </w:r>
      <w:r w:rsidR="00F7076A" w:rsidRPr="00F7076A">
        <w:t>a gentrification.</w:t>
      </w:r>
      <w:r>
        <w:t xml:space="preserve"> Cette approche nous indique que le projet vise à appréhender la question de manière globale, en tenant compte des politiques publiques de logement et de développement urbain, au-delà des interactions et conflits qui opposent des individus locataires et individus propriétaires</w:t>
      </w:r>
      <w:r w:rsidR="001F41E2">
        <w:t xml:space="preserve"> (</w:t>
      </w:r>
      <w:r w:rsidR="00DD396D">
        <w:t>Bru-Home</w:t>
      </w:r>
      <w:r w:rsidR="001F41E2">
        <w:t>, 2020 ; 2021)</w:t>
      </w:r>
      <w:r>
        <w:t>.</w:t>
      </w:r>
    </w:p>
    <w:p w14:paraId="239EED6E" w14:textId="41CE88F2" w:rsidR="00553721" w:rsidRDefault="00481DA6" w:rsidP="00481DA6">
      <w:pPr>
        <w:spacing w:line="276" w:lineRule="auto"/>
      </w:pPr>
      <w:r>
        <w:t>Pour conclure</w:t>
      </w:r>
      <w:r w:rsidR="00553721">
        <w:t xml:space="preserve"> cet état de l’art</w:t>
      </w:r>
      <w:r>
        <w:t xml:space="preserve">, notons donc l’absence de statistique </w:t>
      </w:r>
      <w:r w:rsidR="00553721">
        <w:t xml:space="preserve">recensant </w:t>
      </w:r>
      <w:r>
        <w:t xml:space="preserve">le phénomène en Belgique et dans les régions. </w:t>
      </w:r>
      <w:r w:rsidR="00553721">
        <w:t xml:space="preserve">Depuis 2015, l’IWEPS et </w:t>
      </w:r>
      <w:r w:rsidR="005F3A0E">
        <w:t>l’Observatoire de la santé et du social</w:t>
      </w:r>
      <w:r w:rsidR="00553721">
        <w:t xml:space="preserve">, instituts de recherches publics, commencent à récolter des matériaux et </w:t>
      </w:r>
      <w:r w:rsidR="005F3A0E">
        <w:t xml:space="preserve">à </w:t>
      </w:r>
      <w:r w:rsidR="00553721">
        <w:t xml:space="preserve">produire des analyses sur le sujet, mais ces publications </w:t>
      </w:r>
      <w:r w:rsidR="005F3A0E">
        <w:t xml:space="preserve">restent </w:t>
      </w:r>
      <w:r w:rsidR="00553721">
        <w:t xml:space="preserve">cantonnées </w:t>
      </w:r>
      <w:r w:rsidR="005F3A0E">
        <w:t xml:space="preserve">dans le cadre des </w:t>
      </w:r>
      <w:r w:rsidR="00AD52E3">
        <w:t xml:space="preserve">catégories institutionnelles et </w:t>
      </w:r>
      <w:r w:rsidR="00553721">
        <w:t>mécanismes juridiques qui ne collent pas toujours aux situations de vie des locataires précaires, à la lisière de l’expulsion. D’autres projets de recherches (</w:t>
      </w:r>
      <w:r w:rsidR="008B0AA8">
        <w:t>BRU-HOME</w:t>
      </w:r>
      <w:r w:rsidR="00553721">
        <w:t>) ou dispositifs d’actions publiques (CLSS) en</w:t>
      </w:r>
      <w:r w:rsidR="00AD52E3">
        <w:t xml:space="preserve"> cours semblent s’engager dans une perspective qui permette d’appréhender de manière plus large les « déménagement forcés ». </w:t>
      </w:r>
    </w:p>
    <w:p w14:paraId="04044D6E" w14:textId="77777777" w:rsidR="00FE7BD9" w:rsidRDefault="00FE7BD9" w:rsidP="00481DA6">
      <w:pPr>
        <w:spacing w:line="276" w:lineRule="auto"/>
      </w:pPr>
    </w:p>
    <w:p w14:paraId="66403228" w14:textId="45C0E713" w:rsidR="005E5C5F" w:rsidRDefault="005E5C5F" w:rsidP="00AD52E3">
      <w:pPr>
        <w:spacing w:line="276" w:lineRule="auto"/>
      </w:pPr>
      <w:r>
        <w:br w:type="page"/>
      </w:r>
    </w:p>
    <w:p w14:paraId="30281132" w14:textId="03CC4A45" w:rsidR="00D906FE" w:rsidRPr="00E603DE" w:rsidRDefault="00E603DE" w:rsidP="001229BC">
      <w:pPr>
        <w:pStyle w:val="Titre1"/>
        <w:numPr>
          <w:ilvl w:val="0"/>
          <w:numId w:val="6"/>
        </w:numPr>
        <w:spacing w:line="276" w:lineRule="auto"/>
      </w:pPr>
      <w:bookmarkStart w:id="12" w:name="_Toc152687195"/>
      <w:r>
        <w:lastRenderedPageBreak/>
        <w:t xml:space="preserve">Expulsions locatives : </w:t>
      </w:r>
      <w:r w:rsidR="00485FF7">
        <w:t>Etat</w:t>
      </w:r>
      <w:r w:rsidR="00C66694">
        <w:t xml:space="preserve"> des lieux</w:t>
      </w:r>
      <w:bookmarkEnd w:id="12"/>
      <w:r w:rsidR="00C66694">
        <w:t xml:space="preserve"> </w:t>
      </w:r>
    </w:p>
    <w:p w14:paraId="13474B9B" w14:textId="0DDC7189" w:rsidR="00485FF7" w:rsidRDefault="00BB70F2" w:rsidP="00E505A5">
      <w:pPr>
        <w:spacing w:line="276" w:lineRule="auto"/>
      </w:pPr>
      <w:r w:rsidRPr="006C7BA5">
        <w:t xml:space="preserve">La seconde partie de </w:t>
      </w:r>
      <w:r w:rsidR="00485FF7">
        <w:t>ce travail</w:t>
      </w:r>
      <w:r w:rsidR="00D92BF1" w:rsidRPr="006C7BA5">
        <w:t xml:space="preserve"> propose </w:t>
      </w:r>
      <w:r w:rsidR="00D92BF1" w:rsidRPr="004B0C1A">
        <w:t xml:space="preserve">un état des lieux du phénomène </w:t>
      </w:r>
      <w:r w:rsidR="006C7BA5">
        <w:t xml:space="preserve">des expulsions locatives </w:t>
      </w:r>
      <w:r w:rsidR="00D92BF1" w:rsidRPr="004B0C1A">
        <w:t>en Belgique et plus particulièrement en Wallonie et à Bruxelles</w:t>
      </w:r>
      <w:r w:rsidR="00D92BF1">
        <w:t xml:space="preserve">. </w:t>
      </w:r>
      <w:r w:rsidR="00FE7BD9">
        <w:t>Si l’état de l’art a été l’occasion de distinguer l’usage institutionnel de la catégorie juridique et l’usage « spontané » que les locataires font de la notion d’expulsion</w:t>
      </w:r>
      <w:r w:rsidR="00485FF7">
        <w:t xml:space="preserve">, nous ne nous sommes pas encore arrêtés sur la stricte définition juridique du phénomène. C’est pourtant </w:t>
      </w:r>
      <w:r w:rsidR="00C146DA">
        <w:t>l’</w:t>
      </w:r>
      <w:r w:rsidR="00485FF7">
        <w:t xml:space="preserve">objet </w:t>
      </w:r>
      <w:r w:rsidR="00C146DA">
        <w:t xml:space="preserve">précis </w:t>
      </w:r>
      <w:r w:rsidR="00485FF7">
        <w:t>de ce TFE</w:t>
      </w:r>
      <w:r w:rsidR="00771D2B">
        <w:t xml:space="preserve">, </w:t>
      </w:r>
      <w:r w:rsidR="00485FF7">
        <w:t>travail théorique, qui ne s’appuie sur aucune récolte de matériau sur un terrain</w:t>
      </w:r>
      <w:r w:rsidR="001B488F">
        <w:t>. N</w:t>
      </w:r>
      <w:r w:rsidR="00485FF7">
        <w:t xml:space="preserve">ous ne serons pas en mesure d’approfondir </w:t>
      </w:r>
      <w:r w:rsidR="00140684">
        <w:t>ici</w:t>
      </w:r>
      <w:r w:rsidR="001B488F">
        <w:t xml:space="preserve"> </w:t>
      </w:r>
      <w:r w:rsidR="00485FF7">
        <w:t xml:space="preserve">la question des usages « indigènes » de la notion. </w:t>
      </w:r>
    </w:p>
    <w:p w14:paraId="34908496" w14:textId="409EB6AD" w:rsidR="00485FF7" w:rsidRDefault="00485FF7" w:rsidP="00E505A5">
      <w:pPr>
        <w:spacing w:line="276" w:lineRule="auto"/>
      </w:pPr>
      <w:r>
        <w:t xml:space="preserve">Dans la suite de cet écrit, nous </w:t>
      </w:r>
      <w:r w:rsidR="00140684">
        <w:t>limiterons</w:t>
      </w:r>
      <w:r>
        <w:t xml:space="preserve"> nos réflexions aux procédures d’expulsion telles que définie</w:t>
      </w:r>
      <w:r w:rsidR="00140684">
        <w:t>s</w:t>
      </w:r>
      <w:r>
        <w:t xml:space="preserve"> par le code judiciaire belge. </w:t>
      </w:r>
    </w:p>
    <w:p w14:paraId="27FF5A4E" w14:textId="490216EE" w:rsidR="00485FF7" w:rsidRDefault="00C66694" w:rsidP="001229BC">
      <w:pPr>
        <w:pStyle w:val="Titre2"/>
        <w:numPr>
          <w:ilvl w:val="1"/>
          <w:numId w:val="6"/>
        </w:numPr>
        <w:spacing w:line="276" w:lineRule="auto"/>
      </w:pPr>
      <w:bookmarkStart w:id="13" w:name="_Toc152687196"/>
      <w:r>
        <w:t>De quoi parle-t-on ?</w:t>
      </w:r>
      <w:bookmarkEnd w:id="13"/>
      <w:r>
        <w:t xml:space="preserve"> </w:t>
      </w:r>
    </w:p>
    <w:p w14:paraId="0F4F0AD5" w14:textId="77777777" w:rsidR="001A0F87" w:rsidRDefault="001A0F87" w:rsidP="001A0F87">
      <w:pPr>
        <w:spacing w:line="276" w:lineRule="auto"/>
      </w:pPr>
      <w:r>
        <w:t>Le cadre législatif qui détermine les procédures d’expulsion, comme tout cadre législatif propre à la Belgique, n’est pas des plus simples à comprendre. La structuration particulière de l’Etat en est bien sûr la cause principale : a</w:t>
      </w:r>
      <w:r w:rsidRPr="00E1342E">
        <w:t xml:space="preserve">lors que l’Ordonnance bruxelloise du 27 juillet 2017 a transféré une partie substantielle des compétences en matière de bail d’habitation de l’État fédéral </w:t>
      </w:r>
      <w:r>
        <w:t>vers les</w:t>
      </w:r>
      <w:r w:rsidRPr="00E1342E">
        <w:t xml:space="preserve"> Régions, les expulsions relèvent encore des compétences fédérales. En conséquence, dans les </w:t>
      </w:r>
      <w:r>
        <w:t>procédures</w:t>
      </w:r>
      <w:r w:rsidRPr="00E1342E">
        <w:t xml:space="preserve"> d’expulsions, entre l’introduction d’une demande </w:t>
      </w:r>
      <w:r>
        <w:t>et</w:t>
      </w:r>
      <w:r w:rsidRPr="00E1342E">
        <w:t xml:space="preserve"> l’expulsion physique effective, législation fédérale et régionales ne cessent de s’entrecroiser.</w:t>
      </w:r>
      <w:r>
        <w:t xml:space="preserve"> </w:t>
      </w:r>
    </w:p>
    <w:p w14:paraId="665F35C3" w14:textId="77AAE78D" w:rsidR="001A0F87" w:rsidRDefault="001A0F87" w:rsidP="001A0F87">
      <w:pPr>
        <w:spacing w:line="276" w:lineRule="auto"/>
      </w:pPr>
      <w:r>
        <w:t xml:space="preserve">Pour parvenir à comprendre, résumer et expliquer la procédure, j’ai principalement mobilisé, en plus des textes de lois, les </w:t>
      </w:r>
      <w:r w:rsidRPr="00F263A1">
        <w:t>travaux de Véronique Vander Plancke et Nicolas Bernard pour l</w:t>
      </w:r>
      <w:r w:rsidR="00140684" w:rsidRPr="00F263A1">
        <w:t xml:space="preserve">’Observatoire de la santé et du social </w:t>
      </w:r>
      <w:r w:rsidRPr="00F263A1">
        <w:t>(</w:t>
      </w:r>
      <w:r w:rsidR="000D67D3" w:rsidRPr="00F263A1">
        <w:t xml:space="preserve">Observatoire de la santé et du social, </w:t>
      </w:r>
      <w:r w:rsidR="00140684" w:rsidRPr="00F263A1">
        <w:t>2018</w:t>
      </w:r>
      <w:r w:rsidR="000D67D3" w:rsidRPr="00F263A1">
        <w:t>c.</w:t>
      </w:r>
      <w:r w:rsidRPr="00F263A1">
        <w:t>), ainsi que les documents de vulgarisation produit par le RBDH (</w:t>
      </w:r>
      <w:r w:rsidR="000D67D3" w:rsidRPr="00F263A1">
        <w:t>RBDH, 2018</w:t>
      </w:r>
      <w:r w:rsidRPr="00F263A1">
        <w:t>), et le RWDH</w:t>
      </w:r>
      <w:r w:rsidR="00010DDC" w:rsidRPr="00F263A1">
        <w:t>.</w:t>
      </w:r>
    </w:p>
    <w:p w14:paraId="732FF001" w14:textId="77777777" w:rsidR="001A0F87" w:rsidRDefault="001A0F87" w:rsidP="001A0F87">
      <w:pPr>
        <w:spacing w:after="0" w:line="276" w:lineRule="auto"/>
      </w:pPr>
      <w:r>
        <w:t xml:space="preserve">Le cadre législatif belge distingue trois types d’expulsions. Chacune d’elles se différencie par leur motif ou par leur recours ou non à une autorité tierce : </w:t>
      </w:r>
    </w:p>
    <w:p w14:paraId="111739F2" w14:textId="6DBD76C9" w:rsidR="001A0F87" w:rsidRDefault="001A0F87" w:rsidP="001229BC">
      <w:pPr>
        <w:pStyle w:val="Paragraphedeliste"/>
        <w:numPr>
          <w:ilvl w:val="0"/>
          <w:numId w:val="7"/>
        </w:numPr>
        <w:spacing w:line="276" w:lineRule="auto"/>
      </w:pPr>
      <w:r>
        <w:t xml:space="preserve">Les expulsions </w:t>
      </w:r>
      <w:r w:rsidRPr="00F263A1">
        <w:rPr>
          <w:i/>
        </w:rPr>
        <w:t>judiciaires</w:t>
      </w:r>
      <w:r>
        <w:t xml:space="preserve"> ont pour motif la restitution de leur bien aux propriétaires qui ont contracté un bail privé avec les locataires. Elles ont lieu en ayant recours à une autorité décisionnelle tierce, en l’occurrence le juge de paix compét</w:t>
      </w:r>
      <w:r w:rsidR="00F263A1">
        <w:t>e</w:t>
      </w:r>
      <w:r>
        <w:t xml:space="preserve">nt </w:t>
      </w:r>
      <w:r w:rsidR="00F263A1">
        <w:t>sur</w:t>
      </w:r>
      <w:r>
        <w:t xml:space="preserve"> le territoire où se trouve l’adresse du domicile en question ;</w:t>
      </w:r>
    </w:p>
    <w:p w14:paraId="4316BBD3" w14:textId="77777777" w:rsidR="001A0F87" w:rsidRDefault="001A0F87" w:rsidP="001229BC">
      <w:pPr>
        <w:pStyle w:val="Paragraphedeliste"/>
        <w:numPr>
          <w:ilvl w:val="0"/>
          <w:numId w:val="7"/>
        </w:numPr>
        <w:spacing w:line="276" w:lineRule="auto"/>
      </w:pPr>
      <w:r>
        <w:t xml:space="preserve">Les expulsions </w:t>
      </w:r>
      <w:r w:rsidRPr="00F263A1">
        <w:rPr>
          <w:i/>
        </w:rPr>
        <w:t>administratives</w:t>
      </w:r>
      <w:r>
        <w:t xml:space="preserve"> poursuivent des motifs d’intérêt général en soustrayant au marché du logement les habitations non-conformes aux règles de salubrité et d’habitabilité. Dans ce cas-ci, c’est la DIRL (Direction de l’Inspection Régionale du Logement) qui </w:t>
      </w:r>
      <w:r w:rsidRPr="00AB6CEB">
        <w:t>prend une décision d’interdiction de mise en location pour cause d’insalubrité</w:t>
      </w:r>
      <w:r>
        <w:t xml:space="preserve"> ;</w:t>
      </w:r>
    </w:p>
    <w:p w14:paraId="5A306F5C" w14:textId="1882EE77" w:rsidR="001A0F87" w:rsidRDefault="001A0F87" w:rsidP="001229BC">
      <w:pPr>
        <w:pStyle w:val="Paragraphedeliste"/>
        <w:numPr>
          <w:ilvl w:val="0"/>
          <w:numId w:val="7"/>
        </w:numPr>
        <w:spacing w:line="276" w:lineRule="auto"/>
      </w:pPr>
      <w:r>
        <w:t xml:space="preserve">Les expulsions </w:t>
      </w:r>
      <w:r w:rsidRPr="00F263A1">
        <w:rPr>
          <w:i/>
        </w:rPr>
        <w:t>sauvages</w:t>
      </w:r>
      <w:r>
        <w:t xml:space="preserve"> ont différents motifs mais ont pour caractéristiques d’avoir lieu sans recours à une autorité décisionnelle tierce. </w:t>
      </w:r>
    </w:p>
    <w:p w14:paraId="0F2CF0DF" w14:textId="77FDB6E8" w:rsidR="001A0F87" w:rsidRDefault="001A0F87" w:rsidP="001A0F87">
      <w:pPr>
        <w:spacing w:line="276" w:lineRule="auto"/>
      </w:pPr>
      <w:r>
        <w:t>Ce qui nous occupe ici sont les expulsions judiciaires</w:t>
      </w:r>
      <w:r w:rsidR="00C146DA">
        <w:t xml:space="preserve"> (1)</w:t>
      </w:r>
      <w:r>
        <w:t>, qui oppose</w:t>
      </w:r>
      <w:r w:rsidR="00F263A1">
        <w:t>nt</w:t>
      </w:r>
      <w:r>
        <w:t xml:space="preserve"> un bailleur et un locataire pris en défaut. Dans le code judiciaire, ce sont les articles 1344ter à 1344sexies qui fixe la p</w:t>
      </w:r>
      <w:r w:rsidRPr="00C63F20">
        <w:t>rocédure en matière de louage de choses et en matière d’expulsion</w:t>
      </w:r>
      <w:r>
        <w:t xml:space="preserve"> (cf. ANNEXE 1). </w:t>
      </w:r>
    </w:p>
    <w:p w14:paraId="4B71642F" w14:textId="09742499" w:rsidR="006C7BA5" w:rsidRDefault="00C95A2D" w:rsidP="00E505A5">
      <w:pPr>
        <w:spacing w:line="276" w:lineRule="auto"/>
      </w:pPr>
      <w:r>
        <w:t>Je passerai d’abord en revue les différents chiffres et autre</w:t>
      </w:r>
      <w:r w:rsidR="00F263A1">
        <w:t>s</w:t>
      </w:r>
      <w:r>
        <w:t xml:space="preserve"> données disponibles issues des études répertoriées</w:t>
      </w:r>
      <w:r w:rsidR="00F263A1">
        <w:t>,</w:t>
      </w:r>
      <w:r>
        <w:t xml:space="preserve"> afin de dresser un inventaire de la situation</w:t>
      </w:r>
      <w:r w:rsidR="00F263A1">
        <w:t>,</w:t>
      </w:r>
      <w:r>
        <w:t xml:space="preserve"> avant de revenir sur</w:t>
      </w:r>
      <w:r w:rsidR="006C7BA5">
        <w:t xml:space="preserve"> </w:t>
      </w:r>
      <w:r>
        <w:t>la mise en œuvre de cette procédure.</w:t>
      </w:r>
      <w:r w:rsidR="006C7BA5">
        <w:t xml:space="preserve"> </w:t>
      </w:r>
    </w:p>
    <w:p w14:paraId="470E3F92" w14:textId="2EC3A90B" w:rsidR="00D92BF1" w:rsidRPr="004B0C1A" w:rsidRDefault="00D92BF1" w:rsidP="00E505A5">
      <w:pPr>
        <w:spacing w:line="276" w:lineRule="auto"/>
      </w:pPr>
    </w:p>
    <w:p w14:paraId="38B9FE26" w14:textId="77777777" w:rsidR="00C95A2D" w:rsidRPr="006C7BA5" w:rsidRDefault="00C95A2D" w:rsidP="001229BC">
      <w:pPr>
        <w:pStyle w:val="Titre2"/>
        <w:numPr>
          <w:ilvl w:val="1"/>
          <w:numId w:val="6"/>
        </w:numPr>
        <w:spacing w:line="276" w:lineRule="auto"/>
        <w:rPr>
          <w:b/>
        </w:rPr>
      </w:pPr>
      <w:bookmarkStart w:id="14" w:name="_Toc152687197"/>
      <w:r>
        <w:lastRenderedPageBreak/>
        <w:t>Etat des lieux en quelques chiffres</w:t>
      </w:r>
      <w:bookmarkEnd w:id="14"/>
      <w:r>
        <w:t xml:space="preserve"> </w:t>
      </w:r>
    </w:p>
    <w:p w14:paraId="5257C009" w14:textId="0E4A8688" w:rsidR="00C95A2D" w:rsidRDefault="00C95A2D" w:rsidP="00C95A2D">
      <w:pPr>
        <w:spacing w:line="276" w:lineRule="auto"/>
      </w:pPr>
      <w:r w:rsidRPr="00BB37C3">
        <w:t xml:space="preserve">En Belgique, les expulsions locatives restent un phénomène largement méconnu. L’absence de statistiques coordonnées à l’échelle du pays, des régions et même des communes </w:t>
      </w:r>
      <w:r w:rsidR="00C146DA">
        <w:t>reste criante, malgré les nombreuses recommandations formulées par la société civile et l’expertise institutionnelle</w:t>
      </w:r>
      <w:r w:rsidRPr="00BB37C3">
        <w:t xml:space="preserve">. </w:t>
      </w:r>
      <w:r w:rsidR="00680B5A">
        <w:t>Ce n’est pourtant pas un phénomène margina</w:t>
      </w:r>
      <w:r w:rsidR="00F263A1">
        <w:t>l.</w:t>
      </w:r>
    </w:p>
    <w:p w14:paraId="10DC3DBE" w14:textId="77777777" w:rsidR="00911EE4" w:rsidRDefault="00911EE4" w:rsidP="00911EE4">
      <w:pPr>
        <w:spacing w:line="276" w:lineRule="auto"/>
      </w:pPr>
      <w:r>
        <w:rPr>
          <w:noProof/>
        </w:rPr>
        <w:drawing>
          <wp:anchor distT="0" distB="0" distL="114300" distR="114300" simplePos="0" relativeHeight="251658240" behindDoc="0" locked="0" layoutInCell="1" allowOverlap="1" wp14:anchorId="5B94068C" wp14:editId="2A91689E">
            <wp:simplePos x="0" y="0"/>
            <wp:positionH relativeFrom="margin">
              <wp:align>left</wp:align>
            </wp:positionH>
            <wp:positionV relativeFrom="margin">
              <wp:posOffset>2694247</wp:posOffset>
            </wp:positionV>
            <wp:extent cx="4024630" cy="5118735"/>
            <wp:effectExtent l="0" t="0" r="0" b="571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192" t="13071" r="61324" b="53798"/>
                    <a:stretch/>
                  </pic:blipFill>
                  <pic:spPr bwMode="auto">
                    <a:xfrm>
                      <a:off x="0" y="0"/>
                      <a:ext cx="4024630" cy="5118735"/>
                    </a:xfrm>
                    <a:prstGeom prst="rect">
                      <a:avLst/>
                    </a:prstGeom>
                    <a:noFill/>
                    <a:ln>
                      <a:noFill/>
                    </a:ln>
                    <a:extLst>
                      <a:ext uri="{53640926-AAD7-44D8-BBD7-CCE9431645EC}">
                        <a14:shadowObscured xmlns:a14="http://schemas.microsoft.com/office/drawing/2010/main"/>
                      </a:ext>
                    </a:extLst>
                  </pic:spPr>
                </pic:pic>
              </a:graphicData>
            </a:graphic>
          </wp:anchor>
        </w:drawing>
      </w:r>
      <w:r w:rsidR="00C95A2D" w:rsidRPr="00BB37C3">
        <w:t>Le second rapport conjoint de la FEANTSA – Fondation abbé Pierre sur l’exclusion au logement en Europe, paru en 2017, nous donne tout de même quelques indications sur l’ampleur du phénomène.</w:t>
      </w:r>
      <w:r w:rsidR="00C7504F">
        <w:t xml:space="preserve"> </w:t>
      </w:r>
      <w:r w:rsidR="00C95A2D">
        <w:t>Le rapport indique qu’au cours des cinq années précéd</w:t>
      </w:r>
      <w:r w:rsidR="00F263A1">
        <w:t>a</w:t>
      </w:r>
      <w:r w:rsidR="00C95A2D">
        <w:t>nt 2012, 706415 personnes ont été expulsées de leur logement dans l'Union européenne. Au total, en nombre relatif, cela signifie que 0,14% de la population totale a été expulsée. Parmi les pays européens, la Belgique a un taux d'expulsion plus élevé que la moyenne européenne : quasi le double, puisqu’environ 0,27% de la population belge totale a été expulsée entre 2007 et 2012, soit environ 29 956 personnes</w:t>
      </w:r>
      <w:r>
        <w:t>.</w:t>
      </w:r>
      <w:r w:rsidR="00C95A2D">
        <w:t xml:space="preserve"> La Belgique est donc un des trois pays d’Europe qui exécute le plus d’expulsions</w:t>
      </w:r>
      <w:r w:rsidR="00F263A1">
        <w:t xml:space="preserve"> derrière le Luxembourg (0,41) et le Royaume-Uni (0,28)</w:t>
      </w:r>
      <w:r w:rsidR="00C95A2D">
        <w:t>.</w:t>
      </w:r>
    </w:p>
    <w:p w14:paraId="5E565589" w14:textId="77777777" w:rsidR="00911EE4" w:rsidRDefault="00911EE4" w:rsidP="00911EE4">
      <w:pPr>
        <w:spacing w:line="276" w:lineRule="auto"/>
        <w:rPr>
          <w:sz w:val="20"/>
        </w:rPr>
      </w:pPr>
    </w:p>
    <w:p w14:paraId="270E4B7F" w14:textId="77777777" w:rsidR="00911EE4" w:rsidRDefault="00911EE4" w:rsidP="00911EE4">
      <w:pPr>
        <w:spacing w:line="276" w:lineRule="auto"/>
        <w:rPr>
          <w:sz w:val="20"/>
        </w:rPr>
      </w:pPr>
    </w:p>
    <w:p w14:paraId="2BFD18EB" w14:textId="27B1C384" w:rsidR="008E5121" w:rsidRPr="008E5121" w:rsidRDefault="00215055" w:rsidP="008E5121">
      <w:pPr>
        <w:spacing w:line="276" w:lineRule="auto"/>
        <w:jc w:val="center"/>
        <w:rPr>
          <w:b/>
        </w:rPr>
      </w:pPr>
      <w:r w:rsidRPr="008E5121">
        <w:rPr>
          <w:b/>
        </w:rPr>
        <w:t>Tableau 1 : Nombre d’expulsions en rapport à la population par pays d’Europe en 2012.</w:t>
      </w:r>
    </w:p>
    <w:p w14:paraId="5C0FFC26" w14:textId="115CB0F3" w:rsidR="00911EE4" w:rsidRDefault="006A68BF" w:rsidP="00911EE4">
      <w:pPr>
        <w:spacing w:line="276" w:lineRule="auto"/>
        <w:rPr>
          <w:sz w:val="20"/>
          <w:lang w:val="en-US"/>
        </w:rPr>
      </w:pPr>
      <w:r w:rsidRPr="00215055">
        <w:rPr>
          <w:sz w:val="20"/>
          <w:lang w:val="en-US"/>
        </w:rPr>
        <w:t xml:space="preserve">Source: </w:t>
      </w:r>
      <w:r w:rsidR="005F59EE" w:rsidRPr="00215055">
        <w:rPr>
          <w:sz w:val="20"/>
          <w:lang w:val="en-US"/>
        </w:rPr>
        <w:t xml:space="preserve">FEANTSA – </w:t>
      </w:r>
      <w:proofErr w:type="spellStart"/>
      <w:r w:rsidRPr="00215055">
        <w:rPr>
          <w:sz w:val="20"/>
          <w:lang w:val="en-US"/>
        </w:rPr>
        <w:t>Fondation</w:t>
      </w:r>
      <w:proofErr w:type="spellEnd"/>
      <w:r w:rsidRPr="00215055">
        <w:rPr>
          <w:sz w:val="20"/>
          <w:lang w:val="en-US"/>
        </w:rPr>
        <w:t xml:space="preserve"> Abbé Pierre, </w:t>
      </w:r>
      <w:r w:rsidRPr="00215055">
        <w:rPr>
          <w:i/>
          <w:sz w:val="20"/>
          <w:lang w:val="en-US"/>
        </w:rPr>
        <w:t xml:space="preserve">Second overview of housing exclusion in Europe 2017, </w:t>
      </w:r>
      <w:r w:rsidRPr="00215055">
        <w:rPr>
          <w:sz w:val="20"/>
          <w:lang w:val="en-US"/>
        </w:rPr>
        <w:t>pp.83-84.</w:t>
      </w:r>
    </w:p>
    <w:p w14:paraId="4BDADA58" w14:textId="25F74507" w:rsidR="008E5121" w:rsidRDefault="008E5121" w:rsidP="00911EE4">
      <w:pPr>
        <w:spacing w:line="276" w:lineRule="auto"/>
        <w:rPr>
          <w:sz w:val="20"/>
          <w:lang w:val="en-US"/>
        </w:rPr>
      </w:pPr>
    </w:p>
    <w:p w14:paraId="1A1FD5F7" w14:textId="526035F4" w:rsidR="008E5121" w:rsidRDefault="008E5121" w:rsidP="00911EE4">
      <w:pPr>
        <w:spacing w:line="276" w:lineRule="auto"/>
        <w:rPr>
          <w:sz w:val="20"/>
          <w:lang w:val="en-US"/>
        </w:rPr>
      </w:pPr>
    </w:p>
    <w:p w14:paraId="5002A795" w14:textId="10E3E615" w:rsidR="008E5121" w:rsidRDefault="008E5121" w:rsidP="00911EE4">
      <w:pPr>
        <w:spacing w:line="276" w:lineRule="auto"/>
        <w:rPr>
          <w:sz w:val="20"/>
          <w:lang w:val="en-US"/>
        </w:rPr>
      </w:pPr>
    </w:p>
    <w:p w14:paraId="11FE7D23" w14:textId="6B136275" w:rsidR="008E5121" w:rsidRDefault="008E5121" w:rsidP="00911EE4">
      <w:pPr>
        <w:spacing w:line="276" w:lineRule="auto"/>
        <w:rPr>
          <w:sz w:val="20"/>
          <w:lang w:val="en-US"/>
        </w:rPr>
      </w:pPr>
    </w:p>
    <w:p w14:paraId="61B50BED" w14:textId="799772D0" w:rsidR="008E5121" w:rsidRDefault="008E5121" w:rsidP="00911EE4">
      <w:pPr>
        <w:spacing w:line="276" w:lineRule="auto"/>
        <w:rPr>
          <w:sz w:val="20"/>
          <w:lang w:val="en-US"/>
        </w:rPr>
      </w:pPr>
    </w:p>
    <w:p w14:paraId="421C8F19" w14:textId="5CAA7D89" w:rsidR="008E5121" w:rsidRDefault="008E5121" w:rsidP="00911EE4">
      <w:pPr>
        <w:spacing w:line="276" w:lineRule="auto"/>
        <w:rPr>
          <w:sz w:val="20"/>
          <w:lang w:val="en-US"/>
        </w:rPr>
      </w:pPr>
    </w:p>
    <w:p w14:paraId="139EC73D" w14:textId="4D4E3A2A" w:rsidR="008E5121" w:rsidRDefault="008E5121" w:rsidP="00911EE4">
      <w:pPr>
        <w:spacing w:line="276" w:lineRule="auto"/>
        <w:rPr>
          <w:sz w:val="20"/>
          <w:lang w:val="en-US"/>
        </w:rPr>
      </w:pPr>
    </w:p>
    <w:p w14:paraId="4D1A3047" w14:textId="00BAF787" w:rsidR="008E5121" w:rsidRDefault="008E5121" w:rsidP="00911EE4">
      <w:pPr>
        <w:spacing w:line="276" w:lineRule="auto"/>
        <w:rPr>
          <w:sz w:val="20"/>
          <w:lang w:val="en-US"/>
        </w:rPr>
      </w:pPr>
    </w:p>
    <w:p w14:paraId="1FB6A074" w14:textId="3C3654A3" w:rsidR="008E5121" w:rsidRDefault="008E5121" w:rsidP="00911EE4">
      <w:pPr>
        <w:spacing w:line="276" w:lineRule="auto"/>
        <w:rPr>
          <w:sz w:val="20"/>
          <w:lang w:val="en-US"/>
        </w:rPr>
      </w:pPr>
    </w:p>
    <w:p w14:paraId="0B59D609" w14:textId="1074C6C7" w:rsidR="008E5121" w:rsidRDefault="008E5121" w:rsidP="00911EE4">
      <w:pPr>
        <w:spacing w:line="276" w:lineRule="auto"/>
        <w:rPr>
          <w:sz w:val="20"/>
          <w:lang w:val="en-US"/>
        </w:rPr>
      </w:pPr>
    </w:p>
    <w:p w14:paraId="6AFA79E9" w14:textId="2623D3A3" w:rsidR="008E5121" w:rsidRDefault="008E5121" w:rsidP="00911EE4">
      <w:pPr>
        <w:spacing w:line="276" w:lineRule="auto"/>
        <w:rPr>
          <w:sz w:val="20"/>
          <w:lang w:val="en-US"/>
        </w:rPr>
      </w:pPr>
    </w:p>
    <w:p w14:paraId="477ACE95" w14:textId="4D541713" w:rsidR="008E5121" w:rsidRDefault="008E5121" w:rsidP="00911EE4">
      <w:pPr>
        <w:spacing w:line="276" w:lineRule="auto"/>
        <w:rPr>
          <w:sz w:val="20"/>
          <w:lang w:val="en-US"/>
        </w:rPr>
      </w:pPr>
    </w:p>
    <w:p w14:paraId="2E0611CA" w14:textId="39E53CB6" w:rsidR="008E5121" w:rsidRDefault="008E5121" w:rsidP="00911EE4">
      <w:pPr>
        <w:spacing w:line="276" w:lineRule="auto"/>
        <w:rPr>
          <w:sz w:val="20"/>
          <w:lang w:val="en-US"/>
        </w:rPr>
      </w:pPr>
    </w:p>
    <w:p w14:paraId="2A56F327" w14:textId="64BADB42" w:rsidR="008E5121" w:rsidRDefault="008E5121" w:rsidP="00911EE4">
      <w:pPr>
        <w:spacing w:line="276" w:lineRule="auto"/>
        <w:rPr>
          <w:sz w:val="20"/>
          <w:lang w:val="en-US"/>
        </w:rPr>
      </w:pPr>
    </w:p>
    <w:p w14:paraId="6F7A66BD" w14:textId="45C452DA" w:rsidR="008E5121" w:rsidRDefault="008E5121" w:rsidP="00911EE4">
      <w:pPr>
        <w:spacing w:line="276" w:lineRule="auto"/>
        <w:rPr>
          <w:sz w:val="20"/>
          <w:lang w:val="en-US"/>
        </w:rPr>
      </w:pPr>
    </w:p>
    <w:p w14:paraId="17AB4825" w14:textId="20FB69D7" w:rsidR="008E5121" w:rsidRDefault="008E5121" w:rsidP="00911EE4">
      <w:pPr>
        <w:spacing w:line="276" w:lineRule="auto"/>
        <w:rPr>
          <w:sz w:val="20"/>
          <w:lang w:val="en-US"/>
        </w:rPr>
      </w:pPr>
    </w:p>
    <w:p w14:paraId="681831FF" w14:textId="57DE7FC7" w:rsidR="008E5121" w:rsidRPr="008E5121" w:rsidRDefault="008E5121" w:rsidP="00911EE4">
      <w:pPr>
        <w:spacing w:line="276" w:lineRule="auto"/>
        <w:rPr>
          <w:b/>
        </w:rPr>
      </w:pPr>
      <w:r w:rsidRPr="008E5121">
        <w:rPr>
          <w:b/>
        </w:rPr>
        <w:t>Tableau 2 :</w:t>
      </w:r>
      <w:r w:rsidR="00B66266">
        <w:rPr>
          <w:b/>
        </w:rPr>
        <w:t xml:space="preserve"> </w:t>
      </w:r>
      <w:r w:rsidRPr="008E5121">
        <w:rPr>
          <w:b/>
        </w:rPr>
        <w:t>Rapport du nombre d’expulsion sur la population par pays</w:t>
      </w:r>
    </w:p>
    <w:p w14:paraId="03E4CBC0" w14:textId="6A731596" w:rsidR="00C95A2D" w:rsidRDefault="00C95A2D" w:rsidP="00911EE4">
      <w:pPr>
        <w:spacing w:line="276" w:lineRule="auto"/>
        <w:rPr>
          <w:lang w:val="en-US"/>
        </w:rPr>
      </w:pPr>
      <w:r>
        <w:rPr>
          <w:noProof/>
        </w:rPr>
        <w:drawing>
          <wp:inline distT="0" distB="0" distL="0" distR="0" wp14:anchorId="5600E328" wp14:editId="7B176060">
            <wp:extent cx="5760720" cy="3440156"/>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440156"/>
                    </a:xfrm>
                    <a:prstGeom prst="rect">
                      <a:avLst/>
                    </a:prstGeom>
                    <a:noFill/>
                    <a:ln>
                      <a:noFill/>
                    </a:ln>
                  </pic:spPr>
                </pic:pic>
              </a:graphicData>
            </a:graphic>
          </wp:inline>
        </w:drawing>
      </w:r>
    </w:p>
    <w:p w14:paraId="66B28A3E" w14:textId="77777777" w:rsidR="008E5121" w:rsidRDefault="008E5121" w:rsidP="008E5121">
      <w:pPr>
        <w:spacing w:line="276" w:lineRule="auto"/>
        <w:rPr>
          <w:sz w:val="20"/>
          <w:lang w:val="en-US"/>
        </w:rPr>
      </w:pPr>
      <w:r w:rsidRPr="00215055">
        <w:rPr>
          <w:sz w:val="20"/>
          <w:lang w:val="en-US"/>
        </w:rPr>
        <w:t xml:space="preserve">Source: FEANTSA – </w:t>
      </w:r>
      <w:proofErr w:type="spellStart"/>
      <w:r w:rsidRPr="00215055">
        <w:rPr>
          <w:sz w:val="20"/>
          <w:lang w:val="en-US"/>
        </w:rPr>
        <w:t>Fondation</w:t>
      </w:r>
      <w:proofErr w:type="spellEnd"/>
      <w:r w:rsidRPr="00215055">
        <w:rPr>
          <w:sz w:val="20"/>
          <w:lang w:val="en-US"/>
        </w:rPr>
        <w:t xml:space="preserve"> Abbé Pierre, </w:t>
      </w:r>
      <w:r w:rsidRPr="00215055">
        <w:rPr>
          <w:i/>
          <w:sz w:val="20"/>
          <w:lang w:val="en-US"/>
        </w:rPr>
        <w:t xml:space="preserve">Second overview of housing exclusion in Europe 2017, </w:t>
      </w:r>
      <w:r w:rsidRPr="00215055">
        <w:rPr>
          <w:sz w:val="20"/>
          <w:lang w:val="en-US"/>
        </w:rPr>
        <w:t>pp.83-84.</w:t>
      </w:r>
    </w:p>
    <w:p w14:paraId="270F071C" w14:textId="77777777" w:rsidR="008E5121" w:rsidRPr="00590B93" w:rsidRDefault="008E5121" w:rsidP="00C95A2D">
      <w:pPr>
        <w:spacing w:line="276" w:lineRule="auto"/>
        <w:rPr>
          <w:lang w:val="en-US"/>
        </w:rPr>
      </w:pPr>
    </w:p>
    <w:p w14:paraId="7A14A00C" w14:textId="6A6E5DBD" w:rsidR="00C146DA" w:rsidRDefault="00C95A2D" w:rsidP="00C95A2D">
      <w:pPr>
        <w:spacing w:line="276" w:lineRule="auto"/>
      </w:pPr>
      <w:r>
        <w:t xml:space="preserve">Malgré le caractère incomplet des données récoltées en Belgique, les chiffres </w:t>
      </w:r>
      <w:r w:rsidR="008B0AA8">
        <w:t>dont nous disposons</w:t>
      </w:r>
      <w:r>
        <w:t xml:space="preserve"> permettent de faire apparaitre certaines tendances. </w:t>
      </w:r>
    </w:p>
    <w:p w14:paraId="7B692D0F" w14:textId="44FC8AA1" w:rsidR="00C95A2D" w:rsidRDefault="00C95A2D" w:rsidP="00C95A2D">
      <w:pPr>
        <w:spacing w:line="276" w:lineRule="auto"/>
      </w:pPr>
      <w:r>
        <w:t xml:space="preserve">Le groupe de chercheurs engagées dans le </w:t>
      </w:r>
      <w:r w:rsidR="00304BB9">
        <w:t>projet BRU</w:t>
      </w:r>
      <w:r w:rsidR="008B0AA8">
        <w:t>-HOME</w:t>
      </w:r>
      <w:r w:rsidR="006E7FCE">
        <w:rPr>
          <w:rStyle w:val="Appelnotedebasdep"/>
        </w:rPr>
        <w:footnoteReference w:id="11"/>
      </w:r>
      <w:r>
        <w:t xml:space="preserve"> constatent par exemple une augmentation graduelle du nombre d’expulsion</w:t>
      </w:r>
      <w:r w:rsidR="008B0AA8">
        <w:t>s</w:t>
      </w:r>
      <w:r>
        <w:t xml:space="preserve"> depuis 2005 en Wallonie comme en Flandres (</w:t>
      </w:r>
      <w:r w:rsidR="00DD396D">
        <w:t>Bru-Home</w:t>
      </w:r>
      <w:r>
        <w:t>,</w:t>
      </w:r>
      <w:r w:rsidR="008B0AA8">
        <w:t xml:space="preserve"> 2020</w:t>
      </w:r>
      <w:r>
        <w:t> : 5). Entre 80 et 250 expulsions ont lieu chaque semaine en Flandres (</w:t>
      </w:r>
      <w:proofErr w:type="spellStart"/>
      <w:r>
        <w:t>Verstraete</w:t>
      </w:r>
      <w:proofErr w:type="spellEnd"/>
      <w:r>
        <w:t xml:space="preserve"> et De Decker, 2015 ; </w:t>
      </w:r>
      <w:proofErr w:type="spellStart"/>
      <w:r>
        <w:t>Meys</w:t>
      </w:r>
      <w:proofErr w:type="spellEnd"/>
      <w:r>
        <w:t xml:space="preserve"> et Hermans, 2014) et au moins 40 par semaine en Wallonie (Deprez et Gerard, 2014). Autrement dit, chaque année, environ 13 000 les expulsions ont lieu en Flandre et environ 2080 expulsions en Wallonie</w:t>
      </w:r>
      <w:r w:rsidR="008B0AA8">
        <w:t>.</w:t>
      </w:r>
    </w:p>
    <w:p w14:paraId="0CF28E04" w14:textId="1AE9DBFE" w:rsidR="00C95A2D" w:rsidRDefault="00C95A2D" w:rsidP="00C95A2D">
      <w:pPr>
        <w:spacing w:line="276" w:lineRule="auto"/>
      </w:pPr>
      <w:r>
        <w:t xml:space="preserve">Pour Bruxelles, qui n’échappe pas au </w:t>
      </w:r>
      <w:r w:rsidRPr="004C26DC">
        <w:t>constat de l’absence de statistique coordonnées sur la région, L'</w:t>
      </w:r>
      <w:r>
        <w:t>O</w:t>
      </w:r>
      <w:r w:rsidRPr="004C26DC">
        <w:t>bservatoire de la santé et du social a récemment tenté d'estimer le nombre d'expulsions</w:t>
      </w:r>
      <w:r>
        <w:t xml:space="preserve">. Le rapport </w:t>
      </w:r>
      <w:r>
        <w:lastRenderedPageBreak/>
        <w:t>de l’</w:t>
      </w:r>
      <w:r w:rsidR="00680B5A">
        <w:t>O</w:t>
      </w:r>
      <w:r>
        <w:t xml:space="preserve">bservatoire considère qu’en 2017, </w:t>
      </w:r>
      <w:r w:rsidRPr="00B35E26">
        <w:t xml:space="preserve">environ 5 000 demandes d’expulsion judiciaire par an ont </w:t>
      </w:r>
      <w:r w:rsidR="008B0AA8">
        <w:t xml:space="preserve">eu </w:t>
      </w:r>
      <w:r w:rsidRPr="00B35E26">
        <w:t xml:space="preserve">lieu </w:t>
      </w:r>
      <w:r w:rsidR="008B0AA8">
        <w:t>sur</w:t>
      </w:r>
      <w:r w:rsidRPr="00B35E26">
        <w:t xml:space="preserve"> l’ensemble de la Région bruxelloise. Cela correspondrait approximativement </w:t>
      </w:r>
      <w:r>
        <w:t xml:space="preserve">à </w:t>
      </w:r>
      <w:r w:rsidRPr="00B35E26">
        <w:t>1,5 % des ménages locataires dans la Région</w:t>
      </w:r>
      <w:r>
        <w:t>.</w:t>
      </w:r>
      <w:r w:rsidRPr="00B35E26">
        <w:t xml:space="preserve"> </w:t>
      </w:r>
      <w:r>
        <w:t>Sur ces 5000 demande</w:t>
      </w:r>
      <w:r w:rsidR="008B0AA8">
        <w:t>s</w:t>
      </w:r>
      <w:r>
        <w:t xml:space="preserve"> d’expulsion, environ 1200 </w:t>
      </w:r>
      <w:r w:rsidR="008B0AA8">
        <w:t>ont été</w:t>
      </w:r>
      <w:r>
        <w:t xml:space="preserve"> mise</w:t>
      </w:r>
      <w:r w:rsidR="008B0AA8">
        <w:t>s à exécution</w:t>
      </w:r>
      <w:r>
        <w:t xml:space="preserve">, parmi lesquelles environ 600, soit la moitié, </w:t>
      </w:r>
      <w:r w:rsidR="008B0AA8">
        <w:t>sont devenues</w:t>
      </w:r>
      <w:r>
        <w:t xml:space="preserve"> des expulsions effectives (Observatoire de la santé et du social, 2019 : 49 - 50).</w:t>
      </w:r>
    </w:p>
    <w:p w14:paraId="0D141007" w14:textId="1F1AA0B2" w:rsidR="00C66694" w:rsidRDefault="00C95A2D" w:rsidP="00C66694">
      <w:pPr>
        <w:spacing w:line="276" w:lineRule="auto"/>
      </w:pPr>
      <w:r>
        <w:t xml:space="preserve">Il s’agit là des chiffres du marché locatif privé. Fait remarquable, les chiffres d’expulsions liés au logement social semblent être similaires : au cours de la période 2013-2017, environ 0,3% des personnes </w:t>
      </w:r>
      <w:r w:rsidR="008B0AA8">
        <w:t>ont reçu un avis</w:t>
      </w:r>
      <w:r>
        <w:t xml:space="preserve"> d'expulsion de leur logement social, la moitié (0,15%)</w:t>
      </w:r>
      <w:r w:rsidR="008B0AA8">
        <w:t xml:space="preserve"> a été</w:t>
      </w:r>
      <w:r>
        <w:t xml:space="preserve"> effectivement expulsée. Dans le secteur des agences immobilières sociales (AIS), 2,1% des ménages ont reçu un jugement d'expulsion, et 0,6% ont été expulsés en 2017(Observatoire de la santé et du social, 2019 : 53 -55). Cette similitude entre logements publics et marché privés est d’autant plus </w:t>
      </w:r>
      <w:proofErr w:type="spellStart"/>
      <w:r>
        <w:t>interpellante</w:t>
      </w:r>
      <w:proofErr w:type="spellEnd"/>
      <w:r>
        <w:t xml:space="preserve"> que le logement public est supposé stabiliser les locataires en situation de précarité.</w:t>
      </w:r>
      <w:r w:rsidR="00C66694">
        <w:t xml:space="preserve"> </w:t>
      </w:r>
      <w:r w:rsidR="0029746E">
        <w:t>Ce constat rejoint les conclusions de</w:t>
      </w:r>
      <w:r w:rsidR="00C66694">
        <w:t xml:space="preserve"> Cégolène Frisque, que nous citions dans l’état de l’art</w:t>
      </w:r>
      <w:r w:rsidR="0029746E">
        <w:t>,</w:t>
      </w:r>
      <w:r w:rsidR="00C66694">
        <w:t xml:space="preserve"> et </w:t>
      </w:r>
      <w:r w:rsidR="00B6111A">
        <w:t>qui montrai</w:t>
      </w:r>
      <w:r w:rsidR="0029746E">
        <w:t>en</w:t>
      </w:r>
      <w:r w:rsidR="00B6111A">
        <w:t xml:space="preserve">t comment </w:t>
      </w:r>
      <w:r w:rsidR="0029746E">
        <w:t xml:space="preserve">le </w:t>
      </w:r>
      <w:r w:rsidR="00B6111A" w:rsidRPr="00696741">
        <w:t xml:space="preserve">développement d’une politique de prévention des expulsions a pu servir de légitimation à des procédures d’expulsion plus rapides et expéditives </w:t>
      </w:r>
      <w:r w:rsidR="00B6111A">
        <w:t>(</w:t>
      </w:r>
      <w:r w:rsidR="00B6111A" w:rsidRPr="00696741">
        <w:t xml:space="preserve">les locataires </w:t>
      </w:r>
      <w:r w:rsidR="00B6111A">
        <w:t>sont censés</w:t>
      </w:r>
      <w:r w:rsidR="00B6111A" w:rsidRPr="00696741">
        <w:t xml:space="preserve"> avoir eu de multiples occasions d’obtenir des aides, il y a moins de scrupules à expulser</w:t>
      </w:r>
      <w:r w:rsidR="00B6111A">
        <w:t>)</w:t>
      </w:r>
      <w:r w:rsidR="00B6111A" w:rsidRPr="00696741">
        <w:t xml:space="preserve"> (Frisque, 2006). </w:t>
      </w:r>
    </w:p>
    <w:p w14:paraId="5B93969E" w14:textId="2B9ED457" w:rsidR="008E5121" w:rsidRPr="008E5121" w:rsidRDefault="008E5121" w:rsidP="008E5121">
      <w:pPr>
        <w:spacing w:line="276" w:lineRule="auto"/>
        <w:jc w:val="center"/>
        <w:rPr>
          <w:b/>
          <w:sz w:val="24"/>
          <w:highlight w:val="yellow"/>
        </w:rPr>
      </w:pPr>
      <w:r w:rsidRPr="008E5121">
        <w:rPr>
          <w:b/>
        </w:rPr>
        <w:t>Tableau 3 : Estimation relative et absolu du taux d’expulsion en Belgique en 2016</w:t>
      </w:r>
    </w:p>
    <w:p w14:paraId="178ED665" w14:textId="418EC848" w:rsidR="00C95A2D" w:rsidRDefault="00C95A2D" w:rsidP="008E5121">
      <w:pPr>
        <w:spacing w:line="276" w:lineRule="auto"/>
        <w:jc w:val="center"/>
        <w:rPr>
          <w:noProof/>
        </w:rPr>
      </w:pPr>
      <w:r>
        <w:rPr>
          <w:noProof/>
        </w:rPr>
        <w:drawing>
          <wp:inline distT="0" distB="0" distL="0" distR="0" wp14:anchorId="4AD943D4" wp14:editId="3245F9D9">
            <wp:extent cx="3581400" cy="19100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2846" r="37803" b="15571"/>
                    <a:stretch/>
                  </pic:blipFill>
                  <pic:spPr bwMode="auto">
                    <a:xfrm>
                      <a:off x="0" y="0"/>
                      <a:ext cx="3583009" cy="1910938"/>
                    </a:xfrm>
                    <a:prstGeom prst="rect">
                      <a:avLst/>
                    </a:prstGeom>
                    <a:ln>
                      <a:noFill/>
                    </a:ln>
                    <a:extLst>
                      <a:ext uri="{53640926-AAD7-44D8-BBD7-CCE9431645EC}">
                        <a14:shadowObscured xmlns:a14="http://schemas.microsoft.com/office/drawing/2010/main"/>
                      </a:ext>
                    </a:extLst>
                  </pic:spPr>
                </pic:pic>
              </a:graphicData>
            </a:graphic>
          </wp:inline>
        </w:drawing>
      </w:r>
    </w:p>
    <w:p w14:paraId="5DC39BF5" w14:textId="1EAAF235" w:rsidR="00C95A2D" w:rsidRDefault="008E5121" w:rsidP="00C95A2D">
      <w:pPr>
        <w:spacing w:line="276" w:lineRule="auto"/>
        <w:jc w:val="center"/>
        <w:rPr>
          <w:sz w:val="20"/>
          <w:lang w:val="en-US"/>
        </w:rPr>
      </w:pPr>
      <w:r w:rsidRPr="008E5121">
        <w:rPr>
          <w:sz w:val="20"/>
          <w:lang w:val="en-US"/>
        </w:rPr>
        <w:t>Source:</w:t>
      </w:r>
      <w:r w:rsidR="0029746E" w:rsidRPr="008E5121">
        <w:rPr>
          <w:sz w:val="20"/>
          <w:lang w:val="en-US"/>
        </w:rPr>
        <w:t xml:space="preserve"> rapport</w:t>
      </w:r>
      <w:r w:rsidR="00304BB9" w:rsidRPr="008E5121">
        <w:rPr>
          <w:sz w:val="20"/>
          <w:lang w:val="en-US"/>
        </w:rPr>
        <w:t xml:space="preserve"> </w:t>
      </w:r>
      <w:r w:rsidR="008B0AA8" w:rsidRPr="008E5121">
        <w:rPr>
          <w:sz w:val="20"/>
          <w:lang w:val="en-US"/>
        </w:rPr>
        <w:t>BRU-HOME</w:t>
      </w:r>
      <w:r w:rsidR="00C95A2D" w:rsidRPr="008E5121">
        <w:rPr>
          <w:i/>
          <w:sz w:val="20"/>
          <w:lang w:val="en-US"/>
        </w:rPr>
        <w:t xml:space="preserve">, </w:t>
      </w:r>
      <w:hyperlink r:id="rId13" w:tgtFrame="_blank" w:history="1">
        <w:r w:rsidR="00C95A2D" w:rsidRPr="008E5121">
          <w:rPr>
            <w:i/>
            <w:sz w:val="20"/>
            <w:lang w:val="en-US"/>
          </w:rPr>
          <w:t>The prevalence and consequences of evictions for the housing precariat in Brussels</w:t>
        </w:r>
      </w:hyperlink>
      <w:r w:rsidR="00C95A2D" w:rsidRPr="008E5121">
        <w:rPr>
          <w:sz w:val="20"/>
          <w:lang w:val="en-US"/>
        </w:rPr>
        <w:t>, 2020, p.5</w:t>
      </w:r>
      <w:r w:rsidR="0029746E" w:rsidRPr="008E5121">
        <w:rPr>
          <w:sz w:val="20"/>
          <w:lang w:val="en-US"/>
        </w:rPr>
        <w:t>.</w:t>
      </w:r>
    </w:p>
    <w:p w14:paraId="44CA1F24" w14:textId="77777777" w:rsidR="008E5121" w:rsidRPr="008E5121" w:rsidRDefault="008E5121" w:rsidP="00C95A2D">
      <w:pPr>
        <w:spacing w:line="276" w:lineRule="auto"/>
        <w:jc w:val="center"/>
        <w:rPr>
          <w:i/>
          <w:sz w:val="20"/>
          <w:lang w:val="en-US"/>
        </w:rPr>
      </w:pPr>
    </w:p>
    <w:p w14:paraId="6886239D" w14:textId="78CD696C" w:rsidR="00C7504F" w:rsidRDefault="00C95A2D" w:rsidP="00C95A2D">
      <w:pPr>
        <w:spacing w:line="276" w:lineRule="auto"/>
      </w:pPr>
      <w:r>
        <w:t>Au regard des chiffres disponibles, l’équipe de recherche du projet</w:t>
      </w:r>
      <w:r w:rsidR="008B0AA8">
        <w:t xml:space="preserve"> BRU-HOME</w:t>
      </w:r>
      <w:r>
        <w:t xml:space="preserve"> constate que Bruxelles est la région qui connait le plus de procédure</w:t>
      </w:r>
      <w:r w:rsidR="0029746E">
        <w:t>s</w:t>
      </w:r>
      <w:r>
        <w:t xml:space="preserve"> d’expulsion par rapport avec sa population. : 0,002% de la Flandre population, et environ 0,0005% de la population wallonne est menacée d'expulsion, tandis que 0,004% de la population bruxelloise risque une expulsion (voir tableau). Les chiffres bruxellois constituent près du double du nombre d'expulsions en Flandre</w:t>
      </w:r>
      <w:r w:rsidR="0029746E">
        <w:t>,</w:t>
      </w:r>
      <w:r>
        <w:t xml:space="preserve"> et huit fois plus qu'en Wallonie.</w:t>
      </w:r>
    </w:p>
    <w:p w14:paraId="3442F9D8" w14:textId="7D9C453D" w:rsidR="00C95A2D" w:rsidRDefault="0029746E" w:rsidP="00C95A2D">
      <w:pPr>
        <w:spacing w:line="276" w:lineRule="auto"/>
      </w:pPr>
      <w:r>
        <w:t>Comme n</w:t>
      </w:r>
      <w:r w:rsidR="00680B5A" w:rsidRPr="00F7613D">
        <w:t xml:space="preserve">ous l’avions déjà indiqué dans l’Etat de l’art, les données ici présentées ne sont pas le fruit d’une méthode centralisée de recensement </w:t>
      </w:r>
      <w:r w:rsidR="007D283C">
        <w:t xml:space="preserve">systématique </w:t>
      </w:r>
      <w:r w:rsidR="00680B5A" w:rsidRPr="00F7613D">
        <w:t xml:space="preserve">des procédures d’expulsions. Cela </w:t>
      </w:r>
      <w:r w:rsidR="00F7613D">
        <w:t>oblige</w:t>
      </w:r>
      <w:r w:rsidR="00680B5A" w:rsidRPr="00F7613D">
        <w:t xml:space="preserve"> les différents chercheurs engagés sur le sujet (IWEPS et </w:t>
      </w:r>
      <w:r w:rsidR="00954F8D" w:rsidRPr="00F7613D">
        <w:t>COCOM</w:t>
      </w:r>
      <w:r w:rsidR="00954F8D">
        <w:t xml:space="preserve"> via l’Observatoire de la santé et du social</w:t>
      </w:r>
      <w:r w:rsidR="00680B5A" w:rsidRPr="00F7613D">
        <w:t>)</w:t>
      </w:r>
      <w:r w:rsidR="00F7613D">
        <w:t xml:space="preserve"> à s’inscrire</w:t>
      </w:r>
      <w:r w:rsidR="00680B5A" w:rsidRPr="00F7613D">
        <w:t xml:space="preserve"> dans une </w:t>
      </w:r>
      <w:r w:rsidR="00680B5A" w:rsidRPr="00680B5A">
        <w:t>approche exploratoire et partiellement inductive</w:t>
      </w:r>
      <w:r w:rsidR="00680B5A">
        <w:t xml:space="preserve"> : </w:t>
      </w:r>
    </w:p>
    <w:p w14:paraId="23E3B12E" w14:textId="19012123" w:rsidR="00680B5A" w:rsidRPr="00F7613D" w:rsidRDefault="00680B5A" w:rsidP="00F7613D">
      <w:pPr>
        <w:spacing w:line="276" w:lineRule="auto"/>
        <w:ind w:left="708"/>
        <w:rPr>
          <w:sz w:val="20"/>
        </w:rPr>
      </w:pPr>
      <w:r w:rsidRPr="00F7613D">
        <w:rPr>
          <w:sz w:val="20"/>
        </w:rPr>
        <w:t>« Notre objectif n’était donc pas de tester un modèle théorique préétabli mais bien d’une part, de recenser les sources pertinentes, de récolter des données non centralisées, c’est-à-dire éparpillées entre différents organismes, de mesurer dans les limites du possible le phénomène au niveau wallon, et d’autre part, de saisir les catégories relatives aux expulsions domiciliaires effectivement mobilisées par différents groupes d’acteurs professionnels locaux. »</w:t>
      </w:r>
      <w:r w:rsidR="00F7613D">
        <w:rPr>
          <w:sz w:val="20"/>
        </w:rPr>
        <w:t xml:space="preserve"> (IWEPS, 13)</w:t>
      </w:r>
    </w:p>
    <w:p w14:paraId="3CD3D9F6" w14:textId="6DD19F12" w:rsidR="00F7613D" w:rsidRDefault="00FA0948" w:rsidP="00C95A2D">
      <w:pPr>
        <w:spacing w:line="276" w:lineRule="auto"/>
      </w:pPr>
      <w:r>
        <w:lastRenderedPageBreak/>
        <w:t xml:space="preserve">Pour mener à bien cette recherche, il a donc fallu solliciter les acteurs publics </w:t>
      </w:r>
      <w:r w:rsidRPr="00FA0948">
        <w:t>qui produisent, abritent ou exploitent ces données</w:t>
      </w:r>
      <w:r>
        <w:t>.</w:t>
      </w:r>
      <w:r>
        <w:rPr>
          <w:rStyle w:val="Appelnotedebasdep"/>
        </w:rPr>
        <w:footnoteReference w:id="12"/>
      </w:r>
      <w:r>
        <w:t xml:space="preserve"> L’IWEPS a, par exemple, envoyé </w:t>
      </w:r>
      <w:r w:rsidR="00F7613D">
        <w:t xml:space="preserve">un questionnaire à remplir aux différentes communes de la région wallonne. Les chercheurs ont obtenu un taux de réponse de 68% (179 communes sur 262). Les chiffres récoltés donnent ainsi une </w:t>
      </w:r>
      <w:r w:rsidR="00F7613D">
        <w:rPr>
          <w:i/>
        </w:rPr>
        <w:t>indication</w:t>
      </w:r>
      <w:r w:rsidR="00F7613D">
        <w:t xml:space="preserve"> sur la situation en Wallonie. </w:t>
      </w:r>
    </w:p>
    <w:p w14:paraId="61F2CFC8" w14:textId="6F4B5D1D" w:rsidR="00FA0948" w:rsidRDefault="00F7613D" w:rsidP="00C95A2D">
      <w:pPr>
        <w:spacing w:line="276" w:lineRule="auto"/>
      </w:pPr>
      <w:r>
        <w:t>Il en va de même pour la recherche bruxelloise</w:t>
      </w:r>
      <w:r w:rsidR="007D283C">
        <w:t xml:space="preserve">, qui, pour </w:t>
      </w:r>
      <w:r w:rsidRPr="00F7613D">
        <w:t xml:space="preserve">pallier à cette </w:t>
      </w:r>
      <w:r w:rsidR="007D283C">
        <w:t>absence de recensement centralisé et systématique, tente</w:t>
      </w:r>
      <w:r w:rsidR="0029746E">
        <w:t xml:space="preserve"> </w:t>
      </w:r>
      <w:r w:rsidR="007D283C">
        <w:t>d’obtenir</w:t>
      </w:r>
      <w:r w:rsidRPr="00F7613D">
        <w:t xml:space="preserve"> certaines données </w:t>
      </w:r>
      <w:r w:rsidR="007D283C">
        <w:t xml:space="preserve">en sollicitant </w:t>
      </w:r>
      <w:r w:rsidRPr="00F7613D">
        <w:t>un grand nombre d’organismes</w:t>
      </w:r>
      <w:r w:rsidR="007D283C">
        <w:rPr>
          <w:rStyle w:val="Appelnotedebasdep"/>
        </w:rPr>
        <w:footnoteReference w:id="13"/>
      </w:r>
      <w:r w:rsidRPr="00F7613D">
        <w:t xml:space="preserve">. </w:t>
      </w:r>
      <w:r w:rsidR="00FA0948">
        <w:t xml:space="preserve">Le rapport de </w:t>
      </w:r>
      <w:r w:rsidR="0029746E">
        <w:t xml:space="preserve">l’Observatoire de la santé et du social </w:t>
      </w:r>
      <w:r w:rsidR="00FA0948">
        <w:t>indique :</w:t>
      </w:r>
    </w:p>
    <w:p w14:paraId="4E1FA4AA" w14:textId="38530390" w:rsidR="00F7613D" w:rsidRPr="000648A3" w:rsidRDefault="00FA0948" w:rsidP="000648A3">
      <w:pPr>
        <w:spacing w:line="276" w:lineRule="auto"/>
        <w:ind w:left="708"/>
        <w:rPr>
          <w:sz w:val="20"/>
        </w:rPr>
      </w:pPr>
      <w:r w:rsidRPr="000648A3">
        <w:rPr>
          <w:sz w:val="20"/>
        </w:rPr>
        <w:t>« </w:t>
      </w:r>
      <w:r w:rsidR="00F7613D" w:rsidRPr="000648A3">
        <w:rPr>
          <w:sz w:val="20"/>
        </w:rPr>
        <w:t>Malgré la bonne volonté des services contactés, cette collecte de chiffres s’est révélée particulièrement malaisée : les données sont souvent partielles, pas toujours encodées, et soumises à la variabilité des pratiques des services et des définitions possibles. Du fait du manque de centralisation, certaines contradictions dans les chiffres obtenus, selon les services sollicités, ont été observées. En effet, concernant le nombre d’expulsions effectives, les chiffres directement transmis par la police, ceux transmis par l’intermédiaire du CPAS (qui sont aussi pourtant généralement ceux émanant de la police), ceux transmis par les communes et ceux des huissiers ne correspondent que rarement entre eux. Cela illustre la difficulté de disposer de chiffres fiables en l’absence de la production de statistiques officielles (qui implique des choix de catégorisation, de méthode de collecte et de centralisation) sur la problématique des expulsions</w:t>
      </w:r>
      <w:r w:rsidR="00F7613D" w:rsidRPr="0029746E">
        <w:rPr>
          <w:sz w:val="20"/>
        </w:rPr>
        <w:t>.</w:t>
      </w:r>
      <w:r w:rsidR="000648A3" w:rsidRPr="0029746E">
        <w:rPr>
          <w:sz w:val="20"/>
        </w:rPr>
        <w:t> »</w:t>
      </w:r>
      <w:r w:rsidR="00F7613D" w:rsidRPr="0029746E">
        <w:rPr>
          <w:sz w:val="20"/>
        </w:rPr>
        <w:t xml:space="preserve"> </w:t>
      </w:r>
      <w:r w:rsidR="000648A3" w:rsidRPr="0029746E">
        <w:rPr>
          <w:sz w:val="20"/>
        </w:rPr>
        <w:t>(</w:t>
      </w:r>
      <w:r w:rsidR="0029746E" w:rsidRPr="0029746E">
        <w:rPr>
          <w:sz w:val="20"/>
        </w:rPr>
        <w:t>Observatoire de la santé et du social, 2018 :</w:t>
      </w:r>
      <w:r w:rsidR="000648A3" w:rsidRPr="0029746E">
        <w:rPr>
          <w:sz w:val="20"/>
        </w:rPr>
        <w:t xml:space="preserve"> 45)</w:t>
      </w:r>
    </w:p>
    <w:p w14:paraId="105A4C0B" w14:textId="01FC17D1" w:rsidR="00F7613D" w:rsidRPr="00F7613D" w:rsidRDefault="000648A3" w:rsidP="00C95A2D">
      <w:pPr>
        <w:spacing w:line="276" w:lineRule="auto"/>
      </w:pPr>
      <w:r>
        <w:t xml:space="preserve">Les deux rapports </w:t>
      </w:r>
      <w:r w:rsidR="00F7613D" w:rsidRPr="00F7613D">
        <w:t xml:space="preserve">fournissent </w:t>
      </w:r>
      <w:r>
        <w:t xml:space="preserve">donc </w:t>
      </w:r>
      <w:r w:rsidR="00F7613D" w:rsidRPr="00F7613D">
        <w:t>un ordre de grandeur approximatif, qui donne une idée de l’ampleur du phénomène, sans prétendre à l’exactitude.</w:t>
      </w:r>
      <w:r>
        <w:t xml:space="preserve"> En matière de recherche quantitative, </w:t>
      </w:r>
      <w:r w:rsidR="00003210">
        <w:t>la suite de la recherche initiée à l’échelle régionale par l’IWEPS et l</w:t>
      </w:r>
      <w:r w:rsidR="0029746E">
        <w:t>’Observatoire bruxellois</w:t>
      </w:r>
      <w:r w:rsidR="00003210">
        <w:t xml:space="preserve"> semble dépendre à présent de la volonté politique d’organiser une récolte centralisée et systématique des données en matière d’expulsion</w:t>
      </w:r>
      <w:r w:rsidR="00624A79">
        <w:t>s</w:t>
      </w:r>
      <w:r w:rsidR="00003210">
        <w:t>.</w:t>
      </w:r>
    </w:p>
    <w:p w14:paraId="6BDB08DD" w14:textId="1C93B332" w:rsidR="0024342B" w:rsidRDefault="00AF46A0" w:rsidP="001229BC">
      <w:pPr>
        <w:pStyle w:val="Titre2"/>
        <w:numPr>
          <w:ilvl w:val="1"/>
          <w:numId w:val="6"/>
        </w:numPr>
        <w:spacing w:line="276" w:lineRule="auto"/>
      </w:pPr>
      <w:bookmarkStart w:id="15" w:name="_Toc152687198"/>
      <w:r>
        <w:t>Q</w:t>
      </w:r>
      <w:r w:rsidR="00F90415">
        <w:t>u’est</w:t>
      </w:r>
      <w:r w:rsidR="00EB1B42">
        <w:t>-</w:t>
      </w:r>
      <w:r w:rsidR="00F90415">
        <w:t xml:space="preserve">ce qu’une procédure d’expulsion </w:t>
      </w:r>
      <w:r w:rsidR="00003210">
        <w:t>judiciaire</w:t>
      </w:r>
      <w:r w:rsidR="00624A79">
        <w:t> : précisions terminologiques</w:t>
      </w:r>
      <w:bookmarkEnd w:id="15"/>
      <w:r w:rsidR="00624A79">
        <w:t xml:space="preserve"> </w:t>
      </w:r>
    </w:p>
    <w:p w14:paraId="3C5566BC" w14:textId="2239D68A" w:rsidR="001A0F87" w:rsidRPr="00003210" w:rsidRDefault="00733961" w:rsidP="00E505A5">
      <w:pPr>
        <w:spacing w:line="276" w:lineRule="auto"/>
      </w:pPr>
      <w:r w:rsidRPr="00003210">
        <w:t xml:space="preserve">Ce qui nous occupe </w:t>
      </w:r>
      <w:r w:rsidR="00AD52E3" w:rsidRPr="00003210">
        <w:t xml:space="preserve">ici </w:t>
      </w:r>
      <w:r w:rsidRPr="00003210">
        <w:t>sont les expulsions judiciaires, qui oppose un bailleur et un locataire pris en défaut</w:t>
      </w:r>
      <w:r w:rsidR="00AB6CEB" w:rsidRPr="00003210">
        <w:t xml:space="preserve">. </w:t>
      </w:r>
      <w:r w:rsidR="00003210" w:rsidRPr="00003210">
        <w:t xml:space="preserve">Elles visent </w:t>
      </w:r>
      <w:r w:rsidR="00003210">
        <w:t>la restitution de leur bien aux propriétaires qui ont contracté un bail privé avec les locataires</w:t>
      </w:r>
      <w:r w:rsidR="00003210" w:rsidRPr="00003210">
        <w:t xml:space="preserve"> à travers le recours à un tiers, le juge de paix. </w:t>
      </w:r>
    </w:p>
    <w:p w14:paraId="22EB0935" w14:textId="2C7CDE89" w:rsidR="00003210" w:rsidRDefault="00003210" w:rsidP="00003210">
      <w:pPr>
        <w:spacing w:line="276" w:lineRule="auto"/>
      </w:pPr>
      <w:r>
        <w:t xml:space="preserve">Comme toute procédure, les expulsions locatives sont constituées de </w:t>
      </w:r>
      <w:r w:rsidRPr="0057277B">
        <w:t>différentes étapes, chacune d’elles</w:t>
      </w:r>
      <w:r>
        <w:t xml:space="preserve"> exige</w:t>
      </w:r>
      <w:r w:rsidR="006A0936">
        <w:t>a</w:t>
      </w:r>
      <w:r>
        <w:t xml:space="preserve">nt l’intervention de différents </w:t>
      </w:r>
      <w:r w:rsidRPr="0057277B">
        <w:t>acteurs</w:t>
      </w:r>
      <w:r w:rsidR="00AF46A0">
        <w:t>,</w:t>
      </w:r>
      <w:r w:rsidRPr="0057277B">
        <w:t xml:space="preserve"> </w:t>
      </w:r>
      <w:r w:rsidR="00AF46A0">
        <w:t>chacun avec leurs propres intérêts, visions et ressources. Or t</w:t>
      </w:r>
      <w:r w:rsidR="00AF46A0" w:rsidRPr="00003210">
        <w:t xml:space="preserve">outes les procédures d’expulsion ne mènent pas forcément à l’expulsion effective du ménage. </w:t>
      </w:r>
      <w:r w:rsidR="00AF46A0">
        <w:t xml:space="preserve">Il arrive que la procédure soit stoppée en cours de route, par décision du juge, suite à un accord à l’amiable entre le propriétaire et le locataire, </w:t>
      </w:r>
      <w:r w:rsidR="006A0936">
        <w:t>suite au</w:t>
      </w:r>
      <w:r w:rsidR="00AF46A0">
        <w:t xml:space="preserve"> remboursement de la dette locative, ou </w:t>
      </w:r>
      <w:r w:rsidR="006A0936">
        <w:t>au</w:t>
      </w:r>
      <w:r w:rsidR="00AF46A0">
        <w:t xml:space="preserve"> déménagement du locataire avant la signification du jugement d’expulsion</w:t>
      </w:r>
      <w:r w:rsidR="006A0936">
        <w:t>.</w:t>
      </w:r>
    </w:p>
    <w:p w14:paraId="58E771C1" w14:textId="1F99C51E" w:rsidR="00271C4D" w:rsidRDefault="00AF46A0" w:rsidP="00003210">
      <w:pPr>
        <w:spacing w:line="276" w:lineRule="auto"/>
      </w:pPr>
      <w:r>
        <w:t>Chacune de ces étapes mérite d’être étudié</w:t>
      </w:r>
      <w:r w:rsidR="00271C4D">
        <w:t>e</w:t>
      </w:r>
      <w:r>
        <w:t xml:space="preserve"> – d’un point de vue quantitatif, bien sûr</w:t>
      </w:r>
      <w:r w:rsidR="00271C4D">
        <w:t xml:space="preserve"> (combien de requête</w:t>
      </w:r>
      <w:r w:rsidR="006A0936">
        <w:t>s</w:t>
      </w:r>
      <w:r w:rsidR="00271C4D">
        <w:t xml:space="preserve"> d’expulsion initiée</w:t>
      </w:r>
      <w:r w:rsidR="006A0936">
        <w:t>s</w:t>
      </w:r>
      <w:r w:rsidR="00271C4D">
        <w:t>, combien aboutissent ?)</w:t>
      </w:r>
      <w:r>
        <w:t xml:space="preserve"> – mais aussi d’un point de vue qualitatif, pour comprendre les leviers ou </w:t>
      </w:r>
      <w:r w:rsidRPr="00AF46A0">
        <w:rPr>
          <w:i/>
        </w:rPr>
        <w:t>supports</w:t>
      </w:r>
      <w:r>
        <w:rPr>
          <w:rStyle w:val="Appelnotedebasdep"/>
          <w:i/>
        </w:rPr>
        <w:footnoteReference w:id="14"/>
      </w:r>
      <w:r>
        <w:t xml:space="preserve"> que chacun des acteurs mobilisent,</w:t>
      </w:r>
      <w:r w:rsidR="00271C4D">
        <w:t xml:space="preserve"> principalement les locataires </w:t>
      </w:r>
      <w:r w:rsidR="00271C4D">
        <w:lastRenderedPageBreak/>
        <w:t xml:space="preserve">mais pas uniquement, </w:t>
      </w:r>
      <w:r w:rsidR="00A47A61">
        <w:t xml:space="preserve">pour donner </w:t>
      </w:r>
      <w:r w:rsidR="00271C4D">
        <w:t>une orientation particulière à la suite de la procédure</w:t>
      </w:r>
      <w:r w:rsidR="006A0936">
        <w:t xml:space="preserve"> – pour</w:t>
      </w:r>
      <w:r w:rsidR="00304BB9">
        <w:t xml:space="preserve"> </w:t>
      </w:r>
      <w:r w:rsidR="00271C4D">
        <w:t xml:space="preserve">comprendre également ce qui fait que d’autres locataires n’auront pas eu les moyens de freiner la procédure et se voient plongés dans une situation de grande précarité à la suite d’une expulsion. À ce sujet, le rapport de </w:t>
      </w:r>
      <w:r w:rsidR="00BF562B">
        <w:t>l’Observatoire de la santé et du social</w:t>
      </w:r>
      <w:r w:rsidR="00271C4D">
        <w:t xml:space="preserve"> indique : </w:t>
      </w:r>
    </w:p>
    <w:p w14:paraId="71C8AE8F" w14:textId="7163F35F" w:rsidR="00271C4D" w:rsidRPr="00271C4D" w:rsidRDefault="00271C4D" w:rsidP="00271C4D">
      <w:pPr>
        <w:spacing w:line="276" w:lineRule="auto"/>
        <w:ind w:left="708"/>
        <w:rPr>
          <w:sz w:val="20"/>
        </w:rPr>
      </w:pPr>
      <w:r w:rsidRPr="00271C4D">
        <w:rPr>
          <w:sz w:val="20"/>
        </w:rPr>
        <w:t xml:space="preserve">« Chacune de ces étapes sont potentiellement la conséquence d’une situation de précarité, et à la fois, une cause de précarisation accrue et un facteur générateur d’angoisse voire de traumatisme pour les personnes concernées. Il faut souligner également que, d’après les témoignages, au fur et à mesure des étapes de la </w:t>
      </w:r>
      <w:r w:rsidRPr="00883896">
        <w:rPr>
          <w:sz w:val="20"/>
        </w:rPr>
        <w:t>procédure d’expulsion, les personnes concernées présentent un profil toujours plus précaire. » (</w:t>
      </w:r>
      <w:r w:rsidR="00883896" w:rsidRPr="00883896">
        <w:rPr>
          <w:sz w:val="20"/>
        </w:rPr>
        <w:t xml:space="preserve">Observatoire de la santé et du social, 2018 : </w:t>
      </w:r>
      <w:r w:rsidRPr="00883896">
        <w:rPr>
          <w:sz w:val="20"/>
        </w:rPr>
        <w:t>43)</w:t>
      </w:r>
    </w:p>
    <w:p w14:paraId="577C0431" w14:textId="4999D12A" w:rsidR="00003210" w:rsidRDefault="00271C4D" w:rsidP="00003210">
      <w:pPr>
        <w:spacing w:line="276" w:lineRule="auto"/>
      </w:pPr>
      <w:r>
        <w:t xml:space="preserve">Comment comprendre que certaines procédures aboutissent et d’autres pas ? </w:t>
      </w:r>
      <w:r w:rsidR="00E905F8">
        <w:t>Que ce passe-</w:t>
      </w:r>
      <w:proofErr w:type="spellStart"/>
      <w:r w:rsidR="00E905F8">
        <w:t>t’il</w:t>
      </w:r>
      <w:proofErr w:type="spellEnd"/>
      <w:r w:rsidR="00E905F8">
        <w:t xml:space="preserve"> à chacune de ses étapes ? </w:t>
      </w:r>
    </w:p>
    <w:p w14:paraId="51C9A509" w14:textId="3352FC29" w:rsidR="00733961" w:rsidRDefault="00724D99" w:rsidP="00E505A5">
      <w:pPr>
        <w:spacing w:line="276" w:lineRule="auto"/>
      </w:pPr>
      <w:r>
        <w:t>Cette procédure est résumée et schématisée ici, par le RBDH :</w:t>
      </w:r>
    </w:p>
    <w:p w14:paraId="3FCD36B1" w14:textId="12033FEF" w:rsidR="00733961" w:rsidRDefault="00733961" w:rsidP="00E505A5">
      <w:pPr>
        <w:spacing w:line="276" w:lineRule="auto"/>
      </w:pPr>
    </w:p>
    <w:p w14:paraId="3EB7F7C5" w14:textId="77777777" w:rsidR="00733961" w:rsidRDefault="00733961" w:rsidP="00E505A5">
      <w:pPr>
        <w:spacing w:line="276" w:lineRule="auto"/>
        <w:jc w:val="center"/>
      </w:pPr>
      <w:r>
        <w:rPr>
          <w:noProof/>
        </w:rPr>
        <w:drawing>
          <wp:inline distT="0" distB="0" distL="0" distR="0" wp14:anchorId="79C28AE8" wp14:editId="3757DC5E">
            <wp:extent cx="5760720" cy="3209544"/>
            <wp:effectExtent l="0" t="0" r="0" b="0"/>
            <wp:docPr id="2" name="Image 2" descr="https://miro.medium.com/max/1400/1*aI6EmF1ZkPVJYkE7IDm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max/1400/1*aI6EmF1ZkPVJYkE7IDmuL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209544"/>
                    </a:xfrm>
                    <a:prstGeom prst="rect">
                      <a:avLst/>
                    </a:prstGeom>
                    <a:noFill/>
                    <a:ln>
                      <a:noFill/>
                    </a:ln>
                  </pic:spPr>
                </pic:pic>
              </a:graphicData>
            </a:graphic>
          </wp:inline>
        </w:drawing>
      </w:r>
    </w:p>
    <w:p w14:paraId="32A927BE" w14:textId="0F9F2663" w:rsidR="00733961" w:rsidRPr="00C70814" w:rsidRDefault="00733961" w:rsidP="00E505A5">
      <w:pPr>
        <w:spacing w:line="276" w:lineRule="auto"/>
        <w:jc w:val="center"/>
        <w:rPr>
          <w:sz w:val="20"/>
        </w:rPr>
      </w:pPr>
      <w:r w:rsidRPr="00C70814">
        <w:rPr>
          <w:sz w:val="20"/>
        </w:rPr>
        <w:t>Procédure fixée dans le Code judiciaire, art. 1344 [</w:t>
      </w:r>
      <w:r w:rsidR="00772268" w:rsidRPr="00C70814">
        <w:rPr>
          <w:sz w:val="20"/>
        </w:rPr>
        <w:t xml:space="preserve">3 à </w:t>
      </w:r>
      <w:r w:rsidRPr="00C70814">
        <w:rPr>
          <w:sz w:val="20"/>
        </w:rPr>
        <w:t>6]</w:t>
      </w:r>
      <w:r w:rsidR="00437A58" w:rsidRPr="00C70814">
        <w:rPr>
          <w:sz w:val="20"/>
        </w:rPr>
        <w:t>. Schéma</w:t>
      </w:r>
      <w:r w:rsidRPr="00C70814">
        <w:rPr>
          <w:sz w:val="20"/>
        </w:rPr>
        <w:t xml:space="preserve"> issu de RBDH</w:t>
      </w:r>
      <w:r w:rsidR="00437A58" w:rsidRPr="00C70814">
        <w:rPr>
          <w:sz w:val="20"/>
        </w:rPr>
        <w:t xml:space="preserve">, </w:t>
      </w:r>
      <w:r w:rsidR="00304BB9" w:rsidRPr="00C70814">
        <w:rPr>
          <w:rFonts w:cs="Times New Roman"/>
          <w:i/>
          <w:shd w:val="clear" w:color="auto" w:fill="FFFFFF"/>
        </w:rPr>
        <w:t>Les expulsions locatives. Mieux vaut prévenir,</w:t>
      </w:r>
      <w:r w:rsidR="00304BB9" w:rsidRPr="00C70814">
        <w:rPr>
          <w:rFonts w:cs="Times New Roman"/>
          <w:shd w:val="clear" w:color="auto" w:fill="FFFFFF"/>
        </w:rPr>
        <w:t xml:space="preserve"> </w:t>
      </w:r>
      <w:r w:rsidR="00437A58" w:rsidRPr="00C70814">
        <w:rPr>
          <w:sz w:val="20"/>
        </w:rPr>
        <w:t>2018</w:t>
      </w:r>
      <w:r w:rsidR="00304BB9" w:rsidRPr="00C70814">
        <w:rPr>
          <w:sz w:val="20"/>
        </w:rPr>
        <w:t xml:space="preserve"> </w:t>
      </w:r>
      <w:r w:rsidR="00437A58" w:rsidRPr="00C70814">
        <w:rPr>
          <w:sz w:val="20"/>
        </w:rPr>
        <w:t>:</w:t>
      </w:r>
    </w:p>
    <w:p w14:paraId="683F34AF" w14:textId="343E3B5F" w:rsidR="00772268" w:rsidRDefault="00E905F8" w:rsidP="00E905F8">
      <w:pPr>
        <w:spacing w:line="276" w:lineRule="auto"/>
        <w:rPr>
          <w:sz w:val="20"/>
        </w:rPr>
      </w:pPr>
      <w:r w:rsidRPr="0057277B">
        <w:t xml:space="preserve">Pour faciliter la </w:t>
      </w:r>
      <w:r>
        <w:t>présentation de cette procédure</w:t>
      </w:r>
      <w:r w:rsidRPr="0057277B">
        <w:t xml:space="preserve">, je propose </w:t>
      </w:r>
      <w:r>
        <w:t>de dérouler chacune de ces étapes</w:t>
      </w:r>
      <w:r w:rsidRPr="0057277B">
        <w:t xml:space="preserve"> </w:t>
      </w:r>
      <w:r>
        <w:t xml:space="preserve">identifiées dans le schéma ci-dessus (RBDH) </w:t>
      </w:r>
      <w:r w:rsidRPr="0057277B">
        <w:t xml:space="preserve">en </w:t>
      </w:r>
      <w:r>
        <w:t>mettant la focal</w:t>
      </w:r>
      <w:r w:rsidR="00C70814">
        <w:t>e</w:t>
      </w:r>
      <w:r>
        <w:t xml:space="preserve"> sur chacun des acteurs qui jouent un rôle, et charrie avec lui des attentes, des intérêts et/ou des missions spécifiques.</w:t>
      </w:r>
    </w:p>
    <w:p w14:paraId="61CA822C" w14:textId="0DBBD84A" w:rsidR="00844E99" w:rsidRDefault="00844E99" w:rsidP="00E505A5">
      <w:pPr>
        <w:pStyle w:val="Titre3"/>
        <w:spacing w:line="276" w:lineRule="auto"/>
        <w:jc w:val="center"/>
      </w:pPr>
      <w:bookmarkStart w:id="16" w:name="_Toc152687199"/>
      <w:r>
        <w:t>La requête</w:t>
      </w:r>
      <w:bookmarkEnd w:id="16"/>
    </w:p>
    <w:p w14:paraId="1E66826F" w14:textId="5903E30B" w:rsidR="00733961" w:rsidRDefault="00D04965" w:rsidP="00E505A5">
      <w:pPr>
        <w:pStyle w:val="Titre4"/>
        <w:spacing w:line="276" w:lineRule="auto"/>
      </w:pPr>
      <w:r>
        <w:t xml:space="preserve">Le </w:t>
      </w:r>
      <w:r w:rsidR="00733961">
        <w:t>Bailleur</w:t>
      </w:r>
    </w:p>
    <w:p w14:paraId="5DA6B111" w14:textId="0DA5F933" w:rsidR="00733961" w:rsidRDefault="00484D30" w:rsidP="00E505A5">
      <w:pPr>
        <w:spacing w:line="276" w:lineRule="auto"/>
      </w:pPr>
      <w:r>
        <w:t xml:space="preserve">Tout conflit qui oppose bailleur et locataire ne mène pas forcément à une procédure d’expulsion. Pour qu’une telle procédure soit lancée, il faut que le bailleur </w:t>
      </w:r>
      <w:r w:rsidR="005C0B4B">
        <w:t xml:space="preserve">(ou le bailleur et le locataire dans le cadre d’une requête conjointe) </w:t>
      </w:r>
      <w:r>
        <w:t xml:space="preserve">sollicite </w:t>
      </w:r>
      <w:r w:rsidR="00733961">
        <w:t xml:space="preserve">le juge de paix </w:t>
      </w:r>
      <w:r w:rsidR="00730339">
        <w:t xml:space="preserve">responsable du territoire </w:t>
      </w:r>
      <w:r w:rsidR="00733961">
        <w:t xml:space="preserve">de la commune où est localisé le </w:t>
      </w:r>
      <w:r w:rsidR="00733961">
        <w:lastRenderedPageBreak/>
        <w:t>bien en question</w:t>
      </w:r>
      <w:r w:rsidR="005C0B4B">
        <w:rPr>
          <w:rStyle w:val="Appelnotedebasdep"/>
        </w:rPr>
        <w:footnoteReference w:id="15"/>
      </w:r>
      <w:r w:rsidR="00733961">
        <w:t xml:space="preserve">. </w:t>
      </w:r>
      <w:r>
        <w:t xml:space="preserve">Le bailleur peut introduire sa demande de deux manières : soit par requête – simple </w:t>
      </w:r>
      <w:r w:rsidRPr="00484D30">
        <w:t>écrit recommandé</w:t>
      </w:r>
      <w:r>
        <w:t xml:space="preserve"> envoyé au locataire</w:t>
      </w:r>
      <w:r w:rsidR="002C3727">
        <w:t> ;</w:t>
      </w:r>
      <w:r>
        <w:t xml:space="preserve"> soit par citation – remise</w:t>
      </w:r>
      <w:r w:rsidRPr="00484D30">
        <w:t xml:space="preserve"> par l</w:t>
      </w:r>
      <w:r w:rsidR="002C3727">
        <w:t>’</w:t>
      </w:r>
      <w:r w:rsidRPr="00484D30">
        <w:t xml:space="preserve">huissier en mains propres </w:t>
      </w:r>
      <w:r>
        <w:t xml:space="preserve">de la citation </w:t>
      </w:r>
      <w:r w:rsidRPr="00484D30">
        <w:t xml:space="preserve">au locataire, doublée </w:t>
      </w:r>
      <w:r w:rsidR="002C3727">
        <w:t>si nécessaire</w:t>
      </w:r>
      <w:r w:rsidRPr="00484D30">
        <w:t>, d’une explication orale</w:t>
      </w:r>
      <w:r>
        <w:rPr>
          <w:rStyle w:val="Appelnotedebasdep"/>
        </w:rPr>
        <w:t xml:space="preserve"> </w:t>
      </w:r>
      <w:r>
        <w:rPr>
          <w:rStyle w:val="Appelnotedebasdep"/>
        </w:rPr>
        <w:footnoteReference w:id="16"/>
      </w:r>
      <w:r>
        <w:t xml:space="preserve">. </w:t>
      </w:r>
    </w:p>
    <w:p w14:paraId="5EE3C3B9" w14:textId="77777777" w:rsidR="00733961" w:rsidRDefault="00733961" w:rsidP="00E505A5">
      <w:pPr>
        <w:spacing w:line="276" w:lineRule="auto"/>
      </w:pPr>
      <w:r>
        <w:t xml:space="preserve">Il existe deux raisons valables pour qu’un bailleur </w:t>
      </w:r>
      <w:r w:rsidRPr="00FC3497">
        <w:t xml:space="preserve">demande au juge de paix </w:t>
      </w:r>
      <w:r>
        <w:t xml:space="preserve">l’expulsion du locataire </w:t>
      </w:r>
      <w:r w:rsidRPr="00FC3497">
        <w:t>:</w:t>
      </w:r>
    </w:p>
    <w:p w14:paraId="62D87549" w14:textId="77777777" w:rsidR="00733961" w:rsidRDefault="00733961" w:rsidP="001229BC">
      <w:pPr>
        <w:pStyle w:val="Paragraphedeliste"/>
        <w:numPr>
          <w:ilvl w:val="0"/>
          <w:numId w:val="3"/>
        </w:numPr>
        <w:spacing w:line="276" w:lineRule="auto"/>
      </w:pPr>
      <w:r w:rsidRPr="00FC3497">
        <w:t xml:space="preserve">Soit </w:t>
      </w:r>
      <w:r>
        <w:t>le bailleur souhaite résoudre le bail suite à un « </w:t>
      </w:r>
      <w:r w:rsidRPr="00FC3497">
        <w:t>manquement contractuel grave</w:t>
      </w:r>
      <w:r>
        <w:t xml:space="preserve"> » de la part du locataire ; </w:t>
      </w:r>
    </w:p>
    <w:p w14:paraId="25184CA2" w14:textId="77777777" w:rsidR="00733961" w:rsidRDefault="00733961" w:rsidP="001229BC">
      <w:pPr>
        <w:pStyle w:val="Paragraphedeliste"/>
        <w:numPr>
          <w:ilvl w:val="0"/>
          <w:numId w:val="3"/>
        </w:numPr>
        <w:spacing w:line="276" w:lineRule="auto"/>
      </w:pPr>
      <w:r w:rsidRPr="00FC3497">
        <w:t xml:space="preserve">Soit </w:t>
      </w:r>
      <w:r>
        <w:t xml:space="preserve">parce que le bail est arrivé à terme, </w:t>
      </w:r>
      <w:r w:rsidRPr="00FC3497">
        <w:t>sans départ volontaire du locataire</w:t>
      </w:r>
      <w:r>
        <w:t>.</w:t>
      </w:r>
    </w:p>
    <w:p w14:paraId="3040B7E5" w14:textId="12A1807B" w:rsidR="00733961" w:rsidRDefault="00BA0695" w:rsidP="00E505A5">
      <w:pPr>
        <w:spacing w:line="276" w:lineRule="auto"/>
      </w:pPr>
      <w:r>
        <w:t>L</w:t>
      </w:r>
      <w:r w:rsidR="00733961" w:rsidRPr="00045685">
        <w:t xml:space="preserve">e non-respect </w:t>
      </w:r>
      <w:r w:rsidR="00733961">
        <w:rPr>
          <w:i/>
        </w:rPr>
        <w:t xml:space="preserve">grave </w:t>
      </w:r>
      <w:r w:rsidR="00733961" w:rsidRPr="00045685">
        <w:t>des obligations du locataire à l’origine d’une demande de résolution du bail</w:t>
      </w:r>
      <w:r>
        <w:t xml:space="preserve"> peut avoir</w:t>
      </w:r>
      <w:r w:rsidR="00733961" w:rsidRPr="00045685">
        <w:t xml:space="preserve"> </w:t>
      </w:r>
      <w:r w:rsidR="00733961">
        <w:t>différents motifs :</w:t>
      </w:r>
    </w:p>
    <w:p w14:paraId="3DDBAC40" w14:textId="1A9653F8" w:rsidR="00733961" w:rsidRDefault="00815E4F" w:rsidP="001229BC">
      <w:pPr>
        <w:pStyle w:val="Paragraphedeliste"/>
        <w:numPr>
          <w:ilvl w:val="0"/>
          <w:numId w:val="4"/>
        </w:numPr>
        <w:spacing w:line="276" w:lineRule="auto"/>
      </w:pPr>
      <w:r>
        <w:t>Soit</w:t>
      </w:r>
      <w:r w:rsidR="00733961" w:rsidRPr="00045685">
        <w:t xml:space="preserve"> le non-paiement répété du loyer</w:t>
      </w:r>
      <w:r>
        <w:t> ;</w:t>
      </w:r>
    </w:p>
    <w:p w14:paraId="2F6BE7D8" w14:textId="40642D96" w:rsidR="00733961" w:rsidRDefault="00815E4F" w:rsidP="001229BC">
      <w:pPr>
        <w:pStyle w:val="Paragraphedeliste"/>
        <w:numPr>
          <w:ilvl w:val="0"/>
          <w:numId w:val="4"/>
        </w:numPr>
        <w:spacing w:line="276" w:lineRule="auto"/>
      </w:pPr>
      <w:r>
        <w:t xml:space="preserve">Soit le locataire est en règle de loyer mais il </w:t>
      </w:r>
      <w:r w:rsidR="00733961">
        <w:t xml:space="preserve">n’occupe pas son bien en « bon père de famille » : </w:t>
      </w:r>
      <w:r w:rsidR="00733961" w:rsidRPr="00045685">
        <w:t>dégradation des lieux, absence d’entretien du logement (pas d’entretien des appareils de chauffe, refus de prendre une assurance incendie ou absence de preuve</w:t>
      </w:r>
      <w:r w:rsidR="00BD0150">
        <w:t>, etc.</w:t>
      </w:r>
      <w:r w:rsidR="00733961" w:rsidRPr="00045685">
        <w:t xml:space="preserve">), nombre d’habitants trop élevé par rapport à la capacité et au type d’hébergement, provocation de graves troubles de voisinage (agression des voisins de palier, usage de drogue </w:t>
      </w:r>
      <w:r w:rsidR="00BD0150">
        <w:t>ou</w:t>
      </w:r>
      <w:r w:rsidR="00733961" w:rsidRPr="00045685">
        <w:t xml:space="preserve"> d’alcool, visites incessantes et bruyantes, tapage nocturne à répétition), présence d’animaux domestiques prohibés dans le bail, sous</w:t>
      </w:r>
      <w:r w:rsidR="00733961">
        <w:t>-</w:t>
      </w:r>
      <w:r w:rsidR="00733961" w:rsidRPr="00045685">
        <w:t xml:space="preserve">location à des personnes inconnues et sans accord du propriétaire, </w:t>
      </w:r>
      <w:r w:rsidR="00BD0150">
        <w:t>etc.</w:t>
      </w:r>
    </w:p>
    <w:p w14:paraId="59AA2614" w14:textId="7A655503" w:rsidR="00733961" w:rsidRDefault="00815E4F" w:rsidP="00E505A5">
      <w:pPr>
        <w:spacing w:line="276" w:lineRule="auto"/>
      </w:pPr>
      <w:r>
        <w:t xml:space="preserve">Seuls ces deux cas justifient de </w:t>
      </w:r>
      <w:r w:rsidR="00733961">
        <w:t xml:space="preserve">solliciter </w:t>
      </w:r>
      <w:r>
        <w:t>le</w:t>
      </w:r>
      <w:r w:rsidR="00733961">
        <w:t xml:space="preserve"> juge de paix pour que le locataire quitte les lieux.</w:t>
      </w:r>
    </w:p>
    <w:p w14:paraId="1C7B54E5" w14:textId="7ECCEC91" w:rsidR="00844E99" w:rsidRDefault="00844E99" w:rsidP="00E505A5">
      <w:pPr>
        <w:pStyle w:val="Titre3"/>
        <w:spacing w:line="276" w:lineRule="auto"/>
        <w:jc w:val="center"/>
      </w:pPr>
      <w:bookmarkStart w:id="17" w:name="_Toc152687200"/>
      <w:r>
        <w:t>L’audience</w:t>
      </w:r>
      <w:bookmarkEnd w:id="17"/>
    </w:p>
    <w:p w14:paraId="3714CB97" w14:textId="77777777" w:rsidR="00733961" w:rsidRDefault="00733961" w:rsidP="00E505A5">
      <w:pPr>
        <w:pStyle w:val="Titre4"/>
        <w:spacing w:line="276" w:lineRule="auto"/>
      </w:pPr>
      <w:r>
        <w:t>Le locataire</w:t>
      </w:r>
    </w:p>
    <w:p w14:paraId="46C41115" w14:textId="599867CE" w:rsidR="00733961" w:rsidRDefault="00B45A49" w:rsidP="00E505A5">
      <w:pPr>
        <w:spacing w:line="276" w:lineRule="auto"/>
      </w:pPr>
      <w:r>
        <w:t xml:space="preserve">Une fois que le locataire est convoqué devant le juge pour un contentieux d’expulsion, il faut encore qu’il se présente à l’audience. </w:t>
      </w:r>
      <w:r w:rsidR="005C0B4B">
        <w:t>L</w:t>
      </w:r>
      <w:r w:rsidR="00733961">
        <w:t xml:space="preserve">’absence du locataire </w:t>
      </w:r>
      <w:r w:rsidR="00BD0150">
        <w:t>a</w:t>
      </w:r>
      <w:r w:rsidR="00733961">
        <w:t>mène</w:t>
      </w:r>
      <w:r w:rsidR="005C0B4B">
        <w:t xml:space="preserve"> en effet</w:t>
      </w:r>
      <w:r w:rsidR="00733961">
        <w:t xml:space="preserve"> le juge à statuer contre les intérêts </w:t>
      </w:r>
      <w:r>
        <w:t>de ce dernier</w:t>
      </w:r>
      <w:r w:rsidR="00733961">
        <w:t>, à l’avantage du propriétaire : l</w:t>
      </w:r>
      <w:r w:rsidR="00733961" w:rsidRPr="00E25C99">
        <w:t>orsqu’une personne est convoquée devant le Juge de Paix en vue de son expulsion et qu’elle ne se rend pas à l’audience, elle est condamnée «</w:t>
      </w:r>
      <w:r>
        <w:t xml:space="preserve"> </w:t>
      </w:r>
      <w:r w:rsidR="00733961" w:rsidRPr="00E25C99">
        <w:t>par défaut</w:t>
      </w:r>
      <w:r>
        <w:t xml:space="preserve"> </w:t>
      </w:r>
      <w:r w:rsidR="00733961" w:rsidRPr="00E25C99">
        <w:t>»</w:t>
      </w:r>
      <w:r w:rsidR="00733961">
        <w:t>.</w:t>
      </w:r>
      <w:r w:rsidR="00733961" w:rsidRPr="00574FFD">
        <w:t xml:space="preserve"> </w:t>
      </w:r>
    </w:p>
    <w:p w14:paraId="116CB3BA" w14:textId="35D0F06B" w:rsidR="00844E99" w:rsidRDefault="00B45A49" w:rsidP="00E505A5">
      <w:pPr>
        <w:spacing w:line="276" w:lineRule="auto"/>
      </w:pPr>
      <w:r>
        <w:t>Pourtant</w:t>
      </w:r>
      <w:r w:rsidR="00844E99">
        <w:t>, dans la majorité des cas, l</w:t>
      </w:r>
      <w:r w:rsidR="00733961">
        <w:t xml:space="preserve">es acteurs de terrains </w:t>
      </w:r>
      <w:r w:rsidR="00844E99">
        <w:t xml:space="preserve">constatent l’absence </w:t>
      </w:r>
      <w:r w:rsidR="00733961">
        <w:t>des locataires lors d</w:t>
      </w:r>
      <w:r w:rsidR="00844E99">
        <w:t xml:space="preserve">es </w:t>
      </w:r>
      <w:r w:rsidR="00733961">
        <w:t xml:space="preserve">audiences. En 2018, le RDBH menait une étude sur les expulsions locatives dans laquelle il était indiqué : </w:t>
      </w:r>
    </w:p>
    <w:p w14:paraId="6AD020C7" w14:textId="510A8456" w:rsidR="00733961" w:rsidRPr="00844E99" w:rsidRDefault="00733961" w:rsidP="00E505A5">
      <w:pPr>
        <w:spacing w:line="276" w:lineRule="auto"/>
        <w:ind w:left="708"/>
        <w:rPr>
          <w:sz w:val="20"/>
        </w:rPr>
      </w:pPr>
      <w:r w:rsidRPr="00844E99">
        <w:rPr>
          <w:sz w:val="20"/>
        </w:rPr>
        <w:t>«</w:t>
      </w:r>
      <w:r w:rsidR="005C0B4B" w:rsidRPr="00844E99">
        <w:rPr>
          <w:sz w:val="20"/>
        </w:rPr>
        <w:t xml:space="preserve"> </w:t>
      </w:r>
      <w:r w:rsidRPr="00844E99">
        <w:rPr>
          <w:sz w:val="20"/>
        </w:rPr>
        <w:t xml:space="preserve">Une fois sur deux, le locataire ne se présente pas à l’audience. Ce constat, posé par le Juge de paix de Molenbeek, est confirmé par tous les acteurs rencontrés. Ils identifient les principales raisons de ces absences : des locataires qui refusent de voir les réalités et attendent le dernier moment pour réagir ; d’autres qui n’attendent rien de l’audience, qui craignent une justice perçue comme toujours favorable aux bailleurs ; des courriers, plis judiciaires et recommandés qui n’aboutissent jamais ou trop tard entre les mains de leur destinataire ; un langage juridique mal compris … </w:t>
      </w:r>
      <w:r w:rsidR="00BD0150">
        <w:rPr>
          <w:sz w:val="20"/>
        </w:rPr>
        <w:t>D</w:t>
      </w:r>
      <w:r w:rsidRPr="00844E99">
        <w:rPr>
          <w:sz w:val="20"/>
        </w:rPr>
        <w:t>es locataires qui s’abstiennent donc, à tort, de se présenter à l’audience. À tort car tout n’est pas toujours joué. Le juge peut être sensible aux arguments apportés, il peut dégager un compromis, il peut retarder la date d’un départ »</w:t>
      </w:r>
      <w:r w:rsidR="009113D5">
        <w:rPr>
          <w:sz w:val="20"/>
        </w:rPr>
        <w:t xml:space="preserve"> (RBDH, 2018 : 7-8)</w:t>
      </w:r>
      <w:r w:rsidRPr="00844E99">
        <w:rPr>
          <w:sz w:val="20"/>
        </w:rPr>
        <w:t xml:space="preserve"> </w:t>
      </w:r>
    </w:p>
    <w:p w14:paraId="4D865D71" w14:textId="1C13F8FE" w:rsidR="00733961" w:rsidRDefault="00733961" w:rsidP="00E505A5">
      <w:pPr>
        <w:spacing w:line="276" w:lineRule="auto"/>
      </w:pPr>
      <w:r>
        <w:t>L</w:t>
      </w:r>
      <w:r w:rsidRPr="00574FFD">
        <w:t>’IW</w:t>
      </w:r>
      <w:r>
        <w:t>E</w:t>
      </w:r>
      <w:r w:rsidRPr="00574FFD">
        <w:t>PS mentionne également – pour la Région wallonne – que 68 % des jugements comprenant une condamnation à être expulsé ont été rendus par défaut</w:t>
      </w:r>
      <w:r w:rsidR="00BD0150">
        <w:t>. L</w:t>
      </w:r>
      <w:r w:rsidRPr="00574FFD">
        <w:t xml:space="preserve">es </w:t>
      </w:r>
      <w:r w:rsidR="00844E99">
        <w:t>J</w:t>
      </w:r>
      <w:r w:rsidRPr="00574FFD">
        <w:t xml:space="preserve">uges de Paix </w:t>
      </w:r>
      <w:r w:rsidR="00844E99">
        <w:t xml:space="preserve">interrogés par </w:t>
      </w:r>
      <w:r w:rsidRPr="00574FFD">
        <w:t>l’IW</w:t>
      </w:r>
      <w:r>
        <w:t>E</w:t>
      </w:r>
      <w:r w:rsidRPr="00574FFD">
        <w:t xml:space="preserve">PS </w:t>
      </w:r>
      <w:r w:rsidR="00844E99">
        <w:lastRenderedPageBreak/>
        <w:t xml:space="preserve">indiquent </w:t>
      </w:r>
      <w:r w:rsidRPr="00574FFD">
        <w:t>que la</w:t>
      </w:r>
      <w:r w:rsidR="00866C16" w:rsidRPr="00574FFD">
        <w:t xml:space="preserve"> « peur</w:t>
      </w:r>
      <w:r w:rsidRPr="00574FFD">
        <w:t xml:space="preserve"> de la </w:t>
      </w:r>
      <w:r w:rsidR="00866C16" w:rsidRPr="00574FFD">
        <w:t>justice »</w:t>
      </w:r>
      <w:r w:rsidR="00311DBC">
        <w:t xml:space="preserve"> (IWEPS, 2015 : 66)</w:t>
      </w:r>
      <w:r w:rsidRPr="00574FFD">
        <w:t xml:space="preserve"> et</w:t>
      </w:r>
      <w:r w:rsidR="00866C16" w:rsidRPr="00574FFD">
        <w:t xml:space="preserve"> « l’intériorisation</w:t>
      </w:r>
      <w:r w:rsidRPr="00574FFD">
        <w:t xml:space="preserve"> des arguments du </w:t>
      </w:r>
      <w:r w:rsidR="00866C16" w:rsidRPr="00574FFD">
        <w:t>propriétaire »</w:t>
      </w:r>
      <w:r w:rsidRPr="00574FFD">
        <w:t xml:space="preserve"> sont souvent à l’origine de l’absence des locataires à l’audience</w:t>
      </w:r>
      <w:r w:rsidR="00311DBC">
        <w:t xml:space="preserve"> (IWEPS, 2015 : 119-120)</w:t>
      </w:r>
      <w:r w:rsidRPr="00574FFD">
        <w:t xml:space="preserve">. </w:t>
      </w:r>
    </w:p>
    <w:p w14:paraId="1B73E3BC" w14:textId="1C00A228" w:rsidR="00B45A49" w:rsidRDefault="00B45A49" w:rsidP="00E505A5">
      <w:pPr>
        <w:pStyle w:val="Titre3"/>
        <w:spacing w:line="276" w:lineRule="auto"/>
        <w:jc w:val="center"/>
      </w:pPr>
      <w:bookmarkStart w:id="18" w:name="_Toc152687201"/>
      <w:r>
        <w:t>Le jugement</w:t>
      </w:r>
      <w:bookmarkEnd w:id="18"/>
    </w:p>
    <w:p w14:paraId="511D8BA4" w14:textId="77777777" w:rsidR="00B45A49" w:rsidRDefault="00B45A49" w:rsidP="00E505A5">
      <w:pPr>
        <w:pStyle w:val="Titre4"/>
        <w:spacing w:line="276" w:lineRule="auto"/>
      </w:pPr>
      <w:r>
        <w:t xml:space="preserve">Le juge </w:t>
      </w:r>
    </w:p>
    <w:p w14:paraId="0D9CC753" w14:textId="0627A936" w:rsidR="00B45A49" w:rsidRDefault="00B45A49" w:rsidP="00E505A5">
      <w:pPr>
        <w:spacing w:line="276" w:lineRule="auto"/>
      </w:pPr>
      <w:r>
        <w:t xml:space="preserve">Le juge de paix est chargé de procéder à la « balance des intérêts des parties ». Pour cela, une très large marge d’appréciation lui est laissée. </w:t>
      </w:r>
      <w:r w:rsidRPr="00574FFD">
        <w:t>Ainsi,</w:t>
      </w:r>
      <w:r>
        <w:t xml:space="preserve"> pour ce qui est du non-paiement du loyer,</w:t>
      </w:r>
      <w:r w:rsidRPr="00574FFD">
        <w:t xml:space="preserve"> certains jugements ordonnent une expulsion pure et simple, </w:t>
      </w:r>
      <w:r>
        <w:t xml:space="preserve">quand </w:t>
      </w:r>
      <w:r w:rsidRPr="00574FFD">
        <w:t>d’autres</w:t>
      </w:r>
      <w:r>
        <w:t xml:space="preserve"> laissent au locataire le droit de se maintenir dans le logement à conditions que la dette locative soit remboursées dans les termes et délais qu’il aura fixé. Mais pour pouvoir obtenir </w:t>
      </w:r>
      <w:r w:rsidRPr="00574FFD">
        <w:t>de pareils termes et délais</w:t>
      </w:r>
      <w:r>
        <w:t xml:space="preserve">, la présence du locataire à l’audience est </w:t>
      </w:r>
      <w:r w:rsidRPr="005C0B4B">
        <w:rPr>
          <w:i/>
        </w:rPr>
        <w:t>impérieusement nécessaire</w:t>
      </w:r>
      <w:r>
        <w:t>.</w:t>
      </w:r>
      <w:r w:rsidR="00311DBC">
        <w:t xml:space="preserve"> </w:t>
      </w:r>
      <w:r>
        <w:t xml:space="preserve">Cela d’autant plus depuis </w:t>
      </w:r>
      <w:r w:rsidRPr="00574FFD">
        <w:t xml:space="preserve">l’entrée en vigueur, le 1er novembre 2015, de la Loi </w:t>
      </w:r>
      <w:proofErr w:type="spellStart"/>
      <w:r w:rsidRPr="00574FFD">
        <w:t>Pot Pourri</w:t>
      </w:r>
      <w:proofErr w:type="spellEnd"/>
      <w:r w:rsidRPr="00574FFD">
        <w:t xml:space="preserve"> </w:t>
      </w:r>
      <w:r w:rsidRPr="00B45A49">
        <w:t>I</w:t>
      </w:r>
      <w:r w:rsidRPr="00B45A49">
        <w:footnoteReference w:id="17"/>
      </w:r>
      <w:r w:rsidRPr="00B45A49">
        <w:t>,</w:t>
      </w:r>
      <w:r w:rsidRPr="00574FFD">
        <w:t xml:space="preserve"> modifiant le régime par défaut par l’introduction d’une «</w:t>
      </w:r>
      <w:r>
        <w:t xml:space="preserve"> </w:t>
      </w:r>
      <w:r w:rsidRPr="00574FFD">
        <w:t>conception minimaliste du pouvoir du juge</w:t>
      </w:r>
      <w:r>
        <w:t xml:space="preserve"> </w:t>
      </w:r>
      <w:r w:rsidRPr="00574FFD">
        <w:t>»</w:t>
      </w:r>
      <w:r>
        <w:t xml:space="preserve">. Avant la loi </w:t>
      </w:r>
      <w:proofErr w:type="spellStart"/>
      <w:r>
        <w:t>Pot Pourri</w:t>
      </w:r>
      <w:proofErr w:type="spellEnd"/>
      <w:r>
        <w:t xml:space="preserve"> I, la règle voulait que le défaut de présence soit considéré comme un mode de protestation de la part du locataire, un moyen </w:t>
      </w:r>
      <w:r w:rsidRPr="00B45A49">
        <w:t>présumé</w:t>
      </w:r>
      <w:r>
        <w:t xml:space="preserve"> de contester la demande du bailleur. Le rôle du Juge était alors de vérifier si la demande de la partie comparante (le bailleur) est « juste et bien vérifiée », et de soulever tous les arguments que la partie absente aurait logiquement et légalement pu opposer. Cette règle n’est désormais plus applicable. </w:t>
      </w:r>
      <w:r w:rsidRPr="00574FFD">
        <w:t xml:space="preserve">La </w:t>
      </w:r>
      <w:r>
        <w:t xml:space="preserve">Loi </w:t>
      </w:r>
      <w:proofErr w:type="spellStart"/>
      <w:r>
        <w:t>Pot Pourri</w:t>
      </w:r>
      <w:proofErr w:type="spellEnd"/>
      <w:r>
        <w:t xml:space="preserve"> I</w:t>
      </w:r>
      <w:r w:rsidRPr="00574FFD">
        <w:t xml:space="preserve"> fragilise incontestablement la protection du locataire absent à l’audience. </w:t>
      </w:r>
      <w:r>
        <w:t>Depuis cette loi, l</w:t>
      </w:r>
      <w:r w:rsidRPr="00574FFD">
        <w:t>e pouvoir du juge dans la protection des droits de la partie absente est extrêmement restreint</w:t>
      </w:r>
      <w:r>
        <w:t> :</w:t>
      </w:r>
      <w:r w:rsidRPr="00574FFD">
        <w:t xml:space="preserve"> </w:t>
      </w:r>
      <w:r>
        <w:t>le</w:t>
      </w:r>
      <w:r w:rsidRPr="00574FFD">
        <w:t xml:space="preserve"> nouvel article 806 du Code judiciaire prévoit que le juge doit faire droit aux demandes ou moyens de défense de la partie comparante</w:t>
      </w:r>
      <w:r>
        <w:t xml:space="preserve"> (en l’occurrence le bailleur) – </w:t>
      </w:r>
      <w:r w:rsidRPr="00574FFD">
        <w:t>sauf s’ils sont contraires à l’ordre public.</w:t>
      </w:r>
    </w:p>
    <w:p w14:paraId="42625087" w14:textId="75B146F3" w:rsidR="00866C16" w:rsidRDefault="00866C16" w:rsidP="00E505A5">
      <w:pPr>
        <w:spacing w:line="276" w:lineRule="auto"/>
      </w:pPr>
      <w:r>
        <w:t xml:space="preserve">Nous avons déjà passé en revue </w:t>
      </w:r>
      <w:r w:rsidR="00B45A49">
        <w:t>trois</w:t>
      </w:r>
      <w:r>
        <w:t xml:space="preserve"> étapes de la procédure, la requête</w:t>
      </w:r>
      <w:r w:rsidR="00B45A49">
        <w:t>,</w:t>
      </w:r>
      <w:r>
        <w:t xml:space="preserve"> l’audience,</w:t>
      </w:r>
      <w:r w:rsidR="00B45A49">
        <w:t xml:space="preserve"> le jugement</w:t>
      </w:r>
      <w:r>
        <w:t xml:space="preserve"> et avons rencontré trois acteurs : le propriétaire, le juge, le locataire.</w:t>
      </w:r>
      <w:r w:rsidR="00D674C6">
        <w:t xml:space="preserve"> Si ce processus est </w:t>
      </w:r>
      <w:r w:rsidR="00311DBC">
        <w:t>encadré</w:t>
      </w:r>
      <w:r w:rsidR="00D674C6">
        <w:t xml:space="preserve"> par un cadre juridique précis, une relative marge de manœuvre est laissée à chacun d’entre eux. Cette marge se distribue dans des proportions différentes pour chacun des acteurs et dépend dans une grande mesure du cadre social et juridique au sein duquel la procédure prend place – on le voit avec les transformations liées à l’entrée en vigueur de la loi </w:t>
      </w:r>
      <w:proofErr w:type="spellStart"/>
      <w:r w:rsidR="00D674C6">
        <w:t>Pot Pourri</w:t>
      </w:r>
      <w:proofErr w:type="spellEnd"/>
      <w:r w:rsidR="00D674C6">
        <w:t xml:space="preserve"> I. Elle laisse </w:t>
      </w:r>
      <w:r w:rsidR="00311DBC">
        <w:t>toutefois</w:t>
      </w:r>
      <w:r w:rsidR="00D674C6">
        <w:t xml:space="preserve"> suffisamment d’espace pour une certaine </w:t>
      </w:r>
      <w:r w:rsidR="00B45A49">
        <w:t>agentivité</w:t>
      </w:r>
      <w:r w:rsidR="00D674C6">
        <w:t> des acteurs, ce qui suscite une série de questions :</w:t>
      </w:r>
      <w:r w:rsidR="00830AF8">
        <w:t xml:space="preserve"> </w:t>
      </w:r>
    </w:p>
    <w:p w14:paraId="2A9846D2" w14:textId="05FE0A99" w:rsidR="00844E99" w:rsidRDefault="00844E99" w:rsidP="001229BC">
      <w:pPr>
        <w:pStyle w:val="Paragraphedeliste"/>
        <w:numPr>
          <w:ilvl w:val="0"/>
          <w:numId w:val="8"/>
        </w:numPr>
        <w:spacing w:line="276" w:lineRule="auto"/>
      </w:pPr>
      <w:r>
        <w:t>Les propriétaires</w:t>
      </w:r>
      <w:r w:rsidR="00E76863">
        <w:t> : si la loi indique qu’une demande d’expulsion peut être introduite en cas de dette locative, à quel niveau de dette le propriétaire considère</w:t>
      </w:r>
      <w:r w:rsidR="00311DBC">
        <w:t>-t-il</w:t>
      </w:r>
      <w:r w:rsidR="00E76863">
        <w:t xml:space="preserve"> qu’une expulsion </w:t>
      </w:r>
      <w:proofErr w:type="gramStart"/>
      <w:r w:rsidR="00E76863">
        <w:t>doit</w:t>
      </w:r>
      <w:proofErr w:type="gramEnd"/>
      <w:r w:rsidR="00E76863">
        <w:t xml:space="preserve"> avoir lieu ? Quelle est sa « marge de tolérance » ? Est-ce que cela se calcule en nombre de mois d’absence de paiement ou en montant de loyer ? L’expulsion peut aussi être demandée si le locataire ne s’occupe pas de son bien « en bon père de famille » - expression suffisamment floue pour donner lieu à un conflit de norme</w:t>
      </w:r>
      <w:r w:rsidR="00311DBC">
        <w:t>s</w:t>
      </w:r>
      <w:r w:rsidR="00E76863">
        <w:t xml:space="preserve"> entre propriétaires, locataires et juges de paix : qu’est-ce que signifie cette expression pour les propriétaires ? Comment mesurent-t ’ils la gestion du bien « en bon père de famille » ?</w:t>
      </w:r>
    </w:p>
    <w:p w14:paraId="02695EEE" w14:textId="5B12D31F" w:rsidR="00B45A49" w:rsidRDefault="00B45A49" w:rsidP="001229BC">
      <w:pPr>
        <w:pStyle w:val="Paragraphedeliste"/>
        <w:numPr>
          <w:ilvl w:val="0"/>
          <w:numId w:val="8"/>
        </w:numPr>
        <w:spacing w:line="276" w:lineRule="auto"/>
      </w:pPr>
      <w:r>
        <w:t>Les locataires</w:t>
      </w:r>
      <w:r w:rsidR="00D674C6">
        <w:t xml:space="preserve"> : c’est certainement pour eux que la « marge de manœuvre » est la plus réduite. Il leur reste cependant la possibilité de se présenter ou non à l’audience. Pour quels motifs ne s’y présentent-ils pas ? </w:t>
      </w:r>
      <w:r w:rsidR="00E76863">
        <w:t>Comment envisagent-ils leur présence à l’audience ? Sont-ils informés du risque qu’ils prennent en étant absent</w:t>
      </w:r>
      <w:r w:rsidR="00311DBC">
        <w:t>s</w:t>
      </w:r>
      <w:r w:rsidR="00E76863">
        <w:t xml:space="preserve"> ?</w:t>
      </w:r>
      <w:r w:rsidR="002135ED">
        <w:t xml:space="preserve"> Quand il</w:t>
      </w:r>
      <w:r w:rsidR="00311DBC">
        <w:t>s</w:t>
      </w:r>
      <w:r w:rsidR="002135ED">
        <w:t xml:space="preserve"> v</w:t>
      </w:r>
      <w:r w:rsidR="00311DBC">
        <w:t>ont</w:t>
      </w:r>
      <w:r w:rsidR="002135ED">
        <w:t xml:space="preserve"> à l’audience, comment se prépare</w:t>
      </w:r>
      <w:r w:rsidR="00311DBC">
        <w:t>nt</w:t>
      </w:r>
      <w:r w:rsidR="002135ED">
        <w:t>-t</w:t>
      </w:r>
      <w:r w:rsidR="00311DBC">
        <w:t>-</w:t>
      </w:r>
      <w:r w:rsidR="002135ED">
        <w:t>il</w:t>
      </w:r>
      <w:r w:rsidR="00311DBC">
        <w:t>s</w:t>
      </w:r>
      <w:r w:rsidR="002135ED">
        <w:t xml:space="preserve"> ? Quels arguments </w:t>
      </w:r>
      <w:r w:rsidR="00311DBC">
        <w:t>tentent-ils d’avancer</w:t>
      </w:r>
      <w:r w:rsidR="002135ED">
        <w:t xml:space="preserve"> ? Quels documents présenter ? </w:t>
      </w:r>
    </w:p>
    <w:p w14:paraId="4BCF09D2" w14:textId="75142872" w:rsidR="00844E99" w:rsidRPr="002135ED" w:rsidRDefault="00844E99" w:rsidP="001229BC">
      <w:pPr>
        <w:pStyle w:val="Paragraphedeliste"/>
        <w:numPr>
          <w:ilvl w:val="0"/>
          <w:numId w:val="8"/>
        </w:numPr>
        <w:spacing w:line="276" w:lineRule="auto"/>
      </w:pPr>
      <w:r w:rsidRPr="002135ED">
        <w:t>Les Juges</w:t>
      </w:r>
      <w:r w:rsidR="00E76863" w:rsidRPr="002135ED">
        <w:t> : une fois que l</w:t>
      </w:r>
      <w:r w:rsidR="00A41EB9" w:rsidRPr="002135ED">
        <w:t xml:space="preserve">a procédure est lancée – le plus souvent à l’initiative du bailleur – </w:t>
      </w:r>
      <w:r w:rsidR="002135ED">
        <w:t xml:space="preserve">la responsabilité du jugement est entre les mains du juge à qui </w:t>
      </w:r>
      <w:r w:rsidR="002135ED" w:rsidRPr="002135ED">
        <w:t xml:space="preserve">une « large marge d’appréciation » est </w:t>
      </w:r>
      <w:r w:rsidR="002135ED">
        <w:t xml:space="preserve">donc </w:t>
      </w:r>
      <w:r w:rsidR="002135ED" w:rsidRPr="002135ED">
        <w:t xml:space="preserve">laissée. </w:t>
      </w:r>
      <w:r w:rsidR="002135ED">
        <w:t>En fonction de quels critères ou arguments statut-</w:t>
      </w:r>
      <w:r w:rsidR="00311DBC">
        <w:t>t-</w:t>
      </w:r>
      <w:r w:rsidR="002135ED">
        <w:t xml:space="preserve">il en faveur du propriétaire </w:t>
      </w:r>
      <w:r w:rsidR="002135ED">
        <w:lastRenderedPageBreak/>
        <w:t>ou du locataire ? Dans quelle mesure tient-il compte des conditions de vie (revenus, isolement social, etc.) et du profil (famille nombreuse, monoparentalité, addictions, âge, maladie, etc.)</w:t>
      </w:r>
      <w:r w:rsidR="002135ED" w:rsidRPr="002135ED">
        <w:t xml:space="preserve"> </w:t>
      </w:r>
      <w:r w:rsidR="002135ED">
        <w:t xml:space="preserve">du locataire ? Comment perçoit-il le contexte social et politique quant à l’accès au logement des ménages pauvres ? Tient-il compte de la difficulté de se reloger pour un locataire pauvre ? Ou se contente-il de statuer </w:t>
      </w:r>
      <w:r w:rsidR="004E5FA6">
        <w:t>à partir des arguments avanc</w:t>
      </w:r>
      <w:r w:rsidR="001A5CB8">
        <w:t>és</w:t>
      </w:r>
      <w:r w:rsidR="004E5FA6">
        <w:t xml:space="preserve"> par chacune des parties, indépendamment du contexte social et politique ?</w:t>
      </w:r>
    </w:p>
    <w:p w14:paraId="73B67AE2" w14:textId="0537A461" w:rsidR="00733961" w:rsidRPr="00866C16" w:rsidRDefault="004E5FA6" w:rsidP="00E505A5">
      <w:pPr>
        <w:spacing w:line="276" w:lineRule="auto"/>
      </w:pPr>
      <w:r>
        <w:t>Trois étapes d’une procédure cadrée par la loi et pourtant, déjà suffisamment d’espaces – aussi minimes soient-ils – où</w:t>
      </w:r>
      <w:r w:rsidR="00830AF8">
        <w:t xml:space="preserve"> </w:t>
      </w:r>
      <w:r>
        <w:t xml:space="preserve">peut se nicher l’agentivité des acteurs, de manière à orienter la suite de la procédure et influencer l’issue finale. </w:t>
      </w:r>
      <w:r w:rsidR="00E76863">
        <w:t>Mais</w:t>
      </w:r>
      <w:r w:rsidR="00A41EB9">
        <w:t xml:space="preserve"> nous n’avon</w:t>
      </w:r>
      <w:r w:rsidR="00392B36">
        <w:t>s</w:t>
      </w:r>
      <w:r w:rsidR="00A41EB9">
        <w:t xml:space="preserve"> pas encore </w:t>
      </w:r>
      <w:r w:rsidR="001A5CB8">
        <w:t>list</w:t>
      </w:r>
      <w:r w:rsidR="00A41EB9">
        <w:t>é tous les acteurs engagés dans l</w:t>
      </w:r>
      <w:r w:rsidR="00392B36">
        <w:t xml:space="preserve">a </w:t>
      </w:r>
      <w:r w:rsidR="00A41EB9">
        <w:t xml:space="preserve">procédure. </w:t>
      </w:r>
    </w:p>
    <w:p w14:paraId="713D3020" w14:textId="3D31617D" w:rsidR="00866C16" w:rsidRPr="00866C16" w:rsidRDefault="00866C16" w:rsidP="00E505A5">
      <w:pPr>
        <w:pStyle w:val="Titre3"/>
        <w:spacing w:line="276" w:lineRule="auto"/>
        <w:jc w:val="center"/>
      </w:pPr>
      <w:bookmarkStart w:id="19" w:name="_Toc152687202"/>
      <w:r w:rsidRPr="00866C16">
        <w:t>La signification du jugement par huissier</w:t>
      </w:r>
      <w:bookmarkEnd w:id="19"/>
    </w:p>
    <w:p w14:paraId="3A951B1A" w14:textId="06AAFA52" w:rsidR="00733961" w:rsidRDefault="00733961" w:rsidP="00E505A5">
      <w:pPr>
        <w:pStyle w:val="Titre4"/>
        <w:spacing w:line="276" w:lineRule="auto"/>
      </w:pPr>
      <w:r>
        <w:t>Le CPAS</w:t>
      </w:r>
      <w:r w:rsidR="00D04965">
        <w:t xml:space="preserve"> </w:t>
      </w:r>
    </w:p>
    <w:p w14:paraId="0B2504DC" w14:textId="09D255F9" w:rsidR="003A3959" w:rsidRDefault="003A3959" w:rsidP="00E505A5">
      <w:pPr>
        <w:spacing w:line="276" w:lineRule="auto"/>
        <w:rPr>
          <w:color w:val="FF0000"/>
        </w:rPr>
      </w:pPr>
      <w:r>
        <w:t>Par souci de clarté, nous ne présentons le rôle du CPAS qu’à ce stade</w:t>
      </w:r>
      <w:r w:rsidR="00302919">
        <w:t>-</w:t>
      </w:r>
      <w:r>
        <w:t>ci de la procédure (signification du jugement). Il faut noter que la loi prévoi</w:t>
      </w:r>
      <w:r w:rsidR="001A5CB8">
        <w:t>t</w:t>
      </w:r>
      <w:r>
        <w:t xml:space="preserve"> que le </w:t>
      </w:r>
      <w:r w:rsidRPr="00314A20">
        <w:t>CP</w:t>
      </w:r>
      <w:r>
        <w:t>A</w:t>
      </w:r>
      <w:r w:rsidRPr="00314A20">
        <w:t xml:space="preserve">S </w:t>
      </w:r>
      <w:r>
        <w:t>s</w:t>
      </w:r>
      <w:r w:rsidRPr="00314A20">
        <w:t>oit être averti</w:t>
      </w:r>
      <w:r>
        <w:t xml:space="preserve"> à deux reprises : 1) à </w:t>
      </w:r>
      <w:r w:rsidRPr="00314A20">
        <w:t>l’introduction d’une demande d’expulsion</w:t>
      </w:r>
      <w:r>
        <w:t xml:space="preserve"> (requête ou citation) ;</w:t>
      </w:r>
      <w:r w:rsidRPr="00314A20">
        <w:t xml:space="preserve"> </w:t>
      </w:r>
      <w:r>
        <w:t xml:space="preserve">2) lors </w:t>
      </w:r>
      <w:r w:rsidRPr="00314A20">
        <w:t xml:space="preserve">du jugement </w:t>
      </w:r>
      <w:r>
        <w:t xml:space="preserve">prononçant l’expulsion. </w:t>
      </w:r>
    </w:p>
    <w:p w14:paraId="25E7785F" w14:textId="6538E11C" w:rsidR="00AB7071" w:rsidRDefault="003A3959" w:rsidP="00E505A5">
      <w:pPr>
        <w:spacing w:line="276" w:lineRule="auto"/>
      </w:pPr>
      <w:r>
        <w:t>Les CPAS sont sollicités pour jouer un rôle dans la procédure d</w:t>
      </w:r>
      <w:r w:rsidR="00733961">
        <w:t xml:space="preserve">epuis l’entrée en vigueur de </w:t>
      </w:r>
      <w:r w:rsidR="004B031A">
        <w:t>la loi du</w:t>
      </w:r>
      <w:r w:rsidR="004B031A" w:rsidRPr="00574FFD">
        <w:t xml:space="preserve"> 30 novembre 1998</w:t>
      </w:r>
      <w:r w:rsidR="001A5CB8">
        <w:t>,</w:t>
      </w:r>
      <w:r w:rsidR="004B031A" w:rsidRPr="00574FFD">
        <w:t xml:space="preserve"> dite</w:t>
      </w:r>
      <w:r w:rsidR="004B031A">
        <w:t xml:space="preserve"> loi</w:t>
      </w:r>
      <w:r w:rsidR="004B031A" w:rsidRPr="00574FFD">
        <w:t xml:space="preserve"> «</w:t>
      </w:r>
      <w:r w:rsidR="004B031A">
        <w:t xml:space="preserve"> </w:t>
      </w:r>
      <w:r w:rsidR="004B031A" w:rsidRPr="00574FFD">
        <w:t>d’humanisation des expulsions</w:t>
      </w:r>
      <w:r w:rsidR="004B031A">
        <w:t xml:space="preserve"> </w:t>
      </w:r>
      <w:r w:rsidR="004B031A" w:rsidRPr="00574FFD">
        <w:t>»</w:t>
      </w:r>
      <w:r w:rsidR="004B031A">
        <w:rPr>
          <w:rStyle w:val="Appelnotedebasdep"/>
        </w:rPr>
        <w:footnoteReference w:id="18"/>
      </w:r>
      <w:r>
        <w:t xml:space="preserve"> qui </w:t>
      </w:r>
      <w:r w:rsidR="004B031A">
        <w:t xml:space="preserve">a pour ambition une </w:t>
      </w:r>
      <w:r w:rsidR="004B031A" w:rsidRPr="00574FFD">
        <w:t xml:space="preserve">protection accrue </w:t>
      </w:r>
      <w:r w:rsidR="004B031A">
        <w:t xml:space="preserve">des locataires </w:t>
      </w:r>
      <w:r w:rsidR="004B031A" w:rsidRPr="00574FFD">
        <w:t xml:space="preserve">les plus précaires </w:t>
      </w:r>
      <w:r w:rsidR="004B031A">
        <w:t xml:space="preserve">« sans que cela soit une </w:t>
      </w:r>
      <w:r w:rsidR="004B031A" w:rsidRPr="00574FFD">
        <w:t xml:space="preserve">charge supplémentaire pour les bailleurs privés, </w:t>
      </w:r>
      <w:r w:rsidR="004B031A">
        <w:t>ou</w:t>
      </w:r>
      <w:r w:rsidR="004B031A" w:rsidRPr="00574FFD">
        <w:t xml:space="preserve"> pour les communes</w:t>
      </w:r>
      <w:r w:rsidR="004B031A">
        <w:t> »</w:t>
      </w:r>
      <w:r>
        <w:t xml:space="preserve">, en leur permettant, si nécessaire, d’obtenir </w:t>
      </w:r>
      <w:r w:rsidRPr="00314A20">
        <w:t>un soutien des structures d’aide sociale appropriées</w:t>
      </w:r>
      <w:r>
        <w:t>.</w:t>
      </w:r>
    </w:p>
    <w:p w14:paraId="5BC173BD" w14:textId="24953AB5" w:rsidR="00733961" w:rsidRDefault="00733961" w:rsidP="00E505A5">
      <w:pPr>
        <w:spacing w:line="276" w:lineRule="auto"/>
      </w:pPr>
      <w:r w:rsidRPr="00314A20">
        <w:t>Cette information au CPAS peut s’opérer par quelque procédé de télécommunication que ce soit</w:t>
      </w:r>
      <w:r>
        <w:t xml:space="preserve"> (appel téléphonique, mail, etc.)</w:t>
      </w:r>
      <w:r w:rsidRPr="00314A20">
        <w:t xml:space="preserve">, mais doit être confirmée par </w:t>
      </w:r>
      <w:r>
        <w:t xml:space="preserve">une </w:t>
      </w:r>
      <w:r w:rsidRPr="00314A20">
        <w:t xml:space="preserve">lettre. </w:t>
      </w:r>
      <w:r w:rsidR="00AB7071">
        <w:t>Notons</w:t>
      </w:r>
      <w:r>
        <w:t xml:space="preserve"> que le</w:t>
      </w:r>
      <w:r w:rsidRPr="00314A20">
        <w:t xml:space="preserve"> défaut d’information du CPAS</w:t>
      </w:r>
      <w:r>
        <w:t xml:space="preserve"> n’a pas de conséquence sur la suite de la procédure : </w:t>
      </w:r>
      <w:r w:rsidRPr="00314A20">
        <w:t>aucune sanction (nullité du jugement ou cause d’irrecevabilité de la procédure) n’est prévue par la loi.</w:t>
      </w:r>
      <w:r>
        <w:t xml:space="preserve"> De plus, si le CPAS doit être averti, il n’a pas d’obligation de résultat quant au relogement des personnes expulsées.</w:t>
      </w:r>
    </w:p>
    <w:p w14:paraId="119323CB" w14:textId="77777777" w:rsidR="00AB7071" w:rsidRPr="00314A20" w:rsidRDefault="00AB7071" w:rsidP="00E505A5">
      <w:pPr>
        <w:spacing w:line="276" w:lineRule="auto"/>
      </w:pPr>
      <w:r>
        <w:t>Enfin, c</w:t>
      </w:r>
      <w:r w:rsidRPr="00314A20">
        <w:t>ette obligation d’information peut être contrée par le locataire</w:t>
      </w:r>
      <w:r>
        <w:t> : s</w:t>
      </w:r>
      <w:r w:rsidRPr="00314A20">
        <w:t>’il ne souhaite pas que le CP</w:t>
      </w:r>
      <w:r>
        <w:t>A</w:t>
      </w:r>
      <w:r w:rsidRPr="00314A20">
        <w:t>S soit averti, il peut</w:t>
      </w:r>
      <w:r>
        <w:t xml:space="preserve"> le signaler lorsqu’il reçoit la requête ou la citation pour expulsion (ou, dans l’étape qui suit, lors de la signification du jugement)</w:t>
      </w:r>
      <w:r>
        <w:rPr>
          <w:rStyle w:val="Appelnotedebasdep"/>
        </w:rPr>
        <w:footnoteReference w:id="19"/>
      </w:r>
      <w:r w:rsidRPr="00314A20">
        <w:t xml:space="preserve">. </w:t>
      </w:r>
    </w:p>
    <w:p w14:paraId="22B5E12E" w14:textId="6750A6D8" w:rsidR="00E35A7D" w:rsidRDefault="003A3959" w:rsidP="00E505A5">
      <w:pPr>
        <w:spacing w:line="276" w:lineRule="auto"/>
      </w:pPr>
      <w:r>
        <w:t>L’entrée en scène de ce nouvel acteur</w:t>
      </w:r>
      <w:r w:rsidR="00E35A7D">
        <w:t xml:space="preserve"> amène avec elle une nouvelle série de questions</w:t>
      </w:r>
      <w:r w:rsidR="00AB7071">
        <w:t> :</w:t>
      </w:r>
    </w:p>
    <w:p w14:paraId="5464DA23" w14:textId="276C4BB6" w:rsidR="00AB7071" w:rsidRDefault="00AB7071" w:rsidP="001229BC">
      <w:pPr>
        <w:pStyle w:val="Paragraphedeliste"/>
        <w:numPr>
          <w:ilvl w:val="0"/>
          <w:numId w:val="9"/>
        </w:numPr>
        <w:spacing w:line="276" w:lineRule="auto"/>
      </w:pPr>
      <w:r>
        <w:t>Quels sont les moyens à disposition des CPAS pour accompagner les locataires ? Dans quelle mesure l’intervention du CPAS peut-</w:t>
      </w:r>
      <w:r w:rsidR="001A5CB8">
        <w:t>elle</w:t>
      </w:r>
      <w:r>
        <w:t xml:space="preserve"> influencer la procédure ou son issue ?</w:t>
      </w:r>
      <w:r w:rsidR="003A3959">
        <w:t xml:space="preserve"> L’accompagnement par un CPS peut-il influencer la décision du juge ?</w:t>
      </w:r>
    </w:p>
    <w:p w14:paraId="3D336F50" w14:textId="7C6E079A" w:rsidR="00AB7071" w:rsidRDefault="00AB7071" w:rsidP="001229BC">
      <w:pPr>
        <w:pStyle w:val="Paragraphedeliste"/>
        <w:numPr>
          <w:ilvl w:val="0"/>
          <w:numId w:val="9"/>
        </w:numPr>
        <w:spacing w:line="276" w:lineRule="auto"/>
      </w:pPr>
      <w:r>
        <w:t>S</w:t>
      </w:r>
      <w:r w:rsidR="00954F8D">
        <w:t>’</w:t>
      </w:r>
      <w:r>
        <w:t>il y a obligation d’information, il arrive que le renseignement n’arrive pas toujours jusqu’au CPAS, sans que cela n’</w:t>
      </w:r>
      <w:r w:rsidR="001A5CB8">
        <w:t>ait</w:t>
      </w:r>
      <w:r>
        <w:t xml:space="preserve"> de conséquence sur la procédure : pourquoi l’information n’arrive-t</w:t>
      </w:r>
      <w:r w:rsidR="00954F8D">
        <w:t>-</w:t>
      </w:r>
      <w:r>
        <w:t>elle pas à destination ? Où est-ce que cela bloque ? Le blocage se situe-</w:t>
      </w:r>
      <w:proofErr w:type="spellStart"/>
      <w:r>
        <w:t>t’il</w:t>
      </w:r>
      <w:proofErr w:type="spellEnd"/>
      <w:r>
        <w:t xml:space="preserve"> au niveau du greffe</w:t>
      </w:r>
      <w:r w:rsidR="00063FD3">
        <w:t xml:space="preserve">, de l’huissier, </w:t>
      </w:r>
      <w:r>
        <w:t xml:space="preserve">du CPAS ? Est-ce </w:t>
      </w:r>
      <w:r w:rsidR="003A3959">
        <w:t>dû</w:t>
      </w:r>
      <w:r>
        <w:t xml:space="preserve"> à un manque de personnel ? A une mauvaise organisation des échanges entre administrations ? </w:t>
      </w:r>
    </w:p>
    <w:p w14:paraId="1F457033" w14:textId="316DCEE0" w:rsidR="00AB7071" w:rsidRPr="00314A20" w:rsidRDefault="00063FD3" w:rsidP="001229BC">
      <w:pPr>
        <w:pStyle w:val="Paragraphedeliste"/>
        <w:numPr>
          <w:ilvl w:val="0"/>
          <w:numId w:val="9"/>
        </w:numPr>
        <w:spacing w:line="276" w:lineRule="auto"/>
      </w:pPr>
      <w:r>
        <w:t xml:space="preserve">Comment le locataire perçoit-il l’accompagnement du CPAS dans sa situation ? </w:t>
      </w:r>
      <w:r w:rsidR="00AB7071">
        <w:t xml:space="preserve">Pour quels motifs </w:t>
      </w:r>
      <w:r>
        <w:t xml:space="preserve">refuserait-il l’information au CPAS ? </w:t>
      </w:r>
    </w:p>
    <w:p w14:paraId="5CC10C91" w14:textId="77777777" w:rsidR="00733961" w:rsidRPr="00C47928" w:rsidRDefault="00733961" w:rsidP="00E505A5">
      <w:pPr>
        <w:pStyle w:val="Paragraphedeliste"/>
        <w:spacing w:line="276" w:lineRule="auto"/>
        <w:rPr>
          <w:rFonts w:cs="Times New Roman"/>
          <w:highlight w:val="yellow"/>
        </w:rPr>
      </w:pPr>
    </w:p>
    <w:p w14:paraId="750BECB1" w14:textId="06A2224D" w:rsidR="00733961" w:rsidRDefault="00D04965" w:rsidP="00E505A5">
      <w:pPr>
        <w:pStyle w:val="Titre4"/>
        <w:spacing w:line="276" w:lineRule="auto"/>
      </w:pPr>
      <w:r>
        <w:t>L’</w:t>
      </w:r>
      <w:r w:rsidR="00733961">
        <w:t>Huissier de Justice</w:t>
      </w:r>
    </w:p>
    <w:p w14:paraId="4B2FAE51" w14:textId="1B429682" w:rsidR="00BE5FE7" w:rsidRDefault="00733961" w:rsidP="00E505A5">
      <w:pPr>
        <w:spacing w:line="276" w:lineRule="auto"/>
        <w:rPr>
          <w:rFonts w:cs="Times New Roman"/>
        </w:rPr>
      </w:pPr>
      <w:r>
        <w:rPr>
          <w:rFonts w:cs="Times New Roman"/>
        </w:rPr>
        <w:t>Intervient alors un autre acteur dans la procédure, l’huissier de Justice</w:t>
      </w:r>
      <w:r w:rsidR="001A5CB8">
        <w:rPr>
          <w:rFonts w:cs="Times New Roman"/>
        </w:rPr>
        <w:t>,</w:t>
      </w:r>
      <w:r>
        <w:rPr>
          <w:rFonts w:cs="Times New Roman"/>
        </w:rPr>
        <w:t xml:space="preserve"> dont la mission est de rendre les décisions de justice effectives. L’huissier intervient lors de la s</w:t>
      </w:r>
      <w:r w:rsidRPr="00CA43AF">
        <w:rPr>
          <w:rFonts w:cs="Times New Roman"/>
        </w:rPr>
        <w:t xml:space="preserve">ignification du jugement </w:t>
      </w:r>
      <w:r>
        <w:rPr>
          <w:rFonts w:cs="Times New Roman"/>
        </w:rPr>
        <w:t>: u</w:t>
      </w:r>
      <w:r w:rsidRPr="00CA43AF">
        <w:rPr>
          <w:rFonts w:cs="Times New Roman"/>
        </w:rPr>
        <w:t xml:space="preserve">ne fois que le juge de paix a pris sa décision, c’est l’huissier de justice qui signifie le jugement auprès du locataire et auprès du CPAS. </w:t>
      </w:r>
      <w:r w:rsidR="00BE5FE7">
        <w:rPr>
          <w:rFonts w:cs="Times New Roman"/>
        </w:rPr>
        <w:t>Il doit donc aller</w:t>
      </w:r>
      <w:r w:rsidR="00730339" w:rsidRPr="00730339">
        <w:rPr>
          <w:rFonts w:cs="Times New Roman"/>
        </w:rPr>
        <w:t xml:space="preserve"> à la rencontre du justiciable, sur le terrain</w:t>
      </w:r>
      <w:r w:rsidR="00BE5FE7">
        <w:rPr>
          <w:rFonts w:cs="Times New Roman"/>
        </w:rPr>
        <w:t>.</w:t>
      </w:r>
    </w:p>
    <w:p w14:paraId="1DD67AA2" w14:textId="2FE775EF" w:rsidR="00BE5FE7" w:rsidRDefault="00BE5FE7" w:rsidP="00E505A5">
      <w:pPr>
        <w:spacing w:line="276" w:lineRule="auto"/>
        <w:rPr>
          <w:rFonts w:cs="Times New Roman"/>
        </w:rPr>
      </w:pPr>
      <w:r>
        <w:rPr>
          <w:rFonts w:cs="Times New Roman"/>
        </w:rPr>
        <w:t xml:space="preserve">Dans, </w:t>
      </w:r>
      <w:r w:rsidRPr="00BE5FE7">
        <w:rPr>
          <w:rFonts w:cs="Times New Roman"/>
          <w:i/>
        </w:rPr>
        <w:t xml:space="preserve">Regards croisés. Les expulsions du </w:t>
      </w:r>
      <w:r w:rsidRPr="001A5CB8">
        <w:rPr>
          <w:rFonts w:cs="Times New Roman"/>
          <w:i/>
        </w:rPr>
        <w:t xml:space="preserve">logement et le mal-logement en Région bruxelloise : analyses et propositions de différentes organisations </w:t>
      </w:r>
      <w:r w:rsidRPr="001A5CB8">
        <w:rPr>
          <w:rFonts w:cs="Times New Roman"/>
        </w:rPr>
        <w:t>(</w:t>
      </w:r>
      <w:r w:rsidR="001A5CB8" w:rsidRPr="001A5CB8">
        <w:rPr>
          <w:rFonts w:cs="Times New Roman"/>
        </w:rPr>
        <w:t>Observatoire de la santé et du social, 2018b.</w:t>
      </w:r>
      <w:r w:rsidRPr="001A5CB8">
        <w:rPr>
          <w:rFonts w:cs="Times New Roman"/>
        </w:rPr>
        <w:t xml:space="preserve">), Quentin </w:t>
      </w:r>
      <w:r w:rsidRPr="00BE5FE7">
        <w:rPr>
          <w:rFonts w:cs="Times New Roman"/>
        </w:rPr>
        <w:t>D</w:t>
      </w:r>
      <w:r>
        <w:rPr>
          <w:rFonts w:cs="Times New Roman"/>
        </w:rPr>
        <w:t>ebra</w:t>
      </w:r>
      <w:r w:rsidRPr="00BE5FE7">
        <w:rPr>
          <w:rFonts w:cs="Times New Roman"/>
        </w:rPr>
        <w:t xml:space="preserve">y </w:t>
      </w:r>
      <w:r>
        <w:rPr>
          <w:rFonts w:cs="Times New Roman"/>
        </w:rPr>
        <w:t>et</w:t>
      </w:r>
      <w:r w:rsidRPr="00BE5FE7">
        <w:rPr>
          <w:rFonts w:cs="Times New Roman"/>
        </w:rPr>
        <w:t xml:space="preserve"> Barbara M</w:t>
      </w:r>
      <w:r>
        <w:rPr>
          <w:rFonts w:cs="Times New Roman"/>
        </w:rPr>
        <w:t>eirsschaut de l’</w:t>
      </w:r>
      <w:r w:rsidRPr="00BE5FE7">
        <w:rPr>
          <w:rFonts w:cs="Times New Roman"/>
        </w:rPr>
        <w:t>Union Francophone des Huissiers de Justice asbl</w:t>
      </w:r>
      <w:r>
        <w:rPr>
          <w:rFonts w:cs="Times New Roman"/>
        </w:rPr>
        <w:t xml:space="preserve"> (</w:t>
      </w:r>
      <w:r w:rsidRPr="00BE5FE7">
        <w:rPr>
          <w:rFonts w:cs="Times New Roman"/>
        </w:rPr>
        <w:t>UFHJ</w:t>
      </w:r>
      <w:r>
        <w:rPr>
          <w:rFonts w:cs="Times New Roman"/>
        </w:rPr>
        <w:t>) f</w:t>
      </w:r>
      <w:r w:rsidR="00D162A6">
        <w:rPr>
          <w:rFonts w:cs="Times New Roman"/>
        </w:rPr>
        <w:t>on</w:t>
      </w:r>
      <w:r>
        <w:rPr>
          <w:rFonts w:cs="Times New Roman"/>
        </w:rPr>
        <w:t>t le point sur le rôle de l’huissier de Justice dans les procédures d’expulsion, en insistant sur son rôle de communication : « </w:t>
      </w:r>
      <w:r w:rsidRPr="00BE5FE7">
        <w:rPr>
          <w:rFonts w:cs="Times New Roman"/>
        </w:rPr>
        <w:t>Son rôle intrinsèque est d’apporter, de clarifier et d’expliquer la justice aux citoyens. Il est donc avant tout un communicateur.</w:t>
      </w:r>
      <w:r>
        <w:rPr>
          <w:rFonts w:cs="Times New Roman"/>
        </w:rPr>
        <w:t> » (p.45)</w:t>
      </w:r>
      <w:r w:rsidR="00BB7EAD">
        <w:rPr>
          <w:rFonts w:cs="Times New Roman"/>
        </w:rPr>
        <w:t>. Les auteurs notent également que la communication se faisant le plus souvent à l’oral, « </w:t>
      </w:r>
      <w:r w:rsidR="00BB7EAD" w:rsidRPr="00730339">
        <w:rPr>
          <w:rFonts w:cs="Times New Roman"/>
        </w:rPr>
        <w:t>les aléas propres à la communication verbale fait perdre au destinataire une partie non négligeable de l’information</w:t>
      </w:r>
      <w:r w:rsidR="00BB7EAD">
        <w:rPr>
          <w:rFonts w:cs="Times New Roman"/>
        </w:rPr>
        <w:t xml:space="preserve">. » (p.46) </w:t>
      </w:r>
    </w:p>
    <w:p w14:paraId="3438E8F3" w14:textId="2AB4594F" w:rsidR="00887F65" w:rsidRDefault="005A2A7A" w:rsidP="00E505A5">
      <w:pPr>
        <w:spacing w:line="276" w:lineRule="auto"/>
        <w:rPr>
          <w:rFonts w:cs="Times New Roman"/>
        </w:rPr>
      </w:pPr>
      <w:r>
        <w:rPr>
          <w:rFonts w:cs="Times New Roman"/>
        </w:rPr>
        <w:t xml:space="preserve">En 2018, le chapitre II du code judiciaire qui détermine les </w:t>
      </w:r>
      <w:r w:rsidRPr="005A2A7A">
        <w:rPr>
          <w:rFonts w:cs="Times New Roman"/>
        </w:rPr>
        <w:t>missions et les compétences de l'huissier de justice</w:t>
      </w:r>
      <w:r>
        <w:rPr>
          <w:rFonts w:cs="Times New Roman"/>
        </w:rPr>
        <w:t xml:space="preserve">, s’est vu affublé d’un nouvel article précisant </w:t>
      </w:r>
      <w:r w:rsidR="00730339" w:rsidRPr="00730339">
        <w:rPr>
          <w:rFonts w:cs="Times New Roman"/>
        </w:rPr>
        <w:t>le contenu de cette communication</w:t>
      </w:r>
      <w:r>
        <w:rPr>
          <w:rFonts w:cs="Times New Roman"/>
        </w:rPr>
        <w:t xml:space="preserve"> au locataire :</w:t>
      </w:r>
      <w:r w:rsidR="00830AF8">
        <w:rPr>
          <w:rFonts w:cs="Times New Roman"/>
        </w:rPr>
        <w:t xml:space="preserve"> </w:t>
      </w:r>
      <w:r w:rsidR="00730339" w:rsidRPr="00730339">
        <w:rPr>
          <w:rFonts w:cs="Times New Roman"/>
        </w:rPr>
        <w:t>«</w:t>
      </w:r>
      <w:r>
        <w:rPr>
          <w:rFonts w:cs="Times New Roman"/>
        </w:rPr>
        <w:t xml:space="preserve"> </w:t>
      </w:r>
      <w:r w:rsidRPr="005A2A7A">
        <w:rPr>
          <w:rFonts w:cs="Times New Roman"/>
        </w:rPr>
        <w:t>Les huissiers de justice tentent, dans la mesure du possible, de favoriser une résolution amiable des litiges</w:t>
      </w:r>
      <w:r w:rsidR="008C035F">
        <w:rPr>
          <w:rFonts w:cs="Times New Roman"/>
        </w:rPr>
        <w:t>,</w:t>
      </w:r>
      <w:r w:rsidRPr="005A2A7A">
        <w:rPr>
          <w:rFonts w:cs="Times New Roman"/>
        </w:rPr>
        <w:t xml:space="preserve"> notamment en informant le justiciable de la possibilité de médiation, de conciliation et de tout autre mode de résolution amiable des litiges. »</w:t>
      </w:r>
      <w:r>
        <w:rPr>
          <w:rStyle w:val="Appelnotedebasdep"/>
          <w:rFonts w:cs="Times New Roman"/>
        </w:rPr>
        <w:footnoteReference w:id="20"/>
      </w:r>
      <w:r w:rsidRPr="005A2A7A">
        <w:rPr>
          <w:rFonts w:cs="Times New Roman"/>
        </w:rPr>
        <w:t xml:space="preserve"> </w:t>
      </w:r>
      <w:r w:rsidR="00887F65">
        <w:rPr>
          <w:rFonts w:cs="Times New Roman"/>
        </w:rPr>
        <w:t xml:space="preserve">Le législateur n’en dit pas plus sur la manière dont cette mission de communication </w:t>
      </w:r>
      <w:r w:rsidR="00730339" w:rsidRPr="00730339">
        <w:rPr>
          <w:rFonts w:cs="Times New Roman"/>
        </w:rPr>
        <w:t>doit être accomplie</w:t>
      </w:r>
      <w:r w:rsidR="00887F65">
        <w:rPr>
          <w:rFonts w:cs="Times New Roman"/>
        </w:rPr>
        <w:t>. L</w:t>
      </w:r>
      <w:r w:rsidR="00730339" w:rsidRPr="00730339">
        <w:rPr>
          <w:rFonts w:cs="Times New Roman"/>
        </w:rPr>
        <w:t>a Chambre Nationale des huissiers de justice</w:t>
      </w:r>
      <w:r w:rsidR="00887F65">
        <w:rPr>
          <w:rFonts w:cs="Times New Roman"/>
        </w:rPr>
        <w:t xml:space="preserve"> a bien sûr édité des </w:t>
      </w:r>
      <w:r w:rsidR="00730339" w:rsidRPr="00730339">
        <w:rPr>
          <w:rFonts w:cs="Times New Roman"/>
        </w:rPr>
        <w:t>règles de déontologie</w:t>
      </w:r>
      <w:r w:rsidR="00887F65">
        <w:rPr>
          <w:rFonts w:cs="Times New Roman"/>
        </w:rPr>
        <w:t xml:space="preserve">. Mais comme de nombreuses interactions, les modalités de l’échange avec le locataire </w:t>
      </w:r>
      <w:r w:rsidR="0041698A">
        <w:rPr>
          <w:rFonts w:cs="Times New Roman"/>
        </w:rPr>
        <w:t>sont</w:t>
      </w:r>
      <w:r w:rsidR="00887F65">
        <w:rPr>
          <w:rFonts w:cs="Times New Roman"/>
        </w:rPr>
        <w:t xml:space="preserve"> laissée</w:t>
      </w:r>
      <w:r w:rsidR="0041698A">
        <w:rPr>
          <w:rFonts w:cs="Times New Roman"/>
        </w:rPr>
        <w:t>s</w:t>
      </w:r>
      <w:r w:rsidR="00887F65">
        <w:rPr>
          <w:rFonts w:cs="Times New Roman"/>
        </w:rPr>
        <w:t xml:space="preserve"> à l’appréciation de l’huissier. </w:t>
      </w:r>
    </w:p>
    <w:p w14:paraId="0D39FAFF" w14:textId="230162E8" w:rsidR="00887F65" w:rsidRDefault="00887F65" w:rsidP="00E505A5">
      <w:pPr>
        <w:spacing w:line="276" w:lineRule="auto"/>
        <w:rPr>
          <w:rFonts w:cs="Times New Roman"/>
        </w:rPr>
      </w:pPr>
      <w:r>
        <w:rPr>
          <w:rFonts w:cs="Times New Roman"/>
        </w:rPr>
        <w:t>L’intervention de l’huissier de justice suscite donc elle aussi de nombreuses questions :</w:t>
      </w:r>
    </w:p>
    <w:p w14:paraId="073C1F8C" w14:textId="415A3FEF" w:rsidR="00887F65" w:rsidRDefault="00887F65" w:rsidP="001229BC">
      <w:pPr>
        <w:pStyle w:val="Paragraphedeliste"/>
        <w:numPr>
          <w:ilvl w:val="0"/>
          <w:numId w:val="10"/>
        </w:numPr>
        <w:spacing w:line="276" w:lineRule="auto"/>
        <w:rPr>
          <w:rFonts w:cs="Times New Roman"/>
        </w:rPr>
      </w:pPr>
      <w:r>
        <w:rPr>
          <w:rFonts w:cs="Times New Roman"/>
        </w:rPr>
        <w:t>De quelle manière transmet-il l’information au locataire ? Vérifie-t</w:t>
      </w:r>
      <w:r w:rsidR="0041698A">
        <w:rPr>
          <w:rFonts w:cs="Times New Roman"/>
        </w:rPr>
        <w:t>-</w:t>
      </w:r>
      <w:r>
        <w:rPr>
          <w:rFonts w:cs="Times New Roman"/>
        </w:rPr>
        <w:t xml:space="preserve">il la bonne compréhension de </w:t>
      </w:r>
      <w:r w:rsidR="00FF20F3">
        <w:rPr>
          <w:rFonts w:cs="Times New Roman"/>
        </w:rPr>
        <w:t>l’information auprès du locataire ? Prend-il le temps de lui expliquer les recours et soutiens possibles ? Dans quelle mesure la marge laissée au contenu de l’échange permet-elle à l’huissier d’amorcer un travail d’accompagnement social et juridique avec le locataire ? Dans quelle mesure cet échange détermine-t</w:t>
      </w:r>
      <w:r w:rsidR="0041698A">
        <w:rPr>
          <w:rFonts w:cs="Times New Roman"/>
        </w:rPr>
        <w:t>-</w:t>
      </w:r>
      <w:r w:rsidR="00FF20F3">
        <w:rPr>
          <w:rFonts w:cs="Times New Roman"/>
        </w:rPr>
        <w:t xml:space="preserve">il la suite de la procédure ? </w:t>
      </w:r>
    </w:p>
    <w:p w14:paraId="74060107" w14:textId="7C16F961" w:rsidR="00FF20F3" w:rsidRPr="00887F65" w:rsidRDefault="00FF20F3" w:rsidP="001229BC">
      <w:pPr>
        <w:pStyle w:val="Paragraphedeliste"/>
        <w:numPr>
          <w:ilvl w:val="0"/>
          <w:numId w:val="10"/>
        </w:numPr>
        <w:spacing w:line="276" w:lineRule="auto"/>
        <w:rPr>
          <w:rFonts w:cs="Times New Roman"/>
        </w:rPr>
      </w:pPr>
      <w:r>
        <w:rPr>
          <w:rFonts w:cs="Times New Roman"/>
        </w:rPr>
        <w:t>Il en va de même quant à l’information du CPAS : l’huissier informe-t</w:t>
      </w:r>
      <w:r w:rsidR="0041698A">
        <w:rPr>
          <w:rFonts w:cs="Times New Roman"/>
        </w:rPr>
        <w:t>-</w:t>
      </w:r>
      <w:r>
        <w:rPr>
          <w:rFonts w:cs="Times New Roman"/>
        </w:rPr>
        <w:t>il systématiquement le CPAS lors des deux étapes de la procédure</w:t>
      </w:r>
      <w:r w:rsidR="0041698A">
        <w:rPr>
          <w:rFonts w:cs="Times New Roman"/>
        </w:rPr>
        <w:t>,</w:t>
      </w:r>
      <w:r>
        <w:rPr>
          <w:rFonts w:cs="Times New Roman"/>
        </w:rPr>
        <w:t xml:space="preserve"> </w:t>
      </w:r>
      <w:r w:rsidR="0041698A">
        <w:rPr>
          <w:rFonts w:cs="Times New Roman"/>
        </w:rPr>
        <w:t xml:space="preserve">à </w:t>
      </w:r>
      <w:r w:rsidR="00973A78">
        <w:rPr>
          <w:rFonts w:cs="Times New Roman"/>
        </w:rPr>
        <w:t>chacune des étapes prévues</w:t>
      </w:r>
      <w:r>
        <w:rPr>
          <w:rFonts w:cs="Times New Roman"/>
        </w:rPr>
        <w:t xml:space="preserve"> (requête ou citation et signification) ?</w:t>
      </w:r>
    </w:p>
    <w:p w14:paraId="4B944889" w14:textId="77777777" w:rsidR="00733961" w:rsidRPr="0002163E" w:rsidRDefault="00733961" w:rsidP="00E505A5">
      <w:pPr>
        <w:pStyle w:val="Titre3"/>
        <w:spacing w:line="276" w:lineRule="auto"/>
        <w:jc w:val="center"/>
      </w:pPr>
      <w:bookmarkStart w:id="20" w:name="_Toc152687203"/>
      <w:r w:rsidRPr="0002163E">
        <w:t>Un délai de 30 jours</w:t>
      </w:r>
      <w:bookmarkEnd w:id="20"/>
    </w:p>
    <w:p w14:paraId="737B54A0" w14:textId="38B4B7C8" w:rsidR="00733961" w:rsidRPr="00946552" w:rsidRDefault="00733961" w:rsidP="00E505A5">
      <w:pPr>
        <w:spacing w:line="276" w:lineRule="auto"/>
        <w:rPr>
          <w:rFonts w:cs="Times New Roman"/>
        </w:rPr>
      </w:pPr>
      <w:r w:rsidRPr="0002163E">
        <w:rPr>
          <w:rFonts w:cs="Times New Roman"/>
        </w:rPr>
        <w:t xml:space="preserve">Une fois l’expulsion signifiée, un délai de 30 jours </w:t>
      </w:r>
      <w:r>
        <w:rPr>
          <w:rFonts w:cs="Times New Roman"/>
        </w:rPr>
        <w:t>minimum</w:t>
      </w:r>
      <w:r w:rsidR="00FF20F3">
        <w:rPr>
          <w:rFonts w:cs="Times New Roman"/>
        </w:rPr>
        <w:t xml:space="preserve"> est laissé</w:t>
      </w:r>
      <w:r>
        <w:rPr>
          <w:rFonts w:cs="Times New Roman"/>
        </w:rPr>
        <w:t xml:space="preserve"> </w:t>
      </w:r>
      <w:proofErr w:type="spellStart"/>
      <w:r w:rsidRPr="0002163E">
        <w:rPr>
          <w:rFonts w:cs="Times New Roman"/>
        </w:rPr>
        <w:t>entre</w:t>
      </w:r>
      <w:proofErr w:type="spellEnd"/>
      <w:r w:rsidRPr="0002163E">
        <w:rPr>
          <w:rFonts w:cs="Times New Roman"/>
        </w:rPr>
        <w:t xml:space="preserve"> la signification du jugement et l’exécution de </w:t>
      </w:r>
      <w:r w:rsidRPr="00946552">
        <w:rPr>
          <w:rFonts w:cs="Times New Roman"/>
        </w:rPr>
        <w:t>l’expulsion. Le juge peut décider d’allonger cette période de 30 jours (en hiver, par exemple) ou de la réduire si le bailleur prouve l’abandon du bien.</w:t>
      </w:r>
      <w:r w:rsidR="00973A78">
        <w:rPr>
          <w:rFonts w:cs="Times New Roman"/>
        </w:rPr>
        <w:t xml:space="preserve"> </w:t>
      </w:r>
      <w:r w:rsidRPr="00946552">
        <w:rPr>
          <w:rFonts w:cs="Times New Roman"/>
        </w:rPr>
        <w:t xml:space="preserve">Ce délai doit permettre au locataire de s’exécuter et de quitter les lieux avant la date butoir, ce qui implique de se trouver un autre logement via le CPAS ou </w:t>
      </w:r>
      <w:r w:rsidR="0041698A">
        <w:rPr>
          <w:rFonts w:cs="Times New Roman"/>
        </w:rPr>
        <w:t xml:space="preserve">par </w:t>
      </w:r>
      <w:r w:rsidRPr="00946552">
        <w:rPr>
          <w:rFonts w:cs="Times New Roman"/>
        </w:rPr>
        <w:t xml:space="preserve">ses propres </w:t>
      </w:r>
      <w:r w:rsidR="0041698A">
        <w:rPr>
          <w:rFonts w:cs="Times New Roman"/>
        </w:rPr>
        <w:t>moyens</w:t>
      </w:r>
      <w:r w:rsidRPr="00946552">
        <w:rPr>
          <w:rFonts w:cs="Times New Roman"/>
        </w:rPr>
        <w:t xml:space="preserve">. </w:t>
      </w:r>
    </w:p>
    <w:p w14:paraId="1F88B638" w14:textId="30F52569" w:rsidR="00FF20F3" w:rsidRDefault="00973A78" w:rsidP="00E505A5">
      <w:pPr>
        <w:spacing w:line="276" w:lineRule="auto"/>
      </w:pPr>
      <w:r>
        <w:lastRenderedPageBreak/>
        <w:t xml:space="preserve">Durant ce laps de temp, l’agentivité des </w:t>
      </w:r>
      <w:r w:rsidR="00946552">
        <w:t xml:space="preserve">différents acteurs engagés dans la procédure peut </w:t>
      </w:r>
      <w:r>
        <w:t xml:space="preserve">encore une fois </w:t>
      </w:r>
      <w:r w:rsidR="00946552">
        <w:t xml:space="preserve">en transformer l’issue : </w:t>
      </w:r>
    </w:p>
    <w:p w14:paraId="05CFE337" w14:textId="268D6834" w:rsidR="00946552" w:rsidRDefault="00946552" w:rsidP="001229BC">
      <w:pPr>
        <w:pStyle w:val="Paragraphedeliste"/>
        <w:numPr>
          <w:ilvl w:val="0"/>
          <w:numId w:val="11"/>
        </w:numPr>
        <w:spacing w:line="276" w:lineRule="auto"/>
      </w:pPr>
      <w:r>
        <w:t>En fonction de quels critères le juge décide-t</w:t>
      </w:r>
      <w:r w:rsidR="00973A78">
        <w:t>-</w:t>
      </w:r>
      <w:r>
        <w:t>il de prolonger ou de raccourcir ce délai ? Face à une même situation, la décision peut-elle chang</w:t>
      </w:r>
      <w:r w:rsidR="00973A78">
        <w:t>er</w:t>
      </w:r>
      <w:r>
        <w:t xml:space="preserve"> d’un juge à l’autre ? Quelle la marge de discrétion du juge dans ce type de décision ? </w:t>
      </w:r>
    </w:p>
    <w:p w14:paraId="20BAE760" w14:textId="4097F148" w:rsidR="00946552" w:rsidRDefault="00E2381C" w:rsidP="001229BC">
      <w:pPr>
        <w:pStyle w:val="Paragraphedeliste"/>
        <w:numPr>
          <w:ilvl w:val="0"/>
          <w:numId w:val="11"/>
        </w:numPr>
        <w:spacing w:line="276" w:lineRule="auto"/>
      </w:pPr>
      <w:r>
        <w:t xml:space="preserve">Quels dispositifs sont-ils mis </w:t>
      </w:r>
      <w:r w:rsidR="00946552">
        <w:t xml:space="preserve">en place durant ce délai pour reloger les personnes ? Quel type d’accompagnement est proposé ? Quelles solutions de relogement à disposition du CPAS ? En fonction de quelles conditions un accès aux logements d’urgence ou logements de transit est envisagé ou non ? </w:t>
      </w:r>
    </w:p>
    <w:p w14:paraId="694C6C7A" w14:textId="5BA80B08" w:rsidR="00946552" w:rsidRDefault="00946552" w:rsidP="001229BC">
      <w:pPr>
        <w:pStyle w:val="Paragraphedeliste"/>
        <w:numPr>
          <w:ilvl w:val="0"/>
          <w:numId w:val="11"/>
        </w:numPr>
        <w:spacing w:line="276" w:lineRule="auto"/>
      </w:pPr>
      <w:r>
        <w:t xml:space="preserve">De quelles ressources propres les locataires disposent-ils pour parvenir à se reloger avant la date butoir ? Quels types de leviers actionnent-ils (soutien familial, hébergement chez des tiers, prêts d’argent, etc.) ? </w:t>
      </w:r>
      <w:r w:rsidR="00E2381C">
        <w:t>De quoi dépend le succès de ce processus ?</w:t>
      </w:r>
    </w:p>
    <w:p w14:paraId="6D26D481" w14:textId="5FDD2019" w:rsidR="009A0D8B" w:rsidRDefault="009A0D8B" w:rsidP="00E505A5">
      <w:pPr>
        <w:spacing w:line="276" w:lineRule="auto"/>
      </w:pPr>
      <w:r>
        <w:t xml:space="preserve">Arrive enfin la dernière étape : l’expulsion du logement. </w:t>
      </w:r>
    </w:p>
    <w:p w14:paraId="67596795" w14:textId="0A46681C" w:rsidR="00946552" w:rsidRDefault="00946552" w:rsidP="00E505A5">
      <w:pPr>
        <w:pStyle w:val="Titre3"/>
        <w:spacing w:line="276" w:lineRule="auto"/>
        <w:jc w:val="center"/>
      </w:pPr>
      <w:bookmarkStart w:id="21" w:name="_Toc152687204"/>
      <w:r>
        <w:t>L’expulsion</w:t>
      </w:r>
      <w:bookmarkEnd w:id="21"/>
      <w:r>
        <w:t xml:space="preserve"> </w:t>
      </w:r>
    </w:p>
    <w:p w14:paraId="42054CD5" w14:textId="6C9F2653" w:rsidR="00946552" w:rsidRPr="00946552" w:rsidRDefault="00946552" w:rsidP="00E505A5">
      <w:pPr>
        <w:spacing w:line="276" w:lineRule="auto"/>
        <w:rPr>
          <w:rFonts w:cs="Times New Roman"/>
        </w:rPr>
      </w:pPr>
      <w:r w:rsidRPr="00946552">
        <w:rPr>
          <w:rFonts w:cs="Times New Roman"/>
        </w:rPr>
        <w:t xml:space="preserve">À l’expiration de ce délai, le bailleur </w:t>
      </w:r>
      <w:r>
        <w:rPr>
          <w:rFonts w:cs="Times New Roman"/>
        </w:rPr>
        <w:t>peut solliciter l’</w:t>
      </w:r>
      <w:r w:rsidRPr="00946552">
        <w:rPr>
          <w:rFonts w:cs="Times New Roman"/>
        </w:rPr>
        <w:t xml:space="preserve">huissier de justice </w:t>
      </w:r>
      <w:r>
        <w:rPr>
          <w:rFonts w:cs="Times New Roman"/>
        </w:rPr>
        <w:t xml:space="preserve">afin </w:t>
      </w:r>
      <w:r w:rsidR="00E2381C">
        <w:rPr>
          <w:rFonts w:cs="Times New Roman"/>
        </w:rPr>
        <w:t xml:space="preserve">de </w:t>
      </w:r>
      <w:r w:rsidRPr="00946552">
        <w:rPr>
          <w:rFonts w:cs="Times New Roman"/>
        </w:rPr>
        <w:t>procéd</w:t>
      </w:r>
      <w:r w:rsidR="00E2381C">
        <w:rPr>
          <w:rFonts w:cs="Times New Roman"/>
        </w:rPr>
        <w:t>er</w:t>
      </w:r>
      <w:r w:rsidRPr="00946552">
        <w:rPr>
          <w:rFonts w:cs="Times New Roman"/>
        </w:rPr>
        <w:t xml:space="preserve"> à l’expulsion</w:t>
      </w:r>
      <w:r>
        <w:rPr>
          <w:rFonts w:cs="Times New Roman"/>
        </w:rPr>
        <w:t xml:space="preserve">. Ce dernier </w:t>
      </w:r>
      <w:r w:rsidRPr="00946552">
        <w:rPr>
          <w:rFonts w:cs="Times New Roman"/>
        </w:rPr>
        <w:t>se présente le jour de l’expulsion au domicile du locataire avec un serrurier, des déménageurs, la police</w:t>
      </w:r>
      <w:r w:rsidR="00E2381C">
        <w:rPr>
          <w:rFonts w:cs="Times New Roman"/>
        </w:rPr>
        <w:t xml:space="preserve"> et</w:t>
      </w:r>
      <w:r w:rsidRPr="00946552">
        <w:rPr>
          <w:rFonts w:cs="Times New Roman"/>
        </w:rPr>
        <w:t xml:space="preserve"> des agents du dépôt communal où les meubles seront gardés 6 mois</w:t>
      </w:r>
      <w:r w:rsidRPr="00946552">
        <w:rPr>
          <w:rStyle w:val="Appelnotedebasdep"/>
          <w:rFonts w:cs="Times New Roman"/>
        </w:rPr>
        <w:footnoteReference w:id="21"/>
      </w:r>
      <w:r w:rsidRPr="00946552">
        <w:rPr>
          <w:rFonts w:cs="Times New Roman"/>
        </w:rPr>
        <w:t>. Il arrive que le CPAS soit présent lors de l’expulsion, suite à la demande de l’huissier ou du locataire. Mais ce n’est absolument pas systématique.</w:t>
      </w:r>
    </w:p>
    <w:p w14:paraId="7EBF06DA" w14:textId="59C79427" w:rsidR="009A0D8B" w:rsidRDefault="009A0D8B" w:rsidP="00E505A5">
      <w:pPr>
        <w:spacing w:line="276" w:lineRule="auto"/>
      </w:pPr>
      <w:r>
        <w:t>L</w:t>
      </w:r>
      <w:r w:rsidR="00E2381C">
        <w:t>à</w:t>
      </w:r>
      <w:r>
        <w:t xml:space="preserve"> encore, il y a lieu de s’interroger sur le rôle des travailleurs sociaux des CPAS :</w:t>
      </w:r>
    </w:p>
    <w:p w14:paraId="79339740" w14:textId="5C0620F5" w:rsidR="00FF20F3" w:rsidRDefault="00946552" w:rsidP="001229BC">
      <w:pPr>
        <w:pStyle w:val="Paragraphedeliste"/>
        <w:numPr>
          <w:ilvl w:val="0"/>
          <w:numId w:val="11"/>
        </w:numPr>
        <w:spacing w:line="276" w:lineRule="auto"/>
      </w:pPr>
      <w:r>
        <w:t>En fonction de quelles conditions les CPAS sont</w:t>
      </w:r>
      <w:r w:rsidR="00E2381C">
        <w:t>-ils</w:t>
      </w:r>
      <w:r>
        <w:t xml:space="preserve"> présents lors de l’expulsion ? Quel impact cela peut-il avoir sur le locataire ? </w:t>
      </w:r>
      <w:r w:rsidR="00E905F8">
        <w:t xml:space="preserve">Sur la suite de leur parcours ? Sur le sentiment de violence institutionnelle dont ils témoignent après avoir vécu une expulsion ? </w:t>
      </w:r>
    </w:p>
    <w:p w14:paraId="7B55112E" w14:textId="77777777" w:rsidR="00AD52E3" w:rsidRDefault="00AD52E3" w:rsidP="00E505A5">
      <w:pPr>
        <w:spacing w:line="276" w:lineRule="auto"/>
      </w:pPr>
    </w:p>
    <w:p w14:paraId="2EB8D58D" w14:textId="77777777" w:rsidR="00733961" w:rsidRDefault="00733961" w:rsidP="00E505A5">
      <w:pPr>
        <w:pStyle w:val="Titre3"/>
        <w:spacing w:line="276" w:lineRule="auto"/>
      </w:pPr>
      <w:bookmarkStart w:id="22" w:name="_Toc152687205"/>
      <w:r>
        <w:t>Conclusion</w:t>
      </w:r>
      <w:bookmarkEnd w:id="22"/>
      <w:r>
        <w:t xml:space="preserve"> </w:t>
      </w:r>
    </w:p>
    <w:p w14:paraId="303A3C71" w14:textId="33528A78" w:rsidR="007B6689" w:rsidRDefault="004C2E10" w:rsidP="004C2E10">
      <w:pPr>
        <w:spacing w:line="276" w:lineRule="auto"/>
      </w:pPr>
      <w:r w:rsidRPr="007B6689">
        <w:t>La procédure</w:t>
      </w:r>
      <w:r w:rsidR="007B6689">
        <w:t xml:space="preserve"> d’expulsion</w:t>
      </w:r>
      <w:r w:rsidRPr="007B6689">
        <w:t xml:space="preserve"> </w:t>
      </w:r>
      <w:r w:rsidR="007B6689">
        <w:t xml:space="preserve">est donc un processus constitué de plusieurs étapes. Chacune d’elle </w:t>
      </w:r>
      <w:r w:rsidRPr="007B6689">
        <w:t xml:space="preserve">engage donc </w:t>
      </w:r>
      <w:r w:rsidR="00E2381C">
        <w:t xml:space="preserve">une </w:t>
      </w:r>
      <w:r w:rsidR="00733961" w:rsidRPr="007B6689">
        <w:t>multiplicité d’acteurs</w:t>
      </w:r>
      <w:r w:rsidR="007B6689" w:rsidRPr="007B6689">
        <w:t xml:space="preserve"> : locataires, bailleurs, juge de paix, travailleurs sociaux, huissiers, etc. </w:t>
      </w:r>
      <w:r w:rsidR="007B6689">
        <w:t>Bien sûr, la marge de manœuvre n’a pas la même ampl</w:t>
      </w:r>
      <w:r w:rsidR="00E2381C">
        <w:t>itud</w:t>
      </w:r>
      <w:r w:rsidR="007B6689">
        <w:t xml:space="preserve">e pour chacun des acteurs, mais à chacune de ces étapes se pose la question de l’agentivité et des choix </w:t>
      </w:r>
      <w:r w:rsidR="00E2381C">
        <w:t>opérés</w:t>
      </w:r>
      <w:r w:rsidR="007B6689">
        <w:t xml:space="preserve">, </w:t>
      </w:r>
      <w:r w:rsidR="00E2381C">
        <w:t xml:space="preserve">qui </w:t>
      </w:r>
      <w:r w:rsidR="007B6689">
        <w:t xml:space="preserve">orienteront la procédure dans l’un ou l’autre sens. </w:t>
      </w:r>
    </w:p>
    <w:p w14:paraId="03E87FF6" w14:textId="77777777" w:rsidR="00E1634A" w:rsidRDefault="007B6689" w:rsidP="007B6689">
      <w:pPr>
        <w:spacing w:line="276" w:lineRule="auto"/>
      </w:pPr>
      <w:r>
        <w:lastRenderedPageBreak/>
        <w:t>Nous pourrions donc choisir d’étudier les procédures d’expulsion depuis l’angle des locataires, comme nous pourrions choisir d’autres entrée : propriétaires, travailleurs sociaux des CPAS chargés d’accompagner les expulsions, Juges de paix, Huissiers de Justice, etc. Chacun d’eux est engagé dans le processus pour des motifs, des intérêts différents. Chacun sollicit</w:t>
      </w:r>
      <w:r w:rsidR="00E1634A">
        <w:t>e</w:t>
      </w:r>
      <w:r>
        <w:t xml:space="preserve"> des ressources différentes pour </w:t>
      </w:r>
      <w:r w:rsidR="00E1634A">
        <w:t>y prendre part</w:t>
      </w:r>
      <w:r>
        <w:t xml:space="preserve">. </w:t>
      </w:r>
    </w:p>
    <w:p w14:paraId="14C1A2AB" w14:textId="42F5A82D" w:rsidR="00DF4A26" w:rsidRDefault="00E1634A" w:rsidP="007B6689">
      <w:pPr>
        <w:spacing w:line="276" w:lineRule="auto"/>
      </w:pPr>
      <w:r>
        <w:t xml:space="preserve">Signalons également que chaque acteur </w:t>
      </w:r>
      <w:r w:rsidR="007B6689">
        <w:t xml:space="preserve">n’accorde pas </w:t>
      </w:r>
      <w:r>
        <w:t>la même signification à la procédure d’expulsion</w:t>
      </w:r>
      <w:r w:rsidR="007B6689">
        <w:t xml:space="preserve">. </w:t>
      </w:r>
      <w:r w:rsidR="00DF4A26">
        <w:t xml:space="preserve">Le diagnostic CLSS de la commune de Forest, par exemple, a interrogé Le Foyer du Sud, organisme de gestion des logements sociaux des communes de Forest et Saint-Gilles : </w:t>
      </w:r>
    </w:p>
    <w:p w14:paraId="0D9065CC" w14:textId="32370D3E" w:rsidR="00DF4A26" w:rsidRPr="00DF4A26" w:rsidRDefault="00DF4A26" w:rsidP="00DF4A26">
      <w:pPr>
        <w:pStyle w:val="Paragraphedeliste"/>
        <w:spacing w:line="276" w:lineRule="auto"/>
        <w:ind w:left="1440"/>
        <w:rPr>
          <w:sz w:val="20"/>
          <w:szCs w:val="20"/>
          <w:highlight w:val="yellow"/>
        </w:rPr>
      </w:pPr>
      <w:r w:rsidRPr="00DF4A26">
        <w:rPr>
          <w:sz w:val="20"/>
          <w:szCs w:val="20"/>
        </w:rPr>
        <w:t xml:space="preserve">« Le logement social estime que la </w:t>
      </w:r>
      <w:r w:rsidRPr="00DF4A26">
        <w:rPr>
          <w:b/>
          <w:bCs/>
          <w:sz w:val="20"/>
          <w:szCs w:val="20"/>
        </w:rPr>
        <w:t xml:space="preserve">démarche effective vers une expulsion du locataire est un outil efficace permettant de faire réagir les locataires en situation de non payement. </w:t>
      </w:r>
      <w:r w:rsidRPr="00DF4A26">
        <w:rPr>
          <w:sz w:val="20"/>
          <w:szCs w:val="20"/>
        </w:rPr>
        <w:t>Pour la société de logement, il s’avère que dans une majorité de cas, émettre une requête auprès de la justice de paix est une étape qui permet ensuite au bailleur (le Foyer du Sud) et le locataire de trouver un consensus autour du payement des arriérés. </w:t>
      </w:r>
      <w:r w:rsidRPr="00E1634A">
        <w:rPr>
          <w:sz w:val="20"/>
          <w:szCs w:val="20"/>
        </w:rPr>
        <w:t>» (</w:t>
      </w:r>
      <w:r w:rsidR="00E1634A" w:rsidRPr="00E1634A">
        <w:rPr>
          <w:sz w:val="20"/>
          <w:szCs w:val="20"/>
        </w:rPr>
        <w:t>CPAS de Forest, 2020 :</w:t>
      </w:r>
      <w:r w:rsidRPr="00E1634A">
        <w:rPr>
          <w:sz w:val="20"/>
          <w:szCs w:val="20"/>
        </w:rPr>
        <w:t xml:space="preserve"> 129)</w:t>
      </w:r>
    </w:p>
    <w:p w14:paraId="7A65F041" w14:textId="6041D9BE" w:rsidR="00733961" w:rsidRPr="00434846" w:rsidRDefault="00DF4A26" w:rsidP="00946910">
      <w:pPr>
        <w:autoSpaceDE w:val="0"/>
        <w:autoSpaceDN w:val="0"/>
        <w:adjustRightInd w:val="0"/>
        <w:spacing w:line="240" w:lineRule="auto"/>
      </w:pPr>
      <w:r>
        <w:t>Car, e</w:t>
      </w:r>
      <w:r w:rsidR="007B6689">
        <w:t>nfin, l’</w:t>
      </w:r>
      <w:r>
        <w:t>enjeu n’est bien sûr le</w:t>
      </w:r>
      <w:r w:rsidR="007B6689">
        <w:t xml:space="preserve"> même pour tous : là où le Juge de paix, l’huissier </w:t>
      </w:r>
      <w:r w:rsidR="00E1634A">
        <w:t>et</w:t>
      </w:r>
      <w:r w:rsidR="007B6689">
        <w:t xml:space="preserve"> le travailleur social se contente</w:t>
      </w:r>
      <w:r w:rsidR="00E1634A">
        <w:t>nt</w:t>
      </w:r>
      <w:r w:rsidR="007B6689">
        <w:t xml:space="preserve"> de faire leur travail, le locataire, lui, risque de se retrouver à la rue.</w:t>
      </w:r>
      <w:r w:rsidR="00434846">
        <w:t xml:space="preserve"> La question se pose donc de savoir quels types de ressource</w:t>
      </w:r>
      <w:r w:rsidR="00946910">
        <w:t>s</w:t>
      </w:r>
      <w:r w:rsidR="00434846">
        <w:t xml:space="preserve"> ou capitaux (sociaux, symboliques, économiques, administratifs</w:t>
      </w:r>
      <w:r w:rsidR="00E1634A">
        <w:t>, etc.</w:t>
      </w:r>
      <w:r w:rsidR="00434846">
        <w:t xml:space="preserve">) les locataires </w:t>
      </w:r>
      <w:r w:rsidR="00434846" w:rsidRPr="00946910">
        <w:t xml:space="preserve">parviennent – ou ne parviennent pas – à mobiliser pour se maintenir au logement et faire valoir leurs droits </w:t>
      </w:r>
      <w:r w:rsidR="00733961" w:rsidRPr="00946910">
        <w:t>(</w:t>
      </w:r>
      <w:r w:rsidR="00434846" w:rsidRPr="00946910">
        <w:t xml:space="preserve">Bourdieu, 2000 ; </w:t>
      </w:r>
      <w:proofErr w:type="spellStart"/>
      <w:r w:rsidR="00733961" w:rsidRPr="00946910">
        <w:t>Lascoumes</w:t>
      </w:r>
      <w:proofErr w:type="spellEnd"/>
      <w:r w:rsidR="00733961" w:rsidRPr="00946910">
        <w:t xml:space="preserve"> </w:t>
      </w:r>
      <w:r w:rsidR="00434846" w:rsidRPr="00946910">
        <w:t>et Le Bourhis, 1996)</w:t>
      </w:r>
      <w:r w:rsidR="00733961" w:rsidRPr="00946910">
        <w:t>.</w:t>
      </w:r>
      <w:r w:rsidR="00733961" w:rsidRPr="00434846">
        <w:t xml:space="preserve"> </w:t>
      </w:r>
    </w:p>
    <w:p w14:paraId="7D29FDAF" w14:textId="710B6FDF" w:rsidR="00F34BDC" w:rsidRDefault="005D12A3" w:rsidP="007A6EC2">
      <w:pPr>
        <w:spacing w:line="276" w:lineRule="auto"/>
      </w:pPr>
      <w:r>
        <w:t>Le phénomène des expulsions locatives est donc un phénomène complexe, relativement peu documenté</w:t>
      </w:r>
      <w:r w:rsidR="00693DF6">
        <w:t xml:space="preserve"> </w:t>
      </w:r>
      <w:r w:rsidR="00F34BDC">
        <w:t>ou</w:t>
      </w:r>
      <w:r w:rsidR="00693DF6">
        <w:t xml:space="preserve"> étudié</w:t>
      </w:r>
      <w:r>
        <w:t>.</w:t>
      </w:r>
      <w:r w:rsidR="00693DF6">
        <w:t xml:space="preserve"> Parce qu’il recoupe des trajectoires de locataires tout à fait di</w:t>
      </w:r>
      <w:r w:rsidR="00F34BDC">
        <w:t>verses</w:t>
      </w:r>
      <w:r w:rsidR="00693DF6">
        <w:t>, parce qu’il engage différents acteurs,</w:t>
      </w:r>
      <w:r w:rsidR="00F34BDC">
        <w:t xml:space="preserve"> avec différentes motivations et ressources, parce que l’issue du parcours n’est jamais connue d’avance, </w:t>
      </w:r>
      <w:r w:rsidR="00693DF6">
        <w:t xml:space="preserve">c’est </w:t>
      </w:r>
      <w:r w:rsidR="00F34BDC">
        <w:t>une véritable énigme sociologique qui se pose à nous : comment se fait-il que certaines procédures aboutissent à l’expulsion et d’autres pas ? Que ce passe-</w:t>
      </w:r>
      <w:proofErr w:type="spellStart"/>
      <w:r w:rsidR="00F34BDC">
        <w:t>t’il</w:t>
      </w:r>
      <w:proofErr w:type="spellEnd"/>
      <w:r w:rsidR="00F34BDC">
        <w:t xml:space="preserve"> en cours de route ? Quels sont les leviers qui permettent d’arrêter la procédure ? Ou d’en sortir ? </w:t>
      </w:r>
    </w:p>
    <w:p w14:paraId="5565116B" w14:textId="262129DC" w:rsidR="005D12A3" w:rsidRDefault="00F34BDC" w:rsidP="007A6EC2">
      <w:pPr>
        <w:spacing w:line="276" w:lineRule="auto"/>
      </w:pPr>
      <w:r>
        <w:t xml:space="preserve">Les parcours d’expulsions </w:t>
      </w:r>
      <w:r w:rsidR="009E4110">
        <w:t>se révèlent être</w:t>
      </w:r>
      <w:r>
        <w:t xml:space="preserve"> </w:t>
      </w:r>
      <w:r w:rsidR="00693DF6">
        <w:t xml:space="preserve">un objet de grand intérêt </w:t>
      </w:r>
      <w:r>
        <w:t>tant</w:t>
      </w:r>
      <w:r w:rsidR="00693DF6">
        <w:t xml:space="preserve"> sociologique </w:t>
      </w:r>
      <w:r>
        <w:t xml:space="preserve">que politique </w:t>
      </w:r>
      <w:r w:rsidR="009E4110">
        <w:t>pour l</w:t>
      </w:r>
      <w:r>
        <w:t>e droit au logement</w:t>
      </w:r>
      <w:r w:rsidR="009E4110">
        <w:t xml:space="preserve">, objet qui </w:t>
      </w:r>
      <w:r w:rsidR="005D12A3">
        <w:t>suscite de nombreuses questions</w:t>
      </w:r>
      <w:r>
        <w:t>. Nous en avons identifié quatre, que nous suivrons, comme un fil, dans la suite de ce TFE. Il s’agira, pour chacune, de se munir d’outils sociologiques (concepts ou méthodes) qui nous permettront d’y répondre</w:t>
      </w:r>
      <w:r w:rsidR="009E4110">
        <w:t xml:space="preserve">. </w:t>
      </w:r>
    </w:p>
    <w:p w14:paraId="6EE3A7F3" w14:textId="46B13F39" w:rsidR="00FC1EC2" w:rsidRDefault="00F34BDC" w:rsidP="001229BC">
      <w:pPr>
        <w:pStyle w:val="Paragraphedeliste"/>
        <w:numPr>
          <w:ilvl w:val="0"/>
          <w:numId w:val="13"/>
        </w:numPr>
        <w:spacing w:line="276" w:lineRule="auto"/>
      </w:pPr>
      <w:r>
        <w:t xml:space="preserve">Comment comprendre les parcours d’expulsions locatives ? </w:t>
      </w:r>
      <w:r w:rsidR="00FC1EC2">
        <w:t>Doit-on comprendre les expulsions comme des « accidents de parcours » individuels ? Ou doit-on regarder du côté de la conjoncture politique et sociale </w:t>
      </w:r>
      <w:r w:rsidR="00946910">
        <w:t xml:space="preserve">voire de la structure sociale </w:t>
      </w:r>
      <w:r w:rsidR="00FC1EC2">
        <w:t>? Comment articuler les deux dimensions (individuelle, conjoncturelle, voire structurelle) pour comprendre le phénomène ?</w:t>
      </w:r>
      <w:r w:rsidR="008240E0">
        <w:t xml:space="preserve"> </w:t>
      </w:r>
    </w:p>
    <w:p w14:paraId="58240F52" w14:textId="2F32B67E" w:rsidR="00FC1EC2" w:rsidRDefault="00FC1EC2" w:rsidP="001229BC">
      <w:pPr>
        <w:pStyle w:val="Paragraphedeliste"/>
        <w:numPr>
          <w:ilvl w:val="0"/>
          <w:numId w:val="13"/>
        </w:numPr>
        <w:spacing w:line="276" w:lineRule="auto"/>
      </w:pPr>
      <w:r>
        <w:t>Comment les travailleurs sociaux sont-ils engagés dans ce type de procédure ? Quel type de travail social est possible dans ces cas ? En fonction de quels critères le locataire aura-t</w:t>
      </w:r>
      <w:r w:rsidR="00946910">
        <w:t>-</w:t>
      </w:r>
      <w:r>
        <w:t xml:space="preserve">il accès à une solution de relogement ? L’accès à un relogement d’urgence dépend-il du pouvoir discrétionnaire du travailleurs ? </w:t>
      </w:r>
    </w:p>
    <w:p w14:paraId="7F19AEBD" w14:textId="478FBB1E" w:rsidR="007A6EC2" w:rsidRDefault="00693DF6" w:rsidP="001229BC">
      <w:pPr>
        <w:pStyle w:val="Paragraphedeliste"/>
        <w:numPr>
          <w:ilvl w:val="0"/>
          <w:numId w:val="13"/>
        </w:numPr>
        <w:spacing w:line="276" w:lineRule="auto"/>
      </w:pPr>
      <w:r>
        <w:t>Quels sens donnent à l’expulsion chacun des acteurs engagés dans le processus ?</w:t>
      </w:r>
      <w:r w:rsidR="007A6EC2">
        <w:t xml:space="preserve"> </w:t>
      </w:r>
      <w:r w:rsidR="00862593">
        <w:t>En particulier, q</w:t>
      </w:r>
      <w:r>
        <w:t xml:space="preserve">uelles sont les motivations des bailleurs qui initient la procédure ? </w:t>
      </w:r>
      <w:r w:rsidR="002A0D51">
        <w:t>Comment se fait-il que certains sollicitent un juge de paix et d’autres pas ?</w:t>
      </w:r>
      <w:r w:rsidR="001754D1">
        <w:t xml:space="preserve"> </w:t>
      </w:r>
      <w:r w:rsidR="001754D1" w:rsidRPr="001754D1">
        <w:t>Quand et pourquoi décident-ils d’introduire une requête auprès d’un juge ?</w:t>
      </w:r>
    </w:p>
    <w:p w14:paraId="33FF13D2" w14:textId="5621355D" w:rsidR="00E64BC5" w:rsidRDefault="00E64BC5" w:rsidP="001229BC">
      <w:pPr>
        <w:pStyle w:val="Paragraphedeliste"/>
        <w:numPr>
          <w:ilvl w:val="0"/>
          <w:numId w:val="13"/>
        </w:numPr>
        <w:spacing w:line="276" w:lineRule="auto"/>
      </w:pPr>
      <w:r>
        <w:t xml:space="preserve">Qu’est ce qui </w:t>
      </w:r>
      <w:r w:rsidR="00DE7E0C">
        <w:t>a</w:t>
      </w:r>
      <w:r>
        <w:t xml:space="preserve">mène le locataire à se retrouver engagé dans une procédure d’expulsion ? Comment se fait-il que le locataire </w:t>
      </w:r>
      <w:r w:rsidR="00946910">
        <w:t>en vienne</w:t>
      </w:r>
      <w:r>
        <w:t xml:space="preserve">, à un moment donné, </w:t>
      </w:r>
      <w:r w:rsidR="00946910">
        <w:t xml:space="preserve">à </w:t>
      </w:r>
      <w:r>
        <w:t xml:space="preserve">interrompre le paiement de son loyer ? </w:t>
      </w:r>
    </w:p>
    <w:p w14:paraId="624E87F4" w14:textId="4E54C096" w:rsidR="00733961" w:rsidRDefault="005D12A3" w:rsidP="00E505A5">
      <w:pPr>
        <w:spacing w:line="276" w:lineRule="auto"/>
        <w:jc w:val="left"/>
      </w:pPr>
      <w:r>
        <w:t>Nous voici donc arrivé au cœur de ce TFE :</w:t>
      </w:r>
      <w:r w:rsidR="00581314">
        <w:t xml:space="preserve"> </w:t>
      </w:r>
      <w:r>
        <w:t>puiser dans la sociologie afin d’identifier une série d’outils conceptuels</w:t>
      </w:r>
      <w:r w:rsidR="00946910">
        <w:t>/</w:t>
      </w:r>
      <w:r>
        <w:t xml:space="preserve">méthodologiques qui nous permettraient de répondre à ces questions. </w:t>
      </w:r>
      <w:r w:rsidR="00733961">
        <w:br w:type="page"/>
      </w:r>
    </w:p>
    <w:p w14:paraId="6B0AB212" w14:textId="4EA0A792" w:rsidR="007D2352" w:rsidRDefault="003D5BCC" w:rsidP="001229BC">
      <w:pPr>
        <w:pStyle w:val="Titre1"/>
        <w:numPr>
          <w:ilvl w:val="0"/>
          <w:numId w:val="6"/>
        </w:numPr>
        <w:spacing w:line="276" w:lineRule="auto"/>
      </w:pPr>
      <w:bookmarkStart w:id="23" w:name="_Toc152687206"/>
      <w:bookmarkEnd w:id="0"/>
      <w:r>
        <w:lastRenderedPageBreak/>
        <w:t xml:space="preserve">Des outils sociologiques </w:t>
      </w:r>
      <w:r w:rsidR="00BD4FDA">
        <w:t>pour saisir les parcours d’expulsion</w:t>
      </w:r>
      <w:bookmarkEnd w:id="23"/>
      <w:r w:rsidR="00BD4FDA">
        <w:t xml:space="preserve"> </w:t>
      </w:r>
    </w:p>
    <w:p w14:paraId="3555F846" w14:textId="6DA26EDF" w:rsidR="00F67E7C" w:rsidRDefault="0092301D" w:rsidP="0092301D">
      <w:pPr>
        <w:spacing w:line="276" w:lineRule="auto"/>
      </w:pPr>
      <w:r>
        <w:t>La première partie de ce TFE proposait un état des lieux de la recherche académique et institutionnelle sur les expulsions domiciliaires. La deuxième partie revenait sur le phénomène en précisant différents éléments de la mise en œuvre de la procédure : une présentation du cadre légal ; un inventaire des chiffres disponibles pour la Belgique et les régions ; une relecture par étape</w:t>
      </w:r>
      <w:r w:rsidR="009216CA">
        <w:t>s</w:t>
      </w:r>
      <w:r>
        <w:t xml:space="preserve"> de la procédure d’expulsion judiciaire</w:t>
      </w:r>
      <w:r w:rsidR="00F67E7C">
        <w:t xml:space="preserve">, mettant la focale sur les acteurs engagés. </w:t>
      </w:r>
    </w:p>
    <w:p w14:paraId="0BEBAE5C" w14:textId="31C26A59" w:rsidR="00FC1EC2" w:rsidRDefault="00FC1EC2" w:rsidP="0092301D">
      <w:pPr>
        <w:spacing w:line="276" w:lineRule="auto"/>
      </w:pPr>
      <w:r>
        <w:t>Ces différents matériau</w:t>
      </w:r>
      <w:r w:rsidR="009216CA">
        <w:t>x</w:t>
      </w:r>
      <w:r>
        <w:t xml:space="preserve"> (état de la recherche</w:t>
      </w:r>
      <w:r w:rsidR="009216CA">
        <w:t xml:space="preserve">, </w:t>
      </w:r>
      <w:r>
        <w:t>cadre légal</w:t>
      </w:r>
      <w:r w:rsidR="009216CA">
        <w:t>,</w:t>
      </w:r>
      <w:r>
        <w:t xml:space="preserve"> inventaire quantitatif</w:t>
      </w:r>
      <w:r w:rsidR="009216CA">
        <w:t xml:space="preserve">, </w:t>
      </w:r>
      <w:r>
        <w:t>déroulement de la procédure) a fait émergée une série de question</w:t>
      </w:r>
      <w:r w:rsidR="009216CA">
        <w:t>s</w:t>
      </w:r>
      <w:r>
        <w:t>, une série d’énigme</w:t>
      </w:r>
      <w:r w:rsidR="009216CA">
        <w:t>s</w:t>
      </w:r>
      <w:r>
        <w:t xml:space="preserve">, chacune méritant investigation et analyse sociologique. </w:t>
      </w:r>
    </w:p>
    <w:p w14:paraId="2CC6A858" w14:textId="714B367C" w:rsidR="009E4110" w:rsidRDefault="009F2AF0" w:rsidP="0092301D">
      <w:pPr>
        <w:spacing w:line="276" w:lineRule="auto"/>
      </w:pPr>
      <w:r>
        <w:t xml:space="preserve">La première question porte sur la manière de saisir les parcours d’expulsion. Et l’alternative entre </w:t>
      </w:r>
      <w:r w:rsidR="009216CA">
        <w:t xml:space="preserve">une </w:t>
      </w:r>
      <w:r>
        <w:t xml:space="preserve">approche individualisante et </w:t>
      </w:r>
      <w:r w:rsidR="009216CA">
        <w:t xml:space="preserve">une </w:t>
      </w:r>
      <w:r>
        <w:t>approche structurelle :</w:t>
      </w:r>
    </w:p>
    <w:p w14:paraId="036CB060" w14:textId="12653316" w:rsidR="009F2AF0" w:rsidRPr="008240E0" w:rsidRDefault="009F2AF0" w:rsidP="001229BC">
      <w:pPr>
        <w:pStyle w:val="Paragraphedeliste"/>
        <w:numPr>
          <w:ilvl w:val="0"/>
          <w:numId w:val="15"/>
        </w:numPr>
        <w:spacing w:line="276" w:lineRule="auto"/>
        <w:rPr>
          <w:i/>
        </w:rPr>
      </w:pPr>
      <w:r w:rsidRPr="008240E0">
        <w:rPr>
          <w:i/>
        </w:rPr>
        <w:t>Doit-on comprendre les expulsions comme des « accidents de parcours » individuels ? Ou doit-on regarder du côté de la conjoncture politique et sociale ? Comment articuler les deux dimensions (individuelle, conjoncturelle, voire structurelle) pour comprendre le phénomène ?</w:t>
      </w:r>
      <w:r w:rsidR="008240E0" w:rsidRPr="008240E0">
        <w:t xml:space="preserve"> </w:t>
      </w:r>
    </w:p>
    <w:p w14:paraId="145E49F0" w14:textId="11C68C95" w:rsidR="003D5BCC" w:rsidRPr="0092301D" w:rsidRDefault="0092301D" w:rsidP="0092301D">
      <w:pPr>
        <w:spacing w:line="276" w:lineRule="auto"/>
      </w:pPr>
      <w:r>
        <w:t xml:space="preserve"> </w:t>
      </w:r>
      <w:r w:rsidR="009F2AF0">
        <w:t xml:space="preserve">Cette question était déjà présente dans l’introduction de ce TFE lorsque j’évoquais ma rencontre avec différents travailleurs sociaux dans le cadre de </w:t>
      </w:r>
      <w:r w:rsidR="009216CA">
        <w:t>l’</w:t>
      </w:r>
      <w:r w:rsidR="009F2AF0">
        <w:t xml:space="preserve">enquête de terrain liée à ma thèse. Si </w:t>
      </w:r>
      <w:r w:rsidR="0077014C">
        <w:t>elle comporte un</w:t>
      </w:r>
      <w:r w:rsidR="009F2AF0">
        <w:t xml:space="preserve"> véritable intérêt sociologique</w:t>
      </w:r>
      <w:r w:rsidR="009216CA">
        <w:t xml:space="preserve">, </w:t>
      </w:r>
      <w:r w:rsidR="0077014C">
        <w:t xml:space="preserve">rappelons qu’elle </w:t>
      </w:r>
      <w:r w:rsidR="009F2AF0">
        <w:t>co</w:t>
      </w:r>
      <w:r w:rsidR="0077014C">
        <w:t>mprend également</w:t>
      </w:r>
      <w:r w:rsidR="009F2AF0">
        <w:t xml:space="preserve"> une portée politique et pratique</w:t>
      </w:r>
      <w:r w:rsidR="0077014C">
        <w:t> : elle peut orienter le type d’accompagnement proposé aux locataires qui subissent ce type de procédure (cf. anecdote de l’introduction).</w:t>
      </w:r>
    </w:p>
    <w:p w14:paraId="475E78D4" w14:textId="752693CD" w:rsidR="008E5D4F" w:rsidRDefault="00124749" w:rsidP="001229BC">
      <w:pPr>
        <w:pStyle w:val="Titre2"/>
        <w:numPr>
          <w:ilvl w:val="0"/>
          <w:numId w:val="1"/>
        </w:numPr>
        <w:spacing w:line="276" w:lineRule="auto"/>
      </w:pPr>
      <w:bookmarkStart w:id="24" w:name="_Toc152687207"/>
      <w:r>
        <w:t xml:space="preserve">Récits </w:t>
      </w:r>
      <w:r w:rsidR="00B218E3">
        <w:t>de vie</w:t>
      </w:r>
      <w:r>
        <w:t>, trajectoires et carrières</w:t>
      </w:r>
      <w:bookmarkEnd w:id="24"/>
      <w:r>
        <w:t xml:space="preserve"> </w:t>
      </w:r>
    </w:p>
    <w:p w14:paraId="23421808" w14:textId="42590E43" w:rsidR="00B218E3" w:rsidRPr="00B218E3" w:rsidRDefault="00D1690F" w:rsidP="00B218E3">
      <w:pPr>
        <w:spacing w:line="276" w:lineRule="auto"/>
      </w:pPr>
      <w:r w:rsidRPr="00B218E3">
        <w:t xml:space="preserve">Comment donc appréhender les parcours d’expulsion ? </w:t>
      </w:r>
      <w:r w:rsidR="00B218E3" w:rsidRPr="00B218E3">
        <w:t>Cette question</w:t>
      </w:r>
      <w:r w:rsidR="009216CA">
        <w:t xml:space="preserve"> implique </w:t>
      </w:r>
      <w:r w:rsidR="00B218E3" w:rsidRPr="00B218E3">
        <w:t>en fait deux </w:t>
      </w:r>
      <w:r w:rsidR="00383781">
        <w:t xml:space="preserve">enjeux </w:t>
      </w:r>
      <w:r w:rsidR="00B218E3" w:rsidRPr="00B218E3">
        <w:t xml:space="preserve">: </w:t>
      </w:r>
    </w:p>
    <w:p w14:paraId="4F33C5B5" w14:textId="3795381D" w:rsidR="00B218E3" w:rsidRPr="00B218E3" w:rsidRDefault="008E5D4F" w:rsidP="00B218E3">
      <w:pPr>
        <w:spacing w:line="276" w:lineRule="auto"/>
        <w:ind w:left="708"/>
      </w:pPr>
      <w:r w:rsidRPr="00B218E3">
        <w:t xml:space="preserve">1) </w:t>
      </w:r>
      <w:r w:rsidR="00B218E3" w:rsidRPr="00B218E3">
        <w:t>il s’agit d’abord d’appréhender un processus, construit en étape</w:t>
      </w:r>
      <w:r w:rsidR="00652A7A">
        <w:t>s</w:t>
      </w:r>
      <w:r w:rsidR="00B218E3" w:rsidRPr="00B218E3">
        <w:t>, dans une perspective dynamique et longitudinale, qui a un début, des bifurcations possible</w:t>
      </w:r>
      <w:r w:rsidR="00B218E3">
        <w:t>s</w:t>
      </w:r>
      <w:r w:rsidR="00B218E3" w:rsidRPr="00B218E3">
        <w:t xml:space="preserve">, et une fin. </w:t>
      </w:r>
    </w:p>
    <w:p w14:paraId="4D565CA1" w14:textId="2A65B80C" w:rsidR="008E5D4F" w:rsidRPr="00B218E3" w:rsidRDefault="00B218E3" w:rsidP="00B218E3">
      <w:pPr>
        <w:spacing w:line="276" w:lineRule="auto"/>
        <w:ind w:left="708"/>
      </w:pPr>
      <w:r w:rsidRPr="00B218E3">
        <w:t>2</w:t>
      </w:r>
      <w:r w:rsidR="008E5D4F" w:rsidRPr="00B218E3">
        <w:t xml:space="preserve">) </w:t>
      </w:r>
      <w:r w:rsidRPr="00B218E3">
        <w:t xml:space="preserve">il s’agit ensuite comme on l’a dit, de parvenir à articuler </w:t>
      </w:r>
      <w:r w:rsidR="008E5D4F" w:rsidRPr="00B218E3">
        <w:t>le singulier et le collectif, l’individuel et le structurel</w:t>
      </w:r>
      <w:r w:rsidRPr="00B218E3">
        <w:t xml:space="preserve">, à une époque où </w:t>
      </w:r>
      <w:r w:rsidR="008E5D4F" w:rsidRPr="00B218E3">
        <w:t xml:space="preserve">les politiques sociale d’insertion et </w:t>
      </w:r>
      <w:proofErr w:type="gramStart"/>
      <w:r w:rsidR="008E5D4F" w:rsidRPr="00B218E3">
        <w:t>d’</w:t>
      </w:r>
      <w:r w:rsidR="00652A7A">
        <w:t> «</w:t>
      </w:r>
      <w:proofErr w:type="gramEnd"/>
      <w:r w:rsidR="00652A7A">
        <w:t> </w:t>
      </w:r>
      <w:r w:rsidR="008E5D4F" w:rsidRPr="00B218E3">
        <w:t>activation</w:t>
      </w:r>
      <w:r w:rsidR="00652A7A">
        <w:t> »</w:t>
      </w:r>
      <w:r w:rsidRPr="00B218E3">
        <w:t xml:space="preserve"> se construisent sur une approche individualisante de la précarité, ce qui n’est pas sans effet pervers sur le public (</w:t>
      </w:r>
      <w:r>
        <w:t>les politiques d’</w:t>
      </w:r>
      <w:r w:rsidR="00652A7A">
        <w:t> « </w:t>
      </w:r>
      <w:r w:rsidRPr="00B218E3">
        <w:t>activation</w:t>
      </w:r>
      <w:r w:rsidR="00652A7A">
        <w:t> »</w:t>
      </w:r>
      <w:r w:rsidRPr="00B218E3">
        <w:t xml:space="preserve">, </w:t>
      </w:r>
      <w:r>
        <w:t xml:space="preserve">de </w:t>
      </w:r>
      <w:r w:rsidR="00652A7A">
        <w:t>« </w:t>
      </w:r>
      <w:r w:rsidRPr="00B218E3">
        <w:t>contractualisation</w:t>
      </w:r>
      <w:r w:rsidR="00652A7A">
        <w:t> »</w:t>
      </w:r>
      <w:r w:rsidRPr="00B218E3">
        <w:t xml:space="preserve">, </w:t>
      </w:r>
      <w:r>
        <w:t xml:space="preserve">et leur </w:t>
      </w:r>
      <w:r w:rsidR="008E5D4F" w:rsidRPr="00B218E3">
        <w:t>injonction</w:t>
      </w:r>
      <w:r w:rsidR="00101442" w:rsidRPr="00B218E3">
        <w:t xml:space="preserve"> </w:t>
      </w:r>
      <w:r w:rsidR="008E5D4F" w:rsidRPr="00B218E3">
        <w:t>l’</w:t>
      </w:r>
      <w:r w:rsidR="00652A7A">
        <w:t> « </w:t>
      </w:r>
      <w:r w:rsidR="008E5D4F" w:rsidRPr="00B218E3">
        <w:t>autonomie</w:t>
      </w:r>
      <w:r w:rsidR="00652A7A">
        <w:t> »</w:t>
      </w:r>
      <w:r w:rsidRPr="00B218E3">
        <w:t xml:space="preserve"> cf.</w:t>
      </w:r>
      <w:r w:rsidR="00652A7A">
        <w:t xml:space="preserve"> les travaux de François</w:t>
      </w:r>
      <w:r w:rsidRPr="00B218E3">
        <w:t xml:space="preserve"> De Singly</w:t>
      </w:r>
      <w:r w:rsidR="00652A7A">
        <w:t>, Nicolas</w:t>
      </w:r>
      <w:r w:rsidRPr="00B218E3">
        <w:t xml:space="preserve"> </w:t>
      </w:r>
      <w:proofErr w:type="spellStart"/>
      <w:r w:rsidR="008E5D4F" w:rsidRPr="00B218E3">
        <w:t>Duvoux</w:t>
      </w:r>
      <w:proofErr w:type="spellEnd"/>
      <w:r w:rsidRPr="00B218E3">
        <w:t> </w:t>
      </w:r>
      <w:r w:rsidR="006D2D8B">
        <w:t xml:space="preserve">ou Cégolène </w:t>
      </w:r>
      <w:r w:rsidRPr="00B218E3">
        <w:t>Frisque).</w:t>
      </w:r>
    </w:p>
    <w:p w14:paraId="13A4C52C" w14:textId="3B64F744" w:rsidR="003D710E" w:rsidRDefault="00383781" w:rsidP="00E505A5">
      <w:pPr>
        <w:spacing w:line="276" w:lineRule="auto"/>
      </w:pPr>
      <w:r>
        <w:t xml:space="preserve">Pour y répondre, nous nous pencherons d’abord sur ce que </w:t>
      </w:r>
      <w:r w:rsidR="006210B3">
        <w:t>l</w:t>
      </w:r>
      <w:r w:rsidR="00AB4071">
        <w:t xml:space="preserve">a collecte des récits biographiques des locataires engagés dans des procédures d’expulsions </w:t>
      </w:r>
      <w:r>
        <w:t>aurait à nous offrir.</w:t>
      </w:r>
    </w:p>
    <w:p w14:paraId="601FEB73" w14:textId="620C1C00" w:rsidR="000364A9" w:rsidRPr="00650543" w:rsidRDefault="00B218E3" w:rsidP="00E505A5">
      <w:pPr>
        <w:pStyle w:val="Titre3"/>
        <w:spacing w:line="276" w:lineRule="auto"/>
      </w:pPr>
      <w:bookmarkStart w:id="25" w:name="_Toc152687208"/>
      <w:r>
        <w:t>L</w:t>
      </w:r>
      <w:r w:rsidR="00554A7B">
        <w:t>a notion de trajectoire</w:t>
      </w:r>
      <w:bookmarkEnd w:id="25"/>
    </w:p>
    <w:p w14:paraId="7CFAADBA" w14:textId="300E2B38" w:rsidR="00DE453E" w:rsidRDefault="00B33603" w:rsidP="008B1033">
      <w:pPr>
        <w:spacing w:line="276" w:lineRule="auto"/>
        <w:rPr>
          <w:rFonts w:eastAsia="Code2000" w:cs="Times New Roman"/>
        </w:rPr>
      </w:pPr>
      <w:r>
        <w:t>L</w:t>
      </w:r>
      <w:r w:rsidR="002A1BD8">
        <w:t xml:space="preserve">’approche biographique </w:t>
      </w:r>
      <w:r w:rsidR="0064410E">
        <w:t xml:space="preserve">est le premier outil dont nous pourrions nous saisir, </w:t>
      </w:r>
      <w:r w:rsidR="006D2D8B">
        <w:t>tout en gardant</w:t>
      </w:r>
      <w:r w:rsidR="0064410E">
        <w:t xml:space="preserve"> en tête les </w:t>
      </w:r>
      <w:r w:rsidR="002A1BD8">
        <w:t xml:space="preserve">différents « risques » et « écueils » </w:t>
      </w:r>
      <w:r w:rsidR="00383781">
        <w:rPr>
          <w:rFonts w:eastAsia="Code2000" w:cs="Times New Roman"/>
        </w:rPr>
        <w:t>listés par Passeron (Passeron, 1990)</w:t>
      </w:r>
      <w:r w:rsidR="006D2D8B">
        <w:rPr>
          <w:rFonts w:eastAsia="Code2000" w:cs="Times New Roman"/>
        </w:rPr>
        <w:t> : l</w:t>
      </w:r>
      <w:r w:rsidR="008E5D4F" w:rsidRPr="00405112">
        <w:rPr>
          <w:rFonts w:eastAsia="Code2000" w:cs="Times New Roman"/>
        </w:rPr>
        <w:t xml:space="preserve">es récits </w:t>
      </w:r>
      <w:r w:rsidR="002A1BD8">
        <w:rPr>
          <w:rFonts w:eastAsia="Code2000" w:cs="Times New Roman"/>
        </w:rPr>
        <w:t>biographiques</w:t>
      </w:r>
      <w:r w:rsidR="008E5D4F" w:rsidRPr="00405112">
        <w:rPr>
          <w:rFonts w:eastAsia="Code2000" w:cs="Times New Roman"/>
        </w:rPr>
        <w:t xml:space="preserve"> </w:t>
      </w:r>
      <w:r w:rsidR="00383781">
        <w:rPr>
          <w:rFonts w:eastAsia="Code2000" w:cs="Times New Roman"/>
        </w:rPr>
        <w:t xml:space="preserve">produiraient </w:t>
      </w:r>
      <w:r w:rsidR="008E5D4F" w:rsidRPr="00405112">
        <w:rPr>
          <w:rFonts w:eastAsia="Code2000" w:cs="Times New Roman"/>
        </w:rPr>
        <w:t>« l'illusion littéraire de la compréhension »</w:t>
      </w:r>
      <w:r w:rsidR="00736811">
        <w:rPr>
          <w:rFonts w:eastAsia="Code2000" w:cs="Times New Roman"/>
        </w:rPr>
        <w:t xml:space="preserve">, </w:t>
      </w:r>
      <w:r w:rsidR="00383781">
        <w:rPr>
          <w:rFonts w:eastAsia="Code2000" w:cs="Times New Roman"/>
        </w:rPr>
        <w:t>accordant un</w:t>
      </w:r>
      <w:r w:rsidR="008B1033">
        <w:rPr>
          <w:rFonts w:eastAsia="Code2000" w:cs="Times New Roman"/>
        </w:rPr>
        <w:t xml:space="preserve"> lien logique</w:t>
      </w:r>
      <w:r w:rsidR="00383781">
        <w:rPr>
          <w:rFonts w:eastAsia="Code2000" w:cs="Times New Roman"/>
        </w:rPr>
        <w:t xml:space="preserve"> </w:t>
      </w:r>
      <w:r w:rsidR="008B1033">
        <w:rPr>
          <w:rFonts w:eastAsia="Code2000" w:cs="Times New Roman"/>
        </w:rPr>
        <w:t xml:space="preserve">à </w:t>
      </w:r>
      <w:r w:rsidR="00383781">
        <w:rPr>
          <w:rFonts w:eastAsia="Code2000" w:cs="Times New Roman"/>
        </w:rPr>
        <w:t xml:space="preserve">une série </w:t>
      </w:r>
      <w:r w:rsidR="008E5D4F" w:rsidRPr="00405112">
        <w:rPr>
          <w:rFonts w:eastAsia="Code2000" w:cs="Times New Roman"/>
        </w:rPr>
        <w:t>d’évènement</w:t>
      </w:r>
      <w:r w:rsidR="008B1033">
        <w:rPr>
          <w:rFonts w:eastAsia="Code2000" w:cs="Times New Roman"/>
        </w:rPr>
        <w:t>s</w:t>
      </w:r>
      <w:r w:rsidR="008E5D4F" w:rsidRPr="00405112">
        <w:rPr>
          <w:rFonts w:eastAsia="Code2000" w:cs="Times New Roman"/>
        </w:rPr>
        <w:t xml:space="preserve"> qui s’enchaine</w:t>
      </w:r>
      <w:r w:rsidR="00736811">
        <w:rPr>
          <w:rFonts w:eastAsia="Code2000" w:cs="Times New Roman"/>
        </w:rPr>
        <w:t>nt</w:t>
      </w:r>
      <w:r w:rsidR="008E5D4F" w:rsidRPr="00405112">
        <w:rPr>
          <w:rFonts w:eastAsia="Code2000" w:cs="Times New Roman"/>
        </w:rPr>
        <w:t xml:space="preserve"> et se répondent</w:t>
      </w:r>
      <w:r w:rsidR="008E5D4F">
        <w:rPr>
          <w:rFonts w:eastAsia="Code2000" w:cs="Times New Roman"/>
        </w:rPr>
        <w:t xml:space="preserve">, </w:t>
      </w:r>
      <w:r w:rsidR="008B1033">
        <w:rPr>
          <w:rFonts w:eastAsia="Code2000" w:cs="Times New Roman"/>
        </w:rPr>
        <w:t xml:space="preserve">prenant sens l’un par l’autre, dans un parfait </w:t>
      </w:r>
      <w:r w:rsidR="008E5D4F">
        <w:rPr>
          <w:rFonts w:eastAsia="Code2000" w:cs="Times New Roman"/>
        </w:rPr>
        <w:t>enchainement de cause à effet</w:t>
      </w:r>
      <w:r w:rsidR="00736811">
        <w:rPr>
          <w:rFonts w:eastAsia="Code2000" w:cs="Times New Roman"/>
        </w:rPr>
        <w:t xml:space="preserve"> </w:t>
      </w:r>
      <w:r w:rsidR="00736811" w:rsidRPr="00405112">
        <w:rPr>
          <w:rFonts w:eastAsia="Code2000" w:cs="Times New Roman"/>
        </w:rPr>
        <w:t>(Passeron,</w:t>
      </w:r>
      <w:r w:rsidR="00736811">
        <w:rPr>
          <w:rFonts w:eastAsia="Code2000" w:cs="Times New Roman"/>
        </w:rPr>
        <w:t xml:space="preserve"> 1990 :</w:t>
      </w:r>
      <w:r w:rsidR="00736811" w:rsidRPr="00405112">
        <w:rPr>
          <w:rFonts w:eastAsia="Code2000" w:cs="Times New Roman"/>
        </w:rPr>
        <w:t xml:space="preserve"> 3)</w:t>
      </w:r>
      <w:r w:rsidR="00AB4071">
        <w:rPr>
          <w:rFonts w:eastAsia="Code2000" w:cs="Times New Roman"/>
        </w:rPr>
        <w:t>, une « illusion biographique », en somme (Bourdieu, 1986).</w:t>
      </w:r>
      <w:r w:rsidR="008E5D4F" w:rsidRPr="00405112">
        <w:rPr>
          <w:rFonts w:eastAsia="Code2000" w:cs="Times New Roman"/>
        </w:rPr>
        <w:t xml:space="preserve"> </w:t>
      </w:r>
      <w:r w:rsidR="006D2D8B">
        <w:rPr>
          <w:rFonts w:eastAsia="Code2000" w:cs="Times New Roman"/>
        </w:rPr>
        <w:t>L</w:t>
      </w:r>
      <w:r w:rsidR="00DE453E">
        <w:rPr>
          <w:rFonts w:eastAsia="Code2000" w:cs="Times New Roman"/>
        </w:rPr>
        <w:t>e risque, à nous contenter des récits que les individus font de leur parcours</w:t>
      </w:r>
      <w:r w:rsidR="00095AC7">
        <w:rPr>
          <w:rFonts w:eastAsia="Code2000" w:cs="Times New Roman"/>
        </w:rPr>
        <w:t xml:space="preserve"> est en somme </w:t>
      </w:r>
      <w:r w:rsidR="00DE453E">
        <w:rPr>
          <w:rFonts w:eastAsia="Code2000" w:cs="Times New Roman"/>
        </w:rPr>
        <w:t>de</w:t>
      </w:r>
      <w:r w:rsidR="00736811">
        <w:rPr>
          <w:rFonts w:eastAsia="Code2000" w:cs="Times New Roman"/>
        </w:rPr>
        <w:t xml:space="preserve"> se laisser happer par la reconstruction artificielle de celui qui témoigne</w:t>
      </w:r>
      <w:r w:rsidR="00095AC7">
        <w:rPr>
          <w:rFonts w:eastAsia="Code2000" w:cs="Times New Roman"/>
        </w:rPr>
        <w:t>,</w:t>
      </w:r>
      <w:r w:rsidR="00736811">
        <w:rPr>
          <w:rFonts w:eastAsia="Code2000" w:cs="Times New Roman"/>
        </w:rPr>
        <w:t xml:space="preserve"> et de</w:t>
      </w:r>
      <w:r w:rsidR="00DE453E">
        <w:rPr>
          <w:rFonts w:eastAsia="Code2000" w:cs="Times New Roman"/>
        </w:rPr>
        <w:t xml:space="preserve"> manquer l’ensemble des contraintes objectives, </w:t>
      </w:r>
      <w:r w:rsidR="00554A7B">
        <w:rPr>
          <w:rFonts w:eastAsia="Code2000" w:cs="Times New Roman"/>
        </w:rPr>
        <w:t xml:space="preserve">mais aussi les </w:t>
      </w:r>
      <w:r w:rsidR="00DE453E">
        <w:rPr>
          <w:rFonts w:eastAsia="Code2000" w:cs="Times New Roman"/>
        </w:rPr>
        <w:t>éléments de hasard, incohérences et évènements anecdotiques</w:t>
      </w:r>
      <w:r w:rsidR="00736811">
        <w:rPr>
          <w:rFonts w:eastAsia="Code2000" w:cs="Times New Roman"/>
        </w:rPr>
        <w:t xml:space="preserve"> passé</w:t>
      </w:r>
      <w:r w:rsidR="00095AC7">
        <w:rPr>
          <w:rFonts w:eastAsia="Code2000" w:cs="Times New Roman"/>
        </w:rPr>
        <w:t>s</w:t>
      </w:r>
      <w:r w:rsidR="00736811">
        <w:rPr>
          <w:rFonts w:eastAsia="Code2000" w:cs="Times New Roman"/>
        </w:rPr>
        <w:t xml:space="preserve"> à la trappe et qui pourtant déterminent </w:t>
      </w:r>
      <w:r w:rsidR="00DE453E">
        <w:rPr>
          <w:rFonts w:eastAsia="Code2000" w:cs="Times New Roman"/>
        </w:rPr>
        <w:t>l</w:t>
      </w:r>
      <w:r w:rsidR="00554A7B">
        <w:rPr>
          <w:rFonts w:eastAsia="Code2000" w:cs="Times New Roman"/>
        </w:rPr>
        <w:t>e</w:t>
      </w:r>
      <w:r w:rsidR="00DE453E">
        <w:rPr>
          <w:rFonts w:eastAsia="Code2000" w:cs="Times New Roman"/>
        </w:rPr>
        <w:t xml:space="preserve">s trajectoires. </w:t>
      </w:r>
      <w:r w:rsidR="00095AC7">
        <w:rPr>
          <w:rFonts w:eastAsia="Code2000" w:cs="Times New Roman"/>
        </w:rPr>
        <w:t xml:space="preserve">Pour autant, </w:t>
      </w:r>
      <w:r w:rsidR="008E5D4F" w:rsidRPr="00405112">
        <w:rPr>
          <w:rFonts w:eastAsia="Code2000" w:cs="Times New Roman"/>
        </w:rPr>
        <w:t>« </w:t>
      </w:r>
      <w:r w:rsidR="00095AC7">
        <w:rPr>
          <w:rFonts w:eastAsia="Code2000" w:cs="Times New Roman"/>
        </w:rPr>
        <w:t>l</w:t>
      </w:r>
      <w:r w:rsidR="008E5D4F" w:rsidRPr="00405112">
        <w:rPr>
          <w:rFonts w:eastAsia="Code2000" w:cs="Times New Roman"/>
        </w:rPr>
        <w:t>'excès de sens et de coh</w:t>
      </w:r>
      <w:r w:rsidR="008E5D4F" w:rsidRPr="00405112">
        <w:rPr>
          <w:rFonts w:eastAsia="Code2000" w:cs="Times New Roman" w:hint="eastAsia"/>
        </w:rPr>
        <w:t>é</w:t>
      </w:r>
      <w:r w:rsidR="008E5D4F" w:rsidRPr="00405112">
        <w:rPr>
          <w:rFonts w:eastAsia="Code2000" w:cs="Times New Roman"/>
        </w:rPr>
        <w:t>rence inh</w:t>
      </w:r>
      <w:r w:rsidR="008E5D4F" w:rsidRPr="00405112">
        <w:rPr>
          <w:rFonts w:eastAsia="Code2000" w:cs="Times New Roman" w:hint="eastAsia"/>
        </w:rPr>
        <w:t>é</w:t>
      </w:r>
      <w:r w:rsidR="008E5D4F" w:rsidRPr="00405112">
        <w:rPr>
          <w:rFonts w:eastAsia="Code2000" w:cs="Times New Roman"/>
        </w:rPr>
        <w:t xml:space="preserve">rent </w:t>
      </w:r>
      <w:r w:rsidR="008E5D4F" w:rsidRPr="00405112">
        <w:rPr>
          <w:rFonts w:eastAsia="Code2000" w:cs="Times New Roman" w:hint="eastAsia"/>
        </w:rPr>
        <w:t>à</w:t>
      </w:r>
      <w:r w:rsidR="008E5D4F" w:rsidRPr="00405112">
        <w:rPr>
          <w:rFonts w:eastAsia="Code2000" w:cs="Times New Roman"/>
        </w:rPr>
        <w:t xml:space="preserve"> toute approche biographique » (Passeron, </w:t>
      </w:r>
      <w:r w:rsidR="00096B20">
        <w:rPr>
          <w:rFonts w:eastAsia="Code2000" w:cs="Times New Roman"/>
        </w:rPr>
        <w:t xml:space="preserve">1990 : </w:t>
      </w:r>
      <w:r w:rsidR="008E5D4F" w:rsidRPr="00405112">
        <w:rPr>
          <w:rFonts w:eastAsia="Code2000" w:cs="Times New Roman"/>
        </w:rPr>
        <w:t xml:space="preserve">4) </w:t>
      </w:r>
      <w:r w:rsidR="00AB4071">
        <w:rPr>
          <w:rFonts w:eastAsia="Code2000" w:cs="Times New Roman"/>
        </w:rPr>
        <w:t>devrait-elle</w:t>
      </w:r>
      <w:r w:rsidR="008B1033">
        <w:rPr>
          <w:rFonts w:eastAsia="Code2000" w:cs="Times New Roman"/>
        </w:rPr>
        <w:t xml:space="preserve"> nous </w:t>
      </w:r>
      <w:r w:rsidR="00F5401B">
        <w:rPr>
          <w:rFonts w:eastAsia="Code2000" w:cs="Times New Roman"/>
        </w:rPr>
        <w:t>amener à rejeter toute approche par les récit</w:t>
      </w:r>
      <w:r w:rsidR="00DE453E">
        <w:rPr>
          <w:rFonts w:eastAsia="Code2000" w:cs="Times New Roman"/>
        </w:rPr>
        <w:t>s</w:t>
      </w:r>
      <w:r w:rsidR="00F5401B">
        <w:rPr>
          <w:rFonts w:eastAsia="Code2000" w:cs="Times New Roman"/>
        </w:rPr>
        <w:t xml:space="preserve"> de vie</w:t>
      </w:r>
      <w:r w:rsidR="00DE453E">
        <w:rPr>
          <w:rFonts w:eastAsia="Code2000" w:cs="Times New Roman"/>
        </w:rPr>
        <w:t> ?</w:t>
      </w:r>
      <w:r w:rsidR="00736811" w:rsidRPr="00736811">
        <w:rPr>
          <w:rStyle w:val="Appelnotedebasdep"/>
          <w:rFonts w:eastAsia="Code2000" w:cs="Times New Roman"/>
        </w:rPr>
        <w:t xml:space="preserve"> </w:t>
      </w:r>
    </w:p>
    <w:p w14:paraId="4C33DDCA" w14:textId="2C5F069C" w:rsidR="004F76F6" w:rsidRDefault="00736811" w:rsidP="008B20E7">
      <w:pPr>
        <w:spacing w:line="276" w:lineRule="auto"/>
        <w:rPr>
          <w:rFonts w:eastAsia="Code2000" w:cs="Times New Roman"/>
        </w:rPr>
      </w:pPr>
      <w:r>
        <w:rPr>
          <w:rFonts w:eastAsia="Code2000" w:cs="Times New Roman"/>
        </w:rPr>
        <w:lastRenderedPageBreak/>
        <w:t xml:space="preserve">Pour y éviter l’écueil, nous pouvons nous tourner vers la notion de </w:t>
      </w:r>
      <w:r w:rsidRPr="00736811">
        <w:rPr>
          <w:rFonts w:eastAsia="Code2000" w:cs="Times New Roman"/>
        </w:rPr>
        <w:t>trajectoire</w:t>
      </w:r>
      <w:r>
        <w:rPr>
          <w:rFonts w:eastAsia="Code2000" w:cs="Times New Roman"/>
        </w:rPr>
        <w:t xml:space="preserve"> telle qu’elle est mobilisée par Anselm </w:t>
      </w:r>
      <w:r w:rsidR="00F5401B">
        <w:rPr>
          <w:rFonts w:eastAsia="Code2000" w:cs="Times New Roman"/>
        </w:rPr>
        <w:t>Strauss</w:t>
      </w:r>
      <w:r>
        <w:rPr>
          <w:rFonts w:eastAsia="Code2000" w:cs="Times New Roman"/>
        </w:rPr>
        <w:t>.</w:t>
      </w:r>
      <w:r>
        <w:rPr>
          <w:rStyle w:val="Appelnotedebasdep"/>
          <w:rFonts w:eastAsia="Code2000" w:cs="Times New Roman"/>
        </w:rPr>
        <w:footnoteReference w:id="22"/>
      </w:r>
      <w:r>
        <w:rPr>
          <w:rFonts w:eastAsia="Code2000" w:cs="Times New Roman"/>
        </w:rPr>
        <w:t xml:space="preserve"> </w:t>
      </w:r>
      <w:r w:rsidR="000D101E" w:rsidRPr="000D101E">
        <w:t>Strauss</w:t>
      </w:r>
      <w:r w:rsidR="00581314">
        <w:t xml:space="preserve"> </w:t>
      </w:r>
      <w:r w:rsidR="000D101E" w:rsidRPr="000D101E">
        <w:t xml:space="preserve">utilise </w:t>
      </w:r>
      <w:r w:rsidR="0053321A">
        <w:t>cette</w:t>
      </w:r>
      <w:r w:rsidR="000D101E" w:rsidRPr="000D101E">
        <w:t xml:space="preserve"> notion</w:t>
      </w:r>
      <w:r w:rsidR="00196A66">
        <w:t xml:space="preserve"> </w:t>
      </w:r>
      <w:r w:rsidR="000D101E" w:rsidRPr="000D101E">
        <w:t>dans son travail sur la maladie afin de « faire référence non seulement au développement physiologique de la maladie de tel patient, mais également à toute l’organisation du travail déployée à suivre ce cours, ainsi qu’au retentissement que ce travail et son organisation ne manquent pas d’avoir sur ceux qui s’y trouvent impliqués » (Strauss, 1992</w:t>
      </w:r>
      <w:r w:rsidR="00954F8D">
        <w:t> :</w:t>
      </w:r>
      <w:r w:rsidR="000D101E" w:rsidRPr="000D101E">
        <w:t> 143)</w:t>
      </w:r>
      <w:r w:rsidR="000D101E">
        <w:t>.</w:t>
      </w:r>
      <w:r w:rsidRPr="00736811">
        <w:rPr>
          <w:rFonts w:eastAsia="Code2000" w:cs="Times New Roman"/>
        </w:rPr>
        <w:t xml:space="preserve"> </w:t>
      </w:r>
      <w:r w:rsidR="00E11C66">
        <w:rPr>
          <w:rFonts w:eastAsia="Code2000" w:cs="Times New Roman"/>
        </w:rPr>
        <w:t>Si Strauss reconnait la dimension subjective du récit biographique</w:t>
      </w:r>
      <w:r w:rsidR="00E11C66">
        <w:rPr>
          <w:rStyle w:val="Appelnotedebasdep"/>
        </w:rPr>
        <w:footnoteReference w:id="23"/>
      </w:r>
      <w:r w:rsidR="00E11C66">
        <w:rPr>
          <w:rFonts w:eastAsia="Code2000" w:cs="Times New Roman"/>
        </w:rPr>
        <w:t xml:space="preserve">, il appréhende </w:t>
      </w:r>
      <w:r>
        <w:rPr>
          <w:rFonts w:eastAsia="Code2000" w:cs="Times New Roman"/>
        </w:rPr>
        <w:t xml:space="preserve">les trajectoires des individus en les confrontant aux </w:t>
      </w:r>
      <w:r w:rsidRPr="00736811">
        <w:rPr>
          <w:rFonts w:eastAsia="Code2000" w:cs="Times New Roman"/>
          <w:i/>
        </w:rPr>
        <w:t>conditions d’existence</w:t>
      </w:r>
      <w:r>
        <w:rPr>
          <w:rFonts w:eastAsia="Code2000" w:cs="Times New Roman"/>
        </w:rPr>
        <w:t xml:space="preserve"> de ceux-ci et aux contextes et organisations sociales </w:t>
      </w:r>
      <w:r w:rsidRPr="008B20E7">
        <w:rPr>
          <w:rFonts w:eastAsia="Code2000" w:cs="Times New Roman"/>
        </w:rPr>
        <w:t xml:space="preserve">au sein desquels elles se déploient. </w:t>
      </w:r>
    </w:p>
    <w:p w14:paraId="0E30CB37" w14:textId="548D4DC3" w:rsidR="00124749" w:rsidRDefault="00D84A7A" w:rsidP="003D65DB">
      <w:pPr>
        <w:spacing w:line="276" w:lineRule="auto"/>
        <w:rPr>
          <w:rFonts w:cs="Times New Roman"/>
        </w:rPr>
      </w:pPr>
      <w:r>
        <w:rPr>
          <w:rFonts w:cs="Times New Roman"/>
        </w:rPr>
        <w:t xml:space="preserve">Les entretiens biographiques </w:t>
      </w:r>
      <w:r w:rsidR="00E335BA">
        <w:rPr>
          <w:rFonts w:cs="Times New Roman"/>
        </w:rPr>
        <w:t xml:space="preserve">d’un locataire expulsé </w:t>
      </w:r>
      <w:r w:rsidRPr="00D84A7A">
        <w:rPr>
          <w:rFonts w:cs="Times New Roman"/>
        </w:rPr>
        <w:t>serait</w:t>
      </w:r>
      <w:r>
        <w:rPr>
          <w:rFonts w:cs="Times New Roman"/>
        </w:rPr>
        <w:t xml:space="preserve"> donc un matériau précieux pour y puiser les éléments significatifs qui l’amène aujourd’hui à se retrouver engagé dans une procédure d’expulsion : il s’agit de r</w:t>
      </w:r>
      <w:r w:rsidR="00581314">
        <w:rPr>
          <w:rFonts w:cs="Times New Roman"/>
        </w:rPr>
        <w:t xml:space="preserve">ecueillir le récit </w:t>
      </w:r>
      <w:r w:rsidR="007D2CC4">
        <w:rPr>
          <w:rFonts w:cs="Times New Roman"/>
        </w:rPr>
        <w:t xml:space="preserve">de vie </w:t>
      </w:r>
      <w:r w:rsidR="00581314">
        <w:rPr>
          <w:rFonts w:cs="Times New Roman"/>
        </w:rPr>
        <w:t xml:space="preserve">du locataire, </w:t>
      </w:r>
      <w:r w:rsidR="007D2CC4">
        <w:rPr>
          <w:rFonts w:cs="Times New Roman"/>
        </w:rPr>
        <w:t>dans sa dimension personnelle et intime</w:t>
      </w:r>
      <w:r w:rsidR="00581314">
        <w:rPr>
          <w:rFonts w:cs="Times New Roman"/>
        </w:rPr>
        <w:t xml:space="preserve">, </w:t>
      </w:r>
      <w:r w:rsidR="007D2CC4">
        <w:rPr>
          <w:rFonts w:cs="Times New Roman"/>
        </w:rPr>
        <w:t xml:space="preserve">la situation sociale de ses parents, les ressources et capitaux dont il disposait ou manquait dès le départ, </w:t>
      </w:r>
      <w:r w:rsidR="00581314">
        <w:rPr>
          <w:rFonts w:cs="Times New Roman"/>
        </w:rPr>
        <w:t>les obstacles auxquels il a fait face</w:t>
      </w:r>
      <w:r w:rsidR="007D2CC4">
        <w:rPr>
          <w:rFonts w:cs="Times New Roman"/>
        </w:rPr>
        <w:t>, son parcours d’étude, son parcours professionnel, son parcours de vie affective, sa santé etc.</w:t>
      </w:r>
      <w:r>
        <w:rPr>
          <w:rFonts w:cs="Times New Roman"/>
        </w:rPr>
        <w:t xml:space="preserve">, bref, </w:t>
      </w:r>
      <w:proofErr w:type="spellStart"/>
      <w:r>
        <w:rPr>
          <w:rFonts w:cs="Times New Roman"/>
        </w:rPr>
        <w:t>tout</w:t>
      </w:r>
      <w:proofErr w:type="spellEnd"/>
      <w:r>
        <w:rPr>
          <w:rFonts w:cs="Times New Roman"/>
        </w:rPr>
        <w:t xml:space="preserve"> ces éléments qui nous permettent de retracer ce processus de </w:t>
      </w:r>
      <w:r>
        <w:rPr>
          <w:rFonts w:cs="Times New Roman"/>
          <w:i/>
        </w:rPr>
        <w:t xml:space="preserve">socialisation, </w:t>
      </w:r>
      <w:r>
        <w:rPr>
          <w:rFonts w:cs="Times New Roman"/>
        </w:rPr>
        <w:t xml:space="preserve">qui l’amène à posséder certaines </w:t>
      </w:r>
      <w:r w:rsidRPr="00D84A7A">
        <w:rPr>
          <w:rFonts w:cs="Times New Roman"/>
        </w:rPr>
        <w:t>dispositions</w:t>
      </w:r>
      <w:r>
        <w:rPr>
          <w:rFonts w:cs="Times New Roman"/>
        </w:rPr>
        <w:t xml:space="preserve"> et à se retrouver dans telle </w:t>
      </w:r>
      <w:r>
        <w:rPr>
          <w:rFonts w:cs="Times New Roman"/>
          <w:i/>
        </w:rPr>
        <w:t xml:space="preserve">situation. </w:t>
      </w:r>
      <w:r w:rsidR="007D2CC4">
        <w:rPr>
          <w:rFonts w:cs="Times New Roman"/>
        </w:rPr>
        <w:t xml:space="preserve">Mais ces éléments, pour devenir un matériau valide, </w:t>
      </w:r>
      <w:r w:rsidR="003D65DB">
        <w:rPr>
          <w:rFonts w:cs="Times New Roman"/>
        </w:rPr>
        <w:t>exigent encore un travail d’interprétation (Passeron, 1990 :</w:t>
      </w:r>
      <w:r w:rsidR="00954F8D">
        <w:rPr>
          <w:rFonts w:cs="Times New Roman"/>
        </w:rPr>
        <w:t xml:space="preserve"> </w:t>
      </w:r>
      <w:r w:rsidR="003D65DB">
        <w:rPr>
          <w:rFonts w:cs="Times New Roman"/>
        </w:rPr>
        <w:t xml:space="preserve">4) et d’objectivation, que la chercheuse ou le chercheur effectue </w:t>
      </w:r>
      <w:r w:rsidR="007D2CC4">
        <w:rPr>
          <w:rFonts w:cs="Times New Roman"/>
        </w:rPr>
        <w:t xml:space="preserve">en le rattachant aux contraintes, au contexte social, politique, économique dans lesquels ils ont eu lieu. Comme Strauss étudiait la maladie et l’organisation du travail déployée tout autour, il s’agit d’étudier le parcours de vie, </w:t>
      </w:r>
      <w:r w:rsidR="003D65DB">
        <w:rPr>
          <w:rFonts w:cs="Times New Roman"/>
        </w:rPr>
        <w:t xml:space="preserve">en le rattachant aux </w:t>
      </w:r>
      <w:r w:rsidR="007D2CC4">
        <w:rPr>
          <w:rFonts w:cs="Times New Roman"/>
        </w:rPr>
        <w:t>conditions sociales qui rende</w:t>
      </w:r>
      <w:r w:rsidR="003D65DB">
        <w:rPr>
          <w:rFonts w:cs="Times New Roman"/>
        </w:rPr>
        <w:t>nt</w:t>
      </w:r>
      <w:r w:rsidR="007D2CC4">
        <w:rPr>
          <w:rFonts w:cs="Times New Roman"/>
        </w:rPr>
        <w:t xml:space="preserve"> possible </w:t>
      </w:r>
      <w:r w:rsidR="003D65DB">
        <w:rPr>
          <w:rFonts w:cs="Times New Roman"/>
        </w:rPr>
        <w:t xml:space="preserve">et déterminent </w:t>
      </w:r>
      <w:r w:rsidR="007D2CC4">
        <w:rPr>
          <w:rFonts w:cs="Times New Roman"/>
        </w:rPr>
        <w:t>son développement</w:t>
      </w:r>
      <w:r w:rsidR="003D65DB">
        <w:rPr>
          <w:rFonts w:cs="Times New Roman"/>
        </w:rPr>
        <w:t xml:space="preserve"> : ajouter des contraintes objectives au récit subjectif. </w:t>
      </w:r>
    </w:p>
    <w:p w14:paraId="2677D0E9" w14:textId="1A10BC0F" w:rsidR="007C189A" w:rsidRDefault="00351A48" w:rsidP="003D65DB">
      <w:pPr>
        <w:spacing w:line="276" w:lineRule="auto"/>
      </w:pPr>
      <w:r>
        <w:rPr>
          <w:rFonts w:cs="Times New Roman"/>
        </w:rPr>
        <w:t>Pour conclure, citons le détour par lequel Passeron passe pour illustrer la notion de « trajectoire » dans laquelle il voit un modèle « balistique » : « </w:t>
      </w:r>
      <w:r w:rsidR="007C189A">
        <w:t xml:space="preserve">On voit dès le principe qu'il s'agit de composer une force et une direction initiales propres à un mobile avec les champs de forces et d'interactions qu'il traverse </w:t>
      </w:r>
      <w:r>
        <w:t>[…]</w:t>
      </w:r>
      <w:r w:rsidR="007C189A">
        <w:t xml:space="preserve"> La balistique calcule dans un champ d'informations moins épuré que celui de la géométrie analytique</w:t>
      </w:r>
      <w:r>
        <w:t xml:space="preserve"> </w:t>
      </w:r>
      <w:r w:rsidR="007C189A">
        <w:t>; que dire alors des champs de forces sociologiques ? »</w:t>
      </w:r>
      <w:r>
        <w:t xml:space="preserve"> (Passeron, 1990 : 21) Pour comprendre une trajectoire sociale en sociologue, il faut</w:t>
      </w:r>
      <w:r w:rsidR="00183B35">
        <w:t xml:space="preserve"> </w:t>
      </w:r>
      <w:r>
        <w:t xml:space="preserve">tenir compte de son point de départ, de sa direction initiale mais aussi </w:t>
      </w:r>
      <w:r w:rsidR="00183B35">
        <w:t xml:space="preserve">nombreuses </w:t>
      </w:r>
      <w:r>
        <w:t xml:space="preserve">contraintes </w:t>
      </w:r>
      <w:r w:rsidR="005A0934">
        <w:t xml:space="preserve">objectives, ces « champs de forces » </w:t>
      </w:r>
      <w:r w:rsidR="00183B35">
        <w:t>par lesquelles elle passe et qui la détermine.</w:t>
      </w:r>
    </w:p>
    <w:p w14:paraId="07126C7D" w14:textId="572DFFAB" w:rsidR="00650543" w:rsidRDefault="00C31861" w:rsidP="00E505A5">
      <w:pPr>
        <w:pStyle w:val="Titre3"/>
        <w:spacing w:line="276" w:lineRule="auto"/>
      </w:pPr>
      <w:bookmarkStart w:id="26" w:name="_Toc152687209"/>
      <w:r>
        <w:t>Une c</w:t>
      </w:r>
      <w:r w:rsidR="00650543" w:rsidRPr="00650543">
        <w:t>arrière</w:t>
      </w:r>
      <w:r>
        <w:t xml:space="preserve"> de mal-logé</w:t>
      </w:r>
      <w:bookmarkEnd w:id="26"/>
    </w:p>
    <w:p w14:paraId="2A586024" w14:textId="51F06ABE" w:rsidR="00531E62" w:rsidRDefault="00183B35" w:rsidP="00E505A5">
      <w:pPr>
        <w:autoSpaceDE w:val="0"/>
        <w:autoSpaceDN w:val="0"/>
        <w:adjustRightInd w:val="0"/>
        <w:spacing w:after="0" w:line="276" w:lineRule="auto"/>
        <w:rPr>
          <w:rFonts w:cs="Times New Roman"/>
        </w:rPr>
      </w:pPr>
      <w:r>
        <w:rPr>
          <w:rFonts w:cs="Times New Roman"/>
        </w:rPr>
        <w:t xml:space="preserve">Au fil de nos lectures, nous rencontrons un </w:t>
      </w:r>
      <w:r w:rsidR="00531E62">
        <w:rPr>
          <w:rFonts w:cs="Times New Roman"/>
        </w:rPr>
        <w:t>second outil sociologique</w:t>
      </w:r>
      <w:r w:rsidR="00CB5A03">
        <w:rPr>
          <w:rFonts w:cs="Times New Roman"/>
        </w:rPr>
        <w:t xml:space="preserve"> qui</w:t>
      </w:r>
      <w:r w:rsidR="00531E62">
        <w:rPr>
          <w:rFonts w:cs="Times New Roman"/>
        </w:rPr>
        <w:t xml:space="preserve"> nous semble particulièrement </w:t>
      </w:r>
      <w:r w:rsidR="00CB5A03">
        <w:rPr>
          <w:rFonts w:cs="Times New Roman"/>
        </w:rPr>
        <w:t>opératoire</w:t>
      </w:r>
      <w:r w:rsidR="00531E62">
        <w:rPr>
          <w:rFonts w:cs="Times New Roman"/>
        </w:rPr>
        <w:t xml:space="preserve"> pour rendre compte des parcours d’expulsion : la notion de carrière</w:t>
      </w:r>
      <w:r>
        <w:rPr>
          <w:rFonts w:cs="Times New Roman"/>
        </w:rPr>
        <w:t>, qui articule dimensions subjectives et objectives</w:t>
      </w:r>
      <w:r w:rsidR="00531E62">
        <w:rPr>
          <w:rFonts w:cs="Times New Roman"/>
        </w:rPr>
        <w:t>. Everett Hughes</w:t>
      </w:r>
      <w:r w:rsidR="007E54F7">
        <w:rPr>
          <w:rFonts w:cs="Times New Roman"/>
        </w:rPr>
        <w:t>, par exemple, s’en saisi</w:t>
      </w:r>
      <w:r w:rsidR="00CB5A03">
        <w:rPr>
          <w:rFonts w:cs="Times New Roman"/>
        </w:rPr>
        <w:t>t</w:t>
      </w:r>
      <w:r w:rsidR="00531E62">
        <w:rPr>
          <w:rFonts w:cs="Times New Roman"/>
        </w:rPr>
        <w:t xml:space="preserve"> </w:t>
      </w:r>
      <w:r w:rsidR="00531E62" w:rsidRPr="00E03859">
        <w:t xml:space="preserve">pour analyser la trajectoire </w:t>
      </w:r>
      <w:r>
        <w:t>d’</w:t>
      </w:r>
      <w:r w:rsidR="00531E62" w:rsidRPr="00E03859">
        <w:t xml:space="preserve">un individu </w:t>
      </w:r>
      <w:r w:rsidR="00BE259D">
        <w:t>dans le secteur professionnel</w:t>
      </w:r>
      <w:r w:rsidR="00531E62">
        <w:t>.</w:t>
      </w:r>
      <w:r w:rsidR="00BE259D">
        <w:t xml:space="preserve"> Comme le souligne Howard Becker, </w:t>
      </w:r>
      <w:r w:rsidR="00531E62">
        <w:t xml:space="preserve">la carrière </w:t>
      </w:r>
      <w:r w:rsidR="00BE259D">
        <w:t xml:space="preserve">chez Hughes renvoie </w:t>
      </w:r>
      <w:r w:rsidR="00531E62">
        <w:t xml:space="preserve">à deux dimensions </w:t>
      </w:r>
      <w:r w:rsidR="00531E62" w:rsidRPr="00E03859">
        <w:t xml:space="preserve">: « dans sa dimension objective, une carrière se compose d'une série de statuts </w:t>
      </w:r>
      <w:r w:rsidR="00531E62" w:rsidRPr="00E03859">
        <w:lastRenderedPageBreak/>
        <w:t xml:space="preserve">et d'emplois clairement définis, de suites typiques de positions, de réalisations, de responsabilités et même d'aventures. Dans sa dimension subjective, une carrière est faite des changements dans la perspective selon laquelle la personne perçoit son existence comme une totalité et interprète la signification de ses diverses </w:t>
      </w:r>
      <w:r w:rsidR="00531E62" w:rsidRPr="003D49D9">
        <w:t>caractéristiques et actions, ainsi que tout ce qui lui arrive</w:t>
      </w:r>
      <w:r w:rsidR="003D49D9" w:rsidRPr="003D49D9">
        <w:t>.</w:t>
      </w:r>
      <w:r w:rsidR="00531E62" w:rsidRPr="003D49D9">
        <w:t> » (</w:t>
      </w:r>
      <w:r w:rsidR="00954F8D" w:rsidRPr="003D49D9">
        <w:t xml:space="preserve">Becker, </w:t>
      </w:r>
      <w:r w:rsidR="003D49D9" w:rsidRPr="003D49D9">
        <w:t xml:space="preserve">1985 : </w:t>
      </w:r>
      <w:r w:rsidR="00531E62" w:rsidRPr="003D49D9">
        <w:t>126)</w:t>
      </w:r>
      <w:r w:rsidR="003D49D9" w:rsidRPr="003D49D9">
        <w:t>.</w:t>
      </w:r>
      <w:r w:rsidR="00531E62" w:rsidRPr="003D49D9">
        <w:t xml:space="preserve"> </w:t>
      </w:r>
      <w:r w:rsidR="007E54F7" w:rsidRPr="003D49D9">
        <w:t>La notion de carrière</w:t>
      </w:r>
      <w:r w:rsidR="00101442" w:rsidRPr="003D49D9">
        <w:t xml:space="preserve"> </w:t>
      </w:r>
      <w:r w:rsidR="007E54F7" w:rsidRPr="003D49D9">
        <w:t>permet donc « d’appréhender les étapes d’accès et d’exercice d’une profession comme une suite de changements objectifs de positions et la série des remaniements subjectifs qui y sont associés » (</w:t>
      </w:r>
      <w:r w:rsidR="00954F8D" w:rsidRPr="003D49D9">
        <w:t>Fillieule</w:t>
      </w:r>
      <w:r w:rsidR="007E54F7" w:rsidRPr="003D49D9">
        <w:t>,</w:t>
      </w:r>
      <w:r w:rsidR="003D49D9" w:rsidRPr="003D49D9">
        <w:t xml:space="preserve"> 2001</w:t>
      </w:r>
      <w:r w:rsidR="007E54F7" w:rsidRPr="003D49D9">
        <w:t>).</w:t>
      </w:r>
      <w:r w:rsidR="007E54F7" w:rsidRPr="00BE259D">
        <w:t xml:space="preserve"> </w:t>
      </w:r>
      <w:r w:rsidR="00531E62">
        <w:t xml:space="preserve">Objectif et subjectif s’articulent et s’entrecroisent pour rendre intelligible </w:t>
      </w:r>
      <w:r w:rsidR="00BE259D">
        <w:t xml:space="preserve">les trajectoires de l’individu au travail. </w:t>
      </w:r>
    </w:p>
    <w:p w14:paraId="3FBBC36C" w14:textId="77777777" w:rsidR="00531E62" w:rsidRDefault="00531E62" w:rsidP="00E505A5">
      <w:pPr>
        <w:autoSpaceDE w:val="0"/>
        <w:autoSpaceDN w:val="0"/>
        <w:adjustRightInd w:val="0"/>
        <w:spacing w:after="0" w:line="276" w:lineRule="auto"/>
        <w:rPr>
          <w:rFonts w:cs="Times New Roman"/>
        </w:rPr>
      </w:pPr>
    </w:p>
    <w:p w14:paraId="62F0E72F" w14:textId="43639683" w:rsidR="004F76F6" w:rsidRDefault="004F76F6" w:rsidP="00E505A5">
      <w:pPr>
        <w:autoSpaceDE w:val="0"/>
        <w:autoSpaceDN w:val="0"/>
        <w:adjustRightInd w:val="0"/>
        <w:spacing w:after="0" w:line="276" w:lineRule="auto"/>
        <w:rPr>
          <w:rFonts w:eastAsia="Code2000" w:cs="Times New Roman"/>
        </w:rPr>
      </w:pPr>
      <w:r>
        <w:rPr>
          <w:rFonts w:eastAsia="Code2000" w:cs="Times New Roman"/>
        </w:rPr>
        <w:t xml:space="preserve">Becker reprend à son tour la notion de carrière </w:t>
      </w:r>
      <w:r w:rsidR="007124F7">
        <w:rPr>
          <w:rFonts w:eastAsia="Code2000" w:cs="Times New Roman"/>
        </w:rPr>
        <w:t>mais rompt ave</w:t>
      </w:r>
      <w:r w:rsidR="007E54F7">
        <w:rPr>
          <w:rFonts w:eastAsia="Code2000" w:cs="Times New Roman"/>
        </w:rPr>
        <w:t>c l’utilisation « traditionnelle » qu’on peut en faire dans l’analyse des trajectoires professionnelles</w:t>
      </w:r>
      <w:r w:rsidR="00E648D6">
        <w:rPr>
          <w:rFonts w:eastAsia="Code2000" w:cs="Times New Roman"/>
        </w:rPr>
        <w:t>,</w:t>
      </w:r>
      <w:r w:rsidR="00183B35">
        <w:rPr>
          <w:rFonts w:eastAsia="Code2000" w:cs="Times New Roman"/>
        </w:rPr>
        <w:t xml:space="preserve"> et </w:t>
      </w:r>
      <w:r w:rsidR="00E648D6">
        <w:rPr>
          <w:rFonts w:eastAsia="Code2000" w:cs="Times New Roman"/>
        </w:rPr>
        <w:t xml:space="preserve">il </w:t>
      </w:r>
      <w:r w:rsidR="00183B35">
        <w:rPr>
          <w:rFonts w:eastAsia="Code2000" w:cs="Times New Roman"/>
        </w:rPr>
        <w:t xml:space="preserve">mobilise le terme pour étudier les parcours des </w:t>
      </w:r>
      <w:r w:rsidR="007E54F7">
        <w:rPr>
          <w:rFonts w:eastAsia="Code2000" w:cs="Times New Roman"/>
        </w:rPr>
        <w:t>groupe</w:t>
      </w:r>
      <w:r w:rsidR="00183B35">
        <w:rPr>
          <w:rFonts w:eastAsia="Code2000" w:cs="Times New Roman"/>
        </w:rPr>
        <w:t>s</w:t>
      </w:r>
      <w:r w:rsidR="007E54F7">
        <w:rPr>
          <w:rFonts w:eastAsia="Code2000" w:cs="Times New Roman"/>
        </w:rPr>
        <w:t xml:space="preserve"> « déviant</w:t>
      </w:r>
      <w:r w:rsidR="00183B35">
        <w:rPr>
          <w:rFonts w:eastAsia="Code2000" w:cs="Times New Roman"/>
        </w:rPr>
        <w:t>s</w:t>
      </w:r>
      <w:r w:rsidR="007E54F7">
        <w:rPr>
          <w:rFonts w:eastAsia="Code2000" w:cs="Times New Roman"/>
        </w:rPr>
        <w:t> »</w:t>
      </w:r>
      <w:r w:rsidR="00E648D6">
        <w:rPr>
          <w:rFonts w:eastAsia="Code2000" w:cs="Times New Roman"/>
        </w:rPr>
        <w:t> : m</w:t>
      </w:r>
      <w:r w:rsidR="007E54F7">
        <w:rPr>
          <w:rFonts w:eastAsia="Code2000" w:cs="Times New Roman"/>
        </w:rPr>
        <w:t xml:space="preserve">usiciens de jazz, </w:t>
      </w:r>
      <w:r w:rsidR="007E54F7" w:rsidRPr="00E648D6">
        <w:rPr>
          <w:rFonts w:eastAsia="Code2000" w:cs="Times New Roman"/>
        </w:rPr>
        <w:t>fumeurs de marijuana, homosexuels</w:t>
      </w:r>
      <w:r w:rsidR="00E648D6">
        <w:rPr>
          <w:rFonts w:eastAsia="Code2000" w:cs="Times New Roman"/>
        </w:rPr>
        <w:t>.</w:t>
      </w:r>
      <w:r w:rsidR="007E54F7" w:rsidRPr="00E648D6">
        <w:rPr>
          <w:rFonts w:eastAsia="Code2000" w:cs="Times New Roman"/>
        </w:rPr>
        <w:t xml:space="preserve"> Becker, en sociologue, cherche à rompre avec les « conventions » tant communes que scientifique</w:t>
      </w:r>
      <w:r w:rsidR="00E648D6">
        <w:rPr>
          <w:rFonts w:eastAsia="Code2000" w:cs="Times New Roman"/>
        </w:rPr>
        <w:t>s</w:t>
      </w:r>
      <w:r w:rsidR="007E54F7" w:rsidRPr="00E648D6">
        <w:rPr>
          <w:rFonts w:eastAsia="Code2000" w:cs="Times New Roman"/>
        </w:rPr>
        <w:t>, et à comprendre ces parcours en leur accordant une intelligibilité propre</w:t>
      </w:r>
      <w:r w:rsidR="00E648D6">
        <w:rPr>
          <w:rFonts w:eastAsia="Code2000" w:cs="Times New Roman"/>
        </w:rPr>
        <w:t xml:space="preserve"> </w:t>
      </w:r>
      <w:r w:rsidR="007E54F7" w:rsidRPr="00E648D6">
        <w:rPr>
          <w:rFonts w:eastAsia="Code2000" w:cs="Times New Roman"/>
        </w:rPr>
        <w:t>:</w:t>
      </w:r>
      <w:r w:rsidR="007E54F7">
        <w:rPr>
          <w:rFonts w:eastAsia="Code2000" w:cs="Times New Roman"/>
        </w:rPr>
        <w:t xml:space="preserve"> </w:t>
      </w:r>
    </w:p>
    <w:p w14:paraId="710C1DAF" w14:textId="78DBA687" w:rsidR="007124F7" w:rsidRDefault="007124F7" w:rsidP="00E505A5">
      <w:pPr>
        <w:autoSpaceDE w:val="0"/>
        <w:autoSpaceDN w:val="0"/>
        <w:adjustRightInd w:val="0"/>
        <w:spacing w:after="0" w:line="276" w:lineRule="auto"/>
        <w:rPr>
          <w:rFonts w:eastAsia="Code2000" w:cs="Times New Roman"/>
        </w:rPr>
      </w:pPr>
    </w:p>
    <w:p w14:paraId="1D906EDF" w14:textId="35D1476C" w:rsidR="007124F7" w:rsidRPr="007E54F7" w:rsidRDefault="007124F7" w:rsidP="00E505A5">
      <w:pPr>
        <w:spacing w:line="276" w:lineRule="auto"/>
        <w:ind w:left="708"/>
      </w:pPr>
      <w:r w:rsidRPr="007E54F7">
        <w:t>« Supposer que le comportement que l’on étudie est parfaitement sensé, mais que ce sens nous échappe pour le moment, est en général une bonne alternative sociologique à l’hypothèse [</w:t>
      </w:r>
      <w:r w:rsidR="00E648D6" w:rsidRPr="007E54F7">
        <w:t>…]</w:t>
      </w:r>
      <w:r w:rsidRPr="007E54F7">
        <w:t xml:space="preserve"> de la folie [</w:t>
      </w:r>
      <w:proofErr w:type="gramStart"/>
      <w:r w:rsidRPr="007E54F7">
        <w:t>… ]</w:t>
      </w:r>
      <w:proofErr w:type="gramEnd"/>
      <w:r w:rsidRPr="007E54F7">
        <w:t>. En termes d’analyse, cela signifie que chaque fois que nous découvrons quelque chose qui nous semble si étrange et si incompréhensible que la seule explication que nous puissions en donner est une version quelconque de “Ils doivent être fous”, nous devrions systématiquement suspecter que nous manquons grandement de connaissances sur le comportement que nous étudions. Il vaut mieux supposer que tout cela a un sens et en rechercher la signification</w:t>
      </w:r>
      <w:r w:rsidR="00E648D6">
        <w:t>. »</w:t>
      </w:r>
      <w:r w:rsidR="009C74C1">
        <w:t xml:space="preserve"> </w:t>
      </w:r>
      <w:r w:rsidR="00E648D6" w:rsidRPr="00E648D6">
        <w:rPr>
          <w:rFonts w:eastAsia="Code2000" w:cs="Times New Roman"/>
        </w:rPr>
        <w:t>(</w:t>
      </w:r>
      <w:r w:rsidR="005F72F2" w:rsidRPr="00E648D6">
        <w:rPr>
          <w:rFonts w:eastAsia="Code2000" w:cs="Times New Roman"/>
        </w:rPr>
        <w:t>Becker</w:t>
      </w:r>
      <w:r w:rsidR="00E648D6" w:rsidRPr="00E648D6">
        <w:rPr>
          <w:rFonts w:eastAsia="Code2000" w:cs="Times New Roman"/>
        </w:rPr>
        <w:t>, 2002 : 58-62) </w:t>
      </w:r>
    </w:p>
    <w:p w14:paraId="5F617A38" w14:textId="39635EA5" w:rsidR="0033436E" w:rsidRDefault="005A0934" w:rsidP="00E505A5">
      <w:pPr>
        <w:pStyle w:val="para"/>
        <w:spacing w:line="276" w:lineRule="auto"/>
        <w:jc w:val="both"/>
      </w:pPr>
      <w:r>
        <w:t>Le sociologue</w:t>
      </w:r>
      <w:r w:rsidR="0033436E" w:rsidRPr="0033436E">
        <w:t xml:space="preserve"> considère donc que si les études consacrées aux professions utilisent généralement le concept de carrière pour distinguer ceux qui « réussissent » de ceux qui ne réussissent pas, on peut aussi l'utiliser pour distinguer d</w:t>
      </w:r>
      <w:r w:rsidR="00E648D6">
        <w:t>ifférents</w:t>
      </w:r>
      <w:r w:rsidR="0033436E" w:rsidRPr="0033436E">
        <w:t xml:space="preserve"> types d'aboutissement des carrières, indépendamment de la question de la « réussite </w:t>
      </w:r>
      <w:r w:rsidR="0033436E" w:rsidRPr="00E648D6">
        <w:t>». » (</w:t>
      </w:r>
      <w:r w:rsidR="005F72F2" w:rsidRPr="00E648D6">
        <w:t>Becker</w:t>
      </w:r>
      <w:r w:rsidR="00E648D6" w:rsidRPr="00E648D6">
        <w:t xml:space="preserve">, 1985 : </w:t>
      </w:r>
      <w:r w:rsidR="0033436E" w:rsidRPr="00E648D6">
        <w:t>47)</w:t>
      </w:r>
    </w:p>
    <w:p w14:paraId="4A9DA402" w14:textId="3530CA12" w:rsidR="005A0934" w:rsidRDefault="005A0934" w:rsidP="00E505A5">
      <w:pPr>
        <w:pStyle w:val="para"/>
        <w:spacing w:line="276" w:lineRule="auto"/>
        <w:jc w:val="both"/>
      </w:pPr>
      <w:r>
        <w:t>On pourrait donc, avec Becker, parler de carrière de mal-logement ou, plus précisément pour le cas qui est le nôtre, de carrière de « mauvais locataire », carrière de « mauvais payeur ». Et se donner les moyens de comprendre</w:t>
      </w:r>
      <w:r w:rsidR="00863EA2">
        <w:t>, avec les outils qu’il nous donne,</w:t>
      </w:r>
      <w:r>
        <w:t xml:space="preserve"> le sens que les individus </w:t>
      </w:r>
      <w:proofErr w:type="gramStart"/>
      <w:r>
        <w:t>donne</w:t>
      </w:r>
      <w:proofErr w:type="gramEnd"/>
      <w:r>
        <w:t xml:space="preserve"> à la suspension du paiement de leur loyer </w:t>
      </w:r>
      <w:r w:rsidR="00E648D6">
        <w:t xml:space="preserve">– à </w:t>
      </w:r>
      <w:r>
        <w:t xml:space="preserve">l’opposé </w:t>
      </w:r>
      <w:r w:rsidR="00074F57">
        <w:t>du jugement de</w:t>
      </w:r>
      <w:r w:rsidR="00863EA2">
        <w:t xml:space="preserve"> la gestion du logement « en bon père de famille »</w:t>
      </w:r>
      <w:r>
        <w:t xml:space="preserve">, des </w:t>
      </w:r>
      <w:r w:rsidR="00863EA2">
        <w:t>considérations</w:t>
      </w:r>
      <w:r w:rsidR="00074F57">
        <w:t xml:space="preserve"> de </w:t>
      </w:r>
      <w:r>
        <w:t xml:space="preserve">« bonne foi » ou de « bonne volonté » </w:t>
      </w:r>
      <w:r w:rsidR="00863EA2">
        <w:t xml:space="preserve">du locataire </w:t>
      </w:r>
      <w:r>
        <w:t xml:space="preserve">sur lesquelles ont travaillé des chercheurs comme Frisque (2006) ou </w:t>
      </w:r>
      <w:r w:rsidR="00863EA2">
        <w:t>Bertrand (2</w:t>
      </w:r>
      <w:r w:rsidR="00863EA2" w:rsidRPr="00AE77C9">
        <w:rPr>
          <w:shd w:val="clear" w:color="auto" w:fill="FFFFFF"/>
        </w:rPr>
        <w:t>008).</w:t>
      </w:r>
    </w:p>
    <w:p w14:paraId="7C3C6966" w14:textId="4C12F56B" w:rsidR="002C37A1" w:rsidRDefault="00E76E43" w:rsidP="002C37A1">
      <w:pPr>
        <w:pStyle w:val="para"/>
        <w:spacing w:line="276" w:lineRule="auto"/>
        <w:jc w:val="both"/>
      </w:pPr>
      <w:r>
        <w:rPr>
          <w:rFonts w:eastAsia="Code2000"/>
        </w:rPr>
        <w:t xml:space="preserve">A travers la notion de carrière, </w:t>
      </w:r>
      <w:r w:rsidR="001C3B97">
        <w:t>Becker propose</w:t>
      </w:r>
      <w:r w:rsidR="00074F57">
        <w:t xml:space="preserve"> </w:t>
      </w:r>
      <w:r w:rsidR="001C3B97">
        <w:t xml:space="preserve">de </w:t>
      </w:r>
      <w:r w:rsidR="001C3B97" w:rsidRPr="002101C0">
        <w:t>« construire un modèle séquentiel de la déviance</w:t>
      </w:r>
      <w:r w:rsidR="001C3B97">
        <w:t> » opposé au modèle synchronique</w:t>
      </w:r>
      <w:r w:rsidR="001C3B97" w:rsidRPr="002101C0">
        <w:t>, qui pren</w:t>
      </w:r>
      <w:r w:rsidR="001C3B97">
        <w:t>ne</w:t>
      </w:r>
      <w:r w:rsidR="001C3B97" w:rsidRPr="002101C0">
        <w:t xml:space="preserve"> en compte les changements dans le temps. </w:t>
      </w:r>
      <w:r w:rsidR="001C3B97">
        <w:t xml:space="preserve">Ce modèle s’oppose à l’approche traditionnelle des </w:t>
      </w:r>
      <w:r w:rsidR="001C3B97" w:rsidRPr="002101C0">
        <w:t>recherches sur la déviance</w:t>
      </w:r>
      <w:r w:rsidR="001C3B97">
        <w:t xml:space="preserve"> qui </w:t>
      </w:r>
      <w:r w:rsidR="00402FA9">
        <w:t xml:space="preserve">porte </w:t>
      </w:r>
      <w:r w:rsidR="001C3B97">
        <w:t>un regard pathologi</w:t>
      </w:r>
      <w:r w:rsidR="00402FA9">
        <w:t>sant</w:t>
      </w:r>
      <w:r w:rsidR="001C3B97">
        <w:t xml:space="preserve"> </w:t>
      </w:r>
      <w:r w:rsidR="001C3B97" w:rsidRPr="002101C0">
        <w:t>sur celle-ci</w:t>
      </w:r>
      <w:r w:rsidR="001C3B97">
        <w:t>, cherch</w:t>
      </w:r>
      <w:r w:rsidR="000D407D">
        <w:t>a</w:t>
      </w:r>
      <w:r w:rsidR="001C3B97">
        <w:t xml:space="preserve">nt à découvrir </w:t>
      </w:r>
      <w:r w:rsidR="001C3B97" w:rsidRPr="002101C0">
        <w:t>« l'étiologie » du « mal », les causes d</w:t>
      </w:r>
      <w:r w:rsidR="001C3B97">
        <w:t>u</w:t>
      </w:r>
      <w:r w:rsidR="001C3B97" w:rsidRPr="002101C0">
        <w:t xml:space="preserve"> comportement indésirable.</w:t>
      </w:r>
      <w:r w:rsidR="001C3B97">
        <w:t xml:space="preserve"> </w:t>
      </w:r>
      <w:r w:rsidR="001C3B97" w:rsidRPr="002101C0">
        <w:t xml:space="preserve">L'instrument </w:t>
      </w:r>
      <w:r w:rsidR="001C3B97">
        <w:t>« </w:t>
      </w:r>
      <w:r w:rsidR="001C3B97" w:rsidRPr="002101C0">
        <w:t>typique</w:t>
      </w:r>
      <w:r w:rsidR="001C3B97">
        <w:t xml:space="preserve"> » de ce type d’approche est </w:t>
      </w:r>
      <w:r w:rsidR="001C3B97" w:rsidRPr="002101C0">
        <w:t>l'analyse multivariée</w:t>
      </w:r>
      <w:r w:rsidR="001C3B97">
        <w:t>, nous dit Becker. Celle-ci présuppose « </w:t>
      </w:r>
      <w:r w:rsidR="001C3B97" w:rsidRPr="002101C0">
        <w:t>que tous les facteurs qui contribuent à produire le phénomène étudié agissent simultanément ; elle cherche à découvrir la variable, ou la combinaison de variables, qui « prédira » le mieux le comportement étudié. Par exemple, dans une étude de la délinquance juvénile, on s'efforcera de découvrir si c'est le quotient intellectuel de l'enfant, le quartier où il vit, la désunion de son foyer, ou telle combinaison de ces facteurs, qui rend compte de sa délinquance.</w:t>
      </w:r>
      <w:r w:rsidR="001C3B97">
        <w:t> » (</w:t>
      </w:r>
      <w:r w:rsidR="00A4398C">
        <w:t>Becker</w:t>
      </w:r>
      <w:r w:rsidR="00402FA9">
        <w:t>, 1985 :</w:t>
      </w:r>
      <w:r w:rsidR="001C3B97">
        <w:t xml:space="preserve"> 45) </w:t>
      </w:r>
      <w:r w:rsidR="002C37A1">
        <w:t>La notion de carrière permet de sortir de l’approche « par profil à risque », courante dans les études sur le sans</w:t>
      </w:r>
      <w:r w:rsidR="00402FA9">
        <w:t>-</w:t>
      </w:r>
      <w:r w:rsidR="002C37A1">
        <w:lastRenderedPageBreak/>
        <w:t>abrisme ou le mal</w:t>
      </w:r>
      <w:r w:rsidR="00402FA9">
        <w:t>-</w:t>
      </w:r>
      <w:r w:rsidR="002C37A1">
        <w:t>logement</w:t>
      </w:r>
      <w:r w:rsidR="00761E18">
        <w:t xml:space="preserve">, notamment. Elle nous </w:t>
      </w:r>
      <w:r w:rsidR="002C37A1">
        <w:t>permet, du moins, de la complexifier en travaillant sur les parcours</w:t>
      </w:r>
      <w:r w:rsidR="00402FA9">
        <w:t xml:space="preserve"> : </w:t>
      </w:r>
      <w:r w:rsidR="002C37A1">
        <w:t>dans une perspective longitudinale et dynamique.</w:t>
      </w:r>
    </w:p>
    <w:p w14:paraId="0B9B0705" w14:textId="22815007" w:rsidR="001F4201" w:rsidRDefault="000D407D" w:rsidP="00761E18">
      <w:pPr>
        <w:autoSpaceDE w:val="0"/>
        <w:autoSpaceDN w:val="0"/>
        <w:adjustRightInd w:val="0"/>
        <w:spacing w:after="0" w:line="276" w:lineRule="auto"/>
      </w:pPr>
      <w:r>
        <w:t xml:space="preserve">Pour sortir de ce modèle, </w:t>
      </w:r>
      <w:r w:rsidR="001C3B97">
        <w:t xml:space="preserve">Becker va donc </w:t>
      </w:r>
      <w:r>
        <w:t>élaborer un modèle séquentiel qui tienne compte du temps, d</w:t>
      </w:r>
      <w:r w:rsidR="00E14FA8">
        <w:t xml:space="preserve">e la durée, </w:t>
      </w:r>
      <w:r>
        <w:t>du progrès</w:t>
      </w:r>
      <w:r w:rsidR="00402FA9">
        <w:t>,</w:t>
      </w:r>
      <w:r>
        <w:t xml:space="preserve"> car </w:t>
      </w:r>
      <w:r w:rsidR="001C3B97">
        <w:t>« </w:t>
      </w:r>
      <w:r w:rsidR="001C3B97" w:rsidRPr="002101C0">
        <w:t>en réalité toute les causes n'agissent pas au même moment : il nous faut donc un modèle qui prenne en compte le fait que les modes de comportement se développent selon une séquence ordonnée.</w:t>
      </w:r>
      <w:r w:rsidR="001C3B97">
        <w:t> »</w:t>
      </w:r>
      <w:r>
        <w:t xml:space="preserve"> À chaque séquence ses propres motifs, motivations et explications : « </w:t>
      </w:r>
      <w:r w:rsidR="001C3B97" w:rsidRPr="002101C0">
        <w:t xml:space="preserve">il faut des types différents d'explication pour analyser comment une personne se trouve en situation de se procurer facilement de la marijuana, pourquoi, une fois dans cette situation, cette personne veut faire elle-même l'expérience de la drogue, et enfin pourquoi, ayant fait cette expérience, elle continue à en consommer. En un sens, chacune de ces explications renvoie à une cause nécessaire du comportement, puisque personne ne peut devenir fumeur régulier de marijuana sans être passé par chacune des phases. L'explication de chaque phase constitue donc un élément de l'explication du comportement final. » </w:t>
      </w:r>
      <w:r w:rsidR="009912AD">
        <w:t>(</w:t>
      </w:r>
      <w:r w:rsidR="005F72F2">
        <w:t>Becker</w:t>
      </w:r>
      <w:r w:rsidR="009912AD">
        <w:t>, 1985 : 46)</w:t>
      </w:r>
    </w:p>
    <w:p w14:paraId="37AB5806" w14:textId="77777777" w:rsidR="001F4201" w:rsidRDefault="001F4201" w:rsidP="00761E18">
      <w:pPr>
        <w:autoSpaceDE w:val="0"/>
        <w:autoSpaceDN w:val="0"/>
        <w:adjustRightInd w:val="0"/>
        <w:spacing w:after="0" w:line="276" w:lineRule="auto"/>
        <w:rPr>
          <w:rFonts w:eastAsia="Code2000" w:cs="Times New Roman"/>
        </w:rPr>
      </w:pPr>
    </w:p>
    <w:p w14:paraId="6E0042D3" w14:textId="41AAD087" w:rsidR="0027487A" w:rsidRDefault="009912AD" w:rsidP="0027487A">
      <w:pPr>
        <w:autoSpaceDE w:val="0"/>
        <w:autoSpaceDN w:val="0"/>
        <w:adjustRightInd w:val="0"/>
        <w:spacing w:line="276" w:lineRule="auto"/>
        <w:rPr>
          <w:rFonts w:cs="Times New Roman"/>
        </w:rPr>
      </w:pPr>
      <w:r>
        <w:rPr>
          <w:rFonts w:eastAsia="Code2000" w:cs="Times New Roman"/>
        </w:rPr>
        <w:t>L’autre grand intérêt de l’outil de</w:t>
      </w:r>
      <w:r w:rsidR="00074F57">
        <w:rPr>
          <w:rFonts w:eastAsia="Code2000" w:cs="Times New Roman"/>
        </w:rPr>
        <w:t xml:space="preserve"> Becker, c’est que la carrière est perçue comme un </w:t>
      </w:r>
      <w:r w:rsidR="00074F57">
        <w:rPr>
          <w:rFonts w:eastAsia="Code2000" w:cs="Times New Roman"/>
          <w:i/>
        </w:rPr>
        <w:t>engagement</w:t>
      </w:r>
      <w:r w:rsidR="00074F57" w:rsidRPr="00825CB6">
        <w:rPr>
          <w:rFonts w:eastAsia="Code2000" w:cs="Times New Roman"/>
          <w:i/>
        </w:rPr>
        <w:t xml:space="preserve"> progressif</w:t>
      </w:r>
      <w:r w:rsidR="00074F57">
        <w:rPr>
          <w:rFonts w:eastAsia="Code2000" w:cs="Times New Roman"/>
        </w:rPr>
        <w:t xml:space="preserve">, constitué de différentes </w:t>
      </w:r>
      <w:r w:rsidR="00807448">
        <w:rPr>
          <w:rFonts w:eastAsia="Code2000" w:cs="Times New Roman"/>
        </w:rPr>
        <w:t>étapes</w:t>
      </w:r>
      <w:r w:rsidR="001F4201">
        <w:rPr>
          <w:rFonts w:eastAsia="Code2000" w:cs="Times New Roman"/>
        </w:rPr>
        <w:t xml:space="preserve">. </w:t>
      </w:r>
      <w:r w:rsidR="00FC5E5E">
        <w:rPr>
          <w:rFonts w:eastAsia="Code2000" w:cs="Times New Roman"/>
        </w:rPr>
        <w:t xml:space="preserve">À chacune </w:t>
      </w:r>
      <w:r w:rsidR="00807448">
        <w:rPr>
          <w:rFonts w:eastAsia="Code2000" w:cs="Times New Roman"/>
        </w:rPr>
        <w:t>d’elle</w:t>
      </w:r>
      <w:r w:rsidR="008B2035">
        <w:rPr>
          <w:rFonts w:eastAsia="Code2000" w:cs="Times New Roman"/>
        </w:rPr>
        <w:t>s</w:t>
      </w:r>
      <w:r w:rsidR="00807448">
        <w:rPr>
          <w:rFonts w:eastAsia="Code2000" w:cs="Times New Roman"/>
        </w:rPr>
        <w:t xml:space="preserve"> </w:t>
      </w:r>
      <w:r w:rsidR="00FC5E5E">
        <w:rPr>
          <w:rFonts w:eastAsia="Code2000" w:cs="Times New Roman"/>
        </w:rPr>
        <w:t xml:space="preserve">ses propres apprentissages, techniques et représentations. </w:t>
      </w:r>
      <w:r w:rsidR="00807448">
        <w:rPr>
          <w:rFonts w:eastAsia="Code2000" w:cs="Times New Roman"/>
        </w:rPr>
        <w:t>L</w:t>
      </w:r>
      <w:r w:rsidR="00FC5E5E">
        <w:rPr>
          <w:rFonts w:eastAsia="Code2000" w:cs="Times New Roman"/>
        </w:rPr>
        <w:t>’individu développe</w:t>
      </w:r>
      <w:r w:rsidR="00807448">
        <w:rPr>
          <w:rFonts w:eastAsia="Code2000" w:cs="Times New Roman"/>
        </w:rPr>
        <w:t xml:space="preserve"> en effet, pour chaque séquence, </w:t>
      </w:r>
      <w:r w:rsidR="00FC5E5E">
        <w:rPr>
          <w:rFonts w:eastAsia="Code2000" w:cs="Times New Roman"/>
        </w:rPr>
        <w:t>une série de t</w:t>
      </w:r>
      <w:r w:rsidR="00FC5E5E" w:rsidRPr="000D407D">
        <w:rPr>
          <w:rFonts w:eastAsia="Code2000" w:cs="Times New Roman"/>
        </w:rPr>
        <w:t>echniques de « neutralisation » ou</w:t>
      </w:r>
      <w:r w:rsidR="00807448">
        <w:rPr>
          <w:rFonts w:eastAsia="Code2000" w:cs="Times New Roman"/>
        </w:rPr>
        <w:t xml:space="preserve"> de</w:t>
      </w:r>
      <w:r w:rsidR="00FC5E5E" w:rsidRPr="000D407D">
        <w:rPr>
          <w:rFonts w:eastAsia="Code2000" w:cs="Times New Roman"/>
        </w:rPr>
        <w:t xml:space="preserve"> justifications de</w:t>
      </w:r>
      <w:r w:rsidR="00807448">
        <w:rPr>
          <w:rFonts w:eastAsia="Code2000" w:cs="Times New Roman"/>
        </w:rPr>
        <w:t xml:space="preserve"> ses</w:t>
      </w:r>
      <w:r w:rsidR="00FC5E5E" w:rsidRPr="000D407D">
        <w:rPr>
          <w:rFonts w:eastAsia="Code2000" w:cs="Times New Roman"/>
        </w:rPr>
        <w:t xml:space="preserve"> pratiques déviantes. </w:t>
      </w:r>
      <w:r w:rsidR="00807448">
        <w:rPr>
          <w:rFonts w:eastAsia="Code2000" w:cs="Times New Roman"/>
        </w:rPr>
        <w:t>Ces techniques et r</w:t>
      </w:r>
      <w:r w:rsidR="00FC5E5E" w:rsidRPr="000D407D">
        <w:rPr>
          <w:rFonts w:eastAsia="Code2000" w:cs="Times New Roman"/>
        </w:rPr>
        <w:t xml:space="preserve">eprésentations </w:t>
      </w:r>
      <w:r w:rsidR="00807448">
        <w:rPr>
          <w:rFonts w:eastAsia="Code2000" w:cs="Times New Roman"/>
        </w:rPr>
        <w:t xml:space="preserve">sont </w:t>
      </w:r>
      <w:r w:rsidR="00FC5E5E" w:rsidRPr="000D407D">
        <w:rPr>
          <w:rFonts w:eastAsia="Code2000" w:cs="Times New Roman"/>
        </w:rPr>
        <w:t xml:space="preserve">nécessaires pour tenir « entre les deux mondes », </w:t>
      </w:r>
      <w:r w:rsidR="00807448">
        <w:rPr>
          <w:rFonts w:eastAsia="Code2000" w:cs="Times New Roman"/>
        </w:rPr>
        <w:t xml:space="preserve">explique Becker, maintenir des </w:t>
      </w:r>
      <w:r w:rsidR="00FC5E5E" w:rsidRPr="000D407D">
        <w:rPr>
          <w:rFonts w:eastAsia="Code2000" w:cs="Times New Roman"/>
        </w:rPr>
        <w:t xml:space="preserve">pratiques déviantes tout en maintenant la reconnaissance des normes </w:t>
      </w:r>
      <w:r w:rsidR="00807448">
        <w:rPr>
          <w:rFonts w:eastAsia="Code2000" w:cs="Times New Roman"/>
        </w:rPr>
        <w:t>des</w:t>
      </w:r>
      <w:r w:rsidR="00FC5E5E" w:rsidRPr="000D407D">
        <w:rPr>
          <w:rFonts w:eastAsia="Code2000" w:cs="Times New Roman"/>
        </w:rPr>
        <w:t xml:space="preserve"> institutions conventionnelles. </w:t>
      </w:r>
      <w:r w:rsidR="0027487A" w:rsidRPr="005160D0">
        <w:rPr>
          <w:rFonts w:cs="Times New Roman"/>
        </w:rPr>
        <w:t>Muriel Darmon, par exemple, reprend à Becker la notion de carrière pour proposer une approche sociologique d</w:t>
      </w:r>
      <w:r>
        <w:rPr>
          <w:rFonts w:cs="Times New Roman"/>
        </w:rPr>
        <w:t>u</w:t>
      </w:r>
      <w:r w:rsidR="0027487A" w:rsidRPr="005160D0">
        <w:rPr>
          <w:rFonts w:cs="Times New Roman"/>
        </w:rPr>
        <w:t xml:space="preserve"> devenir</w:t>
      </w:r>
      <w:r>
        <w:rPr>
          <w:rFonts w:cs="Times New Roman"/>
        </w:rPr>
        <w:t>-</w:t>
      </w:r>
      <w:r w:rsidR="0027487A" w:rsidRPr="005160D0">
        <w:rPr>
          <w:rFonts w:cs="Times New Roman"/>
        </w:rPr>
        <w:t xml:space="preserve">anorexique. </w:t>
      </w:r>
      <w:r w:rsidR="0027487A">
        <w:rPr>
          <w:rFonts w:cs="Times New Roman"/>
        </w:rPr>
        <w:t xml:space="preserve">Elle adapte Becker et propose un modèle en quatre étapes pour la carrière anorexique : l’entrée dans l’anorexie, le maintien, le maintien malgré les avertissements, le recours à l’institution. </w:t>
      </w:r>
    </w:p>
    <w:p w14:paraId="39C08058" w14:textId="7BFD85CF" w:rsidR="000051B2" w:rsidRDefault="0027487A" w:rsidP="00E505A5">
      <w:pPr>
        <w:pStyle w:val="Default"/>
        <w:spacing w:line="276" w:lineRule="auto"/>
        <w:jc w:val="both"/>
        <w:rPr>
          <w:rFonts w:ascii="Times New Roman" w:hAnsi="Times New Roman" w:cs="Times New Roman"/>
          <w:sz w:val="22"/>
          <w:szCs w:val="22"/>
        </w:rPr>
      </w:pPr>
      <w:r w:rsidRPr="000D407D">
        <w:rPr>
          <w:rFonts w:ascii="Times New Roman" w:hAnsi="Times New Roman" w:cs="Times New Roman"/>
          <w:sz w:val="22"/>
          <w:szCs w:val="22"/>
        </w:rPr>
        <w:t xml:space="preserve">Quelles sont donc </w:t>
      </w:r>
      <w:r w:rsidR="009912AD">
        <w:rPr>
          <w:rFonts w:ascii="Times New Roman" w:hAnsi="Times New Roman" w:cs="Times New Roman"/>
          <w:sz w:val="22"/>
          <w:szCs w:val="22"/>
        </w:rPr>
        <w:t>l</w:t>
      </w:r>
      <w:r w:rsidRPr="000D407D">
        <w:rPr>
          <w:rFonts w:ascii="Times New Roman" w:hAnsi="Times New Roman" w:cs="Times New Roman"/>
          <w:sz w:val="22"/>
          <w:szCs w:val="22"/>
        </w:rPr>
        <w:t>es différentes séquences </w:t>
      </w:r>
      <w:r>
        <w:rPr>
          <w:rFonts w:ascii="Times New Roman" w:hAnsi="Times New Roman" w:cs="Times New Roman"/>
          <w:sz w:val="22"/>
          <w:szCs w:val="22"/>
        </w:rPr>
        <w:t>de la carrière d</w:t>
      </w:r>
      <w:r w:rsidR="009912AD">
        <w:rPr>
          <w:rFonts w:ascii="Times New Roman" w:hAnsi="Times New Roman" w:cs="Times New Roman"/>
          <w:sz w:val="22"/>
          <w:szCs w:val="22"/>
        </w:rPr>
        <w:t>e</w:t>
      </w:r>
      <w:r>
        <w:rPr>
          <w:rFonts w:ascii="Times New Roman" w:hAnsi="Times New Roman" w:cs="Times New Roman"/>
          <w:sz w:val="22"/>
          <w:szCs w:val="22"/>
        </w:rPr>
        <w:t xml:space="preserve"> locataire-mauvais payeur </w:t>
      </w:r>
      <w:r w:rsidRPr="000D407D">
        <w:rPr>
          <w:rFonts w:ascii="Times New Roman" w:hAnsi="Times New Roman" w:cs="Times New Roman"/>
          <w:sz w:val="22"/>
          <w:szCs w:val="22"/>
        </w:rPr>
        <w:t xml:space="preserve">? </w:t>
      </w:r>
      <w:r w:rsidR="00FC5E5E" w:rsidRPr="0027487A">
        <w:rPr>
          <w:rFonts w:ascii="Times New Roman" w:hAnsi="Times New Roman" w:cs="Times New Roman"/>
          <w:sz w:val="22"/>
          <w:szCs w:val="22"/>
        </w:rPr>
        <w:t xml:space="preserve">Quelles sont les </w:t>
      </w:r>
      <w:r w:rsidR="00807448" w:rsidRPr="0027487A">
        <w:rPr>
          <w:rFonts w:ascii="Times New Roman" w:hAnsi="Times New Roman" w:cs="Times New Roman"/>
          <w:sz w:val="22"/>
          <w:szCs w:val="22"/>
        </w:rPr>
        <w:t xml:space="preserve">représentations </w:t>
      </w:r>
      <w:r w:rsidR="00FC5E5E" w:rsidRPr="0027487A">
        <w:rPr>
          <w:rFonts w:ascii="Times New Roman" w:hAnsi="Times New Roman" w:cs="Times New Roman"/>
          <w:sz w:val="22"/>
          <w:szCs w:val="22"/>
        </w:rPr>
        <w:t xml:space="preserve">contradictoires pour </w:t>
      </w:r>
      <w:r w:rsidR="00807448" w:rsidRPr="0027487A">
        <w:rPr>
          <w:rFonts w:ascii="Times New Roman" w:hAnsi="Times New Roman" w:cs="Times New Roman"/>
          <w:sz w:val="22"/>
          <w:szCs w:val="22"/>
        </w:rPr>
        <w:t xml:space="preserve">le </w:t>
      </w:r>
      <w:r w:rsidR="00FC5E5E" w:rsidRPr="0027487A">
        <w:rPr>
          <w:rFonts w:ascii="Times New Roman" w:hAnsi="Times New Roman" w:cs="Times New Roman"/>
          <w:sz w:val="22"/>
          <w:szCs w:val="22"/>
        </w:rPr>
        <w:t>locataire qui suspend le paiement de son loyer ?</w:t>
      </w:r>
      <w:r w:rsidR="00807448" w:rsidRPr="0027487A">
        <w:rPr>
          <w:rFonts w:ascii="Times New Roman" w:hAnsi="Times New Roman" w:cs="Times New Roman"/>
          <w:sz w:val="22"/>
          <w:szCs w:val="22"/>
        </w:rPr>
        <w:t xml:space="preserve"> Quels types de techniques met-il en place pour se maintenir dans sa carrière </w:t>
      </w:r>
      <w:r w:rsidR="007D6AA8">
        <w:rPr>
          <w:rFonts w:ascii="Times New Roman" w:hAnsi="Times New Roman" w:cs="Times New Roman"/>
          <w:sz w:val="22"/>
          <w:szCs w:val="22"/>
        </w:rPr>
        <w:t>(</w:t>
      </w:r>
      <w:r w:rsidR="00FC5E5E" w:rsidRPr="0027487A">
        <w:rPr>
          <w:rFonts w:ascii="Times New Roman" w:hAnsi="Times New Roman" w:cs="Times New Roman"/>
          <w:sz w:val="22"/>
          <w:szCs w:val="22"/>
        </w:rPr>
        <w:t>justifications, promesses, excuses, échanges de services</w:t>
      </w:r>
      <w:r w:rsidR="00807448" w:rsidRPr="0027487A">
        <w:rPr>
          <w:rFonts w:ascii="Times New Roman" w:hAnsi="Times New Roman" w:cs="Times New Roman"/>
          <w:sz w:val="22"/>
          <w:szCs w:val="22"/>
        </w:rPr>
        <w:t xml:space="preserve"> envers le propriétaire,</w:t>
      </w:r>
      <w:r w:rsidR="00FC5E5E" w:rsidRPr="0027487A">
        <w:rPr>
          <w:rFonts w:ascii="Times New Roman" w:hAnsi="Times New Roman" w:cs="Times New Roman"/>
          <w:sz w:val="22"/>
          <w:szCs w:val="22"/>
        </w:rPr>
        <w:t xml:space="preserve"> etc.</w:t>
      </w:r>
      <w:r w:rsidR="007D6AA8">
        <w:rPr>
          <w:rFonts w:ascii="Times New Roman" w:hAnsi="Times New Roman" w:cs="Times New Roman"/>
          <w:sz w:val="22"/>
          <w:szCs w:val="22"/>
        </w:rPr>
        <w:t xml:space="preserve">) </w:t>
      </w:r>
      <w:r w:rsidR="00807448" w:rsidRPr="0027487A">
        <w:rPr>
          <w:rFonts w:ascii="Times New Roman" w:hAnsi="Times New Roman" w:cs="Times New Roman"/>
          <w:sz w:val="22"/>
          <w:szCs w:val="22"/>
        </w:rPr>
        <w:t>?</w:t>
      </w:r>
      <w:r w:rsidR="00FC5E5E" w:rsidRPr="0027487A">
        <w:rPr>
          <w:rFonts w:ascii="Times New Roman" w:hAnsi="Times New Roman" w:cs="Times New Roman"/>
          <w:sz w:val="22"/>
          <w:szCs w:val="22"/>
        </w:rPr>
        <w:t xml:space="preserve"> </w:t>
      </w:r>
      <w:r w:rsidR="007D6AA8">
        <w:rPr>
          <w:rFonts w:ascii="Times New Roman" w:hAnsi="Times New Roman" w:cs="Times New Roman"/>
          <w:sz w:val="22"/>
          <w:szCs w:val="22"/>
        </w:rPr>
        <w:t>Ou pour en sortir ? Pour sortir, par exemple, d’une procédure d’expulsion, avant qu’elle n’aboutisse ?</w:t>
      </w:r>
      <w:r w:rsidR="007D6AA8">
        <w:rPr>
          <w:rStyle w:val="Appelnotedebasdep"/>
          <w:rFonts w:ascii="Times New Roman" w:hAnsi="Times New Roman" w:cs="Times New Roman"/>
          <w:sz w:val="22"/>
          <w:szCs w:val="22"/>
        </w:rPr>
        <w:footnoteReference w:id="24"/>
      </w:r>
      <w:r w:rsidR="007D6AA8">
        <w:rPr>
          <w:rFonts w:ascii="Times New Roman" w:hAnsi="Times New Roman" w:cs="Times New Roman"/>
          <w:sz w:val="22"/>
          <w:szCs w:val="22"/>
        </w:rPr>
        <w:t xml:space="preserve"> </w:t>
      </w:r>
      <w:r w:rsidR="00807448">
        <w:rPr>
          <w:rFonts w:ascii="Times New Roman" w:hAnsi="Times New Roman" w:cs="Times New Roman"/>
          <w:sz w:val="22"/>
          <w:szCs w:val="22"/>
        </w:rPr>
        <w:t>Becker nous offre un m</w:t>
      </w:r>
      <w:r w:rsidR="000051B2">
        <w:rPr>
          <w:rFonts w:ascii="Times New Roman" w:hAnsi="Times New Roman" w:cs="Times New Roman"/>
          <w:sz w:val="22"/>
          <w:szCs w:val="22"/>
        </w:rPr>
        <w:t>odèle riche pour</w:t>
      </w:r>
      <w:r w:rsidR="00807448">
        <w:rPr>
          <w:rFonts w:ascii="Times New Roman" w:hAnsi="Times New Roman" w:cs="Times New Roman"/>
          <w:sz w:val="22"/>
          <w:szCs w:val="22"/>
        </w:rPr>
        <w:t xml:space="preserve"> étudier toute carrière qui dévie de la norme</w:t>
      </w:r>
      <w:r w:rsidR="008B2035">
        <w:rPr>
          <w:rFonts w:ascii="Times New Roman" w:hAnsi="Times New Roman" w:cs="Times New Roman"/>
          <w:sz w:val="22"/>
          <w:szCs w:val="22"/>
        </w:rPr>
        <w:t xml:space="preserve"> – celle, pour ce qui nous concerne ici, du « bon père de famille ».</w:t>
      </w:r>
      <w:r w:rsidR="00807448">
        <w:rPr>
          <w:rFonts w:ascii="Times New Roman" w:hAnsi="Times New Roman" w:cs="Times New Roman"/>
          <w:sz w:val="22"/>
          <w:szCs w:val="22"/>
        </w:rPr>
        <w:t xml:space="preserve"> </w:t>
      </w:r>
    </w:p>
    <w:p w14:paraId="49536815" w14:textId="77777777" w:rsidR="000051B2" w:rsidRDefault="000051B2" w:rsidP="00E505A5">
      <w:pPr>
        <w:pStyle w:val="Default"/>
        <w:spacing w:line="276" w:lineRule="auto"/>
        <w:jc w:val="both"/>
        <w:rPr>
          <w:rFonts w:ascii="Times New Roman" w:hAnsi="Times New Roman" w:cs="Times New Roman"/>
          <w:sz w:val="22"/>
          <w:szCs w:val="22"/>
        </w:rPr>
      </w:pPr>
    </w:p>
    <w:p w14:paraId="41E5E226" w14:textId="455E5DBA" w:rsidR="001A28A2" w:rsidRDefault="00761E18" w:rsidP="00E505A5">
      <w:pPr>
        <w:pStyle w:val="Titre3"/>
        <w:spacing w:line="276" w:lineRule="auto"/>
      </w:pPr>
      <w:bookmarkStart w:id="27" w:name="_Toc152687210"/>
      <w:r>
        <w:t>Articuler dispositions et situations</w:t>
      </w:r>
      <w:bookmarkEnd w:id="27"/>
      <w:r>
        <w:t xml:space="preserve"> </w:t>
      </w:r>
    </w:p>
    <w:p w14:paraId="110037AB" w14:textId="5AE63653" w:rsidR="00816B24" w:rsidRDefault="002A63FD" w:rsidP="000E5827">
      <w:pPr>
        <w:spacing w:line="276" w:lineRule="auto"/>
      </w:pPr>
      <w:r w:rsidRPr="00774482">
        <w:t xml:space="preserve">Les entretiens biographiques </w:t>
      </w:r>
      <w:r w:rsidR="000E5827">
        <w:t xml:space="preserve">semblent donc être des </w:t>
      </w:r>
      <w:r w:rsidRPr="00774482">
        <w:t>outils d'enquête particulièrement</w:t>
      </w:r>
      <w:r w:rsidR="000E5827">
        <w:t xml:space="preserve"> </w:t>
      </w:r>
      <w:r w:rsidRPr="00774482">
        <w:t xml:space="preserve">précieux pour </w:t>
      </w:r>
      <w:r w:rsidR="000E5827">
        <w:t>saisir les trajectoires des individus, leurs conditions de vie, leurs expériences, leurs pratiques. Olivier Schwartz</w:t>
      </w:r>
      <w:r w:rsidR="008B2035">
        <w:t xml:space="preserve"> et al.</w:t>
      </w:r>
      <w:r w:rsidR="000E5827">
        <w:t xml:space="preserve"> </w:t>
      </w:r>
      <w:proofErr w:type="gramStart"/>
      <w:r w:rsidR="000E5827">
        <w:t>parle</w:t>
      </w:r>
      <w:r w:rsidR="008B2035">
        <w:t>nt</w:t>
      </w:r>
      <w:proofErr w:type="gramEnd"/>
      <w:r w:rsidR="000E5827">
        <w:t xml:space="preserve"> pour cela d’un </w:t>
      </w:r>
      <w:r w:rsidR="000E5827" w:rsidRPr="00774482">
        <w:t>ensemble de réalités indissociablement objectives et subjectives</w:t>
      </w:r>
      <w:r w:rsidR="000E5827">
        <w:t xml:space="preserve"> et qui constituent les « d’univers de vie » </w:t>
      </w:r>
      <w:r w:rsidRPr="00774482">
        <w:t xml:space="preserve">des </w:t>
      </w:r>
      <w:r w:rsidRPr="0059474F">
        <w:t xml:space="preserve">individus </w:t>
      </w:r>
      <w:r w:rsidR="00122EE9" w:rsidRPr="0059474F">
        <w:t>(</w:t>
      </w:r>
      <w:r w:rsidR="005F72F2" w:rsidRPr="0059474F">
        <w:t>Schwartz</w:t>
      </w:r>
      <w:r w:rsidR="008B2035" w:rsidRPr="0059474F">
        <w:t xml:space="preserve"> et al.</w:t>
      </w:r>
      <w:r w:rsidRPr="0059474F">
        <w:t xml:space="preserve">, </w:t>
      </w:r>
      <w:r w:rsidR="00122EE9" w:rsidRPr="0059474F">
        <w:t xml:space="preserve">1999 : </w:t>
      </w:r>
      <w:r w:rsidRPr="0059474F">
        <w:t>458</w:t>
      </w:r>
      <w:r w:rsidR="00122EE9" w:rsidRPr="0059474F">
        <w:t>)</w:t>
      </w:r>
      <w:r w:rsidR="000E5827" w:rsidRPr="0059474F">
        <w:t>. À</w:t>
      </w:r>
      <w:r w:rsidR="000E5827" w:rsidRPr="00E11C66">
        <w:t xml:space="preserve"> cet « univers de vie » s’ajoute un « univers de sens », constitué des représentations, jugements et significations que l’individu accorde à sa propre trajectoire. Mais reconnaitre la dimension subjective et artificielle de la </w:t>
      </w:r>
      <w:r w:rsidR="00E11C66" w:rsidRPr="00E11C66">
        <w:t>reconstitution</w:t>
      </w:r>
      <w:r w:rsidR="000E5827" w:rsidRPr="00E11C66">
        <w:t xml:space="preserve"> de son </w:t>
      </w:r>
      <w:r w:rsidR="00E11C66" w:rsidRPr="00E11C66">
        <w:t xml:space="preserve">propre </w:t>
      </w:r>
      <w:r w:rsidR="000E5827" w:rsidRPr="00E11C66">
        <w:t xml:space="preserve">parcours à travers </w:t>
      </w:r>
      <w:r w:rsidR="00E11C66" w:rsidRPr="00E11C66">
        <w:t xml:space="preserve">dans </w:t>
      </w:r>
      <w:r w:rsidR="000E5827" w:rsidRPr="00E11C66">
        <w:t>un récit, n’implique pas de l’invalid</w:t>
      </w:r>
      <w:r w:rsidR="00E11C66">
        <w:t>er</w:t>
      </w:r>
      <w:r w:rsidR="000E5827" w:rsidRPr="00E11C66">
        <w:t xml:space="preserve"> totalement et de le rejeter </w:t>
      </w:r>
      <w:r w:rsidR="0059474F">
        <w:t xml:space="preserve">en bloc </w:t>
      </w:r>
      <w:r w:rsidR="000E5827" w:rsidRPr="00E11C66">
        <w:t xml:space="preserve">dans </w:t>
      </w:r>
      <w:r w:rsidR="00E11C66" w:rsidRPr="00E11C66">
        <w:t>le domaine d</w:t>
      </w:r>
      <w:r w:rsidR="0059474F">
        <w:t>e « </w:t>
      </w:r>
      <w:r w:rsidR="00E11C66" w:rsidRPr="00E11C66">
        <w:t>l’illusion biographique</w:t>
      </w:r>
      <w:r w:rsidR="0059474F">
        <w:t> »</w:t>
      </w:r>
      <w:r w:rsidR="00E11C66" w:rsidRPr="00E11C66">
        <w:t>.</w:t>
      </w:r>
    </w:p>
    <w:p w14:paraId="509AEF63" w14:textId="10C75EC1" w:rsidR="00D27592" w:rsidRPr="00B47E73" w:rsidRDefault="00E11C66" w:rsidP="00D87F79">
      <w:pPr>
        <w:autoSpaceDE w:val="0"/>
        <w:autoSpaceDN w:val="0"/>
        <w:adjustRightInd w:val="0"/>
        <w:spacing w:line="276" w:lineRule="auto"/>
        <w:rPr>
          <w:rFonts w:cs="Times New Roman"/>
        </w:rPr>
      </w:pPr>
      <w:r>
        <w:rPr>
          <w:rFonts w:eastAsia="Code2000" w:cs="Times New Roman"/>
        </w:rPr>
        <w:t xml:space="preserve">Ce qu’il faut, c’est </w:t>
      </w:r>
      <w:r w:rsidR="000E5827" w:rsidRPr="006F0BF7">
        <w:rPr>
          <w:rFonts w:eastAsia="Code2000" w:cs="Times New Roman"/>
        </w:rPr>
        <w:t>a</w:t>
      </w:r>
      <w:r w:rsidR="00816B24" w:rsidRPr="006F0BF7">
        <w:rPr>
          <w:rFonts w:eastAsia="Code2000" w:cs="Times New Roman"/>
        </w:rPr>
        <w:t xml:space="preserve">ccepter que le récit qui nous est </w:t>
      </w:r>
      <w:r w:rsidR="0059474F" w:rsidRPr="006F0BF7">
        <w:rPr>
          <w:rFonts w:eastAsia="Code2000" w:cs="Times New Roman"/>
        </w:rPr>
        <w:t>livr</w:t>
      </w:r>
      <w:r w:rsidR="00816B24" w:rsidRPr="006F0BF7">
        <w:rPr>
          <w:rFonts w:eastAsia="Code2000" w:cs="Times New Roman"/>
        </w:rPr>
        <w:t>é exige encore un travail d’interprétation</w:t>
      </w:r>
      <w:r w:rsidR="0077075E" w:rsidRPr="006F0BF7">
        <w:rPr>
          <w:rFonts w:eastAsia="Code2000" w:cs="Times New Roman"/>
        </w:rPr>
        <w:t xml:space="preserve"> </w:t>
      </w:r>
      <w:r w:rsidR="00D84A7A" w:rsidRPr="006F0BF7">
        <w:rPr>
          <w:rFonts w:eastAsia="Code2000" w:cs="Times New Roman"/>
        </w:rPr>
        <w:t>et d’objectivation, reconnaitre la dimension subjective du récit,</w:t>
      </w:r>
      <w:r w:rsidR="006F0BF7">
        <w:rPr>
          <w:rFonts w:eastAsia="Code2000" w:cs="Times New Roman"/>
        </w:rPr>
        <w:t xml:space="preserve"> </w:t>
      </w:r>
      <w:r w:rsidR="00D84A7A">
        <w:rPr>
          <w:rFonts w:eastAsia="Code2000" w:cs="Times New Roman"/>
        </w:rPr>
        <w:t xml:space="preserve">et </w:t>
      </w:r>
      <w:r w:rsidR="005F72F2">
        <w:rPr>
          <w:rFonts w:eastAsia="Code2000" w:cs="Times New Roman"/>
        </w:rPr>
        <w:t>la</w:t>
      </w:r>
      <w:r w:rsidR="005200D9">
        <w:rPr>
          <w:rFonts w:eastAsia="Code2000" w:cs="Times New Roman"/>
        </w:rPr>
        <w:t xml:space="preserve"> </w:t>
      </w:r>
      <w:r w:rsidR="000E5827">
        <w:rPr>
          <w:rFonts w:eastAsia="Code2000" w:cs="Times New Roman"/>
        </w:rPr>
        <w:t xml:space="preserve">rattacher à des conditions sociales </w:t>
      </w:r>
      <w:r w:rsidR="00D84A7A">
        <w:rPr>
          <w:rFonts w:eastAsia="Code2000" w:cs="Times New Roman"/>
        </w:rPr>
        <w:t xml:space="preserve">et </w:t>
      </w:r>
      <w:r w:rsidR="00D84A7A">
        <w:rPr>
          <w:rFonts w:eastAsia="Code2000" w:cs="Times New Roman"/>
        </w:rPr>
        <w:lastRenderedPageBreak/>
        <w:t xml:space="preserve">politique </w:t>
      </w:r>
      <w:r w:rsidR="000E5827">
        <w:rPr>
          <w:rFonts w:eastAsia="Code2000" w:cs="Times New Roman"/>
        </w:rPr>
        <w:t>d’émergence</w:t>
      </w:r>
      <w:r w:rsidR="005F72F2">
        <w:rPr>
          <w:rFonts w:eastAsia="Code2000" w:cs="Times New Roman"/>
        </w:rPr>
        <w:t> :</w:t>
      </w:r>
      <w:r w:rsidR="000E5827">
        <w:rPr>
          <w:rFonts w:eastAsia="Code2000" w:cs="Times New Roman"/>
        </w:rPr>
        <w:t xml:space="preserve"> </w:t>
      </w:r>
      <w:r w:rsidR="00816B24">
        <w:rPr>
          <w:rFonts w:eastAsia="Code2000" w:cs="Times New Roman"/>
        </w:rPr>
        <w:t>« ajouter des contraintes à l’interprétation »</w:t>
      </w:r>
      <w:r w:rsidR="000E5827">
        <w:rPr>
          <w:rFonts w:eastAsia="Code2000" w:cs="Times New Roman"/>
        </w:rPr>
        <w:t xml:space="preserve"> </w:t>
      </w:r>
      <w:r w:rsidR="00816B24">
        <w:rPr>
          <w:rFonts w:eastAsia="Code2000" w:cs="Times New Roman"/>
        </w:rPr>
        <w:t xml:space="preserve">(Passeron, </w:t>
      </w:r>
      <w:r w:rsidR="00DD396D">
        <w:rPr>
          <w:rFonts w:eastAsia="Code2000" w:cs="Times New Roman"/>
        </w:rPr>
        <w:t xml:space="preserve">1990 : </w:t>
      </w:r>
      <w:r w:rsidR="00816B24">
        <w:rPr>
          <w:rFonts w:eastAsia="Code2000" w:cs="Times New Roman"/>
        </w:rPr>
        <w:t>4)</w:t>
      </w:r>
      <w:r w:rsidR="000E5827">
        <w:rPr>
          <w:rFonts w:eastAsia="Code2000" w:cs="Times New Roman"/>
        </w:rPr>
        <w:t>. C’est la tâche du sociologue.</w:t>
      </w:r>
      <w:r w:rsidR="007454E1">
        <w:rPr>
          <w:rFonts w:eastAsia="Code2000" w:cs="Times New Roman"/>
        </w:rPr>
        <w:t xml:space="preserve"> C’est notamment possible en mobilisant les concepts de trajectoire et de carrière, qui pour revenir à Passeron, permettent de </w:t>
      </w:r>
      <w:r w:rsidR="00D27592">
        <w:rPr>
          <w:rFonts w:cs="Times New Roman"/>
        </w:rPr>
        <w:t>« comprendre le devenir biographique comme le produit d’un double mouvement, celui de l’action sociale des individus et celui du déterminisme social des structures. » (Passeron</w:t>
      </w:r>
      <w:r w:rsidR="00DD396D">
        <w:rPr>
          <w:rFonts w:cs="Times New Roman"/>
        </w:rPr>
        <w:t xml:space="preserve">, 1990 : </w:t>
      </w:r>
      <w:r w:rsidR="00D27592">
        <w:rPr>
          <w:rFonts w:cs="Times New Roman"/>
        </w:rPr>
        <w:t>17)</w:t>
      </w:r>
    </w:p>
    <w:p w14:paraId="4E5BC65D" w14:textId="21249A70" w:rsidR="00D84A7A" w:rsidRDefault="00D84A7A" w:rsidP="00D84A7A">
      <w:pPr>
        <w:spacing w:line="276" w:lineRule="auto"/>
        <w:rPr>
          <w:rFonts w:cs="Times New Roman"/>
        </w:rPr>
      </w:pPr>
      <w:r>
        <w:t xml:space="preserve">Ce que nous proposons ici, c’est de mobilier les deux concepts à la fois, trajectoire et carrière, de les combiner de manière à accorder </w:t>
      </w:r>
      <w:r w:rsidR="007454E1">
        <w:t>une « </w:t>
      </w:r>
      <w:r w:rsidR="007454E1" w:rsidRPr="002E2C1D">
        <w:rPr>
          <w:rFonts w:cs="Times New Roman"/>
        </w:rPr>
        <w:t>attention égale aux processus et à la dialectique permanente entre histoire individue</w:t>
      </w:r>
      <w:r w:rsidR="007454E1" w:rsidRPr="00DD396D">
        <w:rPr>
          <w:rFonts w:cs="Times New Roman"/>
        </w:rPr>
        <w:t>lle et institution et, plus généralement, les contextes » (</w:t>
      </w:r>
      <w:r w:rsidR="00DD396D" w:rsidRPr="00DD396D">
        <w:rPr>
          <w:rFonts w:cs="Times New Roman"/>
        </w:rPr>
        <w:t>Perrin-Heredia</w:t>
      </w:r>
      <w:r w:rsidRPr="00DD396D">
        <w:rPr>
          <w:rFonts w:cs="Times New Roman"/>
        </w:rPr>
        <w:t xml:space="preserve">, </w:t>
      </w:r>
      <w:r w:rsidR="00315CA4" w:rsidRPr="00DD396D">
        <w:rPr>
          <w:rFonts w:cs="Times New Roman"/>
        </w:rPr>
        <w:t xml:space="preserve">2010 : 443, </w:t>
      </w:r>
      <w:r w:rsidRPr="00DD396D">
        <w:rPr>
          <w:rFonts w:cs="Times New Roman"/>
        </w:rPr>
        <w:t>note1</w:t>
      </w:r>
      <w:r w:rsidR="007454E1" w:rsidRPr="00DD396D">
        <w:rPr>
          <w:rFonts w:cs="Times New Roman"/>
        </w:rPr>
        <w:t>).</w:t>
      </w:r>
      <w:r w:rsidR="007454E1">
        <w:rPr>
          <w:rFonts w:cs="Times New Roman"/>
        </w:rPr>
        <w:t xml:space="preserve"> </w:t>
      </w:r>
    </w:p>
    <w:p w14:paraId="64094048" w14:textId="68397800" w:rsidR="005A2B91" w:rsidRDefault="007454E1" w:rsidP="00D84A7A">
      <w:pPr>
        <w:spacing w:line="276" w:lineRule="auto"/>
        <w:rPr>
          <w:rFonts w:cs="Times New Roman"/>
        </w:rPr>
      </w:pPr>
      <w:r>
        <w:rPr>
          <w:rFonts w:cs="Times New Roman"/>
        </w:rPr>
        <w:t>On retrouve cette approche dans les travaux d’Olivier Fill</w:t>
      </w:r>
      <w:r w:rsidR="00DB7734">
        <w:rPr>
          <w:rFonts w:cs="Times New Roman"/>
        </w:rPr>
        <w:t>i</w:t>
      </w:r>
      <w:r>
        <w:rPr>
          <w:rFonts w:cs="Times New Roman"/>
        </w:rPr>
        <w:t>eul</w:t>
      </w:r>
      <w:r w:rsidR="00DB7734">
        <w:rPr>
          <w:rFonts w:cs="Times New Roman"/>
        </w:rPr>
        <w:t>e</w:t>
      </w:r>
      <w:r>
        <w:rPr>
          <w:rStyle w:val="Appelnotedebasdep"/>
          <w:rFonts w:cs="Times New Roman"/>
        </w:rPr>
        <w:footnoteReference w:id="25"/>
      </w:r>
      <w:r>
        <w:rPr>
          <w:rFonts w:cs="Times New Roman"/>
        </w:rPr>
        <w:t>ou dans la thèse de Ana Perrin Heredia, qui articulent trajectoire et carrière</w:t>
      </w:r>
      <w:r w:rsidR="00315CA4">
        <w:rPr>
          <w:rFonts w:cs="Times New Roman"/>
        </w:rPr>
        <w:t>. Là où la trajectoire porte sur le parcours de l’individu, ses « univers de vie » articulé</w:t>
      </w:r>
      <w:r w:rsidR="00BA0ED3">
        <w:rPr>
          <w:rFonts w:cs="Times New Roman"/>
        </w:rPr>
        <w:t>s</w:t>
      </w:r>
      <w:r w:rsidR="00315CA4">
        <w:rPr>
          <w:rFonts w:cs="Times New Roman"/>
        </w:rPr>
        <w:t xml:space="preserve"> aux « univers de sens » qu’il créé, nous pouvons</w:t>
      </w:r>
      <w:r w:rsidR="00BA0ED3">
        <w:rPr>
          <w:rFonts w:cs="Times New Roman"/>
        </w:rPr>
        <w:t xml:space="preserve"> dire</w:t>
      </w:r>
      <w:r w:rsidR="00315CA4">
        <w:rPr>
          <w:rFonts w:cs="Times New Roman"/>
        </w:rPr>
        <w:t xml:space="preserve"> que la carrière porte sur une séquence particulière de sa vie, qui </w:t>
      </w:r>
      <w:r w:rsidR="001D41D7">
        <w:rPr>
          <w:rFonts w:cs="Times New Roman"/>
        </w:rPr>
        <w:t xml:space="preserve">se pense dans sa relation à une institution, </w:t>
      </w:r>
      <w:r w:rsidR="001D41D7">
        <w:t>une norme qui détermine le comportement déviant</w:t>
      </w:r>
      <w:r w:rsidR="00315CA4">
        <w:rPr>
          <w:rFonts w:cs="Times New Roman"/>
        </w:rPr>
        <w:t xml:space="preserve"> (trajectoire de vie, donc mais carrière de fumeur de </w:t>
      </w:r>
      <w:proofErr w:type="spellStart"/>
      <w:r w:rsidR="00315CA4">
        <w:rPr>
          <w:rFonts w:cs="Times New Roman"/>
        </w:rPr>
        <w:t>majijuana</w:t>
      </w:r>
      <w:proofErr w:type="spellEnd"/>
      <w:r w:rsidR="00315CA4">
        <w:rPr>
          <w:rFonts w:cs="Times New Roman"/>
        </w:rPr>
        <w:t>, de musicien de jazz, de locataire, etc.)</w:t>
      </w:r>
      <w:r w:rsidR="005A2B91">
        <w:rPr>
          <w:rFonts w:cs="Times New Roman"/>
        </w:rPr>
        <w:t xml:space="preserve">. </w:t>
      </w:r>
    </w:p>
    <w:p w14:paraId="660FB8D5" w14:textId="58CE16D1" w:rsidR="007454E1" w:rsidRDefault="00BA0ED3" w:rsidP="004010DF">
      <w:pPr>
        <w:spacing w:line="276" w:lineRule="auto"/>
        <w:rPr>
          <w:rFonts w:cs="Times New Roman"/>
        </w:rPr>
      </w:pPr>
      <w:r>
        <w:rPr>
          <w:rFonts w:cs="Times New Roman"/>
        </w:rPr>
        <w:t>T</w:t>
      </w:r>
      <w:r w:rsidR="005A2B91" w:rsidRPr="005A2B91">
        <w:rPr>
          <w:rFonts w:cs="Times New Roman"/>
        </w:rPr>
        <w:t>rajectoires et carrières sont</w:t>
      </w:r>
      <w:r>
        <w:rPr>
          <w:rFonts w:cs="Times New Roman"/>
        </w:rPr>
        <w:t xml:space="preserve"> bien sûr</w:t>
      </w:r>
      <w:r w:rsidR="005A2B91" w:rsidRPr="005A2B91">
        <w:rPr>
          <w:rFonts w:cs="Times New Roman"/>
        </w:rPr>
        <w:t xml:space="preserve"> toujours liées et se complètent. C’est la trajectoire</w:t>
      </w:r>
      <w:r w:rsidR="004010DF">
        <w:rPr>
          <w:rFonts w:cs="Times New Roman"/>
        </w:rPr>
        <w:t xml:space="preserve"> de l’individu, r</w:t>
      </w:r>
      <w:r w:rsidR="005A2B91" w:rsidRPr="005A2B91">
        <w:rPr>
          <w:rFonts w:cs="Times New Roman"/>
        </w:rPr>
        <w:t>ecoupant socialisation et conditions d’existence, qui lui permettra de mobiliser certains discours, de solliciter certains des supports (</w:t>
      </w:r>
      <w:r>
        <w:rPr>
          <w:rFonts w:cs="Times New Roman"/>
        </w:rPr>
        <w:t xml:space="preserve">pour reprendre le concept de </w:t>
      </w:r>
      <w:r w:rsidR="005A2B91" w:rsidRPr="005A2B91">
        <w:rPr>
          <w:rFonts w:cs="Times New Roman"/>
        </w:rPr>
        <w:t>Castel</w:t>
      </w:r>
      <w:r>
        <w:rPr>
          <w:rFonts w:cs="Times New Roman"/>
        </w:rPr>
        <w:t xml:space="preserve">, </w:t>
      </w:r>
      <w:proofErr w:type="spellStart"/>
      <w:proofErr w:type="gramStart"/>
      <w:r>
        <w:rPr>
          <w:rFonts w:cs="Times New Roman"/>
        </w:rPr>
        <w:t>cf.</w:t>
      </w:r>
      <w:r>
        <w:rPr>
          <w:rFonts w:cs="Times New Roman"/>
          <w:i/>
        </w:rPr>
        <w:t>supra</w:t>
      </w:r>
      <w:proofErr w:type="spellEnd"/>
      <w:proofErr w:type="gramEnd"/>
      <w:r w:rsidR="005A2B91" w:rsidRPr="005A2B91">
        <w:rPr>
          <w:rFonts w:cs="Times New Roman"/>
        </w:rPr>
        <w:t>) et ressources, de maîtriser des pratiques détermin</w:t>
      </w:r>
      <w:r>
        <w:rPr>
          <w:rFonts w:cs="Times New Roman"/>
        </w:rPr>
        <w:t>an</w:t>
      </w:r>
      <w:r w:rsidR="005A2B91" w:rsidRPr="005A2B91">
        <w:rPr>
          <w:rFonts w:cs="Times New Roman"/>
        </w:rPr>
        <w:t>t la manière dont sa carrière déviante se développera. Et bien évidement la trajectoire biographique se trouve elle-même transformée, déviée, par la carrière déviante de l’individu et l’orientation qu’elle peu</w:t>
      </w:r>
      <w:r w:rsidR="005A2B91">
        <w:rPr>
          <w:rFonts w:cs="Times New Roman"/>
        </w:rPr>
        <w:t>t</w:t>
      </w:r>
      <w:r w:rsidR="005A2B91" w:rsidRPr="005A2B91">
        <w:rPr>
          <w:rFonts w:cs="Times New Roman"/>
        </w:rPr>
        <w:t xml:space="preserve"> prendre. </w:t>
      </w:r>
      <w:r w:rsidR="004010DF">
        <w:rPr>
          <w:rFonts w:cs="Times New Roman"/>
        </w:rPr>
        <w:t xml:space="preserve">Trajectoire et carrière nous permettent d’articuler </w:t>
      </w:r>
      <w:r w:rsidR="004010DF" w:rsidRPr="004010DF">
        <w:rPr>
          <w:rFonts w:cs="Times New Roman"/>
          <w:i/>
        </w:rPr>
        <w:t xml:space="preserve">situations </w:t>
      </w:r>
      <w:r w:rsidR="004010DF">
        <w:rPr>
          <w:rFonts w:cs="Times New Roman"/>
        </w:rPr>
        <w:t xml:space="preserve">de vie et </w:t>
      </w:r>
      <w:r w:rsidR="004010DF">
        <w:rPr>
          <w:rFonts w:cs="Times New Roman"/>
          <w:i/>
        </w:rPr>
        <w:t xml:space="preserve">dispositions </w:t>
      </w:r>
      <w:r w:rsidR="004010DF">
        <w:rPr>
          <w:rFonts w:cs="Times New Roman"/>
        </w:rPr>
        <w:t xml:space="preserve">pour y faire face, révélant ainsi </w:t>
      </w:r>
      <w:r w:rsidR="007454E1">
        <w:rPr>
          <w:rFonts w:cs="Times New Roman"/>
        </w:rPr>
        <w:t>« </w:t>
      </w:r>
      <w:r w:rsidR="007454E1" w:rsidRPr="00E03859">
        <w:rPr>
          <w:rFonts w:cs="Times New Roman"/>
        </w:rPr>
        <w:t>le produit concret de ce que les acteurs font en étant faits » (</w:t>
      </w:r>
      <w:proofErr w:type="spellStart"/>
      <w:r w:rsidR="007454E1" w:rsidRPr="00E03859">
        <w:rPr>
          <w:rFonts w:cs="Times New Roman"/>
        </w:rPr>
        <w:t>Queiroz</w:t>
      </w:r>
      <w:proofErr w:type="spellEnd"/>
      <w:r w:rsidR="007454E1" w:rsidRPr="00E03859">
        <w:rPr>
          <w:rFonts w:cs="Times New Roman"/>
        </w:rPr>
        <w:t xml:space="preserve"> de J-M., </w:t>
      </w:r>
      <w:proofErr w:type="spellStart"/>
      <w:r w:rsidR="007454E1" w:rsidRPr="00E03859">
        <w:rPr>
          <w:rFonts w:cs="Times New Roman"/>
        </w:rPr>
        <w:t>Ziolkowski</w:t>
      </w:r>
      <w:proofErr w:type="spellEnd"/>
      <w:r w:rsidR="007454E1" w:rsidRPr="00E03859">
        <w:rPr>
          <w:rFonts w:cs="Times New Roman"/>
        </w:rPr>
        <w:t xml:space="preserve"> M., </w:t>
      </w:r>
      <w:r w:rsidR="007454E1" w:rsidRPr="00E03859">
        <w:rPr>
          <w:rFonts w:cs="Times New Roman"/>
          <w:i/>
          <w:iCs/>
        </w:rPr>
        <w:t>L’interactionnisme symbolique</w:t>
      </w:r>
      <w:r w:rsidR="007454E1" w:rsidRPr="00E03859">
        <w:rPr>
          <w:rFonts w:cs="Times New Roman"/>
        </w:rPr>
        <w:t xml:space="preserve">, Rennes, Presses universitaires de Rennes, 1994, p. 69). </w:t>
      </w:r>
    </w:p>
    <w:p w14:paraId="0FB51764" w14:textId="14FE60EC" w:rsidR="00635278" w:rsidRPr="00E03859" w:rsidRDefault="00635278" w:rsidP="00635278">
      <w:pPr>
        <w:spacing w:line="276" w:lineRule="auto"/>
        <w:jc w:val="center"/>
        <w:rPr>
          <w:rFonts w:cs="Times New Roman"/>
        </w:rPr>
      </w:pPr>
      <w:r>
        <w:rPr>
          <w:rFonts w:cs="Times New Roman"/>
        </w:rPr>
        <w:t>***</w:t>
      </w:r>
    </w:p>
    <w:p w14:paraId="7A8E6A4A" w14:textId="21F2FD26" w:rsidR="00DF7396" w:rsidRDefault="001D41D7" w:rsidP="001D41D7">
      <w:pPr>
        <w:autoSpaceDE w:val="0"/>
        <w:autoSpaceDN w:val="0"/>
        <w:adjustRightInd w:val="0"/>
        <w:spacing w:after="0" w:line="276" w:lineRule="auto"/>
      </w:pPr>
      <w:r>
        <w:t xml:space="preserve">Il semble que les deux </w:t>
      </w:r>
      <w:r w:rsidR="00BA0ED3">
        <w:t>défis</w:t>
      </w:r>
      <w:r>
        <w:t xml:space="preserve"> identifiés plus haut soient </w:t>
      </w:r>
      <w:r w:rsidR="004010DF">
        <w:t xml:space="preserve">relevés </w:t>
      </w:r>
      <w:r>
        <w:t>(1.</w:t>
      </w:r>
      <w:r w:rsidR="00037AE8">
        <w:t xml:space="preserve"> </w:t>
      </w:r>
      <w:r>
        <w:t xml:space="preserve">Saisir un processus ; 2. Articuler individuel et structurel). </w:t>
      </w:r>
      <w:r w:rsidR="00DF7396">
        <w:t>Adapté</w:t>
      </w:r>
      <w:r>
        <w:t>e</w:t>
      </w:r>
      <w:r w:rsidR="00DF7396">
        <w:t xml:space="preserve"> aux situations d’expulsion locative, l</w:t>
      </w:r>
      <w:r w:rsidR="00315CA4">
        <w:t>a combinaison des deux</w:t>
      </w:r>
      <w:r w:rsidR="00DF7396">
        <w:t xml:space="preserve"> notions de trajectoire et de carrière nous permet</w:t>
      </w:r>
      <w:r w:rsidR="00315CA4">
        <w:t>tra</w:t>
      </w:r>
      <w:r w:rsidR="00DF7396">
        <w:t xml:space="preserve"> donc : </w:t>
      </w:r>
    </w:p>
    <w:p w14:paraId="1EC7F4B3" w14:textId="7B4D5236" w:rsidR="002A63FD" w:rsidRDefault="00BA0ED3" w:rsidP="001229BC">
      <w:pPr>
        <w:pStyle w:val="Paragraphedeliste"/>
        <w:numPr>
          <w:ilvl w:val="0"/>
          <w:numId w:val="14"/>
        </w:numPr>
        <w:spacing w:line="276" w:lineRule="auto"/>
      </w:pPr>
      <w:proofErr w:type="gramStart"/>
      <w:r>
        <w:t>d</w:t>
      </w:r>
      <w:r w:rsidR="00315CA4">
        <w:t>e</w:t>
      </w:r>
      <w:proofErr w:type="gramEnd"/>
      <w:r w:rsidR="00315CA4">
        <w:t xml:space="preserve"> saisir les parcours des individus comme des processus </w:t>
      </w:r>
      <w:r w:rsidR="002A63FD">
        <w:t>dynamique</w:t>
      </w:r>
      <w:r w:rsidR="00315CA4">
        <w:t>s</w:t>
      </w:r>
      <w:r w:rsidR="00D27592">
        <w:t xml:space="preserve">, </w:t>
      </w:r>
      <w:r w:rsidR="00315CA4">
        <w:t>constitués de plusieurs séquences</w:t>
      </w:r>
      <w:r w:rsidR="001D41D7">
        <w:t> ;</w:t>
      </w:r>
      <w:r w:rsidR="0077075E">
        <w:t xml:space="preserve"> </w:t>
      </w:r>
    </w:p>
    <w:p w14:paraId="0C124A52" w14:textId="5853C810" w:rsidR="002A63FD" w:rsidRDefault="00BA0ED3" w:rsidP="001229BC">
      <w:pPr>
        <w:pStyle w:val="Paragraphedeliste"/>
        <w:numPr>
          <w:ilvl w:val="0"/>
          <w:numId w:val="14"/>
        </w:numPr>
        <w:spacing w:line="276" w:lineRule="auto"/>
      </w:pPr>
      <w:proofErr w:type="gramStart"/>
      <w:r>
        <w:t>d’a</w:t>
      </w:r>
      <w:r w:rsidR="001D41D7">
        <w:t>rticuler</w:t>
      </w:r>
      <w:proofErr w:type="gramEnd"/>
      <w:r w:rsidR="001D41D7">
        <w:t xml:space="preserve"> parcours i</w:t>
      </w:r>
      <w:r w:rsidR="002A63FD">
        <w:t xml:space="preserve">ndividuel et </w:t>
      </w:r>
      <w:r w:rsidR="001D41D7">
        <w:t xml:space="preserve">forces </w:t>
      </w:r>
      <w:r w:rsidR="002A63FD">
        <w:t>structurel</w:t>
      </w:r>
      <w:r w:rsidR="001D41D7">
        <w:t xml:space="preserve">les qui contraignent ces parcours ; </w:t>
      </w:r>
    </w:p>
    <w:p w14:paraId="59306A6F" w14:textId="31A190F5" w:rsidR="002A63FD" w:rsidRDefault="00BA0ED3" w:rsidP="001229BC">
      <w:pPr>
        <w:pStyle w:val="Paragraphedeliste"/>
        <w:numPr>
          <w:ilvl w:val="0"/>
          <w:numId w:val="14"/>
        </w:numPr>
        <w:spacing w:line="276" w:lineRule="auto"/>
      </w:pPr>
      <w:proofErr w:type="gramStart"/>
      <w:r>
        <w:t>d’a</w:t>
      </w:r>
      <w:r w:rsidR="001D41D7">
        <w:t>ccorder</w:t>
      </w:r>
      <w:proofErr w:type="gramEnd"/>
      <w:r w:rsidR="001D41D7">
        <w:t xml:space="preserve"> du sens à l’i</w:t>
      </w:r>
      <w:r w:rsidR="002A63FD">
        <w:t xml:space="preserve">nterprétation </w:t>
      </w:r>
      <w:r w:rsidR="001D41D7">
        <w:t>qu</w:t>
      </w:r>
      <w:r w:rsidR="002A63FD">
        <w:t xml:space="preserve">e l’individu </w:t>
      </w:r>
      <w:r w:rsidR="001D41D7">
        <w:t xml:space="preserve">fait de sa propre </w:t>
      </w:r>
      <w:r w:rsidR="002A63FD">
        <w:t>trajectoire</w:t>
      </w:r>
      <w:r w:rsidR="001D41D7">
        <w:t xml:space="preserve"> et de ses pratiques, plutôt que de le</w:t>
      </w:r>
      <w:r>
        <w:t>s</w:t>
      </w:r>
      <w:r w:rsidR="001D41D7">
        <w:t xml:space="preserve"> disqualifier comme « folles » ou « insensées ».</w:t>
      </w:r>
    </w:p>
    <w:p w14:paraId="207DDE19" w14:textId="1E42DDFF" w:rsidR="004010DF" w:rsidRPr="006A596B" w:rsidRDefault="00E5092D" w:rsidP="004010DF">
      <w:pPr>
        <w:spacing w:line="276" w:lineRule="auto"/>
      </w:pPr>
      <w:r>
        <w:t>La possibilité d’envisager les expulsions comme un « accident de parcours »</w:t>
      </w:r>
      <w:r>
        <w:rPr>
          <w:rStyle w:val="Appelnotedebasdep"/>
        </w:rPr>
        <w:footnoteReference w:id="26"/>
      </w:r>
      <w:r>
        <w:t xml:space="preserve"> s’éloigne donc petit à petit après avoir approché les concept</w:t>
      </w:r>
      <w:r w:rsidR="00952EB4">
        <w:t>s</w:t>
      </w:r>
      <w:r>
        <w:t xml:space="preserve"> de trajectoires et de carrière</w:t>
      </w:r>
      <w:r w:rsidR="00BA0ED3">
        <w:t>,</w:t>
      </w:r>
      <w:r>
        <w:t xml:space="preserve"> qui nous invitent à articuler dimensions subjectives et objectives des parcours individuels, dispositions et situations : toute rupture conjugale, par exemple, ne mène pas à la rue ; toute procédure d’expulsion non plus</w:t>
      </w:r>
      <w:r w:rsidR="006A596B">
        <w:rPr>
          <w:rStyle w:val="Appelnotedebasdep"/>
        </w:rPr>
        <w:footnoteReference w:id="27"/>
      </w:r>
      <w:r>
        <w:t xml:space="preserve">. </w:t>
      </w:r>
    </w:p>
    <w:p w14:paraId="35DBAD6C" w14:textId="69BBDB57" w:rsidR="002A63FD" w:rsidRDefault="00011A90" w:rsidP="001D41D7">
      <w:pPr>
        <w:autoSpaceDE w:val="0"/>
        <w:autoSpaceDN w:val="0"/>
        <w:adjustRightInd w:val="0"/>
        <w:spacing w:after="0" w:line="276" w:lineRule="auto"/>
      </w:pPr>
      <w:r>
        <w:lastRenderedPageBreak/>
        <w:t xml:space="preserve">Si nous parlons de carrière </w:t>
      </w:r>
      <w:r w:rsidRPr="00011A90">
        <w:rPr>
          <w:i/>
        </w:rPr>
        <w:t>déviante</w:t>
      </w:r>
      <w:r>
        <w:t xml:space="preserve"> avec Becker, nous n’avons pas encore évoqué ce qui se joue à l’autre bout</w:t>
      </w:r>
      <w:r w:rsidR="00961F96">
        <w:t>, du côté de celui qui porte le jugement</w:t>
      </w:r>
      <w:r>
        <w:t xml:space="preserve"> : la déviance est </w:t>
      </w:r>
      <w:r w:rsidR="00BA0ED3">
        <w:t xml:space="preserve">toujours </w:t>
      </w:r>
      <w:r>
        <w:t xml:space="preserve">déviance par rapport à une norme. Regardons </w:t>
      </w:r>
      <w:r w:rsidR="00961F96">
        <w:t xml:space="preserve">à présent </w:t>
      </w:r>
      <w:r>
        <w:t xml:space="preserve">du </w:t>
      </w:r>
      <w:r w:rsidR="00961F96">
        <w:t>côté</w:t>
      </w:r>
      <w:r>
        <w:t xml:space="preserve"> de ceux qui </w:t>
      </w:r>
      <w:r w:rsidR="00BA0ED3">
        <w:t>produisen</w:t>
      </w:r>
      <w:r>
        <w:t>t</w:t>
      </w:r>
      <w:r w:rsidR="00BA0ED3">
        <w:t xml:space="preserve"> et reproduisent</w:t>
      </w:r>
      <w:r>
        <w:t xml:space="preserve"> </w:t>
      </w:r>
      <w:r w:rsidR="00961F96">
        <w:t>cette norme.</w:t>
      </w:r>
    </w:p>
    <w:p w14:paraId="51D1429D" w14:textId="05A5129B" w:rsidR="0027487A" w:rsidRDefault="0027487A" w:rsidP="0027487A">
      <w:pPr>
        <w:spacing w:line="276" w:lineRule="auto"/>
      </w:pPr>
    </w:p>
    <w:p w14:paraId="0798A841" w14:textId="06F32011" w:rsidR="00D27592" w:rsidRDefault="00D27592" w:rsidP="001229BC">
      <w:pPr>
        <w:pStyle w:val="Titre2"/>
        <w:numPr>
          <w:ilvl w:val="0"/>
          <w:numId w:val="1"/>
        </w:numPr>
        <w:spacing w:line="276" w:lineRule="auto"/>
      </w:pPr>
      <w:bookmarkStart w:id="28" w:name="_Toc152687211"/>
      <w:r>
        <w:t>Une approche interactionniste</w:t>
      </w:r>
      <w:r w:rsidR="00DA5298">
        <w:t xml:space="preserve"> de l’institution</w:t>
      </w:r>
      <w:bookmarkEnd w:id="28"/>
      <w:r w:rsidR="00DA5298">
        <w:t xml:space="preserve"> </w:t>
      </w:r>
    </w:p>
    <w:p w14:paraId="504308A6" w14:textId="7977B145" w:rsidR="009352EA" w:rsidRDefault="000E3200" w:rsidP="00E505A5">
      <w:pPr>
        <w:spacing w:line="276" w:lineRule="auto"/>
      </w:pPr>
      <w:r>
        <w:t xml:space="preserve">La notion de carrière déviante </w:t>
      </w:r>
      <w:r w:rsidR="00675114">
        <w:t>telle que Becker la formule nous a amenée à nous intéresser, de manière plus large, à ce que l’approche interactionniste pouvait apporter à notre travail. Car en effet, si nous avons parlé de carrière déviante chez Becker, nous n’avons pas encore développé une quelconque considération sur ce qui définit le comportement déviant comme tel. S’ouvre alors un autre champ d’analyse, avec d’autres acteurs et d’autres espaces institutionnel</w:t>
      </w:r>
      <w:r w:rsidR="00BA0ED3">
        <w:t>s</w:t>
      </w:r>
      <w:r w:rsidR="00675114">
        <w:t xml:space="preserve"> jusque-là resté invisibles et qui pourtant ont un rôle à jouer</w:t>
      </w:r>
      <w:r w:rsidR="00961F96">
        <w:t xml:space="preserve"> </w:t>
      </w:r>
      <w:r w:rsidR="00675114">
        <w:t>dans la carrière déviante : propriétaires, travailleurs sociaux, agents de recouvrement de dettes, CPAS, associations d’aides aux locataires…</w:t>
      </w:r>
      <w:r w:rsidR="00101442">
        <w:t xml:space="preserve"> </w:t>
      </w:r>
      <w:r w:rsidR="00675114">
        <w:t xml:space="preserve">Le second instrument que nous décidons donc de mobiliser n’est plus une notion ou un concept mais plutôt une approche générale, celle de l’interactionnisme </w:t>
      </w:r>
      <w:r w:rsidR="00BA0ED3">
        <w:t xml:space="preserve">– qui </w:t>
      </w:r>
      <w:r w:rsidR="00675114">
        <w:t>était déjà là, en fond, quand nous développions plus haut la notion de carrière déviante selon Becker</w:t>
      </w:r>
      <w:r w:rsidR="00BA0ED3">
        <w:t>.</w:t>
      </w:r>
      <w:r w:rsidR="00675114">
        <w:t xml:space="preserve"> </w:t>
      </w:r>
    </w:p>
    <w:p w14:paraId="21726793" w14:textId="545E834B" w:rsidR="00122A03" w:rsidRDefault="00675114" w:rsidP="00E505A5">
      <w:pPr>
        <w:spacing w:line="276" w:lineRule="auto"/>
        <w:rPr>
          <w:rFonts w:cs="Times New Roman"/>
        </w:rPr>
      </w:pPr>
      <w:r>
        <w:t xml:space="preserve">Ce qui était </w:t>
      </w:r>
      <w:r w:rsidR="00BA0ED3">
        <w:t>présent en</w:t>
      </w:r>
      <w:r>
        <w:t xml:space="preserve"> sous-texte quand nous parlions plus haut de carrière déviante, c’est que la déviance n’est jamais chez Becker un attribut ou une substance propre à l’individu mais une </w:t>
      </w:r>
      <w:r>
        <w:rPr>
          <w:i/>
        </w:rPr>
        <w:t>relation </w:t>
      </w:r>
      <w:r>
        <w:t>: « </w:t>
      </w:r>
      <w:r>
        <w:rPr>
          <w:rFonts w:cs="Times New Roman"/>
        </w:rPr>
        <w:t>elle dépend de la marge de tolérance des acteurs en présence. Jugement de valeur étayé sur les manières les plus courantes de vivre à l’intérieur du groupe, la déviance est dans le regard de l’Autre et non un contenu objectif de conduite</w:t>
      </w:r>
      <w:r w:rsidRPr="008C0E11">
        <w:rPr>
          <w:rFonts w:cs="Times New Roman"/>
        </w:rPr>
        <w:t xml:space="preserve">. » (Le Breton, </w:t>
      </w:r>
      <w:r w:rsidR="008C0E11" w:rsidRPr="008C0E11">
        <w:rPr>
          <w:rFonts w:cs="Times New Roman"/>
        </w:rPr>
        <w:t xml:space="preserve">2012 : </w:t>
      </w:r>
      <w:r w:rsidRPr="008C0E11">
        <w:rPr>
          <w:rFonts w:cs="Times New Roman"/>
        </w:rPr>
        <w:t>229) Becker</w:t>
      </w:r>
      <w:r>
        <w:rPr>
          <w:rFonts w:cs="Times New Roman"/>
        </w:rPr>
        <w:t xml:space="preserve"> </w:t>
      </w:r>
      <w:r w:rsidR="00BA0ED3">
        <w:rPr>
          <w:rFonts w:cs="Times New Roman"/>
        </w:rPr>
        <w:t>définit</w:t>
      </w:r>
      <w:r>
        <w:rPr>
          <w:rFonts w:cs="Times New Roman"/>
        </w:rPr>
        <w:t xml:space="preserve"> en effet la déviance </w:t>
      </w:r>
      <w:r w:rsidR="008209B1">
        <w:rPr>
          <w:rFonts w:cs="Times New Roman"/>
        </w:rPr>
        <w:t>« </w:t>
      </w:r>
      <w:r w:rsidRPr="00675114">
        <w:rPr>
          <w:rFonts w:cs="Times New Roman"/>
        </w:rPr>
        <w:t>comme le produit d’une transaction effectuée entre un groupe social et un individu qui, aux yeux du groupe, a transgressé une norme.</w:t>
      </w:r>
      <w:r w:rsidR="008209B1">
        <w:rPr>
          <w:rFonts w:cs="Times New Roman"/>
        </w:rPr>
        <w:t> »</w:t>
      </w:r>
      <w:r w:rsidR="008209B1" w:rsidRPr="008209B1">
        <w:rPr>
          <w:rFonts w:cs="Times New Roman"/>
        </w:rPr>
        <w:t xml:space="preserve"> </w:t>
      </w:r>
      <w:r w:rsidR="008209B1">
        <w:rPr>
          <w:rFonts w:cs="Times New Roman"/>
        </w:rPr>
        <w:t xml:space="preserve">Pour cette raison, il s’intéresse moins </w:t>
      </w:r>
      <w:r w:rsidRPr="00675114">
        <w:rPr>
          <w:rFonts w:cs="Times New Roman"/>
        </w:rPr>
        <w:t xml:space="preserve">aux caractéristiques personnelles et sociales des déviants </w:t>
      </w:r>
      <w:r w:rsidR="008209B1">
        <w:rPr>
          <w:rFonts w:cs="Times New Roman"/>
        </w:rPr>
        <w:t>« </w:t>
      </w:r>
      <w:r w:rsidRPr="00675114">
        <w:rPr>
          <w:rFonts w:cs="Times New Roman"/>
        </w:rPr>
        <w:t>qu’au processus au terme duquel ils sont considérés comme étrangers au groupe, ainsi qu’à leurs réactions à ce jugement »</w:t>
      </w:r>
      <w:r w:rsidR="008209B1" w:rsidRPr="008209B1">
        <w:rPr>
          <w:rFonts w:cs="Times New Roman"/>
        </w:rPr>
        <w:t xml:space="preserve"> </w:t>
      </w:r>
      <w:r w:rsidR="008209B1" w:rsidRPr="00C3174C">
        <w:rPr>
          <w:rFonts w:cs="Times New Roman"/>
        </w:rPr>
        <w:t>(Becker, 1985</w:t>
      </w:r>
      <w:r w:rsidR="00171BA8">
        <w:rPr>
          <w:rFonts w:cs="Times New Roman"/>
        </w:rPr>
        <w:t> :</w:t>
      </w:r>
      <w:r w:rsidR="008209B1" w:rsidRPr="00C3174C">
        <w:rPr>
          <w:rFonts w:cs="Times New Roman"/>
        </w:rPr>
        <w:t xml:space="preserve"> 33).</w:t>
      </w:r>
      <w:r w:rsidR="008209B1">
        <w:rPr>
          <w:rStyle w:val="Appelnotedebasdep"/>
          <w:rFonts w:cs="Times New Roman"/>
        </w:rPr>
        <w:footnoteReference w:id="28"/>
      </w:r>
      <w:r w:rsidR="009170D3">
        <w:rPr>
          <w:rFonts w:cs="Times New Roman"/>
        </w:rPr>
        <w:t xml:space="preserve"> </w:t>
      </w:r>
      <w:r w:rsidR="00507ABE">
        <w:rPr>
          <w:rFonts w:cs="Times New Roman"/>
        </w:rPr>
        <w:t xml:space="preserve">La déviance n’est pas une caractéristique intrinsèque à l’individu, </w:t>
      </w:r>
      <w:r w:rsidR="00961F96">
        <w:rPr>
          <w:rFonts w:cs="Times New Roman"/>
        </w:rPr>
        <w:t xml:space="preserve">mais un jugement porté par un groupe </w:t>
      </w:r>
      <w:r w:rsidR="00507ABE">
        <w:rPr>
          <w:rFonts w:cs="Times New Roman"/>
        </w:rPr>
        <w:t>: « </w:t>
      </w:r>
      <w:r w:rsidR="00507ABE" w:rsidRPr="00507ABE">
        <w:rPr>
          <w:rFonts w:cs="Times New Roman"/>
        </w:rPr>
        <w:t>Ce que je veux dire, c'est que </w:t>
      </w:r>
      <w:r w:rsidR="00507ABE" w:rsidRPr="00507ABE">
        <w:rPr>
          <w:rFonts w:cs="Times New Roman"/>
          <w:i/>
          <w:iCs/>
        </w:rPr>
        <w:t>les groupes sociaux créent la déviance en instituant des normes dont la transgression constitue la déviance,</w:t>
      </w:r>
      <w:r w:rsidR="00507ABE" w:rsidRPr="00507ABE">
        <w:rPr>
          <w:rFonts w:cs="Times New Roman"/>
        </w:rPr>
        <w:t> en appliquant ces normes à certains individus et en les étiquetant comme des déviants. De ce point de vue, la déviance </w:t>
      </w:r>
      <w:r w:rsidR="00507ABE" w:rsidRPr="00507ABE">
        <w:rPr>
          <w:rFonts w:cs="Times New Roman"/>
          <w:i/>
          <w:iCs/>
        </w:rPr>
        <w:t>n'est pas</w:t>
      </w:r>
      <w:r w:rsidR="00507ABE" w:rsidRPr="00507ABE">
        <w:rPr>
          <w:rFonts w:cs="Times New Roman"/>
        </w:rPr>
        <w:t> une qualité de l'acte commis par une personne, mais plutôt une conséquence de l'application, par les autres, de normes et de sanctions à un « transgresseur ». Le déviant est celui auquel cette étiquette a été appliquée avec succès et le comportement déviant est celui auquel la collectivité attache cette étiquette. »</w:t>
      </w:r>
      <w:r w:rsidR="00507ABE">
        <w:rPr>
          <w:rFonts w:cs="Times New Roman"/>
        </w:rPr>
        <w:t xml:space="preserve"> </w:t>
      </w:r>
      <w:r>
        <w:rPr>
          <w:rFonts w:cs="Times New Roman"/>
        </w:rPr>
        <w:t>(Becker, 1985</w:t>
      </w:r>
      <w:r w:rsidR="00BA0ED3">
        <w:rPr>
          <w:rFonts w:cs="Times New Roman"/>
        </w:rPr>
        <w:t xml:space="preserve"> : </w:t>
      </w:r>
      <w:r>
        <w:rPr>
          <w:rFonts w:cs="Times New Roman"/>
        </w:rPr>
        <w:t>33)</w:t>
      </w:r>
      <w:r w:rsidR="008B2F3F">
        <w:rPr>
          <w:rFonts w:cs="Times New Roman"/>
        </w:rPr>
        <w:t xml:space="preserve">. </w:t>
      </w:r>
    </w:p>
    <w:p w14:paraId="163ADE8F" w14:textId="5ACDAE0A" w:rsidR="00BA22FF" w:rsidRDefault="008C0E11" w:rsidP="00E505A5">
      <w:pPr>
        <w:spacing w:line="276" w:lineRule="auto"/>
        <w:rPr>
          <w:rFonts w:cs="Times New Roman"/>
        </w:rPr>
      </w:pPr>
      <w:r>
        <w:rPr>
          <w:rFonts w:cs="Times New Roman"/>
        </w:rPr>
        <w:lastRenderedPageBreak/>
        <w:t>T</w:t>
      </w:r>
      <w:r w:rsidR="00BA22FF">
        <w:rPr>
          <w:rFonts w:cs="Times New Roman"/>
        </w:rPr>
        <w:t>ous les groupes n’ont</w:t>
      </w:r>
      <w:r>
        <w:rPr>
          <w:rFonts w:cs="Times New Roman"/>
        </w:rPr>
        <w:t xml:space="preserve"> bien entendu</w:t>
      </w:r>
      <w:r w:rsidR="00BA22FF">
        <w:rPr>
          <w:rFonts w:cs="Times New Roman"/>
        </w:rPr>
        <w:t xml:space="preserve"> pas le </w:t>
      </w:r>
      <w:r>
        <w:rPr>
          <w:rFonts w:cs="Times New Roman"/>
        </w:rPr>
        <w:t xml:space="preserve">même </w:t>
      </w:r>
      <w:r w:rsidR="00BA22FF">
        <w:rPr>
          <w:rFonts w:cs="Times New Roman"/>
        </w:rPr>
        <w:t>pouvoir d’imposer cette étiquette de la déviance, de la justifier par des relations d’autorité, des normes ou des textes de loi</w:t>
      </w:r>
      <w:r w:rsidR="00101442">
        <w:rPr>
          <w:rFonts w:cs="Times New Roman"/>
        </w:rPr>
        <w:t xml:space="preserve"> </w:t>
      </w:r>
      <w:r w:rsidR="00BA22FF">
        <w:rPr>
          <w:rFonts w:cs="Times New Roman"/>
        </w:rPr>
        <w:t>(Le Breton,</w:t>
      </w:r>
      <w:r>
        <w:rPr>
          <w:rFonts w:cs="Times New Roman"/>
        </w:rPr>
        <w:t xml:space="preserve"> 2012 :</w:t>
      </w:r>
      <w:r w:rsidR="00BA22FF">
        <w:rPr>
          <w:rFonts w:cs="Times New Roman"/>
        </w:rPr>
        <w:t xml:space="preserve"> 231)</w:t>
      </w:r>
      <w:r>
        <w:rPr>
          <w:rFonts w:cs="Times New Roman"/>
        </w:rPr>
        <w:t>.</w:t>
      </w:r>
      <w:r w:rsidR="00BA22FF">
        <w:rPr>
          <w:rFonts w:cs="Times New Roman"/>
        </w:rPr>
        <w:t xml:space="preserve"> Pour revenir à notre cas, ce sont les travailleurs sociaux,</w:t>
      </w:r>
      <w:r w:rsidR="00961F96">
        <w:rPr>
          <w:rFonts w:cs="Times New Roman"/>
        </w:rPr>
        <w:t xml:space="preserve"> les Juges et les propriétaires qui, soutenus par un système de </w:t>
      </w:r>
      <w:r w:rsidR="00BA22FF">
        <w:rPr>
          <w:rFonts w:cs="Times New Roman"/>
        </w:rPr>
        <w:t>normes, de lois ou d’outils de travail social, ont le pouvoir de juger les comportements, les pratiques et les représentations des classes pauvres</w:t>
      </w:r>
      <w:r w:rsidR="00961F96">
        <w:rPr>
          <w:rFonts w:cs="Times New Roman"/>
        </w:rPr>
        <w:t xml:space="preserve"> à qui ils ont affaire </w:t>
      </w:r>
      <w:r w:rsidR="00BA22FF">
        <w:rPr>
          <w:rFonts w:cs="Times New Roman"/>
        </w:rPr>
        <w:t>:</w:t>
      </w:r>
      <w:r w:rsidR="00101442">
        <w:rPr>
          <w:rFonts w:cs="Times New Roman"/>
        </w:rPr>
        <w:t xml:space="preserve"> </w:t>
      </w:r>
      <w:r w:rsidR="00BA22FF">
        <w:rPr>
          <w:rFonts w:cs="Times New Roman"/>
        </w:rPr>
        <w:t xml:space="preserve">juger de leur « bonne foi », pour revenir au travail de </w:t>
      </w:r>
      <w:r w:rsidR="00961F96">
        <w:rPr>
          <w:rFonts w:cs="Times New Roman"/>
        </w:rPr>
        <w:t>Bertrand (2018)</w:t>
      </w:r>
      <w:r w:rsidR="00BA22FF">
        <w:rPr>
          <w:rFonts w:cs="Times New Roman"/>
        </w:rPr>
        <w:t xml:space="preserve"> évoqué plus haut, juger de leur « bonne » ou « mauvaise gestion »</w:t>
      </w:r>
      <w:r>
        <w:rPr>
          <w:rFonts w:cs="Times New Roman"/>
        </w:rPr>
        <w:t xml:space="preserve"> </w:t>
      </w:r>
      <w:r w:rsidR="00BA22FF">
        <w:rPr>
          <w:rFonts w:cs="Times New Roman"/>
        </w:rPr>
        <w:t xml:space="preserve">(Perrin-Heredia, </w:t>
      </w:r>
      <w:r w:rsidR="00961F96">
        <w:rPr>
          <w:rFonts w:cs="Times New Roman"/>
        </w:rPr>
        <w:t>2010)</w:t>
      </w:r>
      <w:r w:rsidR="00BA22FF">
        <w:rPr>
          <w:rFonts w:cs="Times New Roman"/>
        </w:rPr>
        <w:t xml:space="preserve">, juger de leur rapport au travail ou de leur implication suffisante dans la recherche de logement. Leur jugement aura pourtant un impact de premier ordre dans les trajectoires et carrières des individus. Il semble donc </w:t>
      </w:r>
      <w:r w:rsidR="00E04BF9">
        <w:rPr>
          <w:rFonts w:cs="Times New Roman"/>
        </w:rPr>
        <w:t>fondamental</w:t>
      </w:r>
      <w:r w:rsidR="00BA22FF">
        <w:rPr>
          <w:rFonts w:cs="Times New Roman"/>
        </w:rPr>
        <w:t xml:space="preserve"> de tenir compte des leurs actions pour saisir les parcours d’expulsion.</w:t>
      </w:r>
    </w:p>
    <w:p w14:paraId="459F774B" w14:textId="46591858" w:rsidR="005B6CFE" w:rsidRDefault="00961F96" w:rsidP="00E505A5">
      <w:pPr>
        <w:spacing w:line="276" w:lineRule="auto"/>
        <w:rPr>
          <w:rFonts w:cs="Times New Roman"/>
        </w:rPr>
      </w:pPr>
      <w:r>
        <w:rPr>
          <w:rFonts w:cs="Times New Roman"/>
        </w:rPr>
        <w:t>L</w:t>
      </w:r>
      <w:r w:rsidR="00BA22FF">
        <w:rPr>
          <w:rFonts w:cs="Times New Roman"/>
        </w:rPr>
        <w:t xml:space="preserve">’approche interactionniste nous permet donc de faire entrer un nouvel </w:t>
      </w:r>
      <w:r w:rsidR="00395E30">
        <w:rPr>
          <w:rFonts w:cs="Times New Roman"/>
        </w:rPr>
        <w:t xml:space="preserve">acteur </w:t>
      </w:r>
      <w:r w:rsidR="00BA22FF">
        <w:rPr>
          <w:rFonts w:cs="Times New Roman"/>
        </w:rPr>
        <w:t>sur</w:t>
      </w:r>
      <w:r w:rsidR="008C0E11">
        <w:rPr>
          <w:rFonts w:cs="Times New Roman"/>
        </w:rPr>
        <w:t xml:space="preserve"> notre terrain d’étude</w:t>
      </w:r>
      <w:r w:rsidR="00BA22FF">
        <w:rPr>
          <w:rFonts w:cs="Times New Roman"/>
        </w:rPr>
        <w:t>, un acteur dont le jeu est déterminant pour saisir les différentes dynamiques à l’œuvre dans les parcours d’expulsion : les agents de l’administration.</w:t>
      </w:r>
    </w:p>
    <w:p w14:paraId="6D3F0744" w14:textId="4501CDBB" w:rsidR="00961F96" w:rsidRDefault="008C0E11" w:rsidP="00961F96">
      <w:pPr>
        <w:spacing w:line="276" w:lineRule="auto"/>
      </w:pPr>
      <w:r>
        <w:t>Cette approche nous aidera à</w:t>
      </w:r>
      <w:r w:rsidR="00961F96">
        <w:t xml:space="preserve"> répondre à la seconde question que nous nous posions :</w:t>
      </w:r>
    </w:p>
    <w:p w14:paraId="2606ACB2" w14:textId="77777777" w:rsidR="00961F96" w:rsidRPr="008240E0" w:rsidRDefault="00961F96" w:rsidP="001229BC">
      <w:pPr>
        <w:pStyle w:val="Paragraphedeliste"/>
        <w:numPr>
          <w:ilvl w:val="0"/>
          <w:numId w:val="15"/>
        </w:numPr>
        <w:spacing w:line="276" w:lineRule="auto"/>
        <w:rPr>
          <w:i/>
        </w:rPr>
      </w:pPr>
      <w:r w:rsidRPr="008240E0">
        <w:rPr>
          <w:i/>
        </w:rPr>
        <w:t xml:space="preserve">Comment les travailleurs sociaux sont-ils engagés dans ce type de procédure ? Quel type de travail social est possible dans ces cas ? En fonction de quels critères le locataire </w:t>
      </w:r>
      <w:proofErr w:type="spellStart"/>
      <w:r w:rsidRPr="008240E0">
        <w:rPr>
          <w:i/>
        </w:rPr>
        <w:t>aura-t’il</w:t>
      </w:r>
      <w:proofErr w:type="spellEnd"/>
      <w:r w:rsidRPr="008240E0">
        <w:rPr>
          <w:i/>
        </w:rPr>
        <w:t xml:space="preserve"> accès à une solution de relogement ? L’accès à un relogement d’urgence dépend-</w:t>
      </w:r>
      <w:proofErr w:type="spellStart"/>
      <w:r w:rsidRPr="008240E0">
        <w:rPr>
          <w:i/>
        </w:rPr>
        <w:t>t’il</w:t>
      </w:r>
      <w:proofErr w:type="spellEnd"/>
      <w:r w:rsidRPr="008240E0">
        <w:rPr>
          <w:i/>
        </w:rPr>
        <w:t xml:space="preserve"> du pouvoir discrétionnaire du travailleurs ? </w:t>
      </w:r>
    </w:p>
    <w:p w14:paraId="6F0384C9" w14:textId="107B011A" w:rsidR="0007688F" w:rsidRDefault="0007688F" w:rsidP="00E505A5">
      <w:pPr>
        <w:pStyle w:val="Titre3"/>
        <w:spacing w:line="276" w:lineRule="auto"/>
      </w:pPr>
      <w:bookmarkStart w:id="29" w:name="_Toc152687212"/>
      <w:r>
        <w:t>Le rôle des</w:t>
      </w:r>
      <w:r w:rsidR="00BA22FF">
        <w:t xml:space="preserve"> agents de l’administration</w:t>
      </w:r>
      <w:bookmarkEnd w:id="29"/>
      <w:r w:rsidR="00BA22FF">
        <w:t xml:space="preserve"> </w:t>
      </w:r>
    </w:p>
    <w:p w14:paraId="6CFD8EC1" w14:textId="5C2C8DEE" w:rsidR="002A5E24" w:rsidRDefault="00395E30" w:rsidP="00E505A5">
      <w:pPr>
        <w:spacing w:line="276" w:lineRule="auto"/>
        <w:rPr>
          <w:rFonts w:cs="Times New Roman"/>
          <w:color w:val="000000"/>
          <w:szCs w:val="24"/>
        </w:rPr>
      </w:pPr>
      <w:r>
        <w:rPr>
          <w:rFonts w:cs="Times New Roman"/>
          <w:color w:val="000000" w:themeColor="text1"/>
          <w:szCs w:val="24"/>
        </w:rPr>
        <w:t xml:space="preserve">Un pan essentiel </w:t>
      </w:r>
      <w:r w:rsidR="007C7A2D">
        <w:rPr>
          <w:rFonts w:cs="Times New Roman"/>
          <w:color w:val="000000" w:themeColor="text1"/>
          <w:szCs w:val="24"/>
        </w:rPr>
        <w:t xml:space="preserve">de la recherche sociologique sur l’action publique </w:t>
      </w:r>
      <w:r w:rsidR="008C0E11">
        <w:rPr>
          <w:rFonts w:cs="Times New Roman"/>
          <w:color w:val="000000" w:themeColor="text1"/>
          <w:szCs w:val="24"/>
        </w:rPr>
        <w:t>a pris pour objet</w:t>
      </w:r>
      <w:r w:rsidR="007C7A2D">
        <w:rPr>
          <w:rFonts w:cs="Times New Roman"/>
          <w:color w:val="000000" w:themeColor="text1"/>
          <w:szCs w:val="24"/>
        </w:rPr>
        <w:t xml:space="preserve"> l’</w:t>
      </w:r>
      <w:r w:rsidR="0007688F">
        <w:rPr>
          <w:rFonts w:cs="Times New Roman"/>
          <w:color w:val="000000" w:themeColor="text1"/>
          <w:szCs w:val="24"/>
        </w:rPr>
        <w:t xml:space="preserve">influence </w:t>
      </w:r>
      <w:r w:rsidR="007C7A2D">
        <w:rPr>
          <w:rFonts w:cs="Times New Roman"/>
          <w:color w:val="000000" w:themeColor="text1"/>
          <w:szCs w:val="24"/>
        </w:rPr>
        <w:t xml:space="preserve">des agents de l’administration </w:t>
      </w:r>
      <w:r w:rsidR="0007688F">
        <w:rPr>
          <w:rFonts w:cs="Times New Roman"/>
          <w:color w:val="000000" w:themeColor="text1"/>
          <w:szCs w:val="24"/>
        </w:rPr>
        <w:t xml:space="preserve">sur la </w:t>
      </w:r>
      <w:r w:rsidR="007C7A2D">
        <w:rPr>
          <w:rFonts w:cs="Times New Roman"/>
          <w:color w:val="000000" w:themeColor="text1"/>
          <w:szCs w:val="24"/>
        </w:rPr>
        <w:t>mise en œuvre des politiques publiques</w:t>
      </w:r>
      <w:r w:rsidR="0007688F">
        <w:rPr>
          <w:rFonts w:cs="Times New Roman"/>
          <w:color w:val="000000" w:themeColor="text1"/>
          <w:szCs w:val="24"/>
        </w:rPr>
        <w:t xml:space="preserve">. </w:t>
      </w:r>
      <w:r w:rsidR="0007688F" w:rsidRPr="00EA3387">
        <w:rPr>
          <w:rFonts w:cs="Times New Roman"/>
          <w:color w:val="000000"/>
          <w:szCs w:val="24"/>
        </w:rPr>
        <w:t xml:space="preserve">Michael </w:t>
      </w:r>
      <w:proofErr w:type="spellStart"/>
      <w:r w:rsidR="0007688F" w:rsidRPr="00EA3387">
        <w:rPr>
          <w:rFonts w:cs="Times New Roman"/>
          <w:color w:val="000000"/>
          <w:szCs w:val="24"/>
        </w:rPr>
        <w:t>Lipsky</w:t>
      </w:r>
      <w:proofErr w:type="spellEnd"/>
      <w:r w:rsidR="0007688F" w:rsidRPr="00EA3387">
        <w:rPr>
          <w:rFonts w:cs="Times New Roman"/>
          <w:color w:val="000000"/>
          <w:szCs w:val="24"/>
        </w:rPr>
        <w:t xml:space="preserve"> </w:t>
      </w:r>
      <w:r w:rsidR="00EA3387">
        <w:rPr>
          <w:rFonts w:cs="Times New Roman"/>
          <w:color w:val="000000"/>
          <w:szCs w:val="24"/>
        </w:rPr>
        <w:t xml:space="preserve">parle de </w:t>
      </w:r>
      <w:proofErr w:type="spellStart"/>
      <w:r w:rsidR="00EA3387">
        <w:rPr>
          <w:rFonts w:cs="Times New Roman"/>
          <w:i/>
          <w:color w:val="000000"/>
          <w:szCs w:val="24"/>
        </w:rPr>
        <w:t>street-level</w:t>
      </w:r>
      <w:proofErr w:type="spellEnd"/>
      <w:r w:rsidR="00EA3387">
        <w:rPr>
          <w:rFonts w:cs="Times New Roman"/>
          <w:i/>
          <w:color w:val="000000"/>
          <w:szCs w:val="24"/>
        </w:rPr>
        <w:t xml:space="preserve"> </w:t>
      </w:r>
      <w:proofErr w:type="spellStart"/>
      <w:r w:rsidR="00EA3387">
        <w:rPr>
          <w:rFonts w:cs="Times New Roman"/>
          <w:i/>
          <w:color w:val="000000"/>
          <w:szCs w:val="24"/>
        </w:rPr>
        <w:t>bureaucrats</w:t>
      </w:r>
      <w:proofErr w:type="spellEnd"/>
      <w:r w:rsidR="0007688F">
        <w:rPr>
          <w:rFonts w:cs="Times New Roman"/>
          <w:color w:val="000000"/>
          <w:szCs w:val="24"/>
        </w:rPr>
        <w:t>, fonctionnaire</w:t>
      </w:r>
      <w:r w:rsidR="007C7A2D">
        <w:rPr>
          <w:rFonts w:cs="Times New Roman"/>
          <w:color w:val="000000"/>
          <w:szCs w:val="24"/>
        </w:rPr>
        <w:t>s</w:t>
      </w:r>
      <w:r w:rsidR="0007688F">
        <w:rPr>
          <w:rFonts w:cs="Times New Roman"/>
          <w:color w:val="000000"/>
          <w:szCs w:val="24"/>
        </w:rPr>
        <w:t xml:space="preserve"> de terrain </w:t>
      </w:r>
      <w:r w:rsidR="00155787">
        <w:rPr>
          <w:rFonts w:cs="Times New Roman"/>
          <w:color w:val="000000"/>
          <w:szCs w:val="24"/>
        </w:rPr>
        <w:t xml:space="preserve">comme par exemple, </w:t>
      </w:r>
      <w:r w:rsidR="0007688F">
        <w:rPr>
          <w:rFonts w:cs="Times New Roman"/>
          <w:color w:val="000000"/>
          <w:szCs w:val="24"/>
        </w:rPr>
        <w:t>les travailleurs sociaux,</w:t>
      </w:r>
      <w:r w:rsidR="00155787">
        <w:rPr>
          <w:rFonts w:cs="Times New Roman"/>
          <w:color w:val="000000"/>
          <w:szCs w:val="24"/>
        </w:rPr>
        <w:t xml:space="preserve"> les agents de l’administration,</w:t>
      </w:r>
      <w:r w:rsidR="0007688F">
        <w:rPr>
          <w:rFonts w:cs="Times New Roman"/>
          <w:color w:val="000000"/>
          <w:szCs w:val="24"/>
        </w:rPr>
        <w:t xml:space="preserve"> les enseignants, les services de polices</w:t>
      </w:r>
      <w:r w:rsidR="00A40428">
        <w:rPr>
          <w:rFonts w:cs="Times New Roman"/>
          <w:color w:val="000000"/>
          <w:szCs w:val="24"/>
        </w:rPr>
        <w:t xml:space="preserve"> (</w:t>
      </w:r>
      <w:proofErr w:type="spellStart"/>
      <w:r w:rsidR="00A40428">
        <w:rPr>
          <w:rFonts w:cs="Times New Roman"/>
          <w:color w:val="000000"/>
          <w:szCs w:val="24"/>
        </w:rPr>
        <w:t>Lipsky</w:t>
      </w:r>
      <w:proofErr w:type="spellEnd"/>
      <w:r w:rsidR="00A40428">
        <w:rPr>
          <w:rFonts w:cs="Times New Roman"/>
          <w:color w:val="000000"/>
          <w:szCs w:val="24"/>
        </w:rPr>
        <w:t>, 1989)</w:t>
      </w:r>
      <w:r w:rsidR="00EA3387">
        <w:rPr>
          <w:rFonts w:cs="Times New Roman"/>
          <w:color w:val="000000"/>
          <w:szCs w:val="24"/>
        </w:rPr>
        <w:t>.</w:t>
      </w:r>
      <w:r w:rsidR="00101442">
        <w:rPr>
          <w:rFonts w:cs="Times New Roman"/>
          <w:color w:val="000000"/>
          <w:szCs w:val="24"/>
        </w:rPr>
        <w:t xml:space="preserve"> </w:t>
      </w:r>
      <w:r>
        <w:rPr>
          <w:rFonts w:cs="Times New Roman"/>
          <w:color w:val="000000"/>
          <w:szCs w:val="24"/>
        </w:rPr>
        <w:t>Il</w:t>
      </w:r>
      <w:r w:rsidR="00EA3387">
        <w:rPr>
          <w:rFonts w:cs="Times New Roman"/>
          <w:color w:val="000000"/>
          <w:szCs w:val="24"/>
        </w:rPr>
        <w:t xml:space="preserve"> les considère</w:t>
      </w:r>
      <w:r w:rsidR="007C7A2D">
        <w:rPr>
          <w:rFonts w:cs="Times New Roman"/>
          <w:color w:val="000000"/>
          <w:szCs w:val="24"/>
        </w:rPr>
        <w:t xml:space="preserve"> comme des </w:t>
      </w:r>
      <w:proofErr w:type="spellStart"/>
      <w:r w:rsidR="007C7A2D">
        <w:rPr>
          <w:rFonts w:cs="Times New Roman"/>
          <w:i/>
          <w:color w:val="000000"/>
          <w:szCs w:val="24"/>
        </w:rPr>
        <w:t>policy</w:t>
      </w:r>
      <w:proofErr w:type="spellEnd"/>
      <w:r w:rsidR="007C7A2D">
        <w:rPr>
          <w:rFonts w:cs="Times New Roman"/>
          <w:i/>
          <w:color w:val="000000"/>
          <w:szCs w:val="24"/>
        </w:rPr>
        <w:t xml:space="preserve"> </w:t>
      </w:r>
      <w:proofErr w:type="spellStart"/>
      <w:r w:rsidR="007C7A2D">
        <w:rPr>
          <w:rFonts w:cs="Times New Roman"/>
          <w:i/>
          <w:color w:val="000000"/>
          <w:szCs w:val="24"/>
        </w:rPr>
        <w:t>makers</w:t>
      </w:r>
      <w:proofErr w:type="spellEnd"/>
      <w:r w:rsidR="00EA3387">
        <w:rPr>
          <w:rFonts w:cs="Times New Roman"/>
          <w:i/>
          <w:color w:val="000000"/>
          <w:szCs w:val="24"/>
        </w:rPr>
        <w:t xml:space="preserve">. </w:t>
      </w:r>
      <w:r w:rsidR="00EA3387">
        <w:rPr>
          <w:rFonts w:cs="Times New Roman"/>
          <w:color w:val="000000"/>
          <w:szCs w:val="24"/>
        </w:rPr>
        <w:t>Chargés de la mise en œuvre des politiques publiques,</w:t>
      </w:r>
      <w:r w:rsidR="00EA3387">
        <w:rPr>
          <w:rFonts w:cs="Times New Roman"/>
          <w:i/>
          <w:color w:val="000000"/>
          <w:szCs w:val="24"/>
        </w:rPr>
        <w:t xml:space="preserve"> </w:t>
      </w:r>
      <w:r w:rsidR="00EA3387">
        <w:rPr>
          <w:rFonts w:cs="Times New Roman"/>
          <w:color w:val="000000"/>
          <w:szCs w:val="24"/>
        </w:rPr>
        <w:t xml:space="preserve">ils sont </w:t>
      </w:r>
      <w:r w:rsidR="0007688F">
        <w:rPr>
          <w:rFonts w:cs="Times New Roman"/>
          <w:color w:val="000000"/>
          <w:szCs w:val="24"/>
        </w:rPr>
        <w:t>en interaction direct</w:t>
      </w:r>
      <w:r w:rsidR="007C7A2D">
        <w:rPr>
          <w:rFonts w:cs="Times New Roman"/>
          <w:color w:val="000000"/>
          <w:szCs w:val="24"/>
        </w:rPr>
        <w:t xml:space="preserve">e </w:t>
      </w:r>
      <w:r w:rsidR="0007688F">
        <w:rPr>
          <w:rFonts w:cs="Times New Roman"/>
          <w:color w:val="000000"/>
          <w:szCs w:val="24"/>
        </w:rPr>
        <w:t xml:space="preserve">avec </w:t>
      </w:r>
      <w:r w:rsidR="00EA3387">
        <w:rPr>
          <w:rFonts w:cs="Times New Roman"/>
          <w:color w:val="000000"/>
          <w:szCs w:val="24"/>
        </w:rPr>
        <w:t>les bénéficiaires</w:t>
      </w:r>
      <w:r w:rsidR="00155787">
        <w:rPr>
          <w:rFonts w:cs="Times New Roman"/>
          <w:color w:val="000000"/>
          <w:szCs w:val="24"/>
        </w:rPr>
        <w:t>,</w:t>
      </w:r>
      <w:r w:rsidR="0007688F">
        <w:rPr>
          <w:rFonts w:cs="Times New Roman"/>
          <w:color w:val="000000"/>
          <w:szCs w:val="24"/>
        </w:rPr>
        <w:t xml:space="preserve"> et leurs action</w:t>
      </w:r>
      <w:r w:rsidR="00EA3387">
        <w:rPr>
          <w:rFonts w:cs="Times New Roman"/>
          <w:color w:val="000000"/>
          <w:szCs w:val="24"/>
        </w:rPr>
        <w:t>s</w:t>
      </w:r>
      <w:r w:rsidR="0007688F">
        <w:rPr>
          <w:rFonts w:cs="Times New Roman"/>
          <w:color w:val="000000"/>
          <w:szCs w:val="24"/>
        </w:rPr>
        <w:t xml:space="preserve"> ou décision</w:t>
      </w:r>
      <w:r w:rsidR="00EA3387">
        <w:rPr>
          <w:rFonts w:cs="Times New Roman"/>
          <w:color w:val="000000"/>
          <w:szCs w:val="24"/>
        </w:rPr>
        <w:t xml:space="preserve">s peuvent avoir </w:t>
      </w:r>
      <w:r w:rsidR="0007688F">
        <w:rPr>
          <w:rFonts w:cs="Times New Roman"/>
          <w:color w:val="000000"/>
          <w:szCs w:val="24"/>
        </w:rPr>
        <w:t xml:space="preserve">un impact direct sur </w:t>
      </w:r>
      <w:r w:rsidR="00EA3387">
        <w:rPr>
          <w:rFonts w:cs="Times New Roman"/>
          <w:color w:val="000000"/>
          <w:szCs w:val="24"/>
        </w:rPr>
        <w:t>le devenir de ces derniers</w:t>
      </w:r>
      <w:r w:rsidR="0007688F">
        <w:rPr>
          <w:rFonts w:cs="Times New Roman"/>
          <w:color w:val="000000"/>
          <w:szCs w:val="24"/>
        </w:rPr>
        <w:t>.</w:t>
      </w:r>
      <w:r w:rsidR="00EA3387">
        <w:rPr>
          <w:rFonts w:cs="Times New Roman"/>
          <w:color w:val="000000"/>
          <w:szCs w:val="24"/>
        </w:rPr>
        <w:t xml:space="preserve"> </w:t>
      </w:r>
      <w:r w:rsidR="00612107">
        <w:rPr>
          <w:rFonts w:cs="Times New Roman"/>
          <w:color w:val="000000"/>
          <w:szCs w:val="24"/>
        </w:rPr>
        <w:t xml:space="preserve">Cela est notamment rendu possible par le </w:t>
      </w:r>
      <w:r w:rsidR="00612107">
        <w:rPr>
          <w:rFonts w:cs="Times New Roman"/>
          <w:i/>
          <w:color w:val="000000"/>
          <w:szCs w:val="24"/>
        </w:rPr>
        <w:t>pouvoir discrétionnaire</w:t>
      </w:r>
      <w:r w:rsidR="00612107">
        <w:rPr>
          <w:rFonts w:cs="Times New Roman"/>
          <w:color w:val="000000"/>
          <w:szCs w:val="24"/>
        </w:rPr>
        <w:t xml:space="preserve"> dont ces agents sont investis.</w:t>
      </w:r>
    </w:p>
    <w:p w14:paraId="3CB27C81" w14:textId="0C970CA6" w:rsidR="00612107" w:rsidRDefault="009912DA" w:rsidP="00E505A5">
      <w:pPr>
        <w:spacing w:line="276" w:lineRule="auto"/>
        <w:rPr>
          <w:rFonts w:cs="Times New Roman"/>
          <w:szCs w:val="24"/>
          <w:lang w:eastAsia="fr-BE"/>
        </w:rPr>
      </w:pPr>
      <w:r>
        <w:rPr>
          <w:rFonts w:cs="Times New Roman"/>
          <w:color w:val="000000"/>
          <w:szCs w:val="24"/>
        </w:rPr>
        <w:t xml:space="preserve">Dans les pas de </w:t>
      </w:r>
      <w:proofErr w:type="spellStart"/>
      <w:r w:rsidR="002A5E24">
        <w:rPr>
          <w:rFonts w:cs="Times New Roman"/>
          <w:color w:val="000000"/>
          <w:szCs w:val="24"/>
        </w:rPr>
        <w:t>Lipsky</w:t>
      </w:r>
      <w:proofErr w:type="spellEnd"/>
      <w:r w:rsidR="002A5E24">
        <w:rPr>
          <w:rFonts w:cs="Times New Roman"/>
          <w:color w:val="000000"/>
          <w:szCs w:val="24"/>
        </w:rPr>
        <w:t xml:space="preserve">, </w:t>
      </w:r>
      <w:r w:rsidR="00714B3D">
        <w:rPr>
          <w:rFonts w:cs="Times New Roman"/>
          <w:color w:val="000000"/>
          <w:szCs w:val="24"/>
        </w:rPr>
        <w:t xml:space="preserve">et à la suite des travaux interactionnistes comme ceux de Goffman, </w:t>
      </w:r>
      <w:r w:rsidR="002A5E24">
        <w:rPr>
          <w:rFonts w:cs="Times New Roman"/>
          <w:color w:val="000000"/>
          <w:szCs w:val="24"/>
        </w:rPr>
        <w:t>V</w:t>
      </w:r>
      <w:r w:rsidR="001C27D3">
        <w:rPr>
          <w:rFonts w:cs="Times New Roman"/>
          <w:color w:val="000000"/>
          <w:szCs w:val="24"/>
        </w:rPr>
        <w:t xml:space="preserve">incent Dubois a consacré une grande partie de ses travaux à la question de ces agents de l’administration et des leurs interactions avec les usagers </w:t>
      </w:r>
      <w:r w:rsidR="00155787">
        <w:rPr>
          <w:rFonts w:cs="Times New Roman"/>
          <w:color w:val="000000"/>
          <w:szCs w:val="24"/>
        </w:rPr>
        <w:t>issus des</w:t>
      </w:r>
      <w:r w:rsidR="001C27D3">
        <w:rPr>
          <w:rFonts w:cs="Times New Roman"/>
          <w:color w:val="000000"/>
          <w:szCs w:val="24"/>
        </w:rPr>
        <w:t xml:space="preserve"> classes populaires. Dans </w:t>
      </w:r>
      <w:r w:rsidR="0007688F">
        <w:rPr>
          <w:i/>
          <w:color w:val="1F1F1F"/>
        </w:rPr>
        <w:t>La vie au guichet</w:t>
      </w:r>
      <w:r w:rsidR="00714B3D">
        <w:rPr>
          <w:i/>
          <w:color w:val="1F1F1F"/>
        </w:rPr>
        <w:t>,</w:t>
      </w:r>
      <w:r w:rsidR="00612107">
        <w:rPr>
          <w:color w:val="1F1F1F"/>
        </w:rPr>
        <w:t xml:space="preserve"> </w:t>
      </w:r>
      <w:r w:rsidR="0007688F" w:rsidRPr="001C27D3">
        <w:rPr>
          <w:color w:val="1F1F1F"/>
        </w:rPr>
        <w:t>Dubois</w:t>
      </w:r>
      <w:r w:rsidR="0007688F" w:rsidRPr="001C27D3">
        <w:rPr>
          <w:i/>
          <w:color w:val="1F1F1F"/>
        </w:rPr>
        <w:t xml:space="preserve"> </w:t>
      </w:r>
      <w:r w:rsidR="001C27D3">
        <w:rPr>
          <w:color w:val="1F1F1F"/>
        </w:rPr>
        <w:t xml:space="preserve">se penche sur </w:t>
      </w:r>
      <w:r w:rsidR="0007688F">
        <w:rPr>
          <w:color w:val="1F1F1F"/>
        </w:rPr>
        <w:t xml:space="preserve">la relation des agents </w:t>
      </w:r>
      <w:r w:rsidR="00714B3D">
        <w:rPr>
          <w:color w:val="1F1F1F"/>
        </w:rPr>
        <w:t>des guichets de</w:t>
      </w:r>
      <w:r w:rsidR="0007688F">
        <w:rPr>
          <w:color w:val="1F1F1F"/>
        </w:rPr>
        <w:t xml:space="preserve"> caisses d’allocation familiales avec leur public</w:t>
      </w:r>
      <w:r w:rsidR="00A40428">
        <w:rPr>
          <w:color w:val="1F1F1F"/>
        </w:rPr>
        <w:t xml:space="preserve"> (Dubois, 1999)</w:t>
      </w:r>
      <w:r w:rsidR="0007688F">
        <w:rPr>
          <w:color w:val="1F1F1F"/>
        </w:rPr>
        <w:t xml:space="preserve">. Il </w:t>
      </w:r>
      <w:r w:rsidR="001C27D3">
        <w:rPr>
          <w:color w:val="1F1F1F"/>
        </w:rPr>
        <w:t xml:space="preserve">constate que la marge d’autonomie laissée aux </w:t>
      </w:r>
      <w:r w:rsidR="0007688F">
        <w:rPr>
          <w:color w:val="1F1F1F"/>
        </w:rPr>
        <w:t xml:space="preserve">agents peut parfois les mener à faire un nombre de taches </w:t>
      </w:r>
      <w:r w:rsidR="00155787">
        <w:rPr>
          <w:color w:val="1F1F1F"/>
        </w:rPr>
        <w:t>supérieur à</w:t>
      </w:r>
      <w:r w:rsidR="0007688F">
        <w:rPr>
          <w:color w:val="1F1F1F"/>
        </w:rPr>
        <w:t xml:space="preserve"> ce qui </w:t>
      </w:r>
      <w:r w:rsidR="001C27D3">
        <w:rPr>
          <w:color w:val="1F1F1F"/>
        </w:rPr>
        <w:t>est prévu par leur fonction</w:t>
      </w:r>
      <w:r w:rsidR="00155787">
        <w:rPr>
          <w:color w:val="1F1F1F"/>
        </w:rPr>
        <w:t xml:space="preserve"> – et </w:t>
      </w:r>
      <w:r w:rsidR="0007688F">
        <w:rPr>
          <w:color w:val="1F1F1F"/>
        </w:rPr>
        <w:t>notamment des t</w:t>
      </w:r>
      <w:r w:rsidR="001C27D3">
        <w:rPr>
          <w:color w:val="1F1F1F"/>
        </w:rPr>
        <w:t xml:space="preserve">âches qui ne sont pas réglementées par le strict </w:t>
      </w:r>
      <w:r w:rsidR="0007688F">
        <w:rPr>
          <w:color w:val="1F1F1F"/>
        </w:rPr>
        <w:t xml:space="preserve">cadre juridique. </w:t>
      </w:r>
      <w:r w:rsidR="00612107">
        <w:rPr>
          <w:color w:val="1F1F1F"/>
        </w:rPr>
        <w:t>Les guichets deviennent alors un lieu d’échange, d’écoute</w:t>
      </w:r>
      <w:r w:rsidR="00155787">
        <w:rPr>
          <w:color w:val="1F1F1F"/>
        </w:rPr>
        <w:t>,</w:t>
      </w:r>
      <w:r w:rsidR="00612107">
        <w:rPr>
          <w:color w:val="1F1F1F"/>
        </w:rPr>
        <w:t xml:space="preserve"> de conseil et d’entraide, mais aussi lieu de tension et de conflit</w:t>
      </w:r>
      <w:r w:rsidR="00714B3D">
        <w:rPr>
          <w:color w:val="1F1F1F"/>
        </w:rPr>
        <w:t xml:space="preserve">. Alors </w:t>
      </w:r>
      <w:r w:rsidR="00612107">
        <w:rPr>
          <w:color w:val="1F1F1F"/>
        </w:rPr>
        <w:t xml:space="preserve">que l’agent de guichet </w:t>
      </w:r>
      <w:r w:rsidR="00714B3D">
        <w:rPr>
          <w:color w:val="1F1F1F"/>
        </w:rPr>
        <w:t xml:space="preserve">fait </w:t>
      </w:r>
      <w:r w:rsidR="00612107">
        <w:rPr>
          <w:color w:val="1F1F1F"/>
        </w:rPr>
        <w:t>face à des individus démunis</w:t>
      </w:r>
      <w:r w:rsidR="00714B3D">
        <w:rPr>
          <w:color w:val="1F1F1F"/>
        </w:rPr>
        <w:t xml:space="preserve">, il </w:t>
      </w:r>
      <w:r w:rsidR="00612107">
        <w:rPr>
          <w:color w:val="1F1F1F"/>
        </w:rPr>
        <w:t>endosse un rôle qui n’est pas prévu par le règlement administratif</w:t>
      </w:r>
      <w:r w:rsidR="00155787">
        <w:rPr>
          <w:color w:val="1F1F1F"/>
        </w:rPr>
        <w:t>,</w:t>
      </w:r>
      <w:r w:rsidR="00612107">
        <w:rPr>
          <w:color w:val="1F1F1F"/>
        </w:rPr>
        <w:t xml:space="preserve"> et se trouve investit personnellement dans sa fonction. </w:t>
      </w:r>
    </w:p>
    <w:p w14:paraId="7747F031" w14:textId="419EF1CD" w:rsidR="00395E30" w:rsidRDefault="009F018E" w:rsidP="00E505A5">
      <w:pPr>
        <w:spacing w:line="276" w:lineRule="auto"/>
      </w:pPr>
      <w:r>
        <w:rPr>
          <w:color w:val="1F1F1F"/>
        </w:rPr>
        <w:t xml:space="preserve">Si les agents de l’administration peuvent être </w:t>
      </w:r>
      <w:r w:rsidR="006004C7">
        <w:rPr>
          <w:color w:val="1F1F1F"/>
        </w:rPr>
        <w:t>considérés</w:t>
      </w:r>
      <w:r>
        <w:rPr>
          <w:color w:val="1F1F1F"/>
        </w:rPr>
        <w:t xml:space="preserve"> comme des </w:t>
      </w:r>
      <w:r w:rsidR="00395E30">
        <w:t>« entrepreneurs de morale »</w:t>
      </w:r>
      <w:r w:rsidR="006004C7">
        <w:t xml:space="preserve">, de ceux </w:t>
      </w:r>
      <w:r>
        <w:t xml:space="preserve">qui </w:t>
      </w:r>
      <w:r w:rsidR="006004C7">
        <w:t>ont le pouvoir de créer</w:t>
      </w:r>
      <w:r>
        <w:t xml:space="preserve"> les </w:t>
      </w:r>
      <w:r w:rsidRPr="00155787">
        <w:t>normes (</w:t>
      </w:r>
      <w:r w:rsidR="00155787" w:rsidRPr="00155787">
        <w:t xml:space="preserve">Becker,1985 : </w:t>
      </w:r>
      <w:r w:rsidRPr="00155787">
        <w:t>171),</w:t>
      </w:r>
      <w:r w:rsidR="006004C7" w:rsidRPr="00155787">
        <w:t xml:space="preserve"> ou</w:t>
      </w:r>
      <w:r w:rsidR="006004C7">
        <w:t xml:space="preserve"> du moins de les </w:t>
      </w:r>
      <w:r w:rsidR="00714B3D">
        <w:t>activer</w:t>
      </w:r>
      <w:r w:rsidR="006004C7">
        <w:t>, ils peuvent aussi être perçu</w:t>
      </w:r>
      <w:r w:rsidR="00155787">
        <w:t>s</w:t>
      </w:r>
      <w:r w:rsidR="006004C7">
        <w:t xml:space="preserve"> comme des acteurs prenant part aux carrières des individus qu’ils accompagnent. </w:t>
      </w:r>
      <w:r w:rsidR="00757BA4">
        <w:t xml:space="preserve">Dans tous les cas, les agents engagés dans l’accompagnement social des carrières déviantes de mal-logés, notamment, jouent un rôle déterminant dans </w:t>
      </w:r>
      <w:r w:rsidR="00714B3D">
        <w:t>leurs parcours</w:t>
      </w:r>
      <w:r w:rsidR="00757BA4">
        <w:t xml:space="preserve">. </w:t>
      </w:r>
      <w:r w:rsidR="006004C7">
        <w:t xml:space="preserve">Pour </w:t>
      </w:r>
      <w:r w:rsidR="00D0409D">
        <w:t xml:space="preserve">ce qui nous concerne, </w:t>
      </w:r>
      <w:r w:rsidR="004B208F">
        <w:t xml:space="preserve">l’aboutissement d’une procédure d’expulsion </w:t>
      </w:r>
      <w:r w:rsidR="00757BA4">
        <w:t>(expulsion</w:t>
      </w:r>
      <w:r w:rsidR="004B208F">
        <w:t xml:space="preserve"> effective, maintien dans le logement</w:t>
      </w:r>
      <w:r w:rsidR="00757BA4">
        <w:t xml:space="preserve"> ou relogement) peut dépendre de l’implication </w:t>
      </w:r>
      <w:r w:rsidR="004B208F">
        <w:t>du travailleur social</w:t>
      </w:r>
      <w:r w:rsidR="00757BA4">
        <w:t xml:space="preserve"> dans l’accompagnement proposé : sa marge de manœuvre ou son pouvoir discrétionnaire est suffisamment </w:t>
      </w:r>
      <w:r w:rsidR="004B208F">
        <w:t>important</w:t>
      </w:r>
      <w:r w:rsidR="00757BA4">
        <w:t xml:space="preserve"> pour jouer un rôle déterminant dans l’issus </w:t>
      </w:r>
      <w:r w:rsidR="00757BA4">
        <w:lastRenderedPageBreak/>
        <w:t xml:space="preserve">de la procédure </w:t>
      </w:r>
      <w:r w:rsidR="004B208F">
        <w:t xml:space="preserve">– parce que par exemple, une </w:t>
      </w:r>
      <w:r w:rsidR="00757BA4">
        <w:t xml:space="preserve">assistante sociale </w:t>
      </w:r>
      <w:r w:rsidR="004B208F">
        <w:t xml:space="preserve">peut ne pas </w:t>
      </w:r>
      <w:r w:rsidR="00757BA4">
        <w:t xml:space="preserve">s’impliquer outre mesure dans un dossier jugé « perdu d’avance » </w:t>
      </w:r>
      <w:r w:rsidR="00714B3D">
        <w:t xml:space="preserve">(cf. </w:t>
      </w:r>
      <w:r w:rsidR="009518D3">
        <w:t>« </w:t>
      </w:r>
      <w:r w:rsidR="00757BA4">
        <w:t>effet Matthieu</w:t>
      </w:r>
      <w:r w:rsidR="009518D3">
        <w:t> »</w:t>
      </w:r>
      <w:r w:rsidR="00714B3D">
        <w:t>, Merton, 1968 )</w:t>
      </w:r>
      <w:r w:rsidR="004B208F">
        <w:t xml:space="preserve">, d’autant plus que leur charge de travail est considérable. </w:t>
      </w:r>
    </w:p>
    <w:p w14:paraId="484F3594" w14:textId="27DEC10F" w:rsidR="00395E30" w:rsidRDefault="009518D3" w:rsidP="00E505A5">
      <w:pPr>
        <w:spacing w:line="276" w:lineRule="auto"/>
      </w:pPr>
      <w:r>
        <w:t>Le travail de Dubois nous permet</w:t>
      </w:r>
      <w:r w:rsidR="004B208F">
        <w:t xml:space="preserve"> </w:t>
      </w:r>
      <w:r w:rsidR="006275B8">
        <w:t xml:space="preserve">répondre à </w:t>
      </w:r>
      <w:r w:rsidR="00126F69">
        <w:t>c</w:t>
      </w:r>
      <w:r w:rsidR="006275B8">
        <w:t xml:space="preserve">e souci d’objectivation et de « mise en contexte » nécessaire pour interpréter les trajectoires biographiques et les carrières des individus. </w:t>
      </w:r>
      <w:r>
        <w:t>Sa</w:t>
      </w:r>
      <w:r w:rsidR="00126F69">
        <w:t xml:space="preserve"> recherche a pour ambition de creuser </w:t>
      </w:r>
      <w:r w:rsidR="00395E30">
        <w:t>du c</w:t>
      </w:r>
      <w:r w:rsidR="002A5E24">
        <w:t>ô</w:t>
      </w:r>
      <w:r w:rsidR="00395E30">
        <w:t>té des dispositif</w:t>
      </w:r>
      <w:r w:rsidR="002A5E24">
        <w:t>s</w:t>
      </w:r>
      <w:r w:rsidR="00395E30">
        <w:t xml:space="preserve"> d’aide publique, pour </w:t>
      </w:r>
      <w:r>
        <w:t>revenir aux</w:t>
      </w:r>
      <w:r w:rsidR="00395E30">
        <w:t xml:space="preserve"> « contextes »</w:t>
      </w:r>
      <w:r w:rsidR="00126F69">
        <w:t xml:space="preserve"> sociaux et politiques</w:t>
      </w:r>
      <w:r>
        <w:t xml:space="preserve"> au sein desquels les parcours émergent</w:t>
      </w:r>
      <w:r w:rsidR="00126F69">
        <w:t>,</w:t>
      </w:r>
      <w:r>
        <w:t xml:space="preserve"> </w:t>
      </w:r>
      <w:r w:rsidR="004B208F">
        <w:t xml:space="preserve">et pour </w:t>
      </w:r>
      <w:r w:rsidR="00395E30">
        <w:t>objectiver les carrières individuelles</w:t>
      </w:r>
      <w:r w:rsidR="00126F69">
        <w:t xml:space="preserve"> en répondant à plusieurs questions :</w:t>
      </w:r>
      <w:r w:rsidR="00101442">
        <w:t xml:space="preserve"> </w:t>
      </w:r>
      <w:r w:rsidR="00395E30">
        <w:t>Quelles politiques d’aide sociale en place ? Quel type d’accompagnement ? Quelles</w:t>
      </w:r>
      <w:r>
        <w:t xml:space="preserve"> </w:t>
      </w:r>
      <w:r w:rsidR="00395E30">
        <w:t xml:space="preserve">conditions de travail, </w:t>
      </w:r>
      <w:r>
        <w:t>moyens d’actions, pratiques, mais aussi quelles normes et</w:t>
      </w:r>
      <w:r w:rsidR="00395E30">
        <w:t xml:space="preserve"> représentation</w:t>
      </w:r>
      <w:r>
        <w:t>s</w:t>
      </w:r>
      <w:r w:rsidR="00395E30">
        <w:t xml:space="preserve"> </w:t>
      </w:r>
      <w:r w:rsidR="004B208F">
        <w:t xml:space="preserve">mobilisées par les </w:t>
      </w:r>
      <w:r w:rsidR="00395E30">
        <w:t xml:space="preserve">travailleurs sociaux chargé d’accompagnés ces ménages ? </w:t>
      </w:r>
    </w:p>
    <w:p w14:paraId="2963E6FB" w14:textId="27A1134C" w:rsidR="00DC0C5E" w:rsidRDefault="006275B8" w:rsidP="00E505A5">
      <w:pPr>
        <w:spacing w:line="276" w:lineRule="auto"/>
        <w:rPr>
          <w:rFonts w:cs="Times New Roman"/>
        </w:rPr>
      </w:pPr>
      <w:r>
        <w:t xml:space="preserve">Si la lecture </w:t>
      </w:r>
      <w:r w:rsidR="009518D3">
        <w:t>de l’ouvrage</w:t>
      </w:r>
      <w:r>
        <w:t xml:space="preserve"> de Dubois </w:t>
      </w:r>
      <w:r w:rsidR="009518D3">
        <w:t>est si féconde</w:t>
      </w:r>
      <w:r>
        <w:t xml:space="preserve">, c’est aussi parce que </w:t>
      </w:r>
      <w:r>
        <w:rPr>
          <w:i/>
        </w:rPr>
        <w:t>La vie au guichet</w:t>
      </w:r>
      <w:r>
        <w:t xml:space="preserve"> </w:t>
      </w:r>
      <w:r w:rsidR="00126F69">
        <w:t xml:space="preserve">met en scène un double regard sur les dispositifs publics des caisses d’allocation familiales en France : </w:t>
      </w:r>
      <w:r w:rsidR="00DC0C5E">
        <w:t>le premier chapitre est consacré aux agents du guichet, le second se place du côté de ses usagers</w:t>
      </w:r>
      <w:r>
        <w:t xml:space="preserve"> et </w:t>
      </w:r>
      <w:r w:rsidR="00DC0C5E">
        <w:t xml:space="preserve">rend </w:t>
      </w:r>
      <w:r>
        <w:t xml:space="preserve">compte de leur agentivité propre. </w:t>
      </w:r>
    </w:p>
    <w:p w14:paraId="1221CE94" w14:textId="14DDCDA7" w:rsidR="009352EA" w:rsidRDefault="009352EA" w:rsidP="00E505A5">
      <w:pPr>
        <w:pStyle w:val="Titre3"/>
        <w:spacing w:line="276" w:lineRule="auto"/>
      </w:pPr>
      <w:bookmarkStart w:id="30" w:name="_Toc152687213"/>
      <w:r>
        <w:t xml:space="preserve">Agentivité des acteurs </w:t>
      </w:r>
      <w:r w:rsidR="00395E30">
        <w:t>et zones de liberté</w:t>
      </w:r>
      <w:bookmarkEnd w:id="30"/>
    </w:p>
    <w:p w14:paraId="213F6269" w14:textId="422A8A86" w:rsidR="00E04BF9" w:rsidRDefault="002A5E24" w:rsidP="00E505A5">
      <w:pPr>
        <w:spacing w:line="276" w:lineRule="auto"/>
      </w:pPr>
      <w:r w:rsidRPr="009D493F">
        <w:t xml:space="preserve">Dubois articule en effet sa réflexion sur la mise en œuvre des politiques publiques à la question des rapports des classes populaires à ses institutions. Quels usages de ces instituions et de ces dispositifs font les allocataires ? Que viennent-ils solliciter ? Quelles sont leurs attentes ? Comment parviennent-ils à y répondre ? </w:t>
      </w:r>
      <w:r w:rsidR="00012DF0">
        <w:t xml:space="preserve">Le sociologue </w:t>
      </w:r>
      <w:r w:rsidRPr="009D493F">
        <w:t>propose de « saisir ce que les individus importent dans leurs pratiques de l’institution</w:t>
      </w:r>
      <w:r w:rsidR="004B208F">
        <w:t>,</w:t>
      </w:r>
      <w:r w:rsidRPr="009D493F">
        <w:t xml:space="preserve"> des ressources, compétences ou dispositions sociales constituées en dehors de l’institution et de situer dans le même temps la place de cette dernière dans l’espace des relations qui détermine les conditions d’existence de ceux qui s’y adressent. </w:t>
      </w:r>
      <w:r w:rsidRPr="001D53DD">
        <w:t xml:space="preserve">» (Dubois, </w:t>
      </w:r>
      <w:r w:rsidR="004B208F" w:rsidRPr="001D53DD">
        <w:t>1999 :</w:t>
      </w:r>
      <w:r w:rsidRPr="001D53DD">
        <w:t>18). Là</w:t>
      </w:r>
      <w:r w:rsidRPr="009D493F">
        <w:t xml:space="preserve"> encore, le chercheur postule que les individus, bien q</w:t>
      </w:r>
      <w:r w:rsidR="007C79D0" w:rsidRPr="009D493F">
        <w:t xml:space="preserve">u’appartenant aux classes les plus précaires, possèdent certaines formes de </w:t>
      </w:r>
      <w:r w:rsidRPr="009D493F">
        <w:t xml:space="preserve">ressources ou supports propres, </w:t>
      </w:r>
      <w:r w:rsidR="00FB0F59">
        <w:t xml:space="preserve">qui seront </w:t>
      </w:r>
      <w:r w:rsidR="007C79D0" w:rsidRPr="009D493F">
        <w:t>déterminants dans leur carrière d’allocataires sociaux.</w:t>
      </w:r>
      <w:r w:rsidR="00EC5DCE">
        <w:t xml:space="preserve"> </w:t>
      </w:r>
      <w:r w:rsidR="00FB0F59">
        <w:t>C</w:t>
      </w:r>
      <w:r w:rsidR="007C79D0" w:rsidRPr="009D493F">
        <w:t xml:space="preserve">ette </w:t>
      </w:r>
      <w:r w:rsidR="00FB0F59">
        <w:t xml:space="preserve">sensibilité particulière </w:t>
      </w:r>
      <w:r w:rsidR="00EC5DCE">
        <w:t>aux pratiques et aux ressources des individus n’empêche en aucun cas de reconnaitre le poids des contraintes sociales qui pèse</w:t>
      </w:r>
      <w:r w:rsidR="001D53DD">
        <w:t>nt</w:t>
      </w:r>
      <w:r w:rsidR="00EC5DCE">
        <w:t xml:space="preserve"> sur les individus. Il s’agit au contraire de les comprendre, de les étudier, tout en refusant de</w:t>
      </w:r>
      <w:r w:rsidR="00EC6359" w:rsidRPr="00E04BF9">
        <w:t xml:space="preserve"> considérer ceux qui en sont les victimes comme des « idiots culturels » (</w:t>
      </w:r>
      <w:r w:rsidR="00EC6359" w:rsidRPr="001D53DD">
        <w:rPr>
          <w:i/>
        </w:rPr>
        <w:t>cultural dopes</w:t>
      </w:r>
      <w:r w:rsidR="00EC6359" w:rsidRPr="00E04BF9">
        <w:t xml:space="preserve">, </w:t>
      </w:r>
      <w:r w:rsidR="001D53DD">
        <w:t xml:space="preserve">cf. </w:t>
      </w:r>
      <w:r w:rsidR="00EC6359" w:rsidRPr="00E04BF9">
        <w:t>Garfinkel</w:t>
      </w:r>
      <w:r w:rsidR="001D53DD">
        <w:t xml:space="preserve">, 2007 : </w:t>
      </w:r>
      <w:r w:rsidR="00E04BF9" w:rsidRPr="00E04BF9">
        <w:t>137).</w:t>
      </w:r>
      <w:r w:rsidR="00E04BF9">
        <w:t xml:space="preserve"> </w:t>
      </w:r>
    </w:p>
    <w:p w14:paraId="64306C8B" w14:textId="0C225367" w:rsidR="00DA5298" w:rsidRPr="00D52E25" w:rsidRDefault="00EC6359" w:rsidP="00E505A5">
      <w:pPr>
        <w:spacing w:line="276" w:lineRule="auto"/>
      </w:pPr>
      <w:r>
        <w:t>Cette tension vive</w:t>
      </w:r>
      <w:r w:rsidR="00E04BF9">
        <w:t xml:space="preserve">, entre </w:t>
      </w:r>
      <w:r w:rsidR="009D493F">
        <w:t xml:space="preserve">ceux qui </w:t>
      </w:r>
      <w:r w:rsidR="007C3FAD">
        <w:t>réduis</w:t>
      </w:r>
      <w:r w:rsidR="009D493F">
        <w:t>ent les classe</w:t>
      </w:r>
      <w:r w:rsidR="00D52E25">
        <w:t>s</w:t>
      </w:r>
      <w:r w:rsidR="009D493F">
        <w:t xml:space="preserve"> populaire</w:t>
      </w:r>
      <w:r w:rsidR="00D52E25">
        <w:t xml:space="preserve">s </w:t>
      </w:r>
      <w:r w:rsidR="007C3FAD">
        <w:t>à la passivité et au m</w:t>
      </w:r>
      <w:r w:rsidR="009D493F">
        <w:t>anque (misérabilisme) et ce</w:t>
      </w:r>
      <w:r w:rsidR="007C3FAD">
        <w:t>ux</w:t>
      </w:r>
      <w:r w:rsidR="009D493F">
        <w:t xml:space="preserve"> qui </w:t>
      </w:r>
      <w:r w:rsidR="00D52E25">
        <w:t xml:space="preserve">célèbrent </w:t>
      </w:r>
      <w:r w:rsidR="009D493F">
        <w:t xml:space="preserve">l’inventivité et la richesse </w:t>
      </w:r>
      <w:r w:rsidR="00D52E25">
        <w:t>des pratiques populaires</w:t>
      </w:r>
      <w:r w:rsidR="007C3FAD">
        <w:t xml:space="preserve"> en</w:t>
      </w:r>
      <w:r w:rsidR="009D493F">
        <w:t xml:space="preserve"> oubliant qu’elle</w:t>
      </w:r>
      <w:r w:rsidR="00D52E25">
        <w:t xml:space="preserve">s sont aussi des pratiques dominées </w:t>
      </w:r>
      <w:r w:rsidR="009D493F">
        <w:t>(</w:t>
      </w:r>
      <w:r w:rsidR="00E04BF9">
        <w:t>populisme</w:t>
      </w:r>
      <w:r w:rsidR="009D493F">
        <w:t xml:space="preserve">), </w:t>
      </w:r>
      <w:r>
        <w:t xml:space="preserve">traverse </w:t>
      </w:r>
      <w:r w:rsidR="007C3FAD">
        <w:t xml:space="preserve">toute </w:t>
      </w:r>
      <w:r>
        <w:t>la sociologie</w:t>
      </w:r>
      <w:r w:rsidR="001219B5">
        <w:rPr>
          <w:rStyle w:val="Appelnotedebasdep"/>
        </w:rPr>
        <w:footnoteReference w:id="29"/>
      </w:r>
      <w:r w:rsidR="00D52E25" w:rsidRPr="00EC5DCE">
        <w:rPr>
          <w:i/>
        </w:rPr>
        <w:t xml:space="preserve">. </w:t>
      </w:r>
      <w:r w:rsidR="00277D32" w:rsidRPr="00EC5DCE">
        <w:t>Et si c</w:t>
      </w:r>
      <w:r w:rsidR="00D52E25" w:rsidRPr="00EC5DCE">
        <w:t>ette tension</w:t>
      </w:r>
      <w:r w:rsidR="00277D32" w:rsidRPr="00EC5DCE">
        <w:t xml:space="preserve"> </w:t>
      </w:r>
      <w:r w:rsidR="00D52E25" w:rsidRPr="00EC5DCE">
        <w:t>est peut-être vouée à ne jamais être totalement résolue,</w:t>
      </w:r>
      <w:r w:rsidR="00277D32" w:rsidRPr="00EC5DCE">
        <w:t xml:space="preserve"> elle</w:t>
      </w:r>
      <w:r w:rsidR="00D52E25" w:rsidRPr="00EC5DCE">
        <w:t xml:space="preserve"> trouve tout de même des points d’apaisement dans </w:t>
      </w:r>
      <w:r w:rsidR="00277D32" w:rsidRPr="00EC5DCE">
        <w:t>l</w:t>
      </w:r>
      <w:r w:rsidR="00D52E25" w:rsidRPr="00EC5DCE">
        <w:t>es travaux de Vincent Dubois notamment</w:t>
      </w:r>
      <w:r w:rsidR="00277D32" w:rsidRPr="00EC5DCE">
        <w:t>, mais aussi, avant lui, chez G</w:t>
      </w:r>
      <w:r w:rsidR="00D52E25" w:rsidRPr="00EC5DCE">
        <w:t>offman</w:t>
      </w:r>
      <w:r w:rsidR="00277D32" w:rsidRPr="00EC5DCE">
        <w:t>.</w:t>
      </w:r>
    </w:p>
    <w:p w14:paraId="74925000" w14:textId="242F670E" w:rsidR="004C6133" w:rsidRDefault="00D35355" w:rsidP="00E505A5">
      <w:pPr>
        <w:spacing w:line="276" w:lineRule="auto"/>
      </w:pPr>
      <w:r>
        <w:t xml:space="preserve">Dans </w:t>
      </w:r>
      <w:r w:rsidRPr="00D35355">
        <w:rPr>
          <w:i/>
        </w:rPr>
        <w:t>Asiles</w:t>
      </w:r>
      <w:r>
        <w:t>, Goffman porte son regard sur l’étude de la condition sociale des malade mentaux, enfermé</w:t>
      </w:r>
      <w:r w:rsidR="00DA01C5">
        <w:t>s</w:t>
      </w:r>
      <w:r>
        <w:t xml:space="preserve"> dans une </w:t>
      </w:r>
      <w:r>
        <w:rPr>
          <w:i/>
        </w:rPr>
        <w:t xml:space="preserve">institution totalitaire, </w:t>
      </w:r>
      <w:r w:rsidR="003C61A7">
        <w:t xml:space="preserve">où les individus mènent une vie isolée du reste de la société, contrainte et réglée dans les moindres détails (Goffman, 1968). Dans son ouvrage, </w:t>
      </w:r>
      <w:r w:rsidR="00BB74BB">
        <w:t xml:space="preserve">Goffman montre comment, </w:t>
      </w:r>
      <w:r w:rsidR="003C61A7">
        <w:t xml:space="preserve">à travers </w:t>
      </w:r>
      <w:r w:rsidR="004C6133">
        <w:t>différentes</w:t>
      </w:r>
      <w:r w:rsidR="00BB74BB">
        <w:t xml:space="preserve"> tactiques </w:t>
      </w:r>
      <w:r w:rsidR="004C6133">
        <w:t>« </w:t>
      </w:r>
      <w:r w:rsidR="00BB74BB">
        <w:t xml:space="preserve">parfois invisibles ou clandestines, le malade mental interné en hôpital psychiatrique parvient à résister au « dépouillement biographique » dont il est l’objet et à maintenir une identité minimale de « personne ». </w:t>
      </w:r>
      <w:r w:rsidR="003C61A7">
        <w:t xml:space="preserve">[…] </w:t>
      </w:r>
      <w:r w:rsidR="00BB74BB">
        <w:t xml:space="preserve">Par toute une série d’adaptations secondaires, l’interné travaille à maintenir des zones d’autonomie lui évitant d’être totalement défini à travers sa folie. » (De </w:t>
      </w:r>
      <w:proofErr w:type="spellStart"/>
      <w:r w:rsidR="00BB74BB">
        <w:t>Queiroz</w:t>
      </w:r>
      <w:proofErr w:type="spellEnd"/>
      <w:r w:rsidR="00BB74BB">
        <w:t xml:space="preserve"> </w:t>
      </w:r>
      <w:r w:rsidR="00BB74BB">
        <w:lastRenderedPageBreak/>
        <w:t xml:space="preserve">et </w:t>
      </w:r>
      <w:proofErr w:type="spellStart"/>
      <w:r w:rsidR="00BB74BB">
        <w:t>Ziolkowski</w:t>
      </w:r>
      <w:proofErr w:type="spellEnd"/>
      <w:r w:rsidR="00BB74BB">
        <w:t>,</w:t>
      </w:r>
      <w:r w:rsidR="00DA01C5">
        <w:t xml:space="preserve"> 1994 : </w:t>
      </w:r>
      <w:r w:rsidR="00BB74BB">
        <w:t>50)</w:t>
      </w:r>
      <w:r w:rsidR="00DE4771">
        <w:t>.</w:t>
      </w:r>
      <w:r w:rsidR="004C6133">
        <w:t xml:space="preserve"> Parmi ces adaptations secondaires, nous trouvons ce que Goffman appelle « les techniques de distanciation » : </w:t>
      </w:r>
    </w:p>
    <w:p w14:paraId="4FA51C5D" w14:textId="6C89B610" w:rsidR="004C6133" w:rsidRPr="004C6133" w:rsidRDefault="004C6133" w:rsidP="00E505A5">
      <w:pPr>
        <w:spacing w:line="276" w:lineRule="auto"/>
        <w:ind w:left="708"/>
        <w:rPr>
          <w:sz w:val="20"/>
        </w:rPr>
      </w:pPr>
      <w:r w:rsidRPr="004C6133">
        <w:rPr>
          <w:sz w:val="20"/>
        </w:rPr>
        <w:t>« Si l’une des fonctions des adaptations secondaires est de dresser une barrière entre l’individu et l’unité sociale à laquelle il est censé appartenir, il faut s’attendre à ce que certaines d’entre elles ne procurent aucun bénéfice intrinsèque et ne soient mises en œuvre que par souci de prendre une distance interdite, de « repousser ceux qui repoussent » afin de préserver son moi</w:t>
      </w:r>
      <w:r w:rsidRPr="004C6133">
        <w:rPr>
          <w:rStyle w:val="Appelnotedebasdep"/>
          <w:sz w:val="20"/>
        </w:rPr>
        <w:footnoteReference w:id="30"/>
      </w:r>
      <w:r w:rsidRPr="004C6133">
        <w:rPr>
          <w:sz w:val="20"/>
        </w:rPr>
        <w:t xml:space="preserve">. Tel semble bien être le cas pour les formes très banales d’insubordination rituelle que sont les empoignades ou les sabotages, initiatives dont il n’est pas réaliste d’attendre le moindre changement bénéfique. Par l’insolence caractérise sans être toute fois passible de sanction immédiate, les remarques proférées assez bas pour n’être pas clairement entendues des autorités, les gestes accomplis derrière leur dos, le subordonné exprime son détachement à l’égard de la place qu’on lui assigne officiellement. » (Goffman, </w:t>
      </w:r>
      <w:r w:rsidR="00DA01C5">
        <w:rPr>
          <w:sz w:val="20"/>
        </w:rPr>
        <w:t xml:space="preserve">1968 : </w:t>
      </w:r>
      <w:r w:rsidRPr="004C6133">
        <w:rPr>
          <w:sz w:val="20"/>
        </w:rPr>
        <w:t>368)</w:t>
      </w:r>
    </w:p>
    <w:p w14:paraId="60A5B1DC" w14:textId="7D9A6C73" w:rsidR="004C6133" w:rsidRDefault="004C6133" w:rsidP="00E505A5">
      <w:pPr>
        <w:spacing w:line="276" w:lineRule="auto"/>
      </w:pPr>
      <w:r>
        <w:t>Après cette lecture, comment ne pas poser un nouveau regard sur les comportements des usagers des services sociaux</w:t>
      </w:r>
      <w:r w:rsidR="00DA01C5">
        <w:t>,</w:t>
      </w:r>
      <w:r>
        <w:t xml:space="preserve"> et </w:t>
      </w:r>
      <w:r w:rsidR="00DA01C5">
        <w:t>sur l’</w:t>
      </w:r>
      <w:r>
        <w:t>attitude de désinvolture ou de rejet dont ils peuvent faire preuve,</w:t>
      </w:r>
      <w:r w:rsidR="00DA01C5">
        <w:t xml:space="preserve"> et qui est</w:t>
      </w:r>
      <w:r>
        <w:t xml:space="preserve"> souvent dénoncée par les travailleuses sociales ? Comment ne pas réinterpréter </w:t>
      </w:r>
      <w:r w:rsidR="00DA01C5">
        <w:t>de la même manière le</w:t>
      </w:r>
      <w:r>
        <w:t xml:space="preserve"> comportement de la personne en cours de procédure d’expulsion </w:t>
      </w:r>
      <w:r w:rsidR="00DA01C5">
        <w:t xml:space="preserve">et </w:t>
      </w:r>
      <w:r>
        <w:t>qui n’applique pas les conseils proférés par l’assistante sociale qui la suit, ne se présente pas à l’audience</w:t>
      </w:r>
      <w:r w:rsidR="00DA01C5">
        <w:t>,</w:t>
      </w:r>
      <w:r>
        <w:t xml:space="preserve"> ou pas avec </w:t>
      </w:r>
      <w:r w:rsidR="00D937B6">
        <w:t>les bons papiers</w:t>
      </w:r>
      <w:r>
        <w:t xml:space="preserve">, n’adopte pas l’attitude qu’on lui a conseillé </w:t>
      </w:r>
      <w:r w:rsidR="00D937B6">
        <w:t>d’avoir</w:t>
      </w:r>
      <w:r w:rsidR="00DA01C5">
        <w:t>,</w:t>
      </w:r>
      <w:r w:rsidR="00D937B6">
        <w:t xml:space="preserve"> ou ne présente pas les arguments indiqués pour suspendre la procédure ? </w:t>
      </w:r>
    </w:p>
    <w:p w14:paraId="5DD36B3C" w14:textId="52B2A25F" w:rsidR="00B4089A" w:rsidRDefault="00984322" w:rsidP="00E505A5">
      <w:pPr>
        <w:pStyle w:val="Titre3"/>
        <w:spacing w:line="276" w:lineRule="auto"/>
      </w:pPr>
      <w:bookmarkStart w:id="31" w:name="_Toc152687214"/>
      <w:r>
        <w:t xml:space="preserve">Les conflits d’interprétation : </w:t>
      </w:r>
      <w:r w:rsidR="00B4089A">
        <w:t>rendre compte du décalage</w:t>
      </w:r>
      <w:bookmarkEnd w:id="31"/>
      <w:r w:rsidR="00B4089A">
        <w:t xml:space="preserve"> </w:t>
      </w:r>
    </w:p>
    <w:p w14:paraId="65D404A6" w14:textId="2C48C0A9" w:rsidR="00DC0C5E" w:rsidRDefault="00A13739" w:rsidP="00E505A5">
      <w:pPr>
        <w:spacing w:line="276" w:lineRule="auto"/>
      </w:pPr>
      <w:r>
        <w:t>Goffman comme Dubois</w:t>
      </w:r>
      <w:r w:rsidR="00DA01C5">
        <w:t xml:space="preserve"> </w:t>
      </w:r>
      <w:r>
        <w:t>offre</w:t>
      </w:r>
      <w:r w:rsidR="009376E0">
        <w:t xml:space="preserve">nt </w:t>
      </w:r>
      <w:r>
        <w:t xml:space="preserve">donc des brèches </w:t>
      </w:r>
      <w:r w:rsidR="001B29A8">
        <w:t>qui permettent de s’échapper de la tension entre marges d’autonomies et contraintes</w:t>
      </w:r>
      <w:r w:rsidR="00DA01C5">
        <w:t>. I</w:t>
      </w:r>
      <w:r w:rsidR="00B4089A">
        <w:t xml:space="preserve">ls nous offrent des outils, des méthodes, des manières de voir et d’appréhender nos objets, de façon à justement </w:t>
      </w:r>
      <w:r w:rsidR="00B4089A">
        <w:rPr>
          <w:i/>
        </w:rPr>
        <w:t xml:space="preserve">tenir, </w:t>
      </w:r>
      <w:r w:rsidR="00B4089A">
        <w:t xml:space="preserve">assumer cette tension. </w:t>
      </w:r>
      <w:r w:rsidR="001B29A8">
        <w:t xml:space="preserve">Et cela est rendu possible notamment par cette attention portée aux différents acteurs engagés dans la même </w:t>
      </w:r>
      <w:r w:rsidR="0000468F">
        <w:t>action</w:t>
      </w:r>
      <w:r w:rsidR="00DA01C5">
        <w:t xml:space="preserve">, mais aussi </w:t>
      </w:r>
      <w:r w:rsidR="001B29A8">
        <w:t>à l’interaction qui se joue entre eux.</w:t>
      </w:r>
    </w:p>
    <w:p w14:paraId="4BE5D6E0" w14:textId="10D40D77" w:rsidR="0000468F" w:rsidRDefault="00B4089A" w:rsidP="00E505A5">
      <w:pPr>
        <w:spacing w:line="276" w:lineRule="auto"/>
      </w:pPr>
      <w:r>
        <w:t xml:space="preserve">L’approche interactionniste invite également à être attentif à ces conflits, et </w:t>
      </w:r>
      <w:r w:rsidR="00075852">
        <w:t xml:space="preserve">aux </w:t>
      </w:r>
      <w:r>
        <w:t xml:space="preserve">décalages de perceptions que deux acteurs engagés peuvent avoir sur une même situation. </w:t>
      </w:r>
      <w:r w:rsidR="0000468F">
        <w:t xml:space="preserve">Car </w:t>
      </w:r>
      <w:r>
        <w:t xml:space="preserve">les </w:t>
      </w:r>
      <w:r w:rsidR="0000468F">
        <w:t>adaptations secondaires</w:t>
      </w:r>
      <w:r>
        <w:t xml:space="preserve"> identifiées par Goffman</w:t>
      </w:r>
      <w:r w:rsidR="0000468F">
        <w:t xml:space="preserve"> pour négocier des marges d’autonomie, aussi </w:t>
      </w:r>
      <w:r w:rsidR="00075852">
        <w:t>minimes</w:t>
      </w:r>
      <w:r w:rsidR="0000468F">
        <w:t xml:space="preserve"> soient-elles, donne souvent lieu à ce que</w:t>
      </w:r>
      <w:r>
        <w:t xml:space="preserve"> le sociologue appelle des </w:t>
      </w:r>
      <w:r w:rsidR="0000468F">
        <w:t>« conflit</w:t>
      </w:r>
      <w:r>
        <w:t>s</w:t>
      </w:r>
      <w:r w:rsidR="0000468F">
        <w:t xml:space="preserve"> des interprétation</w:t>
      </w:r>
      <w:r w:rsidR="00075852">
        <w:t>s</w:t>
      </w:r>
      <w:r w:rsidR="0000468F">
        <w:t xml:space="preserve"> » : </w:t>
      </w:r>
    </w:p>
    <w:p w14:paraId="4B713C3F" w14:textId="43E0DD1B" w:rsidR="0000468F" w:rsidRDefault="0000468F" w:rsidP="00E505A5">
      <w:pPr>
        <w:spacing w:line="276" w:lineRule="auto"/>
        <w:ind w:left="708"/>
        <w:rPr>
          <w:sz w:val="20"/>
        </w:rPr>
      </w:pPr>
      <w:r w:rsidRPr="00200120">
        <w:rPr>
          <w:sz w:val="20"/>
        </w:rPr>
        <w:t>« Du point de vue du malade, le refus d’échanger un seul mot avec le personnel ou avec ses camarades peut constituer la preuve qu’il récuse l’opinion de l’institution sur son caractère et son identité ; mais le personnel supérieur de l’hôpital peut fort bien interpréter cette attitude de repli sur soi comme relevant précisément de la symptomatologie pour les besoins de laquelle on a créé l’établissement et y voir la meilleure justification de la situation actuelle du malade. » (Goffman,</w:t>
      </w:r>
      <w:r w:rsidR="00200120" w:rsidRPr="00200120">
        <w:rPr>
          <w:sz w:val="20"/>
        </w:rPr>
        <w:t xml:space="preserve"> 1968 :</w:t>
      </w:r>
      <w:r w:rsidRPr="00200120">
        <w:rPr>
          <w:sz w:val="20"/>
        </w:rPr>
        <w:t xml:space="preserve"> 359)</w:t>
      </w:r>
    </w:p>
    <w:p w14:paraId="3A2AF33F" w14:textId="1A9E6EA5" w:rsidR="00C22583" w:rsidRDefault="00395E30" w:rsidP="00E505A5">
      <w:pPr>
        <w:spacing w:line="276" w:lineRule="auto"/>
      </w:pPr>
      <w:r>
        <w:t>Il y aurait encore beaucoup à dire des outils que nous offrent l’interactionnisme symbolique pour saisir ces décalages</w:t>
      </w:r>
      <w:r w:rsidR="0000468F">
        <w:t xml:space="preserve"> qui sont au cœur des procédures d’expulsion, entre locataires, juges, travailleurs sociaux, huissiers</w:t>
      </w:r>
      <w:r w:rsidR="00E63454">
        <w:t xml:space="preserve"> et </w:t>
      </w:r>
      <w:r w:rsidR="0000468F">
        <w:t>propriétaires</w:t>
      </w:r>
      <w:r w:rsidR="00E63454">
        <w:t xml:space="preserve"> – chacun d’eux étant </w:t>
      </w:r>
      <w:r w:rsidR="0000468F">
        <w:t xml:space="preserve">engagé à </w:t>
      </w:r>
      <w:r w:rsidR="00E63454">
        <w:t>leur</w:t>
      </w:r>
      <w:r w:rsidR="0000468F">
        <w:t xml:space="preserve"> manière dans la procédure, investissant </w:t>
      </w:r>
      <w:r w:rsidR="00E63454">
        <w:t>leurs</w:t>
      </w:r>
      <w:r w:rsidR="0000468F">
        <w:t xml:space="preserve"> propres ressources, y défendant </w:t>
      </w:r>
      <w:r w:rsidR="00E63454">
        <w:t>leurs</w:t>
      </w:r>
      <w:r w:rsidR="0000468F">
        <w:t xml:space="preserve"> propres intérêts, mobilisant </w:t>
      </w:r>
      <w:r w:rsidR="00E63454">
        <w:t>leurs</w:t>
      </w:r>
      <w:r w:rsidR="0000468F">
        <w:t xml:space="preserve"> propres représentations</w:t>
      </w:r>
      <w:r w:rsidR="001B29A8">
        <w:t xml:space="preserve">. </w:t>
      </w:r>
      <w:r w:rsidR="00C22583">
        <w:t xml:space="preserve">L’interactionnisme semble donc être un outil </w:t>
      </w:r>
      <w:r w:rsidR="00E63454">
        <w:t xml:space="preserve">approprié </w:t>
      </w:r>
      <w:r w:rsidR="00C22583">
        <w:t>pour interroger, notamment, les définitions multiples que chacun des acteurs peut avoir d’une expulsion.</w:t>
      </w:r>
      <w:r w:rsidR="00C22583">
        <w:rPr>
          <w:rStyle w:val="Appelnotedebasdep"/>
        </w:rPr>
        <w:footnoteReference w:id="31"/>
      </w:r>
    </w:p>
    <w:p w14:paraId="02825F8A" w14:textId="4B076DFB" w:rsidR="00395E30" w:rsidRPr="001B29A8" w:rsidRDefault="00C22583" w:rsidP="00E505A5">
      <w:pPr>
        <w:spacing w:line="276" w:lineRule="auto"/>
      </w:pPr>
      <w:r>
        <w:lastRenderedPageBreak/>
        <w:t>L’autre aspect sur lequel je voudrais insister c’est le souci porté à un</w:t>
      </w:r>
      <w:r w:rsidR="00B61EDD">
        <w:t xml:space="preserve">e autre type de dissonance entre les acteurs, cette fois-ci dans leur rapport au temps. </w:t>
      </w:r>
      <w:r w:rsidR="001B29A8">
        <w:t>Je pense, notamment</w:t>
      </w:r>
      <w:r w:rsidR="00B61EDD">
        <w:t>,</w:t>
      </w:r>
      <w:r w:rsidR="001B29A8">
        <w:t xml:space="preserve"> à ce que Everett Hughes appelle le </w:t>
      </w:r>
      <w:r w:rsidR="001B29A8">
        <w:rPr>
          <w:i/>
        </w:rPr>
        <w:t>drame social du travail</w:t>
      </w:r>
      <w:r w:rsidR="0000468F">
        <w:t xml:space="preserve"> : </w:t>
      </w:r>
    </w:p>
    <w:p w14:paraId="5E97F2FE" w14:textId="55A1F108" w:rsidR="00395E30" w:rsidRPr="0000468F" w:rsidRDefault="00395E30" w:rsidP="00E505A5">
      <w:pPr>
        <w:spacing w:line="276" w:lineRule="auto"/>
        <w:ind w:left="708"/>
        <w:rPr>
          <w:sz w:val="20"/>
        </w:rPr>
      </w:pPr>
      <w:r w:rsidRPr="0000468F">
        <w:rPr>
          <w:sz w:val="20"/>
        </w:rPr>
        <w:t xml:space="preserve">« Dans beaucoup de métiers, les praticiens ou les travailleurs (pour utiliser à la fois un terme qui suggère un haut statut et un terme qui renvoie à un statut inférieur) perçoivent comme une routine quotidienne ce qui constitue une situation de crise pour ceux qui font appel à leurs services. Il s'agit d'une source de tension constante. Car celui qui affronte une situation de crise pense que l'autre essaie de minimiser ses ennuis et ne le prend pas assez au sérieux. Mais la compétence même de celui-ci vient de ce qu'il a eu à traiter des milliers de cas semblables à celui que le client aimerait considérer comme unique. Le travailleur pense que sa longue expérience lui a appris que les clients exagèrent leurs problèmes, et c'est pourquoi il recourt à des artifices pour se protéger et gagner du temps. » (Hughes, </w:t>
      </w:r>
      <w:r w:rsidR="00E63454">
        <w:rPr>
          <w:sz w:val="20"/>
        </w:rPr>
        <w:t xml:space="preserve">1997 : </w:t>
      </w:r>
      <w:r w:rsidRPr="0000468F">
        <w:rPr>
          <w:sz w:val="20"/>
        </w:rPr>
        <w:t xml:space="preserve">84-85) </w:t>
      </w:r>
    </w:p>
    <w:p w14:paraId="0651ED85" w14:textId="215B0C53" w:rsidR="00395E30" w:rsidRPr="0000468F" w:rsidRDefault="00395E30" w:rsidP="00E505A5">
      <w:pPr>
        <w:spacing w:line="276" w:lineRule="auto"/>
        <w:ind w:left="708"/>
        <w:rPr>
          <w:sz w:val="20"/>
        </w:rPr>
      </w:pPr>
      <w:r w:rsidRPr="0000468F">
        <w:rPr>
          <w:sz w:val="20"/>
        </w:rPr>
        <w:t>« Il peut certainement exister, dans l'esprit de ceux qui reçoivent des services d'urgence, une sorte de ressentiment du fait qu'une chose aussi fondamentale pour eux puisse susciter une attitude plus calme et plus objective, bien qu'ils sachent parfaitement que celle-ci est nécessaire à la mise en œuvre de toute compétence, et quand bien même ils ne pourraient supporter de voir l'expert à qui ils confient leur problème montrer des signes de nervosité. » (Hughes,</w:t>
      </w:r>
      <w:r w:rsidR="00E63454">
        <w:rPr>
          <w:sz w:val="20"/>
        </w:rPr>
        <w:t xml:space="preserve"> 1997 :</w:t>
      </w:r>
      <w:r w:rsidRPr="0000468F">
        <w:rPr>
          <w:sz w:val="20"/>
        </w:rPr>
        <w:t xml:space="preserve"> 85)</w:t>
      </w:r>
    </w:p>
    <w:p w14:paraId="06BA5E3F" w14:textId="45371E1E" w:rsidR="00277D32" w:rsidRDefault="00B61EDD" w:rsidP="00E505A5">
      <w:pPr>
        <w:spacing w:line="276" w:lineRule="auto"/>
        <w:rPr>
          <w:rFonts w:cs="Times New Roman"/>
        </w:rPr>
      </w:pPr>
      <w:r>
        <w:rPr>
          <w:rFonts w:cs="Times New Roman"/>
        </w:rPr>
        <w:t>Avec cela en tête, c</w:t>
      </w:r>
      <w:r w:rsidR="0000468F" w:rsidRPr="0000468F">
        <w:rPr>
          <w:rFonts w:cs="Times New Roman"/>
        </w:rPr>
        <w:t xml:space="preserve">omment, encore une fois, </w:t>
      </w:r>
      <w:r w:rsidR="00B458ED">
        <w:rPr>
          <w:rFonts w:cs="Times New Roman"/>
        </w:rPr>
        <w:t xml:space="preserve">porter un nouveau regard sur ce </w:t>
      </w:r>
      <w:r w:rsidR="0000468F" w:rsidRPr="0000468F">
        <w:rPr>
          <w:rFonts w:cs="Times New Roman"/>
        </w:rPr>
        <w:t xml:space="preserve">qui peut se jouer entre </w:t>
      </w:r>
      <w:r w:rsidR="00277A15">
        <w:rPr>
          <w:rFonts w:cs="Times New Roman"/>
        </w:rPr>
        <w:t xml:space="preserve">les </w:t>
      </w:r>
      <w:r w:rsidR="0000468F" w:rsidRPr="0000468F">
        <w:rPr>
          <w:rFonts w:cs="Times New Roman"/>
        </w:rPr>
        <w:t>travailleurs sociaux des CPAS</w:t>
      </w:r>
      <w:r w:rsidR="00277A15">
        <w:rPr>
          <w:rFonts w:cs="Times New Roman"/>
        </w:rPr>
        <w:t>,</w:t>
      </w:r>
      <w:r w:rsidR="0000468F" w:rsidRPr="0000468F">
        <w:rPr>
          <w:rFonts w:cs="Times New Roman"/>
        </w:rPr>
        <w:t xml:space="preserve"> dont </w:t>
      </w:r>
      <w:r w:rsidR="0000468F">
        <w:rPr>
          <w:rFonts w:cs="Times New Roman"/>
        </w:rPr>
        <w:t>le travail quotidien, routinier,</w:t>
      </w:r>
      <w:r w:rsidR="0000468F" w:rsidRPr="0000468F">
        <w:rPr>
          <w:rFonts w:cs="Times New Roman"/>
        </w:rPr>
        <w:t xml:space="preserve"> consiste à suivre des usagers en procédures d’expulsion, et ces usagers qui se ret</w:t>
      </w:r>
      <w:r w:rsidR="0000468F">
        <w:rPr>
          <w:rFonts w:cs="Times New Roman"/>
        </w:rPr>
        <w:t>rouve</w:t>
      </w:r>
      <w:r w:rsidR="00277A15">
        <w:rPr>
          <w:rFonts w:cs="Times New Roman"/>
        </w:rPr>
        <w:t>nt</w:t>
      </w:r>
      <w:r w:rsidR="0000468F">
        <w:rPr>
          <w:rFonts w:cs="Times New Roman"/>
        </w:rPr>
        <w:t xml:space="preserve"> dans l’urgence de la perte de leur logement ? </w:t>
      </w:r>
    </w:p>
    <w:p w14:paraId="5181CBF2" w14:textId="41037B74" w:rsidR="00635278" w:rsidRDefault="00277A15" w:rsidP="00B61EDD">
      <w:pPr>
        <w:spacing w:line="276" w:lineRule="auto"/>
        <w:rPr>
          <w:rFonts w:cs="Times New Roman"/>
        </w:rPr>
      </w:pPr>
      <w:r>
        <w:rPr>
          <w:rFonts w:cs="Times New Roman"/>
        </w:rPr>
        <w:t>De nouvelles questions émergent au sujet</w:t>
      </w:r>
      <w:r w:rsidR="00B61EDD">
        <w:rPr>
          <w:rFonts w:cs="Times New Roman"/>
        </w:rPr>
        <w:t xml:space="preserve"> de la dette locative et de son remboursement : comment le juge peut-il concilier les deux parties autour d’un plan d’apurement de la dette locative ? Comment concilier les attentes du propriétaire avec les capacités du locataire ? Comment concilier leurs deux temporalités (urgence de se voir payé, attente d’une rentrée d’argent, etc.) En fonction de quels critères établit-</w:t>
      </w:r>
      <w:r>
        <w:rPr>
          <w:rFonts w:cs="Times New Roman"/>
        </w:rPr>
        <w:t>on</w:t>
      </w:r>
      <w:r w:rsidR="00B61EDD">
        <w:rPr>
          <w:rFonts w:cs="Times New Roman"/>
        </w:rPr>
        <w:t xml:space="preserve"> le plan de paiement, ses échéances, sa périodicité, et le montant de la mensualité ?</w:t>
      </w:r>
      <w:r w:rsidR="00263CC4">
        <w:rPr>
          <w:rStyle w:val="Appelnotedebasdep"/>
          <w:rFonts w:cs="Times New Roman"/>
        </w:rPr>
        <w:footnoteReference w:id="32"/>
      </w:r>
    </w:p>
    <w:p w14:paraId="7AA65D52" w14:textId="59D97025" w:rsidR="00122A03" w:rsidRDefault="00913A3A" w:rsidP="00E505A5">
      <w:pPr>
        <w:spacing w:line="276" w:lineRule="auto"/>
      </w:pPr>
      <w:r>
        <w:t>L</w:t>
      </w:r>
      <w:r w:rsidR="0000468F">
        <w:t xml:space="preserve">’approche interactionniste </w:t>
      </w:r>
      <w:r>
        <w:t xml:space="preserve">nous </w:t>
      </w:r>
      <w:r w:rsidR="0000468F">
        <w:t xml:space="preserve">invite </w:t>
      </w:r>
      <w:r>
        <w:t xml:space="preserve">donc </w:t>
      </w:r>
      <w:r w:rsidR="0000468F">
        <w:t xml:space="preserve">à porter un </w:t>
      </w:r>
      <w:r>
        <w:t xml:space="preserve">nouveau </w:t>
      </w:r>
      <w:r w:rsidR="0000468F">
        <w:t xml:space="preserve">regard sur </w:t>
      </w:r>
      <w:r>
        <w:t xml:space="preserve">chacun des acteurs </w:t>
      </w:r>
      <w:r w:rsidR="0000468F">
        <w:t>engagés dans l’échange, chacun ayant sa propre agentivité, ses propres marges d’actions</w:t>
      </w:r>
      <w:r>
        <w:t xml:space="preserve"> </w:t>
      </w:r>
      <w:r w:rsidR="00277A15">
        <w:t>(</w:t>
      </w:r>
      <w:r>
        <w:t>aussi infime soient-</w:t>
      </w:r>
      <w:r w:rsidR="00277A15">
        <w:t>elles)</w:t>
      </w:r>
      <w:r>
        <w:t xml:space="preserve"> ses propres interprétations et jugements posé sur les actions de l’autre</w:t>
      </w:r>
      <w:r w:rsidR="0000468F">
        <w:t xml:space="preserve">. </w:t>
      </w:r>
      <w:r w:rsidR="00B4089A">
        <w:t xml:space="preserve">Mais cette ouverture à l’agentivité de l’ensemble des protagonistes nous semble encore source de tension et d’inconfort. Comment rendre compte de la contrainte dans notre étude des procédures d’expulsion ? </w:t>
      </w:r>
      <w:r>
        <w:t>Un élément manque encore</w:t>
      </w:r>
      <w:r w:rsidR="00B4089A">
        <w:t xml:space="preserve">. </w:t>
      </w:r>
    </w:p>
    <w:p w14:paraId="35443A3F" w14:textId="7B2CE82E" w:rsidR="00122A03" w:rsidRDefault="00122A03" w:rsidP="00E505A5">
      <w:pPr>
        <w:spacing w:line="276" w:lineRule="auto"/>
        <w:rPr>
          <w:color w:val="323232"/>
          <w:sz w:val="30"/>
          <w:szCs w:val="30"/>
          <w:shd w:val="clear" w:color="auto" w:fill="FAFAFA"/>
        </w:rPr>
      </w:pPr>
      <w:r>
        <w:t xml:space="preserve">Dans son ouvrage sur l’interactionnisme symbolique, David Le Breton </w:t>
      </w:r>
      <w:r w:rsidRPr="008F48BD">
        <w:t xml:space="preserve">explique que </w:t>
      </w:r>
      <w:r w:rsidR="00B4089A">
        <w:t>p</w:t>
      </w:r>
      <w:r w:rsidR="00B4089A" w:rsidRPr="004009AD">
        <w:t xml:space="preserve">our l’interactionnisme, « la réalité sociale n’est pas la répétition d’un modèle, mais une permanente construction sociale. Les règles, les normes, les structures sont des processus toujours </w:t>
      </w:r>
      <w:r w:rsidR="00B4089A" w:rsidRPr="00277A15">
        <w:t xml:space="preserve">renaissants. » (Le Breton, </w:t>
      </w:r>
      <w:r w:rsidR="00277A15" w:rsidRPr="00277A15">
        <w:t>2012 :</w:t>
      </w:r>
      <w:r w:rsidR="00B4089A" w:rsidRPr="00277A15">
        <w:t>59).</w:t>
      </w:r>
      <w:r w:rsidR="00B4089A">
        <w:t xml:space="preserve"> Ainsi </w:t>
      </w:r>
      <w:r w:rsidRPr="008F48BD">
        <w:t>si les normes et les règles existent, le sociologue interactionniste se donne pour tâche de « comprendre comment les acteurs s’en arrangent plutôt que de les percevoir comme ses marionnettes. </w:t>
      </w:r>
      <w:r w:rsidRPr="004009AD">
        <w:t>[…] Toutes ne sont pas sollicitées en même temps. Seule la décision de l’acteur les active</w:t>
      </w:r>
      <w:proofErr w:type="gramStart"/>
      <w:r w:rsidRPr="004009AD">
        <w:t>.»</w:t>
      </w:r>
      <w:proofErr w:type="gramEnd"/>
      <w:r w:rsidRPr="004009AD">
        <w:t xml:space="preserve"> (Le Breton, </w:t>
      </w:r>
      <w:r w:rsidR="00277A15">
        <w:t xml:space="preserve">2012 : </w:t>
      </w:r>
      <w:r w:rsidRPr="004009AD">
        <w:t>59).</w:t>
      </w:r>
      <w:r w:rsidR="004009AD" w:rsidRPr="004009AD">
        <w:t xml:space="preserve"> </w:t>
      </w:r>
      <w:r w:rsidR="00277A15">
        <w:t>La question qui se pose est dès lors la suivante : n</w:t>
      </w:r>
      <w:r w:rsidR="005C76C2">
        <w:t>e risque-t</w:t>
      </w:r>
      <w:r w:rsidR="00913A3A">
        <w:t>-</w:t>
      </w:r>
      <w:r w:rsidR="005C76C2">
        <w:t xml:space="preserve">on pas là </w:t>
      </w:r>
      <w:r w:rsidR="00EC4766">
        <w:t xml:space="preserve">encore </w:t>
      </w:r>
      <w:r w:rsidR="005C76C2">
        <w:t xml:space="preserve">de tomber dans </w:t>
      </w:r>
      <w:r w:rsidR="00EC4766">
        <w:t xml:space="preserve">cet écueil populiste, dénoncé par Grignon et Passeron, qui </w:t>
      </w:r>
      <w:r w:rsidR="00277A15">
        <w:t xml:space="preserve">consiste à effacer </w:t>
      </w:r>
      <w:r w:rsidR="00EC4766">
        <w:t xml:space="preserve">le poids de la domination qui pèse sur les dominés ? </w:t>
      </w:r>
    </w:p>
    <w:p w14:paraId="36E4FB0E" w14:textId="1F1BDA48" w:rsidR="005C76C2" w:rsidRDefault="00277A15" w:rsidP="00E505A5">
      <w:pPr>
        <w:spacing w:line="276" w:lineRule="auto"/>
        <w:rPr>
          <w:lang w:val="fr-FR"/>
        </w:rPr>
      </w:pPr>
      <w:r>
        <w:lastRenderedPageBreak/>
        <w:t xml:space="preserve">On peut en effet </w:t>
      </w:r>
      <w:r w:rsidR="00913A3A">
        <w:t xml:space="preserve">considérer que l’approche interactionniste et l’approche structurale sont antinomiques, opposées, comme Bourdieu </w:t>
      </w:r>
      <w:r>
        <w:t xml:space="preserve">a pu l’avancer parfois de </w:t>
      </w:r>
      <w:r w:rsidR="00913A3A">
        <w:t xml:space="preserve">de </w:t>
      </w:r>
      <w:r w:rsidR="00065BBB">
        <w:t xml:space="preserve">manière véhémente, </w:t>
      </w:r>
      <w:r w:rsidR="00913A3A">
        <w:t xml:space="preserve">et peut-être injuste : </w:t>
      </w:r>
    </w:p>
    <w:p w14:paraId="0452FEEE" w14:textId="1558C581" w:rsidR="004009AD" w:rsidRPr="005C76C2" w:rsidRDefault="004009AD" w:rsidP="00E505A5">
      <w:pPr>
        <w:spacing w:line="276" w:lineRule="auto"/>
        <w:ind w:left="708"/>
        <w:rPr>
          <w:sz w:val="20"/>
        </w:rPr>
      </w:pPr>
      <w:r w:rsidRPr="005C76C2">
        <w:rPr>
          <w:sz w:val="20"/>
          <w:lang w:val="fr-FR"/>
        </w:rPr>
        <w:t>« Par opposition à la vision interactionniste, qui ne connait aucune forme d’efficacité sociale que l’ « influence » directement exercée par une firme (ou une personne chargée de la représenter) sur une autre à travers une forme quelconque d’ « interaction », la vision structurale prend en compte des effets qui s’accomplissent en dehors de toute interaction : la structure du champ, défini</w:t>
      </w:r>
      <w:r w:rsidR="00277A15">
        <w:rPr>
          <w:sz w:val="20"/>
          <w:lang w:val="fr-FR"/>
        </w:rPr>
        <w:t>e</w:t>
      </w:r>
      <w:r w:rsidRPr="005C76C2">
        <w:rPr>
          <w:sz w:val="20"/>
          <w:lang w:val="fr-FR"/>
        </w:rPr>
        <w:t xml:space="preserve"> par la distribution inégale du capital, c’est-à-dire des armes (ou des atouts) spécifiques, pèse, en dehors de toute intervention ou manipulation directe, sur l’ensemble des agents engagés dans le champ, restreignant d’autant plus </w:t>
      </w:r>
      <w:r w:rsidRPr="005C76C2">
        <w:rPr>
          <w:i/>
          <w:sz w:val="20"/>
          <w:lang w:val="fr-FR"/>
        </w:rPr>
        <w:t>l’espace des possibles</w:t>
      </w:r>
      <w:r w:rsidRPr="005C76C2">
        <w:rPr>
          <w:sz w:val="20"/>
          <w:lang w:val="fr-FR"/>
        </w:rPr>
        <w:t xml:space="preserve"> qui leur est ouvert, qu’ils sont plus mal placés dans cette distribution. Le dominant est celui qui occupe dans la structure une position telle que la structure agit en sa faveur. » </w:t>
      </w:r>
      <w:r w:rsidR="005C76C2" w:rsidRPr="005C76C2">
        <w:rPr>
          <w:sz w:val="20"/>
          <w:lang w:val="fr-FR"/>
        </w:rPr>
        <w:t xml:space="preserve">(Bourdieu, </w:t>
      </w:r>
      <w:r w:rsidR="00277A15">
        <w:rPr>
          <w:sz w:val="20"/>
          <w:lang w:val="fr-FR"/>
        </w:rPr>
        <w:t xml:space="preserve">2000 : </w:t>
      </w:r>
      <w:r w:rsidRPr="005C76C2">
        <w:rPr>
          <w:sz w:val="20"/>
          <w:lang w:val="fr-FR"/>
        </w:rPr>
        <w:t>238.</w:t>
      </w:r>
      <w:r w:rsidR="005C76C2" w:rsidRPr="005C76C2">
        <w:rPr>
          <w:sz w:val="20"/>
          <w:lang w:val="fr-FR"/>
        </w:rPr>
        <w:t xml:space="preserve">) </w:t>
      </w:r>
    </w:p>
    <w:p w14:paraId="5633125F" w14:textId="38638C59" w:rsidR="00664AF0" w:rsidRPr="00664AF0" w:rsidRDefault="00065BBB" w:rsidP="0047282D">
      <w:pPr>
        <w:autoSpaceDE w:val="0"/>
        <w:autoSpaceDN w:val="0"/>
        <w:adjustRightInd w:val="0"/>
        <w:spacing w:line="276" w:lineRule="auto"/>
        <w:rPr>
          <w:i/>
        </w:rPr>
      </w:pPr>
      <w:r w:rsidRPr="00664AF0">
        <w:t xml:space="preserve">Les travaux de </w:t>
      </w:r>
      <w:r w:rsidR="00913A3A">
        <w:t xml:space="preserve">Becker, Goffman et </w:t>
      </w:r>
      <w:r w:rsidRPr="00664AF0">
        <w:t xml:space="preserve">Dubois </w:t>
      </w:r>
      <w:r w:rsidR="00913A3A">
        <w:t xml:space="preserve">semblent pourtant éviter </w:t>
      </w:r>
      <w:r w:rsidRPr="00664AF0">
        <w:t>cet écueil</w:t>
      </w:r>
      <w:r w:rsidR="0047282D">
        <w:t>,</w:t>
      </w:r>
      <w:r w:rsidR="00913A3A">
        <w:t xml:space="preserve"> puisque l’enjeu pour eux semblent de comprendre le</w:t>
      </w:r>
      <w:r w:rsidR="00634808">
        <w:t xml:space="preserve"> sens que prennent les actions individuelles et les interprétations subjectives au sein d’un système normatif ou légal. Les travaux de Dubois comme les travaux de </w:t>
      </w:r>
      <w:proofErr w:type="spellStart"/>
      <w:r w:rsidR="00634808">
        <w:t>Lipsy</w:t>
      </w:r>
      <w:proofErr w:type="spellEnd"/>
      <w:r w:rsidR="00634808">
        <w:t xml:space="preserve"> portent explicitement sur l’</w:t>
      </w:r>
      <w:r w:rsidR="00664AF0" w:rsidRPr="00664AF0">
        <w:rPr>
          <w:rFonts w:cs="Times New Roman"/>
        </w:rPr>
        <w:t>actualisation des structures sociales dans les routines quotidiennes de 1' administration</w:t>
      </w:r>
      <w:r w:rsidR="0047282D">
        <w:rPr>
          <w:rFonts w:cs="Times New Roman"/>
        </w:rPr>
        <w:t xml:space="preserve">. </w:t>
      </w:r>
    </w:p>
    <w:p w14:paraId="4D361937" w14:textId="4262CF66" w:rsidR="00634808" w:rsidRDefault="00C92634" w:rsidP="00E505A5">
      <w:pPr>
        <w:spacing w:line="276" w:lineRule="auto"/>
      </w:pPr>
      <w:r w:rsidRPr="00664AF0">
        <w:t>Peut-être</w:t>
      </w:r>
      <w:r w:rsidR="007C46A8" w:rsidRPr="00664AF0">
        <w:t xml:space="preserve"> que</w:t>
      </w:r>
      <w:r w:rsidR="00664AF0">
        <w:t xml:space="preserve"> nous aussi,</w:t>
      </w:r>
      <w:r w:rsidR="007C46A8" w:rsidRPr="00664AF0">
        <w:t xml:space="preserve"> pour être tout à fait sûr de saisir le poids de la structure </w:t>
      </w:r>
      <w:r w:rsidRPr="00664AF0">
        <w:t>à</w:t>
      </w:r>
      <w:r w:rsidR="007C46A8" w:rsidRPr="00664AF0">
        <w:t xml:space="preserve"> sa ju</w:t>
      </w:r>
      <w:r w:rsidRPr="00664AF0">
        <w:t>s</w:t>
      </w:r>
      <w:r w:rsidR="007C46A8" w:rsidRPr="00664AF0">
        <w:t xml:space="preserve">te mesure, nous devrions </w:t>
      </w:r>
      <w:r w:rsidR="0047282D">
        <w:t xml:space="preserve">nous outiller </w:t>
      </w:r>
      <w:r w:rsidR="00634808">
        <w:t>d’un troisième</w:t>
      </w:r>
      <w:r w:rsidR="00664AF0">
        <w:t xml:space="preserve"> </w:t>
      </w:r>
      <w:r w:rsidR="00634808">
        <w:t xml:space="preserve">instrument </w:t>
      </w:r>
      <w:r w:rsidR="007C46A8" w:rsidRPr="00664AF0">
        <w:t>sociologique</w:t>
      </w:r>
      <w:r w:rsidR="0047282D">
        <w:t xml:space="preserve">, un outil </w:t>
      </w:r>
      <w:r w:rsidR="00664AF0">
        <w:t>qui</w:t>
      </w:r>
      <w:r w:rsidR="00634808">
        <w:t xml:space="preserve"> : </w:t>
      </w:r>
    </w:p>
    <w:p w14:paraId="0463A01A" w14:textId="455F0B27" w:rsidR="00634808" w:rsidRDefault="00275A03" w:rsidP="001229BC">
      <w:pPr>
        <w:pStyle w:val="Paragraphedeliste"/>
        <w:numPr>
          <w:ilvl w:val="0"/>
          <w:numId w:val="14"/>
        </w:numPr>
        <w:spacing w:line="276" w:lineRule="auto"/>
      </w:pPr>
      <w:r>
        <w:t>N</w:t>
      </w:r>
      <w:r w:rsidR="00664AF0">
        <w:t xml:space="preserve">ous </w:t>
      </w:r>
      <w:proofErr w:type="gramStart"/>
      <w:r w:rsidR="0047282D">
        <w:t>préserve</w:t>
      </w:r>
      <w:proofErr w:type="gramEnd"/>
      <w:r w:rsidR="00664AF0">
        <w:t xml:space="preserve"> contre le risque de se perdre dans l’étude d’interactions « face à face » autonomes, détachées de tous les rapports sociaux qui les structurent</w:t>
      </w:r>
      <w:r w:rsidR="00634808">
        <w:t> ;</w:t>
      </w:r>
    </w:p>
    <w:p w14:paraId="74040B0B" w14:textId="298E3818" w:rsidR="00634808" w:rsidRDefault="00275A03" w:rsidP="001229BC">
      <w:pPr>
        <w:pStyle w:val="Paragraphedeliste"/>
        <w:numPr>
          <w:ilvl w:val="0"/>
          <w:numId w:val="14"/>
        </w:numPr>
        <w:spacing w:line="276" w:lineRule="auto"/>
      </w:pPr>
      <w:r>
        <w:t>L</w:t>
      </w:r>
      <w:r w:rsidR="00634808">
        <w:t>aisse toute sa place à l’agentivité des acteurs, en considérant que chaque action de l’un</w:t>
      </w:r>
      <w:r w:rsidR="0047282D">
        <w:t xml:space="preserve"> </w:t>
      </w:r>
      <w:r w:rsidR="00634808">
        <w:t>peut constituer une contrainte qui pèse</w:t>
      </w:r>
      <w:r>
        <w:t>ra sur l’autre.</w:t>
      </w:r>
    </w:p>
    <w:p w14:paraId="4887441B" w14:textId="1E331D45" w:rsidR="007C46A8" w:rsidRPr="00664AF0" w:rsidRDefault="00664AF0" w:rsidP="00634808">
      <w:pPr>
        <w:spacing w:line="276" w:lineRule="auto"/>
      </w:pPr>
      <w:r>
        <w:t xml:space="preserve"> Ce troisième outil, c’est </w:t>
      </w:r>
      <w:r w:rsidR="0047282D">
        <w:t xml:space="preserve">le concept de </w:t>
      </w:r>
      <w:r w:rsidR="007C46A8" w:rsidRPr="00664AF0">
        <w:t xml:space="preserve">configuration </w:t>
      </w:r>
      <w:r w:rsidR="0047282D">
        <w:t xml:space="preserve">tel que le construit </w:t>
      </w:r>
      <w:r w:rsidR="007C46A8" w:rsidRPr="00664AF0">
        <w:t xml:space="preserve">Elias. </w:t>
      </w:r>
    </w:p>
    <w:p w14:paraId="299F85A1" w14:textId="03EFFC3A" w:rsidR="00065BBB" w:rsidRDefault="00065BBB" w:rsidP="00E505A5">
      <w:pPr>
        <w:spacing w:line="276" w:lineRule="auto"/>
        <w:jc w:val="left"/>
      </w:pPr>
    </w:p>
    <w:p w14:paraId="5923EF7F" w14:textId="72C4B394" w:rsidR="00BF5B80" w:rsidRDefault="00EB0B88" w:rsidP="001229BC">
      <w:pPr>
        <w:pStyle w:val="Titre2"/>
        <w:numPr>
          <w:ilvl w:val="0"/>
          <w:numId w:val="1"/>
        </w:numPr>
        <w:spacing w:line="276" w:lineRule="auto"/>
      </w:pPr>
      <w:bookmarkStart w:id="32" w:name="_Toc152687215"/>
      <w:r>
        <w:t>La notion de « c</w:t>
      </w:r>
      <w:r w:rsidR="00BF5B80">
        <w:t>onfiguration</w:t>
      </w:r>
      <w:r>
        <w:t> » chez Elias</w:t>
      </w:r>
      <w:bookmarkEnd w:id="32"/>
    </w:p>
    <w:p w14:paraId="0ED9EC04" w14:textId="6C6CD500" w:rsidR="00BF5B80" w:rsidRDefault="00BF5B80" w:rsidP="00E505A5">
      <w:pPr>
        <w:spacing w:line="276" w:lineRule="auto"/>
        <w:rPr>
          <w:rFonts w:cs="Times New Roman"/>
        </w:rPr>
      </w:pPr>
      <w:r w:rsidRPr="00BA62A0">
        <w:rPr>
          <w:rFonts w:cs="Times New Roman"/>
        </w:rPr>
        <w:t xml:space="preserve">Pour le sociologue, cette notion </w:t>
      </w:r>
      <w:r w:rsidR="00275A03">
        <w:rPr>
          <w:rFonts w:cs="Times New Roman"/>
        </w:rPr>
        <w:t xml:space="preserve">de « configuration » </w:t>
      </w:r>
      <w:r w:rsidRPr="00BA62A0">
        <w:rPr>
          <w:rFonts w:cs="Times New Roman"/>
        </w:rPr>
        <w:t xml:space="preserve">est un moyen de dépasser </w:t>
      </w:r>
      <w:r w:rsidR="001F7639" w:rsidRPr="00BA62A0">
        <w:rPr>
          <w:rFonts w:cs="Times New Roman"/>
        </w:rPr>
        <w:t>ce « faux débat », aussi vieux que la sociologie</w:t>
      </w:r>
      <w:r w:rsidR="0047282D">
        <w:rPr>
          <w:rFonts w:cs="Times New Roman"/>
        </w:rPr>
        <w:t>,</w:t>
      </w:r>
      <w:r w:rsidR="001F7639" w:rsidRPr="00BA62A0">
        <w:rPr>
          <w:rFonts w:cs="Times New Roman"/>
        </w:rPr>
        <w:t xml:space="preserve"> qui fait de l’individu et de la société deux éléments extérieur</w:t>
      </w:r>
      <w:r w:rsidR="0047282D">
        <w:rPr>
          <w:rFonts w:cs="Times New Roman"/>
        </w:rPr>
        <w:t>s</w:t>
      </w:r>
      <w:r w:rsidR="001F7639" w:rsidRPr="00BA62A0">
        <w:rPr>
          <w:rFonts w:cs="Times New Roman"/>
        </w:rPr>
        <w:t xml:space="preserve"> l’un à l’autre</w:t>
      </w:r>
      <w:r w:rsidR="00275A03">
        <w:rPr>
          <w:rFonts w:cs="Times New Roman"/>
        </w:rPr>
        <w:t>. Elias considère</w:t>
      </w:r>
      <w:r w:rsidR="00674FBB">
        <w:rPr>
          <w:rFonts w:cs="Times New Roman"/>
        </w:rPr>
        <w:t xml:space="preserve"> en effet</w:t>
      </w:r>
      <w:r w:rsidR="00275A03">
        <w:rPr>
          <w:rFonts w:cs="Times New Roman"/>
        </w:rPr>
        <w:t xml:space="preserve"> qu</w:t>
      </w:r>
      <w:proofErr w:type="gramStart"/>
      <w:r w:rsidR="0047282D">
        <w:rPr>
          <w:rFonts w:cs="Times New Roman"/>
        </w:rPr>
        <w:t>’</w:t>
      </w:r>
      <w:r w:rsidRPr="00BA62A0">
        <w:rPr>
          <w:rFonts w:cs="Times New Roman"/>
        </w:rPr>
        <w:t>«</w:t>
      </w:r>
      <w:proofErr w:type="gramEnd"/>
      <w:r w:rsidRPr="00BA62A0">
        <w:rPr>
          <w:rFonts w:cs="Times New Roman"/>
        </w:rPr>
        <w:t> individu » et « société » ne sont pas deux objets qui existent séparément</w:t>
      </w:r>
      <w:r w:rsidR="0047282D">
        <w:rPr>
          <w:rFonts w:cs="Times New Roman"/>
        </w:rPr>
        <w:t>,</w:t>
      </w:r>
      <w:r w:rsidRPr="00BA62A0">
        <w:rPr>
          <w:rFonts w:cs="Times New Roman"/>
        </w:rPr>
        <w:t xml:space="preserve"> mais « des niveaux différents mais inséparables de l’univers humain</w:t>
      </w:r>
      <w:r w:rsidR="00190495">
        <w:rPr>
          <w:rFonts w:cs="Times New Roman"/>
        </w:rPr>
        <w:t> »</w:t>
      </w:r>
      <w:r w:rsidRPr="00BA62A0">
        <w:rPr>
          <w:rFonts w:cs="Times New Roman"/>
        </w:rPr>
        <w:t xml:space="preserve"> (Elias, 199</w:t>
      </w:r>
      <w:r w:rsidR="0047282D">
        <w:rPr>
          <w:rFonts w:cs="Times New Roman"/>
        </w:rPr>
        <w:t>3</w:t>
      </w:r>
      <w:r w:rsidRPr="00BA62A0">
        <w:rPr>
          <w:rFonts w:cs="Times New Roman"/>
        </w:rPr>
        <w:t> :156).</w:t>
      </w:r>
      <w:r w:rsidR="001F7639" w:rsidRPr="00BA62A0">
        <w:rPr>
          <w:rFonts w:cs="Times New Roman"/>
        </w:rPr>
        <w:t xml:space="preserve"> Le terme de configuration permet</w:t>
      </w:r>
      <w:r w:rsidR="0047282D">
        <w:rPr>
          <w:rFonts w:cs="Times New Roman"/>
        </w:rPr>
        <w:t xml:space="preserve"> précisément</w:t>
      </w:r>
      <w:r w:rsidR="001F7639" w:rsidRPr="00BA62A0">
        <w:rPr>
          <w:rFonts w:cs="Times New Roman"/>
        </w:rPr>
        <w:t xml:space="preserve"> de dépasser cette « séparation conventionnelle » (Elias, 199</w:t>
      </w:r>
      <w:r w:rsidR="0047282D">
        <w:rPr>
          <w:rFonts w:cs="Times New Roman"/>
        </w:rPr>
        <w:t>3</w:t>
      </w:r>
      <w:r w:rsidR="001F7639" w:rsidRPr="00BA62A0">
        <w:rPr>
          <w:rFonts w:cs="Times New Roman"/>
        </w:rPr>
        <w:t> :155)</w:t>
      </w:r>
      <w:r w:rsidR="00CE2E6A">
        <w:rPr>
          <w:rFonts w:cs="Times New Roman"/>
        </w:rPr>
        <w:t xml:space="preserve">. </w:t>
      </w:r>
      <w:r w:rsidR="001F7639" w:rsidRPr="00BA62A0">
        <w:rPr>
          <w:rFonts w:cs="Times New Roman"/>
        </w:rPr>
        <w:t xml:space="preserve">Elias </w:t>
      </w:r>
      <w:r w:rsidR="00CE2E6A">
        <w:rPr>
          <w:rFonts w:cs="Times New Roman"/>
        </w:rPr>
        <w:t>l’</w:t>
      </w:r>
      <w:r w:rsidR="001F7639" w:rsidRPr="00BA62A0">
        <w:rPr>
          <w:rFonts w:cs="Times New Roman"/>
        </w:rPr>
        <w:t>appréhende comme un « </w:t>
      </w:r>
      <w:r w:rsidRPr="00BA62A0">
        <w:rPr>
          <w:rFonts w:cs="Times New Roman"/>
        </w:rPr>
        <w:t>outil conceptuel maniable, à l’aide duquel on peut desserrer la contrainte sociale qui nous oblige à penser comme si « l’individu » et la « société » étaient deux figures différentes et de surcroit antagonistes. » (Elias, 199</w:t>
      </w:r>
      <w:r w:rsidR="009446B5">
        <w:rPr>
          <w:rFonts w:cs="Times New Roman"/>
        </w:rPr>
        <w:t>3</w:t>
      </w:r>
      <w:r w:rsidRPr="00BA62A0">
        <w:rPr>
          <w:rFonts w:cs="Times New Roman"/>
        </w:rPr>
        <w:t> : 156-157).</w:t>
      </w:r>
    </w:p>
    <w:p w14:paraId="70FCB975" w14:textId="699D5C4B" w:rsidR="00A82E9F" w:rsidRPr="00BA62A0" w:rsidRDefault="00A82E9F" w:rsidP="00E505A5">
      <w:pPr>
        <w:pStyle w:val="Titre3"/>
        <w:spacing w:before="0" w:line="276" w:lineRule="auto"/>
      </w:pPr>
      <w:bookmarkStart w:id="33" w:name="_Toc152687216"/>
      <w:r>
        <w:t>Le social comme jeu</w:t>
      </w:r>
      <w:bookmarkEnd w:id="33"/>
    </w:p>
    <w:p w14:paraId="18A60E88" w14:textId="3F431F16" w:rsidR="00CE2E6A" w:rsidRDefault="00BF5B80" w:rsidP="00E505A5">
      <w:pPr>
        <w:spacing w:line="276" w:lineRule="auto"/>
        <w:rPr>
          <w:rFonts w:cs="Times New Roman"/>
          <w:lang w:val="fr-FR"/>
        </w:rPr>
      </w:pPr>
      <w:r w:rsidRPr="00BA62A0">
        <w:rPr>
          <w:rFonts w:cs="Times New Roman"/>
        </w:rPr>
        <w:t xml:space="preserve">Pour illustrer son propos, Elias </w:t>
      </w:r>
      <w:r w:rsidR="001F7639" w:rsidRPr="00BA62A0">
        <w:rPr>
          <w:rFonts w:cs="Times New Roman"/>
        </w:rPr>
        <w:t>use de</w:t>
      </w:r>
      <w:r w:rsidRPr="00BA62A0">
        <w:rPr>
          <w:rFonts w:cs="Times New Roman"/>
        </w:rPr>
        <w:t xml:space="preserve"> la métaphore du jeu : « quatre hommes assis autour d’une table pour jouer aux cartes forment une configuration. Leurs actes sont interdépendants. […] le déroulement de la partie offre une autonomie relative par rapport à chacun des </w:t>
      </w:r>
      <w:r w:rsidR="001F7639" w:rsidRPr="00BA62A0">
        <w:rPr>
          <w:rFonts w:cs="Times New Roman"/>
        </w:rPr>
        <w:t>joueurs</w:t>
      </w:r>
      <w:r w:rsidRPr="00BA62A0">
        <w:rPr>
          <w:rFonts w:cs="Times New Roman"/>
        </w:rPr>
        <w:t>, si ces derniers sont de force relativement égale. Mais il n’a pas de substance et d’existence propres, ce n’est pas un être indépendant des joueurs comme le fait croire la formation du mot « jeu ». » (Elias, 199</w:t>
      </w:r>
      <w:r w:rsidR="009446B5">
        <w:rPr>
          <w:rFonts w:cs="Times New Roman"/>
        </w:rPr>
        <w:t>3</w:t>
      </w:r>
      <w:r w:rsidRPr="00BA62A0">
        <w:rPr>
          <w:rFonts w:cs="Times New Roman"/>
        </w:rPr>
        <w:t> : 157)</w:t>
      </w:r>
      <w:r w:rsidR="001F7639" w:rsidRPr="00BA62A0">
        <w:rPr>
          <w:rFonts w:cs="Times New Roman"/>
        </w:rPr>
        <w:t xml:space="preserve"> </w:t>
      </w:r>
      <w:r w:rsidR="00A82E9F">
        <w:rPr>
          <w:rFonts w:cs="Times New Roman"/>
        </w:rPr>
        <w:t>Ce détour par la métaphore</w:t>
      </w:r>
      <w:r w:rsidR="00CE2E6A">
        <w:rPr>
          <w:rFonts w:cs="Times New Roman"/>
        </w:rPr>
        <w:t xml:space="preserve"> du jeu</w:t>
      </w:r>
      <w:r w:rsidR="001F7639" w:rsidRPr="00BA62A0">
        <w:rPr>
          <w:rFonts w:cs="Times New Roman"/>
        </w:rPr>
        <w:t xml:space="preserve"> permet à Elias de défini</w:t>
      </w:r>
      <w:r w:rsidR="00A82E9F">
        <w:rPr>
          <w:rFonts w:cs="Times New Roman"/>
        </w:rPr>
        <w:t>r</w:t>
      </w:r>
      <w:r w:rsidR="001F7639" w:rsidRPr="00BA62A0">
        <w:rPr>
          <w:rFonts w:cs="Times New Roman"/>
        </w:rPr>
        <w:t xml:space="preserve"> </w:t>
      </w:r>
      <w:r w:rsidRPr="00BA62A0">
        <w:rPr>
          <w:rFonts w:cs="Times New Roman"/>
          <w:lang w:val="fr-FR"/>
        </w:rPr>
        <w:t>les configurations comme</w:t>
      </w:r>
      <w:r w:rsidR="00CE2E6A">
        <w:rPr>
          <w:rFonts w:cs="Times New Roman"/>
          <w:lang w:val="fr-FR"/>
        </w:rPr>
        <w:t xml:space="preserve"> : </w:t>
      </w:r>
    </w:p>
    <w:p w14:paraId="354ED5B2" w14:textId="32660ACC" w:rsidR="001F7639" w:rsidRPr="00CE2E6A" w:rsidRDefault="00BF5B80" w:rsidP="00CE2E6A">
      <w:pPr>
        <w:spacing w:line="276" w:lineRule="auto"/>
        <w:ind w:left="708"/>
        <w:rPr>
          <w:rFonts w:cs="Times New Roman"/>
          <w:sz w:val="20"/>
        </w:rPr>
      </w:pPr>
      <w:r w:rsidRPr="00CE2E6A">
        <w:rPr>
          <w:rFonts w:cs="Times New Roman"/>
          <w:sz w:val="20"/>
          <w:lang w:val="fr-FR"/>
        </w:rPr>
        <w:t xml:space="preserve"> </w:t>
      </w:r>
      <w:r w:rsidR="001F7639" w:rsidRPr="00CE2E6A">
        <w:rPr>
          <w:rFonts w:cs="Times New Roman"/>
          <w:sz w:val="20"/>
          <w:lang w:val="fr-FR"/>
        </w:rPr>
        <w:t>« </w:t>
      </w:r>
      <w:proofErr w:type="gramStart"/>
      <w:r w:rsidRPr="00CE2E6A">
        <w:rPr>
          <w:rFonts w:cs="Times New Roman"/>
          <w:sz w:val="20"/>
        </w:rPr>
        <w:t>la</w:t>
      </w:r>
      <w:proofErr w:type="gramEnd"/>
      <w:r w:rsidRPr="00CE2E6A">
        <w:rPr>
          <w:rFonts w:cs="Times New Roman"/>
          <w:sz w:val="20"/>
        </w:rPr>
        <w:t xml:space="preserve"> figure globale toujours changeante que forment les joueurs ; elle inclut non seulement leur intellect, mais toute leur personne, les actions et les relations réciproques. Comme on peut le voir, cette configuration forme un ensemble en tension. L’interdépendance des joueurs, </w:t>
      </w:r>
      <w:r w:rsidR="001F7639" w:rsidRPr="00CE2E6A">
        <w:rPr>
          <w:rFonts w:cs="Times New Roman"/>
          <w:sz w:val="20"/>
        </w:rPr>
        <w:t>condition</w:t>
      </w:r>
      <w:r w:rsidRPr="00CE2E6A">
        <w:rPr>
          <w:rFonts w:cs="Times New Roman"/>
          <w:sz w:val="20"/>
        </w:rPr>
        <w:t xml:space="preserve"> nécessaire à </w:t>
      </w:r>
      <w:r w:rsidRPr="00CE2E6A">
        <w:rPr>
          <w:rFonts w:cs="Times New Roman"/>
          <w:sz w:val="20"/>
        </w:rPr>
        <w:lastRenderedPageBreak/>
        <w:t xml:space="preserve">l’existence d’une </w:t>
      </w:r>
      <w:r w:rsidR="001F7639" w:rsidRPr="00CE2E6A">
        <w:rPr>
          <w:rFonts w:cs="Times New Roman"/>
          <w:sz w:val="20"/>
        </w:rPr>
        <w:t>configuration</w:t>
      </w:r>
      <w:r w:rsidRPr="00CE2E6A">
        <w:rPr>
          <w:rFonts w:cs="Times New Roman"/>
          <w:sz w:val="20"/>
        </w:rPr>
        <w:t xml:space="preserve"> spécifique, est une interdépendance en tant qu’alliés mais aussi en tant qu’adversaires. » (Elias, 199</w:t>
      </w:r>
      <w:r w:rsidR="009446B5">
        <w:rPr>
          <w:rFonts w:cs="Times New Roman"/>
          <w:sz w:val="20"/>
        </w:rPr>
        <w:t>3</w:t>
      </w:r>
      <w:r w:rsidRPr="00CE2E6A">
        <w:rPr>
          <w:rFonts w:cs="Times New Roman"/>
          <w:sz w:val="20"/>
        </w:rPr>
        <w:t xml:space="preserve"> : 157) </w:t>
      </w:r>
    </w:p>
    <w:p w14:paraId="716C7CC2" w14:textId="467E8E00" w:rsidR="00DF76C6" w:rsidRPr="00BA62A0" w:rsidRDefault="00DF76C6" w:rsidP="00E505A5">
      <w:pPr>
        <w:spacing w:line="276" w:lineRule="auto"/>
        <w:rPr>
          <w:rFonts w:cs="Times New Roman"/>
        </w:rPr>
      </w:pPr>
      <w:r w:rsidRPr="00BA62A0">
        <w:rPr>
          <w:rFonts w:cs="Times New Roman"/>
        </w:rPr>
        <w:t>Dans un jeu, aucun joueur ne contrôle jamais totalement la situation</w:t>
      </w:r>
      <w:r w:rsidR="00592293">
        <w:rPr>
          <w:rFonts w:cs="Times New Roman"/>
        </w:rPr>
        <w:t>,</w:t>
      </w:r>
      <w:r w:rsidRPr="00BA62A0">
        <w:rPr>
          <w:rFonts w:cs="Times New Roman"/>
        </w:rPr>
        <w:t xml:space="preserve"> mais chacun s’adapte à ce que font les autres,</w:t>
      </w:r>
      <w:r w:rsidR="00592293">
        <w:rPr>
          <w:rFonts w:cs="Times New Roman"/>
        </w:rPr>
        <w:t xml:space="preserve"> les</w:t>
      </w:r>
      <w:r w:rsidRPr="00BA62A0">
        <w:rPr>
          <w:rFonts w:cs="Times New Roman"/>
        </w:rPr>
        <w:t xml:space="preserve"> membres de son équipe comme les membres de l’équipe adverse : « On ne pourrait suivre le match si l’on concentrait son attention sur le jeu d’une équipe sans prendre en compte celui de l’autre équipe. On ne pourrait comprendre les actions et ce que ressentent les membres d’une équipe si on les observait indépendamment des actions et des sentiments de l’autre équipe. Il faut se distancier du jeu pour reconnaître que les actions de chaque équipe </w:t>
      </w:r>
      <w:r w:rsidRPr="00BA62A0">
        <w:rPr>
          <w:rFonts w:cs="Times New Roman"/>
          <w:i/>
        </w:rPr>
        <w:t xml:space="preserve">s’imbriquent </w:t>
      </w:r>
      <w:r w:rsidRPr="00BA62A0">
        <w:rPr>
          <w:rFonts w:cs="Times New Roman"/>
        </w:rPr>
        <w:t xml:space="preserve">constamment et que les deux équipes opposées forment donc une configuration unique » (Elias &amp; </w:t>
      </w:r>
      <w:proofErr w:type="spellStart"/>
      <w:r w:rsidRPr="00BA62A0">
        <w:rPr>
          <w:rFonts w:cs="Times New Roman"/>
        </w:rPr>
        <w:t>Dunning</w:t>
      </w:r>
      <w:proofErr w:type="spellEnd"/>
      <w:r w:rsidRPr="00BA62A0">
        <w:rPr>
          <w:rFonts w:cs="Times New Roman"/>
        </w:rPr>
        <w:t>, 1994</w:t>
      </w:r>
      <w:r w:rsidR="00292EF7">
        <w:rPr>
          <w:rFonts w:cs="Times New Roman"/>
        </w:rPr>
        <w:t> :</w:t>
      </w:r>
      <w:r w:rsidRPr="00BA62A0">
        <w:rPr>
          <w:rFonts w:cs="Times New Roman"/>
        </w:rPr>
        <w:t> 70).</w:t>
      </w:r>
    </w:p>
    <w:p w14:paraId="07F1BF50" w14:textId="4C9BA192" w:rsidR="00E51543" w:rsidRPr="00BA62A0" w:rsidRDefault="00DF76C6" w:rsidP="00E505A5">
      <w:pPr>
        <w:pStyle w:val="Paragraphedeliste"/>
        <w:shd w:val="clear" w:color="auto" w:fill="FFFFFF"/>
        <w:spacing w:after="0" w:line="276" w:lineRule="auto"/>
        <w:ind w:left="0"/>
        <w:rPr>
          <w:rFonts w:eastAsia="Times New Roman" w:cs="Times New Roman"/>
          <w:lang w:eastAsia="fr-BE"/>
        </w:rPr>
      </w:pPr>
      <w:r w:rsidRPr="00BA62A0">
        <w:rPr>
          <w:rFonts w:cs="Times New Roman"/>
        </w:rPr>
        <w:t xml:space="preserve">Cette </w:t>
      </w:r>
      <w:r w:rsidRPr="00BA62A0">
        <w:rPr>
          <w:rFonts w:cs="Times New Roman"/>
          <w:i/>
        </w:rPr>
        <w:t xml:space="preserve">imbrication </w:t>
      </w:r>
      <w:r w:rsidRPr="00BA62A0">
        <w:rPr>
          <w:rFonts w:cs="Times New Roman"/>
        </w:rPr>
        <w:t xml:space="preserve">des actions, cette </w:t>
      </w:r>
      <w:r w:rsidR="00932F25" w:rsidRPr="009E152B">
        <w:rPr>
          <w:rFonts w:eastAsia="Times New Roman" w:cs="Times New Roman"/>
          <w:i/>
          <w:lang w:eastAsia="fr-BE"/>
        </w:rPr>
        <w:t>interdépendance</w:t>
      </w:r>
      <w:r w:rsidR="00932F25" w:rsidRPr="00BA62A0">
        <w:rPr>
          <w:rFonts w:eastAsia="Times New Roman" w:cs="Times New Roman"/>
          <w:lang w:eastAsia="fr-BE"/>
        </w:rPr>
        <w:t xml:space="preserve"> qui lie les joueurs</w:t>
      </w:r>
      <w:r w:rsidR="00592293">
        <w:rPr>
          <w:rFonts w:eastAsia="Times New Roman" w:cs="Times New Roman"/>
          <w:lang w:eastAsia="fr-BE"/>
        </w:rPr>
        <w:t>,</w:t>
      </w:r>
      <w:r w:rsidR="00932F25" w:rsidRPr="00BA62A0">
        <w:rPr>
          <w:rFonts w:eastAsia="Times New Roman" w:cs="Times New Roman"/>
          <w:lang w:eastAsia="fr-BE"/>
        </w:rPr>
        <w:t xml:space="preserve"> est une dimension centrale du</w:t>
      </w:r>
      <w:r w:rsidR="00E51543" w:rsidRPr="00BA62A0">
        <w:rPr>
          <w:rFonts w:eastAsia="Times New Roman" w:cs="Times New Roman"/>
          <w:lang w:eastAsia="fr-BE"/>
        </w:rPr>
        <w:t xml:space="preserve"> dispositif théorique d’Elias</w:t>
      </w:r>
      <w:r w:rsidR="009662C3" w:rsidRPr="00BA62A0">
        <w:rPr>
          <w:rFonts w:eastAsia="Times New Roman" w:cs="Times New Roman"/>
          <w:lang w:eastAsia="fr-BE"/>
        </w:rPr>
        <w:t xml:space="preserve">. Dans </w:t>
      </w:r>
      <w:r w:rsidR="009662C3" w:rsidRPr="00BA62A0">
        <w:rPr>
          <w:rFonts w:eastAsia="Times New Roman" w:cs="Times New Roman"/>
          <w:i/>
          <w:lang w:eastAsia="fr-BE"/>
        </w:rPr>
        <w:t xml:space="preserve">La société de cours, </w:t>
      </w:r>
      <w:r w:rsidR="009662C3" w:rsidRPr="00BA62A0">
        <w:rPr>
          <w:rFonts w:eastAsia="Times New Roman" w:cs="Times New Roman"/>
          <w:lang w:eastAsia="fr-BE"/>
        </w:rPr>
        <w:t>déjà, Elias av</w:t>
      </w:r>
      <w:r w:rsidR="003F7BA0">
        <w:rPr>
          <w:rFonts w:eastAsia="Times New Roman" w:cs="Times New Roman"/>
          <w:lang w:eastAsia="fr-BE"/>
        </w:rPr>
        <w:t>ait</w:t>
      </w:r>
      <w:r w:rsidR="009662C3" w:rsidRPr="00BA62A0">
        <w:rPr>
          <w:rFonts w:eastAsia="Times New Roman" w:cs="Times New Roman"/>
          <w:lang w:eastAsia="fr-BE"/>
        </w:rPr>
        <w:t xml:space="preserve"> recours à la métaphore du jeu, le jeu d’échec cette fois, pour expliciter cette interdépendance propre aux acteurs formant ensemble une configuration : </w:t>
      </w:r>
    </w:p>
    <w:p w14:paraId="15080361" w14:textId="4791C66A" w:rsidR="009662C3" w:rsidRPr="00BA62A0" w:rsidRDefault="00E51543" w:rsidP="00E505A5">
      <w:pPr>
        <w:pStyle w:val="Paragraphedeliste"/>
        <w:shd w:val="clear" w:color="auto" w:fill="FFFFFF"/>
        <w:spacing w:after="0" w:line="276" w:lineRule="auto"/>
        <w:rPr>
          <w:rFonts w:eastAsia="Times New Roman" w:cs="Times New Roman"/>
          <w:lang w:eastAsia="fr-BE"/>
        </w:rPr>
      </w:pPr>
      <w:r w:rsidRPr="00BA62A0">
        <w:rPr>
          <w:rFonts w:eastAsia="Times New Roman" w:cs="Times New Roman"/>
          <w:lang w:eastAsia="fr-BE"/>
        </w:rPr>
        <w:t xml:space="preserve">« Comme au jeu d’échecs, toute action accomplie dans une relative indépendance représente un coup sur l’échiquier social, qui déclenche infailliblement un contrecoup d’un autre individu (sur l’échiquier social, il s’agit en réalité de beaucoup de contrecoups exécutés par beaucoup d’individus) limitant la liberté d’action du premier </w:t>
      </w:r>
      <w:r w:rsidRPr="00592293">
        <w:rPr>
          <w:rFonts w:eastAsia="Times New Roman" w:cs="Times New Roman"/>
          <w:lang w:eastAsia="fr-BE"/>
        </w:rPr>
        <w:t>joueur.</w:t>
      </w:r>
      <w:r w:rsidR="00592293" w:rsidRPr="00592293">
        <w:rPr>
          <w:rFonts w:eastAsia="Times New Roman" w:cs="Times New Roman"/>
          <w:lang w:eastAsia="fr-BE"/>
        </w:rPr>
        <w:t xml:space="preserve"> </w:t>
      </w:r>
      <w:r w:rsidRPr="00592293">
        <w:rPr>
          <w:rFonts w:eastAsia="Times New Roman" w:cs="Times New Roman"/>
          <w:lang w:eastAsia="fr-BE"/>
        </w:rPr>
        <w:t xml:space="preserve">» </w:t>
      </w:r>
      <w:r w:rsidR="00592293" w:rsidRPr="00592293">
        <w:rPr>
          <w:rFonts w:eastAsia="Times New Roman" w:cs="Times New Roman"/>
          <w:lang w:eastAsia="fr-BE"/>
        </w:rPr>
        <w:t>(Elias, 1985 : 152-153)</w:t>
      </w:r>
    </w:p>
    <w:p w14:paraId="43860189" w14:textId="77777777" w:rsidR="009662C3" w:rsidRPr="00BA62A0" w:rsidRDefault="009662C3" w:rsidP="00E505A5">
      <w:pPr>
        <w:shd w:val="clear" w:color="auto" w:fill="FFFFFF"/>
        <w:spacing w:after="0" w:line="276" w:lineRule="auto"/>
        <w:rPr>
          <w:rFonts w:eastAsia="Times New Roman" w:cs="Times New Roman"/>
          <w:lang w:eastAsia="fr-BE"/>
        </w:rPr>
      </w:pPr>
    </w:p>
    <w:p w14:paraId="6A5310FE" w14:textId="7021B9ED" w:rsidR="000C2737" w:rsidRDefault="009E152B" w:rsidP="00E505A5">
      <w:pPr>
        <w:spacing w:line="276" w:lineRule="auto"/>
        <w:rPr>
          <w:rFonts w:eastAsia="Times New Roman" w:cs="Times New Roman"/>
          <w:lang w:eastAsia="fr-BE"/>
        </w:rPr>
      </w:pPr>
      <w:r>
        <w:rPr>
          <w:rFonts w:eastAsia="Times New Roman" w:cs="Times New Roman"/>
          <w:lang w:eastAsia="fr-BE"/>
        </w:rPr>
        <w:t>Liberté d’a</w:t>
      </w:r>
      <w:r w:rsidR="00DF76C6" w:rsidRPr="00BA62A0">
        <w:rPr>
          <w:rFonts w:eastAsia="Times New Roman" w:cs="Times New Roman"/>
          <w:lang w:eastAsia="fr-BE"/>
        </w:rPr>
        <w:t xml:space="preserve">ction limitée, </w:t>
      </w:r>
      <w:r>
        <w:rPr>
          <w:rFonts w:eastAsia="Times New Roman" w:cs="Times New Roman"/>
          <w:lang w:eastAsia="fr-BE"/>
        </w:rPr>
        <w:t>coups et contrecoups en réactions, ce</w:t>
      </w:r>
      <w:r w:rsidRPr="00EB0B88">
        <w:rPr>
          <w:rFonts w:eastAsia="Times New Roman" w:cs="Times New Roman"/>
          <w:lang w:eastAsia="fr-BE"/>
        </w:rPr>
        <w:t xml:space="preserve">tte insistance sur l’interdépendance nous permet d’en dire plus sur la manière avec laquelle Elias conçoit la notion de pouvoir : non pas </w:t>
      </w:r>
      <w:r w:rsidR="00592293">
        <w:rPr>
          <w:rFonts w:eastAsia="Times New Roman" w:cs="Times New Roman"/>
          <w:lang w:eastAsia="fr-BE"/>
        </w:rPr>
        <w:t xml:space="preserve">comme une </w:t>
      </w:r>
      <w:r w:rsidRPr="00EB0B88">
        <w:rPr>
          <w:rFonts w:eastAsia="Times New Roman" w:cs="Times New Roman"/>
          <w:lang w:eastAsia="fr-BE"/>
        </w:rPr>
        <w:t xml:space="preserve">« substance » qui serait possédée par un individu, mais </w:t>
      </w:r>
      <w:r w:rsidR="00592293">
        <w:rPr>
          <w:rFonts w:eastAsia="Times New Roman" w:cs="Times New Roman"/>
          <w:lang w:eastAsia="fr-BE"/>
        </w:rPr>
        <w:t xml:space="preserve">comme une </w:t>
      </w:r>
      <w:r w:rsidRPr="00EB0B88">
        <w:rPr>
          <w:rFonts w:eastAsia="Times New Roman" w:cs="Times New Roman"/>
          <w:lang w:eastAsia="fr-BE"/>
        </w:rPr>
        <w:t xml:space="preserve">caractéristique intrinsèquement liée aux relations d’interdépendance au sein desquelles il émerge. Le pouvoir est </w:t>
      </w:r>
      <w:r w:rsidR="00592293">
        <w:rPr>
          <w:rFonts w:eastAsia="Times New Roman" w:cs="Times New Roman"/>
          <w:lang w:eastAsia="fr-BE"/>
        </w:rPr>
        <w:t xml:space="preserve">en somme </w:t>
      </w:r>
      <w:r w:rsidRPr="00EB0B88">
        <w:rPr>
          <w:rFonts w:eastAsia="Times New Roman" w:cs="Times New Roman"/>
          <w:lang w:eastAsia="fr-BE"/>
        </w:rPr>
        <w:t>relationnel. Et si les relations sont inégales, si le pouvoir n’est pas partagé de manière égalitaire par les individus pris dans une même configuration, chacun est à sa manière, à des degrés divers, contraint par ses relations aux autres</w:t>
      </w:r>
      <w:r w:rsidR="00BB47C3">
        <w:rPr>
          <w:rFonts w:eastAsia="Times New Roman" w:cs="Times New Roman"/>
          <w:lang w:eastAsia="fr-BE"/>
        </w:rPr>
        <w:t>,</w:t>
      </w:r>
      <w:r w:rsidR="00C9433B">
        <w:rPr>
          <w:rFonts w:eastAsia="Times New Roman" w:cs="Times New Roman"/>
          <w:lang w:eastAsia="fr-BE"/>
        </w:rPr>
        <w:t xml:space="preserve"> y compris ce</w:t>
      </w:r>
      <w:r w:rsidR="00592293">
        <w:rPr>
          <w:rFonts w:eastAsia="Times New Roman" w:cs="Times New Roman"/>
          <w:lang w:eastAsia="fr-BE"/>
        </w:rPr>
        <w:t>ux</w:t>
      </w:r>
      <w:r w:rsidR="00C9433B">
        <w:rPr>
          <w:rFonts w:eastAsia="Times New Roman" w:cs="Times New Roman"/>
          <w:lang w:eastAsia="fr-BE"/>
        </w:rPr>
        <w:t xml:space="preserve"> qui détiennent le plus de pouvoir.</w:t>
      </w:r>
      <w:r w:rsidR="00101442">
        <w:rPr>
          <w:rFonts w:eastAsia="Times New Roman" w:cs="Times New Roman"/>
          <w:lang w:eastAsia="fr-BE"/>
        </w:rPr>
        <w:t xml:space="preserve"> </w:t>
      </w:r>
      <w:r w:rsidR="003F7BA0">
        <w:rPr>
          <w:rFonts w:eastAsia="Times New Roman" w:cs="Times New Roman"/>
          <w:lang w:eastAsia="fr-BE"/>
        </w:rPr>
        <w:t>La mé</w:t>
      </w:r>
      <w:r w:rsidR="000C2737" w:rsidRPr="00EB0B88">
        <w:rPr>
          <w:rFonts w:eastAsia="Times New Roman" w:cs="Times New Roman"/>
          <w:lang w:eastAsia="fr-BE"/>
        </w:rPr>
        <w:t xml:space="preserve">taphore </w:t>
      </w:r>
      <w:r w:rsidR="000C2737">
        <w:rPr>
          <w:rFonts w:eastAsia="Times New Roman" w:cs="Times New Roman"/>
          <w:lang w:eastAsia="fr-BE"/>
        </w:rPr>
        <w:t>de la configuration comme jeu permet</w:t>
      </w:r>
      <w:r w:rsidR="000C2737" w:rsidRPr="00EB0B88">
        <w:rPr>
          <w:rFonts w:eastAsia="Times New Roman" w:cs="Times New Roman"/>
          <w:lang w:eastAsia="fr-BE"/>
        </w:rPr>
        <w:t xml:space="preserve"> </w:t>
      </w:r>
      <w:r w:rsidR="00C9433B">
        <w:rPr>
          <w:rFonts w:eastAsia="Times New Roman" w:cs="Times New Roman"/>
          <w:lang w:eastAsia="fr-BE"/>
        </w:rPr>
        <w:t xml:space="preserve">donc </w:t>
      </w:r>
      <w:r w:rsidR="000C2737" w:rsidRPr="00EB0B88">
        <w:rPr>
          <w:rFonts w:eastAsia="Times New Roman" w:cs="Times New Roman"/>
          <w:lang w:eastAsia="fr-BE"/>
        </w:rPr>
        <w:t>de saisir la société comme un espace de conflit</w:t>
      </w:r>
      <w:r w:rsidR="00592293">
        <w:rPr>
          <w:rFonts w:eastAsia="Times New Roman" w:cs="Times New Roman"/>
          <w:lang w:eastAsia="fr-BE"/>
        </w:rPr>
        <w:t>s</w:t>
      </w:r>
      <w:r w:rsidR="000C2737" w:rsidRPr="00EB0B88">
        <w:rPr>
          <w:rFonts w:eastAsia="Times New Roman" w:cs="Times New Roman"/>
          <w:lang w:eastAsia="fr-BE"/>
        </w:rPr>
        <w:t>, de défi</w:t>
      </w:r>
      <w:r w:rsidR="00592293">
        <w:rPr>
          <w:rFonts w:eastAsia="Times New Roman" w:cs="Times New Roman"/>
          <w:lang w:eastAsia="fr-BE"/>
        </w:rPr>
        <w:t>s</w:t>
      </w:r>
      <w:r w:rsidR="000C2737" w:rsidRPr="00EB0B88">
        <w:rPr>
          <w:rFonts w:eastAsia="Times New Roman" w:cs="Times New Roman"/>
          <w:lang w:eastAsia="fr-BE"/>
        </w:rPr>
        <w:t>, d’opposition</w:t>
      </w:r>
      <w:r w:rsidR="00592293">
        <w:rPr>
          <w:rFonts w:eastAsia="Times New Roman" w:cs="Times New Roman"/>
          <w:lang w:eastAsia="fr-BE"/>
        </w:rPr>
        <w:t>s</w:t>
      </w:r>
      <w:r w:rsidR="000C2737" w:rsidRPr="00EB0B88">
        <w:rPr>
          <w:rFonts w:eastAsia="Times New Roman" w:cs="Times New Roman"/>
          <w:lang w:eastAsia="fr-BE"/>
        </w:rPr>
        <w:t>,</w:t>
      </w:r>
      <w:r w:rsidR="000C2737">
        <w:rPr>
          <w:rFonts w:eastAsia="Times New Roman" w:cs="Times New Roman"/>
          <w:lang w:eastAsia="fr-BE"/>
        </w:rPr>
        <w:t xml:space="preserve"> un espace</w:t>
      </w:r>
      <w:r w:rsidR="000C2737" w:rsidRPr="00EB0B88">
        <w:rPr>
          <w:rFonts w:eastAsia="Times New Roman" w:cs="Times New Roman"/>
          <w:lang w:eastAsia="fr-BE"/>
        </w:rPr>
        <w:t xml:space="preserve"> traversé par des rapports de force et de </w:t>
      </w:r>
      <w:r w:rsidR="000C2737" w:rsidRPr="00FD0973">
        <w:rPr>
          <w:rFonts w:eastAsia="Times New Roman" w:cs="Times New Roman"/>
          <w:lang w:eastAsia="fr-BE"/>
        </w:rPr>
        <w:t>pouvoir. (</w:t>
      </w:r>
      <w:proofErr w:type="spellStart"/>
      <w:r w:rsidR="000C2737" w:rsidRPr="00FD0973">
        <w:rPr>
          <w:rFonts w:eastAsia="Times New Roman" w:cs="Times New Roman"/>
          <w:lang w:eastAsia="fr-BE"/>
        </w:rPr>
        <w:t>Duvoux</w:t>
      </w:r>
      <w:proofErr w:type="spellEnd"/>
      <w:r w:rsidR="000C2737" w:rsidRPr="00FD0973">
        <w:rPr>
          <w:rFonts w:eastAsia="Times New Roman" w:cs="Times New Roman"/>
          <w:lang w:eastAsia="fr-BE"/>
        </w:rPr>
        <w:t xml:space="preserve">, </w:t>
      </w:r>
      <w:r w:rsidR="00FD0973" w:rsidRPr="00FD0973">
        <w:rPr>
          <w:rFonts w:eastAsia="Times New Roman" w:cs="Times New Roman"/>
          <w:lang w:eastAsia="fr-BE"/>
        </w:rPr>
        <w:t>2010</w:t>
      </w:r>
      <w:r w:rsidR="000C2737" w:rsidRPr="00FD0973">
        <w:rPr>
          <w:rFonts w:eastAsia="Times New Roman" w:cs="Times New Roman"/>
          <w:lang w:eastAsia="fr-BE"/>
        </w:rPr>
        <w:t>).</w:t>
      </w:r>
      <w:r w:rsidR="000C2737">
        <w:rPr>
          <w:rFonts w:eastAsia="Times New Roman" w:cs="Times New Roman"/>
          <w:lang w:eastAsia="fr-BE"/>
        </w:rPr>
        <w:t xml:space="preserve"> </w:t>
      </w:r>
    </w:p>
    <w:p w14:paraId="3CF506E2" w14:textId="30662E79" w:rsidR="000C2737" w:rsidRDefault="003F7BA0" w:rsidP="00E505A5">
      <w:pPr>
        <w:shd w:val="clear" w:color="auto" w:fill="FFFFFF"/>
        <w:spacing w:after="0" w:line="276" w:lineRule="auto"/>
        <w:rPr>
          <w:rFonts w:eastAsia="Times New Roman" w:cs="Times New Roman"/>
          <w:lang w:eastAsia="fr-BE"/>
        </w:rPr>
      </w:pPr>
      <w:r>
        <w:rPr>
          <w:rFonts w:eastAsia="Times New Roman" w:cs="Times New Roman"/>
          <w:lang w:eastAsia="fr-BE"/>
        </w:rPr>
        <w:t>Si</w:t>
      </w:r>
      <w:r w:rsidR="00A1671A">
        <w:rPr>
          <w:rFonts w:eastAsia="Times New Roman" w:cs="Times New Roman"/>
          <w:lang w:eastAsia="fr-BE"/>
        </w:rPr>
        <w:t xml:space="preserve"> Elias partage cette appréhension du pouvoir relationnel avec les interactionniste</w:t>
      </w:r>
      <w:r w:rsidR="00FD0973">
        <w:rPr>
          <w:rFonts w:eastAsia="Times New Roman" w:cs="Times New Roman"/>
          <w:lang w:eastAsia="fr-BE"/>
        </w:rPr>
        <w:t>s</w:t>
      </w:r>
      <w:r w:rsidR="00A1671A">
        <w:rPr>
          <w:rFonts w:eastAsia="Times New Roman" w:cs="Times New Roman"/>
          <w:lang w:eastAsia="fr-BE"/>
        </w:rPr>
        <w:t xml:space="preserve">, il ne faudrait pas penser que les </w:t>
      </w:r>
      <w:r w:rsidR="00FD0973">
        <w:rPr>
          <w:rFonts w:eastAsia="Times New Roman" w:cs="Times New Roman"/>
          <w:lang w:eastAsia="fr-BE"/>
        </w:rPr>
        <w:t>approches se confondent</w:t>
      </w:r>
      <w:r w:rsidR="00A1671A">
        <w:rPr>
          <w:rFonts w:eastAsia="Times New Roman" w:cs="Times New Roman"/>
          <w:lang w:eastAsia="fr-BE"/>
        </w:rPr>
        <w:t>. Elias considère en effet que le concept de configuration ne peut se résumer à « l’interaction », concept qui, selon lui, « </w:t>
      </w:r>
      <w:r w:rsidR="00A1671A" w:rsidRPr="00A1671A">
        <w:rPr>
          <w:rFonts w:eastAsia="Times New Roman" w:cs="Times New Roman"/>
          <w:lang w:eastAsia="fr-BE"/>
        </w:rPr>
        <w:t>ne rend pas compte de l’interpénétration des expériences et des actions des individus, car il est trop étroitement associé au modèle traditionnel de la société conçue comme une simple unité cumulative, composée d’individus humains initialement isolés » (Elias</w:t>
      </w:r>
      <w:r w:rsidR="00BF6E9F">
        <w:rPr>
          <w:rFonts w:eastAsia="Times New Roman" w:cs="Times New Roman"/>
          <w:lang w:eastAsia="fr-BE"/>
        </w:rPr>
        <w:t xml:space="preserve"> et</w:t>
      </w:r>
      <w:r w:rsidR="00A1671A" w:rsidRPr="00A1671A">
        <w:rPr>
          <w:rFonts w:eastAsia="Times New Roman" w:cs="Times New Roman"/>
          <w:lang w:eastAsia="fr-BE"/>
        </w:rPr>
        <w:t xml:space="preserve"> </w:t>
      </w:r>
      <w:proofErr w:type="spellStart"/>
      <w:r w:rsidR="00A1671A" w:rsidRPr="00A1671A">
        <w:rPr>
          <w:rFonts w:eastAsia="Times New Roman" w:cs="Times New Roman"/>
          <w:lang w:eastAsia="fr-BE"/>
        </w:rPr>
        <w:t>Dunning</w:t>
      </w:r>
      <w:proofErr w:type="spellEnd"/>
      <w:r w:rsidR="00A1671A" w:rsidRPr="00A1671A">
        <w:rPr>
          <w:rFonts w:eastAsia="Times New Roman" w:cs="Times New Roman"/>
          <w:lang w:eastAsia="fr-BE"/>
        </w:rPr>
        <w:t>, 1994</w:t>
      </w:r>
      <w:r w:rsidR="00FD0973">
        <w:rPr>
          <w:rFonts w:eastAsia="Times New Roman" w:cs="Times New Roman"/>
          <w:lang w:eastAsia="fr-BE"/>
        </w:rPr>
        <w:t> :</w:t>
      </w:r>
      <w:r w:rsidR="00A1671A" w:rsidRPr="00A1671A">
        <w:rPr>
          <w:rFonts w:eastAsia="Times New Roman" w:cs="Times New Roman"/>
          <w:lang w:eastAsia="fr-BE"/>
        </w:rPr>
        <w:t> 70). </w:t>
      </w:r>
      <w:r w:rsidR="00FD0973">
        <w:rPr>
          <w:rFonts w:eastAsia="Times New Roman" w:cs="Times New Roman"/>
          <w:lang w:eastAsia="fr-BE"/>
        </w:rPr>
        <w:t xml:space="preserve">À </w:t>
      </w:r>
      <w:r w:rsidR="009111F1" w:rsidRPr="00C745ED">
        <w:rPr>
          <w:rFonts w:eastAsia="Times New Roman" w:cs="Times New Roman"/>
          <w:lang w:eastAsia="fr-BE"/>
        </w:rPr>
        <w:t xml:space="preserve">travers le concept de configuration, </w:t>
      </w:r>
      <w:r w:rsidR="00A1671A" w:rsidRPr="00C745ED">
        <w:rPr>
          <w:rFonts w:eastAsia="Times New Roman" w:cs="Times New Roman"/>
          <w:lang w:eastAsia="fr-BE"/>
        </w:rPr>
        <w:t xml:space="preserve">Elias entend </w:t>
      </w:r>
      <w:r w:rsidR="00C745ED" w:rsidRPr="00C745ED">
        <w:rPr>
          <w:rFonts w:eastAsia="Times New Roman" w:cs="Times New Roman"/>
          <w:lang w:eastAsia="fr-BE"/>
        </w:rPr>
        <w:t>saisir le social comme autre chose que la somme des individus</w:t>
      </w:r>
      <w:r w:rsidR="003D1E79">
        <w:rPr>
          <w:rFonts w:eastAsia="Times New Roman" w:cs="Times New Roman"/>
          <w:lang w:eastAsia="fr-BE"/>
        </w:rPr>
        <w:t> : i</w:t>
      </w:r>
      <w:r>
        <w:rPr>
          <w:rFonts w:eastAsia="Times New Roman" w:cs="Times New Roman"/>
          <w:lang w:eastAsia="fr-BE"/>
        </w:rPr>
        <w:t xml:space="preserve">l y </w:t>
      </w:r>
      <w:r w:rsidR="00C745ED" w:rsidRPr="00C745ED">
        <w:rPr>
          <w:rFonts w:eastAsia="Times New Roman" w:cs="Times New Roman"/>
          <w:lang w:eastAsia="fr-BE"/>
        </w:rPr>
        <w:t>voi</w:t>
      </w:r>
      <w:r>
        <w:rPr>
          <w:rFonts w:eastAsia="Times New Roman" w:cs="Times New Roman"/>
          <w:lang w:eastAsia="fr-BE"/>
        </w:rPr>
        <w:t>t</w:t>
      </w:r>
      <w:r w:rsidR="00C745ED" w:rsidRPr="00C745ED">
        <w:rPr>
          <w:rFonts w:eastAsia="Times New Roman" w:cs="Times New Roman"/>
          <w:lang w:eastAsia="fr-BE"/>
        </w:rPr>
        <w:t xml:space="preserve"> plutôt un </w:t>
      </w:r>
      <w:r w:rsidR="00C745ED" w:rsidRPr="003F7BA0">
        <w:rPr>
          <w:rFonts w:eastAsia="Times New Roman" w:cs="Times New Roman"/>
          <w:i/>
          <w:lang w:eastAsia="fr-BE"/>
        </w:rPr>
        <w:t>processus</w:t>
      </w:r>
      <w:r w:rsidR="00C745ED" w:rsidRPr="00C745ED">
        <w:rPr>
          <w:rFonts w:eastAsia="Times New Roman" w:cs="Times New Roman"/>
          <w:lang w:eastAsia="fr-BE"/>
        </w:rPr>
        <w:t xml:space="preserve">, constitué de </w:t>
      </w:r>
      <w:r w:rsidR="00C745ED" w:rsidRPr="003D1E79">
        <w:rPr>
          <w:rFonts w:eastAsia="Times New Roman" w:cs="Times New Roman"/>
          <w:i/>
          <w:lang w:eastAsia="fr-BE"/>
        </w:rPr>
        <w:t>relations</w:t>
      </w:r>
      <w:r w:rsidR="00C745ED" w:rsidRPr="00C745ED">
        <w:rPr>
          <w:rFonts w:eastAsia="Times New Roman" w:cs="Times New Roman"/>
          <w:lang w:eastAsia="fr-BE"/>
        </w:rPr>
        <w:t>, inscrites dans le temps et dans l’espace.</w:t>
      </w:r>
      <w:r w:rsidR="00A1671A" w:rsidRPr="00A1671A">
        <w:rPr>
          <w:rFonts w:eastAsia="Times New Roman" w:cs="Times New Roman"/>
          <w:lang w:eastAsia="fr-BE"/>
        </w:rPr>
        <w:t xml:space="preserve"> </w:t>
      </w:r>
    </w:p>
    <w:p w14:paraId="71D6B82B" w14:textId="77777777" w:rsidR="003D4F0F" w:rsidRPr="00EB0B88" w:rsidRDefault="003D4F0F" w:rsidP="00E505A5">
      <w:pPr>
        <w:shd w:val="clear" w:color="auto" w:fill="FFFFFF"/>
        <w:spacing w:after="0" w:line="276" w:lineRule="auto"/>
        <w:rPr>
          <w:rFonts w:eastAsia="Times New Roman" w:cs="Times New Roman"/>
          <w:lang w:eastAsia="fr-BE"/>
        </w:rPr>
      </w:pPr>
    </w:p>
    <w:p w14:paraId="096457FA" w14:textId="64A10A77" w:rsidR="00A82E9F" w:rsidRDefault="00A82E9F" w:rsidP="00E505A5">
      <w:pPr>
        <w:pStyle w:val="Titre3"/>
        <w:spacing w:line="276" w:lineRule="auto"/>
        <w:rPr>
          <w:rFonts w:eastAsia="Times New Roman"/>
          <w:lang w:eastAsia="fr-BE"/>
        </w:rPr>
      </w:pPr>
      <w:bookmarkStart w:id="34" w:name="_Toc152687217"/>
      <w:r>
        <w:rPr>
          <w:rFonts w:eastAsia="Times New Roman"/>
          <w:lang w:eastAsia="fr-BE"/>
        </w:rPr>
        <w:t>Saisir un processus</w:t>
      </w:r>
      <w:bookmarkEnd w:id="34"/>
      <w:r>
        <w:rPr>
          <w:rFonts w:eastAsia="Times New Roman"/>
          <w:lang w:eastAsia="fr-BE"/>
        </w:rPr>
        <w:t xml:space="preserve"> </w:t>
      </w:r>
    </w:p>
    <w:p w14:paraId="604527FE" w14:textId="673EA653" w:rsidR="00E51543" w:rsidRPr="0098143D" w:rsidRDefault="00A1671A" w:rsidP="00E505A5">
      <w:pPr>
        <w:shd w:val="clear" w:color="auto" w:fill="FFFFFF"/>
        <w:spacing w:after="0" w:line="276" w:lineRule="auto"/>
        <w:rPr>
          <w:rFonts w:cs="Times New Roman"/>
          <w:lang w:val="fr-FR"/>
        </w:rPr>
      </w:pPr>
      <w:r>
        <w:rPr>
          <w:rFonts w:cs="Times New Roman"/>
          <w:color w:val="000000"/>
        </w:rPr>
        <w:t>Le</w:t>
      </w:r>
      <w:r w:rsidR="0098143D" w:rsidRPr="00CB4210">
        <w:rPr>
          <w:rFonts w:cs="Times New Roman"/>
          <w:color w:val="000000"/>
        </w:rPr>
        <w:t xml:space="preserve"> jeu</w:t>
      </w:r>
      <w:r w:rsidR="0098143D">
        <w:rPr>
          <w:rFonts w:cs="Times New Roman"/>
          <w:color w:val="000000"/>
        </w:rPr>
        <w:t xml:space="preserve"> comme </w:t>
      </w:r>
      <w:r w:rsidR="0098143D" w:rsidRPr="00CB4210">
        <w:rPr>
          <w:rFonts w:cs="Times New Roman"/>
          <w:color w:val="000000"/>
        </w:rPr>
        <w:t>les configuration</w:t>
      </w:r>
      <w:r w:rsidR="0098143D">
        <w:rPr>
          <w:rFonts w:cs="Times New Roman"/>
          <w:color w:val="000000"/>
        </w:rPr>
        <w:t>s</w:t>
      </w:r>
      <w:r w:rsidR="0098143D" w:rsidRPr="00CB4210">
        <w:rPr>
          <w:rFonts w:cs="Times New Roman"/>
          <w:color w:val="000000"/>
        </w:rPr>
        <w:t xml:space="preserve"> ne sont pas des phénomènes statiques. </w:t>
      </w:r>
      <w:r w:rsidR="0098143D">
        <w:rPr>
          <w:rFonts w:cs="Times New Roman"/>
          <w:color w:val="000000"/>
        </w:rPr>
        <w:t>Elias</w:t>
      </w:r>
      <w:r w:rsidR="003F7BA0">
        <w:rPr>
          <w:rFonts w:cs="Times New Roman"/>
          <w:color w:val="000000"/>
        </w:rPr>
        <w:t xml:space="preserve"> </w:t>
      </w:r>
      <w:r w:rsidR="0098143D">
        <w:rPr>
          <w:rFonts w:cs="Times New Roman"/>
          <w:color w:val="000000"/>
        </w:rPr>
        <w:t xml:space="preserve">explique </w:t>
      </w:r>
      <w:r w:rsidR="003F7BA0">
        <w:rPr>
          <w:rFonts w:cs="Times New Roman"/>
          <w:color w:val="000000"/>
        </w:rPr>
        <w:t xml:space="preserve">d’ailleurs </w:t>
      </w:r>
      <w:r w:rsidR="0098143D">
        <w:rPr>
          <w:rFonts w:cs="Times New Roman"/>
          <w:color w:val="000000"/>
        </w:rPr>
        <w:t>l</w:t>
      </w:r>
      <w:r w:rsidR="0098143D" w:rsidRPr="00CB4210">
        <w:rPr>
          <w:rFonts w:cs="Times New Roman"/>
          <w:color w:val="000000"/>
        </w:rPr>
        <w:t xml:space="preserve">’évolution des sociétés par les modifications de </w:t>
      </w:r>
      <w:r w:rsidR="0098143D">
        <w:rPr>
          <w:rFonts w:cs="Times New Roman"/>
          <w:color w:val="000000"/>
        </w:rPr>
        <w:t xml:space="preserve">cet </w:t>
      </w:r>
      <w:r w:rsidR="0098143D" w:rsidRPr="00CB4210">
        <w:rPr>
          <w:rFonts w:cs="Times New Roman"/>
          <w:color w:val="000000"/>
        </w:rPr>
        <w:t>équilibre entre les joueurs</w:t>
      </w:r>
      <w:r w:rsidR="0098143D">
        <w:rPr>
          <w:rFonts w:cs="Times New Roman"/>
          <w:color w:val="000000"/>
        </w:rPr>
        <w:t xml:space="preserve">, rendues possibles par des </w:t>
      </w:r>
      <w:r w:rsidR="0098143D" w:rsidRPr="00CB4210">
        <w:rPr>
          <w:rFonts w:cs="Times New Roman"/>
          <w:color w:val="000000"/>
        </w:rPr>
        <w:t xml:space="preserve">actions individuelles </w:t>
      </w:r>
      <w:r w:rsidR="003D1E79">
        <w:rPr>
          <w:rFonts w:cs="Times New Roman"/>
          <w:color w:val="000000"/>
        </w:rPr>
        <w:t xml:space="preserve">ou collectives </w:t>
      </w:r>
      <w:r w:rsidR="0098143D" w:rsidRPr="00CB4210">
        <w:rPr>
          <w:rFonts w:cs="Times New Roman"/>
          <w:color w:val="000000"/>
        </w:rPr>
        <w:t>et les effets qu’elles engendrent</w:t>
      </w:r>
      <w:r w:rsidR="003D1E79">
        <w:rPr>
          <w:rFonts w:cs="Times New Roman"/>
          <w:color w:val="000000"/>
        </w:rPr>
        <w:t xml:space="preserve"> (</w:t>
      </w:r>
      <w:proofErr w:type="spellStart"/>
      <w:r w:rsidR="003D1E79">
        <w:rPr>
          <w:rFonts w:cs="Times New Roman"/>
          <w:color w:val="000000"/>
        </w:rPr>
        <w:t>Duvoux</w:t>
      </w:r>
      <w:proofErr w:type="spellEnd"/>
      <w:r w:rsidR="003D1E79">
        <w:rPr>
          <w:rFonts w:cs="Times New Roman"/>
          <w:color w:val="000000"/>
        </w:rPr>
        <w:t>, 2010)</w:t>
      </w:r>
      <w:r w:rsidR="003F7BA0">
        <w:rPr>
          <w:rFonts w:cs="Times New Roman"/>
        </w:rPr>
        <w:t xml:space="preserve">. </w:t>
      </w:r>
      <w:r w:rsidR="0098143D">
        <w:rPr>
          <w:rFonts w:cs="Times New Roman"/>
          <w:lang w:val="fr-FR"/>
        </w:rPr>
        <w:t xml:space="preserve">Car une </w:t>
      </w:r>
      <w:r w:rsidR="00DF76C6" w:rsidRPr="00BA62A0">
        <w:rPr>
          <w:rFonts w:eastAsia="Times New Roman" w:cs="Times New Roman"/>
          <w:lang w:eastAsia="fr-BE"/>
        </w:rPr>
        <w:t xml:space="preserve">caractéristique de </w:t>
      </w:r>
      <w:r w:rsidR="009E152B">
        <w:rPr>
          <w:rFonts w:eastAsia="Times New Roman" w:cs="Times New Roman"/>
          <w:lang w:eastAsia="fr-BE"/>
        </w:rPr>
        <w:t>cette</w:t>
      </w:r>
      <w:r w:rsidR="00DF76C6" w:rsidRPr="00BA62A0">
        <w:rPr>
          <w:rFonts w:eastAsia="Times New Roman" w:cs="Times New Roman"/>
          <w:lang w:eastAsia="fr-BE"/>
        </w:rPr>
        <w:t xml:space="preserve"> configuration, </w:t>
      </w:r>
      <w:r w:rsidR="009E152B">
        <w:rPr>
          <w:rFonts w:eastAsia="Times New Roman" w:cs="Times New Roman"/>
          <w:lang w:eastAsia="fr-BE"/>
        </w:rPr>
        <w:t>perçue comme un</w:t>
      </w:r>
      <w:r w:rsidR="00DF76C6" w:rsidRPr="00BA62A0">
        <w:rPr>
          <w:rFonts w:eastAsia="Times New Roman" w:cs="Times New Roman"/>
          <w:lang w:eastAsia="fr-BE"/>
        </w:rPr>
        <w:t xml:space="preserve"> jeu, c’est qu’elle ne peut pas être appréhendé</w:t>
      </w:r>
      <w:r w:rsidR="003D1E79">
        <w:rPr>
          <w:rFonts w:eastAsia="Times New Roman" w:cs="Times New Roman"/>
          <w:lang w:eastAsia="fr-BE"/>
        </w:rPr>
        <w:t>e</w:t>
      </w:r>
      <w:r w:rsidR="00DF76C6" w:rsidRPr="00BA62A0">
        <w:rPr>
          <w:rFonts w:eastAsia="Times New Roman" w:cs="Times New Roman"/>
          <w:lang w:eastAsia="fr-BE"/>
        </w:rPr>
        <w:t xml:space="preserve"> comme quelque chose de statique mais bien comme un processus dynamique, un enchainement </w:t>
      </w:r>
      <w:r w:rsidR="00DF76C6" w:rsidRPr="00292EF7">
        <w:rPr>
          <w:rFonts w:eastAsia="Times New Roman" w:cs="Times New Roman"/>
          <w:lang w:eastAsia="fr-BE"/>
        </w:rPr>
        <w:t>d’actions, dépendantes les unes des autres, pouvant prendre une direction que les joueurs n’ont pas voulue (Ducret, 2011).</w:t>
      </w:r>
      <w:r w:rsidR="00101442">
        <w:rPr>
          <w:rFonts w:eastAsia="Times New Roman" w:cs="Times New Roman"/>
          <w:lang w:eastAsia="fr-BE"/>
        </w:rPr>
        <w:t xml:space="preserve"> </w:t>
      </w:r>
    </w:p>
    <w:p w14:paraId="0DC38F0C" w14:textId="22536CEB" w:rsidR="009E152B" w:rsidRDefault="009E152B" w:rsidP="00E505A5">
      <w:pPr>
        <w:shd w:val="clear" w:color="auto" w:fill="FFFFFF"/>
        <w:spacing w:after="0" w:line="276" w:lineRule="auto"/>
        <w:rPr>
          <w:rFonts w:eastAsia="Times New Roman" w:cs="Times New Roman"/>
          <w:lang w:eastAsia="fr-BE"/>
        </w:rPr>
      </w:pPr>
    </w:p>
    <w:p w14:paraId="645949FB" w14:textId="65F8AE68" w:rsidR="003F7BA0" w:rsidRDefault="003D1E79" w:rsidP="003F7BA0">
      <w:pPr>
        <w:shd w:val="clear" w:color="auto" w:fill="FFFFFF"/>
        <w:spacing w:after="0" w:line="276" w:lineRule="auto"/>
        <w:rPr>
          <w:rFonts w:eastAsia="Times New Roman" w:cs="Times New Roman"/>
          <w:lang w:eastAsia="fr-BE"/>
        </w:rPr>
      </w:pPr>
      <w:r>
        <w:rPr>
          <w:rFonts w:eastAsia="Times New Roman" w:cs="Times New Roman"/>
          <w:lang w:val="fr-FR" w:eastAsia="fr-BE"/>
        </w:rPr>
        <w:lastRenderedPageBreak/>
        <w:t>Il s’agit donc</w:t>
      </w:r>
      <w:r w:rsidR="0098143D" w:rsidRPr="000C2737">
        <w:rPr>
          <w:rFonts w:eastAsia="Times New Roman" w:cs="Times New Roman"/>
          <w:lang w:val="fr-FR" w:eastAsia="fr-BE"/>
        </w:rPr>
        <w:t xml:space="preserve"> pour Elias, de saisir</w:t>
      </w:r>
      <w:r w:rsidR="00582413" w:rsidRPr="000C2737">
        <w:rPr>
          <w:rFonts w:eastAsia="Times New Roman" w:cs="Times New Roman"/>
          <w:lang w:val="fr-FR" w:eastAsia="fr-BE"/>
        </w:rPr>
        <w:t xml:space="preserve">, à travers le terme de configuration, </w:t>
      </w:r>
      <w:r w:rsidR="0098143D" w:rsidRPr="000C2737">
        <w:rPr>
          <w:rFonts w:eastAsia="Times New Roman" w:cs="Times New Roman"/>
          <w:lang w:val="fr-FR" w:eastAsia="fr-BE"/>
        </w:rPr>
        <w:t xml:space="preserve">les évolutions </w:t>
      </w:r>
      <w:r w:rsidR="00582413" w:rsidRPr="000C2737">
        <w:rPr>
          <w:rFonts w:eastAsia="Times New Roman" w:cs="Times New Roman"/>
          <w:lang w:val="fr-FR" w:eastAsia="fr-BE"/>
        </w:rPr>
        <w:t>sociales</w:t>
      </w:r>
      <w:r>
        <w:rPr>
          <w:rFonts w:eastAsia="Times New Roman" w:cs="Times New Roman"/>
          <w:lang w:val="fr-FR" w:eastAsia="fr-BE"/>
        </w:rPr>
        <w:t xml:space="preserve">, mais </w:t>
      </w:r>
      <w:r w:rsidR="000C2737" w:rsidRPr="000C2737">
        <w:rPr>
          <w:rFonts w:eastAsia="Times New Roman" w:cs="Times New Roman"/>
          <w:lang w:val="fr-FR" w:eastAsia="fr-BE"/>
        </w:rPr>
        <w:t xml:space="preserve">le type d’évolution qu’il vise ne semble pas s’inscrire </w:t>
      </w:r>
      <w:r w:rsidR="0098143D" w:rsidRPr="000C2737">
        <w:rPr>
          <w:rFonts w:eastAsia="Times New Roman" w:cs="Times New Roman"/>
          <w:lang w:val="fr-FR" w:eastAsia="fr-BE"/>
        </w:rPr>
        <w:t>dans une approche mécaniste ou causale d</w:t>
      </w:r>
      <w:r w:rsidR="000C2737" w:rsidRPr="000C2737">
        <w:rPr>
          <w:rFonts w:eastAsia="Times New Roman" w:cs="Times New Roman"/>
          <w:lang w:val="fr-FR" w:eastAsia="fr-BE"/>
        </w:rPr>
        <w:t xml:space="preserve">’une </w:t>
      </w:r>
      <w:r w:rsidR="0098143D" w:rsidRPr="000C2737">
        <w:rPr>
          <w:rFonts w:eastAsia="Times New Roman" w:cs="Times New Roman"/>
          <w:lang w:val="fr-FR" w:eastAsia="fr-BE"/>
        </w:rPr>
        <w:t>situation qui évolu</w:t>
      </w:r>
      <w:r w:rsidR="000C2737" w:rsidRPr="000C2737">
        <w:rPr>
          <w:rFonts w:eastAsia="Times New Roman" w:cs="Times New Roman"/>
          <w:lang w:val="fr-FR" w:eastAsia="fr-BE"/>
        </w:rPr>
        <w:t>e</w:t>
      </w:r>
      <w:r w:rsidR="0098143D" w:rsidRPr="000C2737">
        <w:rPr>
          <w:rFonts w:eastAsia="Times New Roman" w:cs="Times New Roman"/>
          <w:lang w:val="fr-FR" w:eastAsia="fr-BE"/>
        </w:rPr>
        <w:t xml:space="preserve">rait de manière linéaire, suivant le chemin tracé par sa propre fin : chacun des </w:t>
      </w:r>
      <w:r w:rsidR="0098143D" w:rsidRPr="000C2737">
        <w:rPr>
          <w:rFonts w:eastAsia="Times New Roman" w:cs="Times New Roman"/>
          <w:lang w:eastAsia="fr-BE"/>
        </w:rPr>
        <w:t xml:space="preserve">coups ouvre à de nouveaux possibles, le jeu se transforme au fur et à mesure et les acteurs </w:t>
      </w:r>
      <w:r w:rsidR="000C2737" w:rsidRPr="000C2737">
        <w:rPr>
          <w:rFonts w:eastAsia="Times New Roman" w:cs="Times New Roman"/>
          <w:lang w:eastAsia="fr-BE"/>
        </w:rPr>
        <w:t>se transforment</w:t>
      </w:r>
      <w:r w:rsidR="0098143D" w:rsidRPr="000C2737">
        <w:rPr>
          <w:rFonts w:eastAsia="Times New Roman" w:cs="Times New Roman"/>
          <w:lang w:eastAsia="fr-BE"/>
        </w:rPr>
        <w:t xml:space="preserve"> avec lui. </w:t>
      </w:r>
      <w:r w:rsidR="003F7BA0" w:rsidRPr="00BA62A0">
        <w:rPr>
          <w:rFonts w:eastAsia="Times New Roman" w:cs="Times New Roman"/>
          <w:lang w:eastAsia="fr-BE"/>
        </w:rPr>
        <w:t>Si les configurations sont changeantes, mouvantes, c’est</w:t>
      </w:r>
      <w:r w:rsidR="003F7BA0">
        <w:rPr>
          <w:rFonts w:eastAsia="Times New Roman" w:cs="Times New Roman"/>
          <w:lang w:eastAsia="fr-BE"/>
        </w:rPr>
        <w:t xml:space="preserve"> parce</w:t>
      </w:r>
      <w:r w:rsidR="003F7BA0" w:rsidRPr="00BA62A0">
        <w:rPr>
          <w:rFonts w:eastAsia="Times New Roman" w:cs="Times New Roman"/>
          <w:lang w:eastAsia="fr-BE"/>
        </w:rPr>
        <w:t xml:space="preserve"> qu’elles sont </w:t>
      </w:r>
      <w:r w:rsidR="003F7BA0">
        <w:rPr>
          <w:rFonts w:eastAsia="Times New Roman" w:cs="Times New Roman"/>
          <w:lang w:eastAsia="fr-BE"/>
        </w:rPr>
        <w:t xml:space="preserve">justement </w:t>
      </w:r>
      <w:r w:rsidR="003F7BA0" w:rsidRPr="00BA62A0">
        <w:rPr>
          <w:rFonts w:eastAsia="Times New Roman" w:cs="Times New Roman"/>
          <w:lang w:eastAsia="fr-BE"/>
        </w:rPr>
        <w:t>faites de</w:t>
      </w:r>
      <w:r w:rsidR="003F7BA0">
        <w:rPr>
          <w:rFonts w:eastAsia="Times New Roman" w:cs="Times New Roman"/>
          <w:lang w:eastAsia="fr-BE"/>
        </w:rPr>
        <w:t xml:space="preserve"> ces</w:t>
      </w:r>
      <w:r w:rsidR="003F7BA0" w:rsidRPr="00BA62A0">
        <w:rPr>
          <w:rFonts w:eastAsia="Times New Roman" w:cs="Times New Roman"/>
          <w:lang w:eastAsia="fr-BE"/>
        </w:rPr>
        <w:t xml:space="preserve"> multiples liens de dépendances réciproques</w:t>
      </w:r>
      <w:r w:rsidR="00B40E04">
        <w:rPr>
          <w:rFonts w:eastAsia="Times New Roman" w:cs="Times New Roman"/>
          <w:lang w:eastAsia="fr-BE"/>
        </w:rPr>
        <w:t>,</w:t>
      </w:r>
      <w:r w:rsidR="003F7BA0" w:rsidRPr="00BA62A0">
        <w:rPr>
          <w:rFonts w:eastAsia="Times New Roman" w:cs="Times New Roman"/>
          <w:lang w:eastAsia="fr-BE"/>
        </w:rPr>
        <w:t xml:space="preserve"> qui lient les individus les uns avec les autres</w:t>
      </w:r>
      <w:r w:rsidR="00B40E04">
        <w:rPr>
          <w:rFonts w:eastAsia="Times New Roman" w:cs="Times New Roman"/>
          <w:lang w:eastAsia="fr-BE"/>
        </w:rPr>
        <w:t>,</w:t>
      </w:r>
      <w:r w:rsidR="003F7BA0" w:rsidRPr="00BA62A0">
        <w:rPr>
          <w:rFonts w:eastAsia="Times New Roman" w:cs="Times New Roman"/>
          <w:lang w:eastAsia="fr-BE"/>
        </w:rPr>
        <w:t xml:space="preserve"> et de l’enchaînement des actions individuelles et pourtant imbriquées. </w:t>
      </w:r>
    </w:p>
    <w:p w14:paraId="1047BC1A" w14:textId="77777777" w:rsidR="00B40E04" w:rsidRPr="0098143D" w:rsidRDefault="00B40E04" w:rsidP="003F7BA0">
      <w:pPr>
        <w:shd w:val="clear" w:color="auto" w:fill="FFFFFF"/>
        <w:spacing w:after="0" w:line="276" w:lineRule="auto"/>
        <w:rPr>
          <w:rFonts w:cs="Times New Roman"/>
          <w:lang w:val="fr-FR"/>
        </w:rPr>
      </w:pPr>
    </w:p>
    <w:p w14:paraId="2A2AE328" w14:textId="1A5F0670" w:rsidR="00C9433B" w:rsidRDefault="00C9433B" w:rsidP="00E505A5">
      <w:pPr>
        <w:pStyle w:val="Titre3"/>
        <w:spacing w:line="276" w:lineRule="auto"/>
        <w:rPr>
          <w:rFonts w:eastAsia="Times New Roman"/>
          <w:lang w:eastAsia="fr-BE"/>
        </w:rPr>
      </w:pPr>
      <w:bookmarkStart w:id="35" w:name="_Toc152687218"/>
      <w:r>
        <w:rPr>
          <w:rFonts w:eastAsia="Times New Roman"/>
          <w:lang w:eastAsia="fr-BE"/>
        </w:rPr>
        <w:t>Les règles du jeu</w:t>
      </w:r>
      <w:bookmarkEnd w:id="35"/>
    </w:p>
    <w:p w14:paraId="0EC6DE73" w14:textId="377C87AD" w:rsidR="00C9433B" w:rsidRDefault="00C9433B" w:rsidP="00E505A5">
      <w:pPr>
        <w:shd w:val="clear" w:color="auto" w:fill="FFFFFF"/>
        <w:spacing w:line="276" w:lineRule="auto"/>
        <w:rPr>
          <w:rFonts w:cs="Times New Roman"/>
          <w:color w:val="000000"/>
        </w:rPr>
      </w:pPr>
      <w:r w:rsidRPr="00BA62A0">
        <w:rPr>
          <w:rFonts w:eastAsia="Times New Roman" w:cs="Times New Roman"/>
          <w:lang w:eastAsia="fr-BE"/>
        </w:rPr>
        <w:t xml:space="preserve">Processus dynamique, imprévisible </w:t>
      </w:r>
      <w:r>
        <w:rPr>
          <w:rFonts w:eastAsia="Times New Roman" w:cs="Times New Roman"/>
          <w:lang w:eastAsia="fr-BE"/>
        </w:rPr>
        <w:t>selon</w:t>
      </w:r>
      <w:r w:rsidRPr="00BA62A0">
        <w:rPr>
          <w:rFonts w:eastAsia="Times New Roman" w:cs="Times New Roman"/>
          <w:lang w:eastAsia="fr-BE"/>
        </w:rPr>
        <w:t xml:space="preserve"> les lois de la causalité, le jeu comme la configuration n’en sont pas moins contraints par une série de règles fixes. D’ailleurs, </w:t>
      </w:r>
      <w:r w:rsidRPr="00EB0B88">
        <w:rPr>
          <w:rFonts w:eastAsia="Times New Roman" w:cs="Times New Roman"/>
          <w:lang w:eastAsia="fr-BE"/>
        </w:rPr>
        <w:t xml:space="preserve">« sans un accord entre les joueurs qui adhèrent à un ensemble de règles unifié, le jeu ne serait pas un jeu mais une "mêlée générale". » </w:t>
      </w:r>
      <w:r w:rsidR="00952917">
        <w:rPr>
          <w:rFonts w:eastAsia="Times New Roman" w:cs="Times New Roman"/>
          <w:lang w:eastAsia="fr-BE"/>
        </w:rPr>
        <w:t xml:space="preserve">Les règles du jeu sont fixes, donc, à travers les lois et les normes, mais le jeu est aussi </w:t>
      </w:r>
      <w:r w:rsidRPr="00BA62A0">
        <w:rPr>
          <w:rFonts w:cs="Times New Roman"/>
          <w:color w:val="000000"/>
        </w:rPr>
        <w:t xml:space="preserve">« souple et variable, sans quoi une partie serait en tous points identique à une autre. » (Elias &amp; </w:t>
      </w:r>
      <w:proofErr w:type="spellStart"/>
      <w:r w:rsidRPr="00BA62A0">
        <w:rPr>
          <w:rFonts w:cs="Times New Roman"/>
          <w:color w:val="000000"/>
        </w:rPr>
        <w:t>Dunning</w:t>
      </w:r>
      <w:proofErr w:type="spellEnd"/>
      <w:r w:rsidRPr="00BA62A0">
        <w:rPr>
          <w:rFonts w:cs="Times New Roman"/>
          <w:color w:val="000000"/>
        </w:rPr>
        <w:t>, 1994</w:t>
      </w:r>
      <w:r w:rsidR="00952917">
        <w:rPr>
          <w:rFonts w:cs="Times New Roman"/>
          <w:color w:val="000000"/>
        </w:rPr>
        <w:t xml:space="preserve"> : </w:t>
      </w:r>
      <w:r w:rsidRPr="00BA62A0">
        <w:rPr>
          <w:rFonts w:cs="Times New Roman"/>
          <w:color w:val="000000"/>
        </w:rPr>
        <w:t>263) </w:t>
      </w:r>
    </w:p>
    <w:p w14:paraId="6426013C" w14:textId="7ED0C7E8" w:rsidR="00C9433B" w:rsidRDefault="00952917" w:rsidP="00E505A5">
      <w:pPr>
        <w:shd w:val="clear" w:color="auto" w:fill="FFFFFF"/>
        <w:spacing w:line="276" w:lineRule="auto"/>
        <w:rPr>
          <w:rFonts w:cs="Times New Roman"/>
          <w:color w:val="000000"/>
        </w:rPr>
      </w:pPr>
      <w:r>
        <w:rPr>
          <w:rFonts w:eastAsia="Times New Roman" w:cs="Times New Roman"/>
          <w:lang w:eastAsia="fr-BE"/>
        </w:rPr>
        <w:t>C</w:t>
      </w:r>
      <w:r w:rsidR="00C9433B">
        <w:rPr>
          <w:rFonts w:eastAsia="Times New Roman" w:cs="Times New Roman"/>
          <w:lang w:eastAsia="fr-BE"/>
        </w:rPr>
        <w:t>omme dans tout jeu, i</w:t>
      </w:r>
      <w:r w:rsidR="00C9433B" w:rsidRPr="00BA62A0">
        <w:rPr>
          <w:rFonts w:cs="Times New Roman"/>
          <w:color w:val="000000"/>
        </w:rPr>
        <w:t xml:space="preserve">l faut des règles pour que le match puisse avoir lieu. Ces règles, ce sont les </w:t>
      </w:r>
      <w:r w:rsidR="00C9433B" w:rsidRPr="00BA62A0">
        <w:rPr>
          <w:rFonts w:cs="Times New Roman"/>
          <w:lang w:val="fr-FR"/>
        </w:rPr>
        <w:t>normes social</w:t>
      </w:r>
      <w:r w:rsidR="00C9433B">
        <w:rPr>
          <w:rFonts w:cs="Times New Roman"/>
          <w:lang w:val="fr-FR"/>
        </w:rPr>
        <w:t>es</w:t>
      </w:r>
      <w:r w:rsidR="00C9433B" w:rsidRPr="00BA62A0">
        <w:rPr>
          <w:rFonts w:cs="Times New Roman"/>
          <w:lang w:val="fr-FR"/>
        </w:rPr>
        <w:t xml:space="preserve">, </w:t>
      </w:r>
      <w:r w:rsidR="00C9433B">
        <w:rPr>
          <w:rFonts w:cs="Times New Roman"/>
          <w:lang w:val="fr-FR"/>
        </w:rPr>
        <w:t>les</w:t>
      </w:r>
      <w:r w:rsidR="00C9433B" w:rsidRPr="00BA62A0">
        <w:rPr>
          <w:rFonts w:cs="Times New Roman"/>
          <w:lang w:val="fr-FR"/>
        </w:rPr>
        <w:t xml:space="preserve"> règle</w:t>
      </w:r>
      <w:r>
        <w:rPr>
          <w:rFonts w:cs="Times New Roman"/>
          <w:lang w:val="fr-FR"/>
        </w:rPr>
        <w:t>ments</w:t>
      </w:r>
      <w:r w:rsidR="00C9433B" w:rsidRPr="00BA62A0">
        <w:rPr>
          <w:rFonts w:cs="Times New Roman"/>
          <w:lang w:val="fr-FR"/>
        </w:rPr>
        <w:t xml:space="preserve"> et législations, </w:t>
      </w:r>
      <w:r w:rsidR="00C9433B">
        <w:rPr>
          <w:rFonts w:cs="Times New Roman"/>
          <w:lang w:val="fr-FR"/>
        </w:rPr>
        <w:t xml:space="preserve">le contexte historique, politique qui forment autant de </w:t>
      </w:r>
      <w:r w:rsidR="00C9433B" w:rsidRPr="00BA62A0">
        <w:rPr>
          <w:rFonts w:cs="Times New Roman"/>
          <w:lang w:val="fr-FR"/>
        </w:rPr>
        <w:t xml:space="preserve">conditions </w:t>
      </w:r>
      <w:r w:rsidR="00C9433B">
        <w:rPr>
          <w:rFonts w:cs="Times New Roman"/>
          <w:lang w:val="fr-FR"/>
        </w:rPr>
        <w:t>pour</w:t>
      </w:r>
      <w:r w:rsidR="00C9433B" w:rsidRPr="00BA62A0">
        <w:rPr>
          <w:rFonts w:cs="Times New Roman"/>
          <w:lang w:val="fr-FR"/>
        </w:rPr>
        <w:t xml:space="preserve"> que telle ou telle </w:t>
      </w:r>
      <w:r w:rsidR="00C9433B" w:rsidRPr="00BA62A0">
        <w:rPr>
          <w:rFonts w:cs="Times New Roman"/>
          <w:i/>
          <w:lang w:val="fr-FR"/>
        </w:rPr>
        <w:t>figure</w:t>
      </w:r>
      <w:r w:rsidR="00C9433B" w:rsidRPr="00BA62A0">
        <w:rPr>
          <w:rFonts w:cs="Times New Roman"/>
          <w:lang w:val="fr-FR"/>
        </w:rPr>
        <w:t xml:space="preserve"> ou actions du joueur apparaiss</w:t>
      </w:r>
      <w:r w:rsidR="00C9433B">
        <w:rPr>
          <w:rFonts w:cs="Times New Roman"/>
          <w:lang w:val="fr-FR"/>
        </w:rPr>
        <w:t>e</w:t>
      </w:r>
      <w:r w:rsidR="00C9433B" w:rsidRPr="00BA62A0">
        <w:rPr>
          <w:rFonts w:cs="Times New Roman"/>
          <w:lang w:val="fr-FR"/>
        </w:rPr>
        <w:t xml:space="preserve"> au cours du jeu. S</w:t>
      </w:r>
      <w:r w:rsidR="00C9433B">
        <w:rPr>
          <w:rFonts w:cs="Times New Roman"/>
          <w:lang w:val="fr-FR"/>
        </w:rPr>
        <w:t>i</w:t>
      </w:r>
      <w:r w:rsidR="00C9433B" w:rsidRPr="00BA62A0">
        <w:rPr>
          <w:rFonts w:cs="Times New Roman"/>
          <w:lang w:val="fr-FR"/>
        </w:rPr>
        <w:t xml:space="preserve"> des adversaires engagés dans </w:t>
      </w:r>
      <w:r w:rsidR="00C9433B">
        <w:rPr>
          <w:rFonts w:cs="Times New Roman"/>
          <w:lang w:val="fr-FR"/>
        </w:rPr>
        <w:t xml:space="preserve">un même jeu s’affrontent, </w:t>
      </w:r>
      <w:r w:rsidR="00C9433B" w:rsidRPr="00BA62A0">
        <w:rPr>
          <w:rFonts w:cs="Times New Roman"/>
          <w:lang w:val="fr-FR"/>
        </w:rPr>
        <w:t>il</w:t>
      </w:r>
      <w:r w:rsidR="00C9433B">
        <w:rPr>
          <w:rFonts w:cs="Times New Roman"/>
          <w:lang w:val="fr-FR"/>
        </w:rPr>
        <w:t xml:space="preserve"> </w:t>
      </w:r>
      <w:r w:rsidR="00C9433B" w:rsidRPr="00BA62A0">
        <w:rPr>
          <w:rFonts w:cs="Times New Roman"/>
          <w:lang w:val="fr-FR"/>
        </w:rPr>
        <w:t>n’en demeure pas moins que l’ensemble des joueurs</w:t>
      </w:r>
      <w:r w:rsidR="00C9433B">
        <w:rPr>
          <w:rFonts w:cs="Times New Roman"/>
          <w:lang w:val="fr-FR"/>
        </w:rPr>
        <w:t>, pour participer, valident et légitiment les règles qu’ils se donnent en commun et forment</w:t>
      </w:r>
      <w:r w:rsidR="00C9433B" w:rsidRPr="00BA62A0">
        <w:rPr>
          <w:rFonts w:cs="Times New Roman"/>
          <w:lang w:val="fr-FR"/>
        </w:rPr>
        <w:t xml:space="preserve"> ensemble un équilibre : </w:t>
      </w:r>
      <w:r w:rsidR="00C9433B" w:rsidRPr="00BA62A0">
        <w:rPr>
          <w:rFonts w:cs="Times New Roman"/>
          <w:color w:val="000000"/>
        </w:rPr>
        <w:t>« Ainsi, pour que des relations de groupe puissent revêtir les traits propres d’un jeu, il faut qu’un équilibre spécifique s’établisse entre la fixité et la souplesse des règles. De cet équilibre dépend la dynamique du jeu. Si les règles établissent entre les joueurs des relations trop rigides ou trop laxistes, le jeu en pâtira</w:t>
      </w:r>
      <w:r w:rsidR="00C9433B">
        <w:rPr>
          <w:rFonts w:cs="Times New Roman"/>
          <w:color w:val="000000"/>
        </w:rPr>
        <w:t xml:space="preserve">. </w:t>
      </w:r>
      <w:r w:rsidR="00C9433B" w:rsidRPr="00BA62A0">
        <w:rPr>
          <w:rFonts w:cs="Times New Roman"/>
          <w:color w:val="000000"/>
        </w:rPr>
        <w:t xml:space="preserve">» (Elias &amp; </w:t>
      </w:r>
      <w:proofErr w:type="spellStart"/>
      <w:r w:rsidR="00C9433B" w:rsidRPr="00BA62A0">
        <w:rPr>
          <w:rFonts w:cs="Times New Roman"/>
          <w:color w:val="000000"/>
        </w:rPr>
        <w:t>Dunning</w:t>
      </w:r>
      <w:proofErr w:type="spellEnd"/>
      <w:r w:rsidR="00C9433B" w:rsidRPr="00BA62A0">
        <w:rPr>
          <w:rFonts w:cs="Times New Roman"/>
          <w:color w:val="000000"/>
        </w:rPr>
        <w:t>, 1994, p. 263)</w:t>
      </w:r>
    </w:p>
    <w:p w14:paraId="2AFA62CE" w14:textId="75E59DF5" w:rsidR="0098143D" w:rsidRPr="00EB0B88" w:rsidRDefault="00952917" w:rsidP="00E505A5">
      <w:pPr>
        <w:shd w:val="clear" w:color="auto" w:fill="FFFFFF"/>
        <w:spacing w:line="276" w:lineRule="auto"/>
        <w:rPr>
          <w:rFonts w:eastAsia="Times New Roman" w:cs="Times New Roman"/>
          <w:lang w:eastAsia="fr-BE"/>
        </w:rPr>
      </w:pPr>
      <w:r>
        <w:rPr>
          <w:rFonts w:eastAsia="Times New Roman" w:cs="Times New Roman"/>
          <w:lang w:val="fr-FR" w:eastAsia="fr-BE"/>
        </w:rPr>
        <w:t>En somme,</w:t>
      </w:r>
      <w:r w:rsidR="00C9433B">
        <w:rPr>
          <w:rFonts w:eastAsia="Times New Roman" w:cs="Times New Roman"/>
          <w:lang w:val="fr-FR" w:eastAsia="fr-BE"/>
        </w:rPr>
        <w:t xml:space="preserve"> le jeu ne prend jamais place sur un terrain vierge : il évolue dans un espace où les règles ont été fixé</w:t>
      </w:r>
      <w:r>
        <w:rPr>
          <w:rFonts w:eastAsia="Times New Roman" w:cs="Times New Roman"/>
          <w:lang w:val="fr-FR" w:eastAsia="fr-BE"/>
        </w:rPr>
        <w:t>e</w:t>
      </w:r>
      <w:r w:rsidR="00C9433B">
        <w:rPr>
          <w:rFonts w:eastAsia="Times New Roman" w:cs="Times New Roman"/>
          <w:lang w:val="fr-FR" w:eastAsia="fr-BE"/>
        </w:rPr>
        <w:t xml:space="preserve">s par d’autres, avec des </w:t>
      </w:r>
      <w:r w:rsidR="00D333F5">
        <w:rPr>
          <w:rFonts w:eastAsia="Times New Roman" w:cs="Times New Roman"/>
          <w:lang w:val="fr-FR" w:eastAsia="fr-BE"/>
        </w:rPr>
        <w:t>loi</w:t>
      </w:r>
      <w:r w:rsidR="00C9433B">
        <w:rPr>
          <w:rFonts w:eastAsia="Times New Roman" w:cs="Times New Roman"/>
          <w:lang w:val="fr-FR" w:eastAsia="fr-BE"/>
        </w:rPr>
        <w:t xml:space="preserve">s, et des accessoires déterminés. </w:t>
      </w:r>
      <w:r w:rsidR="000C2737">
        <w:rPr>
          <w:rFonts w:eastAsia="Times New Roman" w:cs="Times New Roman"/>
          <w:lang w:val="fr-FR" w:eastAsia="fr-BE"/>
        </w:rPr>
        <w:t>Pour le sociologue Roger Cornu, l</w:t>
      </w:r>
      <w:r w:rsidR="0098143D" w:rsidRPr="00EB0B88">
        <w:rPr>
          <w:rFonts w:eastAsia="Times New Roman" w:cs="Times New Roman"/>
          <w:lang w:eastAsia="fr-BE"/>
        </w:rPr>
        <w:t xml:space="preserve">a notion de configuration « prend sens à partir du moment où l'on se rappelle que ce sont les hommes qui font leur histoire, mais dans des conditions héritées du passé, c'est-à-dire que l'individu est incompréhensible en dehors des relations dans lesquelles il est intégré dès sa naissance, relations qui viennent d'être modifiées par sa naissance </w:t>
      </w:r>
      <w:r w:rsidR="0098143D" w:rsidRPr="00D333F5">
        <w:rPr>
          <w:rFonts w:eastAsia="Times New Roman" w:cs="Times New Roman"/>
          <w:lang w:eastAsia="fr-BE"/>
        </w:rPr>
        <w:t>même. » (Cornu, 1998 : 246).</w:t>
      </w:r>
    </w:p>
    <w:p w14:paraId="204A987A" w14:textId="21E99B0D" w:rsidR="00A52B5D" w:rsidRPr="00104E9A" w:rsidRDefault="00C9433B" w:rsidP="00E505A5">
      <w:pPr>
        <w:pStyle w:val="Titre3"/>
        <w:spacing w:line="276" w:lineRule="auto"/>
        <w:rPr>
          <w:lang w:val="fr-FR"/>
        </w:rPr>
      </w:pPr>
      <w:bookmarkStart w:id="36" w:name="_Toc152687219"/>
      <w:r>
        <w:rPr>
          <w:lang w:val="fr-FR"/>
        </w:rPr>
        <w:t>Un jeu d’é</w:t>
      </w:r>
      <w:r w:rsidR="00A52B5D" w:rsidRPr="00104E9A">
        <w:rPr>
          <w:lang w:val="fr-FR"/>
        </w:rPr>
        <w:t>chelle</w:t>
      </w:r>
      <w:bookmarkEnd w:id="36"/>
      <w:r w:rsidR="00A52B5D" w:rsidRPr="00104E9A">
        <w:rPr>
          <w:lang w:val="fr-FR"/>
        </w:rPr>
        <w:t xml:space="preserve"> </w:t>
      </w:r>
    </w:p>
    <w:p w14:paraId="34C0E486" w14:textId="5FBAE261" w:rsidR="005C4A7C" w:rsidRPr="005C4A7C" w:rsidRDefault="00C9433B" w:rsidP="00E505A5">
      <w:pPr>
        <w:spacing w:line="276" w:lineRule="auto"/>
      </w:pPr>
      <w:r w:rsidRPr="005C4A7C">
        <w:t>Notons enfin que l</w:t>
      </w:r>
      <w:r w:rsidR="00A52B5D" w:rsidRPr="005C4A7C">
        <w:t>e concept de configuration « s’applique aussi bien aux groupes relativement restreints qu’aux sociétés formées par des milliers ou des millions d’être interdépendants. » (Elias, 1991 :158)</w:t>
      </w:r>
      <w:r w:rsidR="005C4A7C" w:rsidRPr="005C4A7C">
        <w:t xml:space="preserve"> Une configuration</w:t>
      </w:r>
      <w:r w:rsidR="00AB5823">
        <w:t xml:space="preserve"> peut </w:t>
      </w:r>
      <w:r w:rsidR="005C4A7C" w:rsidRPr="005C4A7C">
        <w:t xml:space="preserve">servir à appréhender </w:t>
      </w:r>
      <w:r w:rsidR="00A52B5D" w:rsidRPr="005C4A7C">
        <w:t xml:space="preserve">l’interaction </w:t>
      </w:r>
      <w:r w:rsidR="005C4A7C" w:rsidRPr="005C4A7C">
        <w:t xml:space="preserve">qui </w:t>
      </w:r>
      <w:r w:rsidR="00A52B5D" w:rsidRPr="005C4A7C">
        <w:t>se produit entre deux partenaires seulement,</w:t>
      </w:r>
      <w:r w:rsidR="005C4A7C" w:rsidRPr="005C4A7C">
        <w:t xml:space="preserve"> au guichet d’un service d’allocations sociales par exemple,</w:t>
      </w:r>
      <w:r w:rsidR="00AB5823">
        <w:t xml:space="preserve"> mais aussi d</w:t>
      </w:r>
      <w:r w:rsidR="00A52B5D" w:rsidRPr="005C4A7C">
        <w:t>es chaînes d’interdépendance</w:t>
      </w:r>
      <w:r w:rsidR="005C4A7C" w:rsidRPr="005C4A7C">
        <w:t xml:space="preserve"> plus amples et plus complexes, comme celles </w:t>
      </w:r>
      <w:r w:rsidR="00A52B5D" w:rsidRPr="005C4A7C">
        <w:t>décrites par Elias dans </w:t>
      </w:r>
      <w:r w:rsidR="00A52B5D" w:rsidRPr="00AB5823">
        <w:rPr>
          <w:i/>
        </w:rPr>
        <w:t>La société de cour</w:t>
      </w:r>
      <w:r w:rsidR="00A52B5D" w:rsidRPr="005C4A7C">
        <w:t xml:space="preserve">, </w:t>
      </w:r>
      <w:r w:rsidR="00AB5823">
        <w:t>notamment</w:t>
      </w:r>
      <w:r w:rsidR="00A52B5D" w:rsidRPr="005C4A7C">
        <w:t xml:space="preserve">, où </w:t>
      </w:r>
      <w:r w:rsidR="005C4A7C" w:rsidRPr="005C4A7C">
        <w:t>« </w:t>
      </w:r>
      <w:r w:rsidR="00A52B5D" w:rsidRPr="005C4A7C">
        <w:t>tous les comportements sociaux dépendent de la configuration des rapports de pouvoir, dans son aspect dynamique (déjà présent dans l’analyse des schismogenèses deux à deux), entre le roi, les aristocrates et leurs dépendants, y compris les plus lointains.</w:t>
      </w:r>
      <w:r w:rsidR="005C4A7C" w:rsidRPr="005C4A7C">
        <w:t> » (</w:t>
      </w:r>
      <w:r w:rsidR="00D333F5">
        <w:t>Baud &amp; Weber</w:t>
      </w:r>
      <w:r w:rsidR="005C4A7C" w:rsidRPr="005C4A7C">
        <w:t>, 2012 : 242)</w:t>
      </w:r>
    </w:p>
    <w:p w14:paraId="01827334" w14:textId="7870EF9B" w:rsidR="005C4A7C" w:rsidRDefault="00A52B5D" w:rsidP="00E505A5">
      <w:pPr>
        <w:spacing w:line="276" w:lineRule="auto"/>
      </w:pPr>
      <w:r w:rsidRPr="005C4A7C">
        <w:t xml:space="preserve">Le modèle proposé par Elias est doté d’une </w:t>
      </w:r>
      <w:r w:rsidR="005C4A7C" w:rsidRPr="005C4A7C">
        <w:t xml:space="preserve">très </w:t>
      </w:r>
      <w:r w:rsidRPr="005C4A7C">
        <w:t>grande extension</w:t>
      </w:r>
      <w:r w:rsidR="00D333F5">
        <w:t>,</w:t>
      </w:r>
      <w:r w:rsidR="00AB5823">
        <w:t xml:space="preserve"> dans le temps comme dans l’espace</w:t>
      </w:r>
      <w:r w:rsidR="005C4A7C" w:rsidRPr="005C4A7C">
        <w:t>. Il peut s’appliquer</w:t>
      </w:r>
      <w:r w:rsidRPr="005C4A7C">
        <w:t xml:space="preserve"> dès les commencements de la préhistoire et s’étend à </w:t>
      </w:r>
      <w:r w:rsidR="00D333F5">
        <w:t>toute l’histoire de l’humanité</w:t>
      </w:r>
      <w:r w:rsidRPr="005C4A7C">
        <w:t xml:space="preserve">. </w:t>
      </w:r>
      <w:r w:rsidR="005C4A7C" w:rsidRPr="005C4A7C">
        <w:t xml:space="preserve">Il permet aussi de rendre compte de </w:t>
      </w:r>
      <w:r w:rsidRPr="005C4A7C">
        <w:t xml:space="preserve">l’interaction à distance, </w:t>
      </w:r>
      <w:r w:rsidR="005C4A7C" w:rsidRPr="005C4A7C">
        <w:t>« </w:t>
      </w:r>
      <w:r w:rsidRPr="005C4A7C">
        <w:t>c’est-à-dire médiée par des dispositifs comme l’écriture, la correspondance, les outils de l’administration, le téléphone, Internet, etc., et, au-delà, les objets matériels qui, comme l’espace d’une ville, donnent leur forme et leur signification aux interactions, mais aussi les institutions auxquelles les chaînes d’interdépendance, plus ou moins longues, doivent leur existence.</w:t>
      </w:r>
      <w:r w:rsidR="005C4A7C" w:rsidRPr="005C4A7C">
        <w:t> » (</w:t>
      </w:r>
      <w:r w:rsidR="00D333F5">
        <w:t>Baud &amp; Weber</w:t>
      </w:r>
      <w:r w:rsidR="005C4A7C" w:rsidRPr="005C4A7C">
        <w:t xml:space="preserve">, </w:t>
      </w:r>
      <w:r w:rsidR="005C4A7C" w:rsidRPr="00D333F5">
        <w:rPr>
          <w:i/>
        </w:rPr>
        <w:t>idem</w:t>
      </w:r>
      <w:r w:rsidR="005C4A7C" w:rsidRPr="005C4A7C">
        <w:t xml:space="preserve">). </w:t>
      </w:r>
    </w:p>
    <w:p w14:paraId="4FF90BE8" w14:textId="17E94465" w:rsidR="00A52B5D" w:rsidRPr="00BA62A0" w:rsidRDefault="00635278" w:rsidP="00635278">
      <w:pPr>
        <w:shd w:val="clear" w:color="auto" w:fill="FFFFFF"/>
        <w:spacing w:after="0" w:line="276" w:lineRule="auto"/>
        <w:jc w:val="center"/>
        <w:rPr>
          <w:rFonts w:eastAsia="Times New Roman" w:cs="Times New Roman"/>
          <w:lang w:eastAsia="fr-BE"/>
        </w:rPr>
      </w:pPr>
      <w:r>
        <w:rPr>
          <w:rFonts w:eastAsia="Times New Roman" w:cs="Times New Roman"/>
          <w:lang w:eastAsia="fr-BE"/>
        </w:rPr>
        <w:lastRenderedPageBreak/>
        <w:t>***</w:t>
      </w:r>
    </w:p>
    <w:p w14:paraId="45800BE8" w14:textId="0EC05C33" w:rsidR="00BF5B80" w:rsidRDefault="00D63EAF" w:rsidP="00E505A5">
      <w:pPr>
        <w:spacing w:line="276" w:lineRule="auto"/>
      </w:pPr>
      <w:r w:rsidRPr="007C0955">
        <w:t xml:space="preserve">La notion de configuration nous permet </w:t>
      </w:r>
      <w:r w:rsidR="004A260D">
        <w:t xml:space="preserve">ainsi </w:t>
      </w:r>
      <w:r w:rsidRPr="007C0955">
        <w:t xml:space="preserve">d’appréhender </w:t>
      </w:r>
      <w:r w:rsidR="00BF5B80" w:rsidRPr="007C0955">
        <w:t xml:space="preserve">les </w:t>
      </w:r>
      <w:r w:rsidRPr="007C0955">
        <w:t xml:space="preserve">parcours d’expulsions </w:t>
      </w:r>
      <w:r w:rsidR="005204DD" w:rsidRPr="007C0955">
        <w:t xml:space="preserve">comme </w:t>
      </w:r>
      <w:r w:rsidR="007C0955" w:rsidRPr="007C0955">
        <w:t>des processus</w:t>
      </w:r>
      <w:r w:rsidR="00BF5B80" w:rsidRPr="007C0955">
        <w:t> </w:t>
      </w:r>
      <w:r w:rsidR="007C0955" w:rsidRPr="007C0955">
        <w:t>impliquants un ensemble d’acteurs</w:t>
      </w:r>
      <w:r w:rsidR="003C0758">
        <w:t xml:space="preserve"> (</w:t>
      </w:r>
      <w:r w:rsidR="007C0955" w:rsidRPr="007C0955">
        <w:t>propriétaires, locataires, travailleurs sociaux, Juges de Paix, huissiers, etc.</w:t>
      </w:r>
      <w:r w:rsidR="003C0758">
        <w:t>) d</w:t>
      </w:r>
      <w:r w:rsidR="00BF5B80" w:rsidRPr="007C0955">
        <w:t>ans un contexte</w:t>
      </w:r>
      <w:r w:rsidR="007C0955" w:rsidRPr="007C0955">
        <w:t xml:space="preserve"> social, dans un espace et une période temporelles particulière </w:t>
      </w:r>
      <w:r w:rsidR="003C0758">
        <w:t>(</w:t>
      </w:r>
      <w:r w:rsidR="007C0955" w:rsidRPr="007C0955">
        <w:t xml:space="preserve">un cadre légal fixe, un </w:t>
      </w:r>
      <w:r w:rsidR="00BF5B80" w:rsidRPr="007C0955">
        <w:t xml:space="preserve">marché du logement, </w:t>
      </w:r>
      <w:r w:rsidR="007C0955" w:rsidRPr="007C0955">
        <w:t xml:space="preserve">la présence ou l’absence de politiques </w:t>
      </w:r>
      <w:r w:rsidR="004A260D">
        <w:t>publiqu</w:t>
      </w:r>
      <w:r w:rsidR="00BF5B80" w:rsidRPr="007C0955">
        <w:t>es</w:t>
      </w:r>
      <w:r w:rsidR="007C0955" w:rsidRPr="007C0955">
        <w:t>, un Etat social en transformation, une précarisation des groupes sociaux les plus pauvres, etc.</w:t>
      </w:r>
      <w:r w:rsidR="003C0758">
        <w:t xml:space="preserve">). </w:t>
      </w:r>
    </w:p>
    <w:p w14:paraId="2C389D85" w14:textId="062014FA" w:rsidR="003C0758" w:rsidRDefault="003C0758" w:rsidP="00E505A5">
      <w:pPr>
        <w:spacing w:line="276" w:lineRule="auto"/>
      </w:pPr>
      <w:r>
        <w:t>Ces différents acteurs jouent avec des règles qui leur sont imposées, dont ils héritent (le contexte social et politique)</w:t>
      </w:r>
      <w:r w:rsidR="004A260D">
        <w:t xml:space="preserve">, </w:t>
      </w:r>
      <w:r>
        <w:t xml:space="preserve">mais </w:t>
      </w:r>
      <w:r w:rsidR="004A260D">
        <w:t xml:space="preserve">qui peuvent </w:t>
      </w:r>
      <w:r>
        <w:t>être transformé</w:t>
      </w:r>
      <w:r w:rsidR="004A260D">
        <w:t>es</w:t>
      </w:r>
      <w:r>
        <w:t xml:space="preserve"> par l’action des joueurs : nous pourrions collectivement, politiquement, décider de transformer le cadre légal qui administre les expulsions locatives ou l’organisation du marché du logement. Mais ce n’est pas ce qui se joue à l’échelle d’une procédure particulière. </w:t>
      </w:r>
      <w:r w:rsidR="00635278">
        <w:t>L’enjeu</w:t>
      </w:r>
      <w:r w:rsidR="004A260D">
        <w:t xml:space="preserve">, </w:t>
      </w:r>
      <w:r w:rsidR="00635278">
        <w:t>à l’échelle de la procédure, est la sortie ou le maintien du locataire dans le logement.</w:t>
      </w:r>
    </w:p>
    <w:p w14:paraId="769554F0" w14:textId="5A0819B1" w:rsidR="003C0758" w:rsidRDefault="003C0758" w:rsidP="003C0758">
      <w:pPr>
        <w:spacing w:line="276" w:lineRule="auto"/>
        <w:rPr>
          <w:rFonts w:cs="Times New Roman"/>
          <w:color w:val="000000"/>
          <w:szCs w:val="24"/>
          <w:shd w:val="clear" w:color="auto" w:fill="FFFFFF"/>
        </w:rPr>
      </w:pPr>
      <w:r w:rsidRPr="003C0758">
        <w:rPr>
          <w:rFonts w:cs="Times New Roman"/>
          <w:color w:val="000000"/>
          <w:szCs w:val="24"/>
          <w:shd w:val="clear" w:color="auto" w:fill="FFFFFF"/>
        </w:rPr>
        <w:t>Des relations d’interdépendance relie</w:t>
      </w:r>
      <w:r w:rsidR="004A260D">
        <w:rPr>
          <w:rFonts w:cs="Times New Roman"/>
          <w:color w:val="000000"/>
          <w:szCs w:val="24"/>
          <w:shd w:val="clear" w:color="auto" w:fill="FFFFFF"/>
        </w:rPr>
        <w:t>nt</w:t>
      </w:r>
      <w:r w:rsidRPr="003C0758">
        <w:rPr>
          <w:rFonts w:cs="Times New Roman"/>
          <w:color w:val="000000"/>
          <w:szCs w:val="24"/>
          <w:shd w:val="clear" w:color="auto" w:fill="FFFFFF"/>
        </w:rPr>
        <w:t xml:space="preserve"> ces différents joueurs : </w:t>
      </w:r>
      <w:r w:rsidR="008058BC" w:rsidRPr="003C0758">
        <w:rPr>
          <w:rFonts w:cs="Times New Roman"/>
          <w:color w:val="000000"/>
          <w:szCs w:val="24"/>
          <w:shd w:val="clear" w:color="auto" w:fill="FFFFFF"/>
        </w:rPr>
        <w:t>le coup du joueur dépend du coup précédent</w:t>
      </w:r>
      <w:r w:rsidR="000D421E">
        <w:rPr>
          <w:rFonts w:cs="Times New Roman"/>
          <w:color w:val="000000"/>
          <w:szCs w:val="24"/>
          <w:shd w:val="clear" w:color="auto" w:fill="FFFFFF"/>
        </w:rPr>
        <w:t xml:space="preserve">. </w:t>
      </w:r>
      <w:r>
        <w:rPr>
          <w:rFonts w:cs="Times New Roman"/>
          <w:color w:val="000000"/>
          <w:szCs w:val="24"/>
          <w:shd w:val="clear" w:color="auto" w:fill="FFFFFF"/>
        </w:rPr>
        <w:t xml:space="preserve">Une fois l’ensemble des acteurs pris dans le jeu, chacune de leurs actions répondra à la précédentes, de manière à orienter le processus vers une issue particulière : </w:t>
      </w:r>
    </w:p>
    <w:p w14:paraId="3296C75B" w14:textId="3A38B2DA" w:rsidR="003C0758" w:rsidRPr="003C0758" w:rsidRDefault="003C0758" w:rsidP="001229BC">
      <w:pPr>
        <w:pStyle w:val="Paragraphedeliste"/>
        <w:numPr>
          <w:ilvl w:val="0"/>
          <w:numId w:val="14"/>
        </w:numPr>
        <w:spacing w:line="276" w:lineRule="auto"/>
        <w:rPr>
          <w:b/>
        </w:rPr>
      </w:pPr>
      <w:r>
        <w:rPr>
          <w:rFonts w:cs="Times New Roman"/>
          <w:color w:val="000000"/>
          <w:szCs w:val="24"/>
          <w:shd w:val="clear" w:color="auto" w:fill="FFFFFF"/>
        </w:rPr>
        <w:t>Le propriétaire en initiant une requête ou citation ; en acceptant un plan d’apurement ou un accord à l’amiable</w:t>
      </w:r>
      <w:r w:rsidR="004A260D">
        <w:rPr>
          <w:rFonts w:cs="Times New Roman"/>
          <w:color w:val="000000"/>
          <w:szCs w:val="24"/>
          <w:shd w:val="clear" w:color="auto" w:fill="FFFFFF"/>
        </w:rPr>
        <w:t> ;</w:t>
      </w:r>
    </w:p>
    <w:p w14:paraId="1A1B9F6D" w14:textId="5F04B323" w:rsidR="003C0758" w:rsidRPr="000D421E" w:rsidRDefault="003C0758" w:rsidP="001229BC">
      <w:pPr>
        <w:pStyle w:val="Paragraphedeliste"/>
        <w:numPr>
          <w:ilvl w:val="0"/>
          <w:numId w:val="14"/>
        </w:numPr>
        <w:spacing w:line="276" w:lineRule="auto"/>
        <w:rPr>
          <w:rFonts w:cs="Times New Roman"/>
          <w:color w:val="000000"/>
          <w:szCs w:val="24"/>
          <w:shd w:val="clear" w:color="auto" w:fill="FFFFFF"/>
        </w:rPr>
      </w:pPr>
      <w:r>
        <w:rPr>
          <w:rFonts w:cs="Times New Roman"/>
          <w:color w:val="000000"/>
          <w:szCs w:val="24"/>
          <w:shd w:val="clear" w:color="auto" w:fill="FFFFFF"/>
        </w:rPr>
        <w:t>Le locataire en se présentant ou nom à l’audience ;</w:t>
      </w:r>
    </w:p>
    <w:p w14:paraId="4BBA9E58" w14:textId="6CBE474A" w:rsidR="003C0758" w:rsidRPr="000D421E" w:rsidRDefault="003C0758" w:rsidP="001229BC">
      <w:pPr>
        <w:pStyle w:val="Paragraphedeliste"/>
        <w:numPr>
          <w:ilvl w:val="0"/>
          <w:numId w:val="14"/>
        </w:numPr>
        <w:spacing w:line="276" w:lineRule="auto"/>
        <w:rPr>
          <w:b/>
        </w:rPr>
      </w:pPr>
      <w:r>
        <w:rPr>
          <w:rFonts w:cs="Times New Roman"/>
          <w:color w:val="000000"/>
          <w:szCs w:val="24"/>
          <w:shd w:val="clear" w:color="auto" w:fill="FFFFFF"/>
        </w:rPr>
        <w:t xml:space="preserve">Le travailleur social, en </w:t>
      </w:r>
      <w:r w:rsidR="000D421E">
        <w:rPr>
          <w:rFonts w:cs="Times New Roman"/>
          <w:color w:val="000000"/>
          <w:szCs w:val="24"/>
          <w:shd w:val="clear" w:color="auto" w:fill="FFFFFF"/>
        </w:rPr>
        <w:t>accompagnant le locataire vers une solution de relogement, ou en l’aidant à solliciter un plan d’apurement de la dette locative</w:t>
      </w:r>
      <w:r w:rsidR="004A260D">
        <w:rPr>
          <w:rFonts w:cs="Times New Roman"/>
          <w:color w:val="000000"/>
          <w:szCs w:val="24"/>
          <w:shd w:val="clear" w:color="auto" w:fill="FFFFFF"/>
        </w:rPr>
        <w:t xml:space="preserve"> </w:t>
      </w:r>
      <w:r w:rsidR="000D421E">
        <w:rPr>
          <w:rFonts w:cs="Times New Roman"/>
          <w:color w:val="000000"/>
          <w:szCs w:val="24"/>
          <w:shd w:val="clear" w:color="auto" w:fill="FFFFFF"/>
        </w:rPr>
        <w:t>;</w:t>
      </w:r>
    </w:p>
    <w:p w14:paraId="24B02FB3" w14:textId="3D49097A" w:rsidR="000D421E" w:rsidRPr="000D421E" w:rsidRDefault="000D421E" w:rsidP="001229BC">
      <w:pPr>
        <w:pStyle w:val="Paragraphedeliste"/>
        <w:numPr>
          <w:ilvl w:val="0"/>
          <w:numId w:val="14"/>
        </w:numPr>
        <w:spacing w:line="276" w:lineRule="auto"/>
        <w:rPr>
          <w:rFonts w:cs="Times New Roman"/>
          <w:color w:val="000000"/>
          <w:szCs w:val="24"/>
          <w:shd w:val="clear" w:color="auto" w:fill="FFFFFF"/>
        </w:rPr>
      </w:pPr>
      <w:r w:rsidRPr="000D421E">
        <w:rPr>
          <w:rFonts w:cs="Times New Roman"/>
          <w:color w:val="000000"/>
          <w:szCs w:val="24"/>
          <w:shd w:val="clear" w:color="auto" w:fill="FFFFFF"/>
        </w:rPr>
        <w:t>Le Juge</w:t>
      </w:r>
      <w:r w:rsidR="004A260D">
        <w:rPr>
          <w:rFonts w:cs="Times New Roman"/>
          <w:color w:val="000000"/>
          <w:szCs w:val="24"/>
          <w:shd w:val="clear" w:color="auto" w:fill="FFFFFF"/>
        </w:rPr>
        <w:t xml:space="preserve">, </w:t>
      </w:r>
      <w:r w:rsidRPr="000D421E">
        <w:rPr>
          <w:rFonts w:cs="Times New Roman"/>
          <w:color w:val="000000"/>
          <w:szCs w:val="24"/>
          <w:shd w:val="clear" w:color="auto" w:fill="FFFFFF"/>
        </w:rPr>
        <w:t xml:space="preserve">en tenant compte ou non des conditions de vie du locataire, </w:t>
      </w:r>
      <w:r w:rsidR="004A260D">
        <w:rPr>
          <w:rFonts w:cs="Times New Roman"/>
          <w:color w:val="000000"/>
          <w:szCs w:val="24"/>
          <w:shd w:val="clear" w:color="auto" w:fill="FFFFFF"/>
        </w:rPr>
        <w:t xml:space="preserve">et </w:t>
      </w:r>
      <w:r w:rsidRPr="000D421E">
        <w:rPr>
          <w:rFonts w:cs="Times New Roman"/>
          <w:color w:val="000000"/>
          <w:szCs w:val="24"/>
          <w:shd w:val="clear" w:color="auto" w:fill="FFFFFF"/>
        </w:rPr>
        <w:t xml:space="preserve">de la situation du marché du logement pour les ménages pauvres ; </w:t>
      </w:r>
    </w:p>
    <w:p w14:paraId="0155F81F" w14:textId="0C347FC5" w:rsidR="003C0758" w:rsidRPr="003C0758" w:rsidRDefault="003C0758" w:rsidP="001229BC">
      <w:pPr>
        <w:pStyle w:val="Paragraphedeliste"/>
        <w:numPr>
          <w:ilvl w:val="0"/>
          <w:numId w:val="14"/>
        </w:numPr>
        <w:spacing w:line="276" w:lineRule="auto"/>
        <w:rPr>
          <w:b/>
        </w:rPr>
      </w:pPr>
      <w:r>
        <w:rPr>
          <w:rFonts w:cs="Times New Roman"/>
          <w:color w:val="000000"/>
          <w:szCs w:val="24"/>
          <w:shd w:val="clear" w:color="auto" w:fill="FFFFFF"/>
        </w:rPr>
        <w:t xml:space="preserve">L’huissier en transmettant </w:t>
      </w:r>
      <w:r w:rsidR="004A260D">
        <w:rPr>
          <w:rFonts w:cs="Times New Roman"/>
          <w:color w:val="000000"/>
          <w:szCs w:val="24"/>
          <w:shd w:val="clear" w:color="auto" w:fill="FFFFFF"/>
        </w:rPr>
        <w:t xml:space="preserve">plus ou moins bien </w:t>
      </w:r>
      <w:r>
        <w:rPr>
          <w:rFonts w:cs="Times New Roman"/>
          <w:color w:val="000000"/>
          <w:szCs w:val="24"/>
          <w:shd w:val="clear" w:color="auto" w:fill="FFFFFF"/>
        </w:rPr>
        <w:t xml:space="preserve">les informations utiles au locataire et en l’informant </w:t>
      </w:r>
      <w:r w:rsidR="00CB59B5">
        <w:rPr>
          <w:rFonts w:cs="Times New Roman"/>
          <w:color w:val="000000"/>
          <w:szCs w:val="24"/>
          <w:shd w:val="clear" w:color="auto" w:fill="FFFFFF"/>
        </w:rPr>
        <w:t xml:space="preserve">plus ou moins précisément </w:t>
      </w:r>
      <w:r>
        <w:rPr>
          <w:rFonts w:cs="Times New Roman"/>
          <w:color w:val="000000"/>
          <w:szCs w:val="24"/>
          <w:shd w:val="clear" w:color="auto" w:fill="FFFFFF"/>
        </w:rPr>
        <w:t xml:space="preserve">de ses droits, etc. </w:t>
      </w:r>
    </w:p>
    <w:p w14:paraId="55AE7735" w14:textId="5A1BA4E8" w:rsidR="008058BC" w:rsidRPr="003C0758" w:rsidRDefault="00CB59B5" w:rsidP="003C0758">
      <w:pPr>
        <w:spacing w:line="276" w:lineRule="auto"/>
        <w:rPr>
          <w:b/>
        </w:rPr>
      </w:pPr>
      <w:r>
        <w:rPr>
          <w:rFonts w:cs="Times New Roman"/>
          <w:color w:val="000000"/>
          <w:szCs w:val="24"/>
          <w:shd w:val="clear" w:color="auto" w:fill="FFFFFF"/>
        </w:rPr>
        <w:t>Ces différentes marges de manœuvre</w:t>
      </w:r>
      <w:r w:rsidR="003C0758" w:rsidRPr="003C0758">
        <w:rPr>
          <w:rFonts w:cs="Times New Roman"/>
          <w:color w:val="000000"/>
          <w:szCs w:val="24"/>
          <w:shd w:val="clear" w:color="auto" w:fill="FFFFFF"/>
        </w:rPr>
        <w:t xml:space="preserve"> du Juge, du travailleur social, du propriétaire </w:t>
      </w:r>
      <w:r>
        <w:rPr>
          <w:rFonts w:cs="Times New Roman"/>
          <w:color w:val="000000"/>
          <w:szCs w:val="24"/>
          <w:shd w:val="clear" w:color="auto" w:fill="FFFFFF"/>
        </w:rPr>
        <w:t>et</w:t>
      </w:r>
      <w:r w:rsidR="003C0758" w:rsidRPr="003C0758">
        <w:rPr>
          <w:rFonts w:cs="Times New Roman"/>
          <w:color w:val="000000"/>
          <w:szCs w:val="24"/>
          <w:shd w:val="clear" w:color="auto" w:fill="FFFFFF"/>
        </w:rPr>
        <w:t xml:space="preserve"> du locataire peuvent orienter l’issue, imprévisible au départ, mais délimitée par le cadre légal et le contexte social.</w:t>
      </w:r>
    </w:p>
    <w:p w14:paraId="6C1C1FCF" w14:textId="6F7FB0CD" w:rsidR="001754D1" w:rsidRPr="00CB59B5" w:rsidRDefault="00862593" w:rsidP="00984322">
      <w:pPr>
        <w:spacing w:line="276" w:lineRule="auto"/>
        <w:rPr>
          <w:rFonts w:cs="Times New Roman"/>
          <w:color w:val="000000"/>
          <w:szCs w:val="24"/>
          <w:shd w:val="clear" w:color="auto" w:fill="FFFFFF"/>
        </w:rPr>
      </w:pPr>
      <w:r>
        <w:rPr>
          <w:rFonts w:cs="Times New Roman"/>
          <w:color w:val="000000"/>
          <w:szCs w:val="24"/>
          <w:shd w:val="clear" w:color="auto" w:fill="FFFFFF"/>
        </w:rPr>
        <w:t xml:space="preserve">Car si les actions de chacun des acteurs </w:t>
      </w:r>
      <w:r w:rsidR="00B95949">
        <w:rPr>
          <w:rFonts w:cs="Times New Roman"/>
          <w:color w:val="000000"/>
          <w:szCs w:val="24"/>
          <w:shd w:val="clear" w:color="auto" w:fill="FFFFFF"/>
        </w:rPr>
        <w:t>ont</w:t>
      </w:r>
      <w:r>
        <w:rPr>
          <w:rFonts w:cs="Times New Roman"/>
          <w:color w:val="000000"/>
          <w:szCs w:val="24"/>
          <w:shd w:val="clear" w:color="auto" w:fill="FFFFFF"/>
        </w:rPr>
        <w:t xml:space="preserve"> la possibilité d’orienter la suite de la procédure, p</w:t>
      </w:r>
      <w:r w:rsidR="00635278">
        <w:rPr>
          <w:rFonts w:cs="Times New Roman"/>
          <w:color w:val="000000"/>
          <w:szCs w:val="24"/>
          <w:shd w:val="clear" w:color="auto" w:fill="FFFFFF"/>
        </w:rPr>
        <w:t xml:space="preserve">récisons, bien sûr, que le rapport de force est tel que le locataire n’a pas le pouvoir d’initier le premier coup : c’est le bailleur qui sollicite le juge de paix pour initier la procédure. Si l’ensemble des joueurs </w:t>
      </w:r>
      <w:r w:rsidR="00CB59B5">
        <w:rPr>
          <w:rFonts w:cs="Times New Roman"/>
          <w:color w:val="000000"/>
          <w:szCs w:val="24"/>
          <w:shd w:val="clear" w:color="auto" w:fill="FFFFFF"/>
        </w:rPr>
        <w:t>est soumis aux</w:t>
      </w:r>
      <w:r w:rsidR="00635278">
        <w:rPr>
          <w:rFonts w:cs="Times New Roman"/>
          <w:color w:val="000000"/>
          <w:szCs w:val="24"/>
          <w:shd w:val="clear" w:color="auto" w:fill="FFFFFF"/>
        </w:rPr>
        <w:t xml:space="preserve"> mêmes règles (un cadre légal, un contexte social et politique), </w:t>
      </w:r>
      <w:r w:rsidR="00CB59B5">
        <w:rPr>
          <w:rFonts w:cs="Times New Roman"/>
          <w:color w:val="000000"/>
          <w:szCs w:val="24"/>
          <w:shd w:val="clear" w:color="auto" w:fill="FFFFFF"/>
        </w:rPr>
        <w:t>les différents</w:t>
      </w:r>
      <w:r w:rsidR="00635278">
        <w:rPr>
          <w:rFonts w:cs="Times New Roman"/>
          <w:color w:val="000000"/>
          <w:szCs w:val="24"/>
          <w:shd w:val="clear" w:color="auto" w:fill="FFFFFF"/>
        </w:rPr>
        <w:t xml:space="preserve"> acteurs ne jouent pas </w:t>
      </w:r>
      <w:r w:rsidR="00CB59B5">
        <w:rPr>
          <w:rFonts w:cs="Times New Roman"/>
          <w:color w:val="000000"/>
          <w:szCs w:val="24"/>
          <w:shd w:val="clear" w:color="auto" w:fill="FFFFFF"/>
        </w:rPr>
        <w:t xml:space="preserve">tous </w:t>
      </w:r>
      <w:r w:rsidR="00635278">
        <w:rPr>
          <w:rFonts w:cs="Times New Roman"/>
          <w:color w:val="000000"/>
          <w:szCs w:val="24"/>
          <w:shd w:val="clear" w:color="auto" w:fill="FFFFFF"/>
        </w:rPr>
        <w:t xml:space="preserve">avec les mêmes </w:t>
      </w:r>
      <w:r w:rsidR="00635278">
        <w:rPr>
          <w:rFonts w:cs="Times New Roman"/>
          <w:i/>
          <w:color w:val="000000"/>
          <w:szCs w:val="24"/>
          <w:shd w:val="clear" w:color="auto" w:fill="FFFFFF"/>
        </w:rPr>
        <w:t>moyens</w:t>
      </w:r>
      <w:r w:rsidR="00635278">
        <w:rPr>
          <w:rFonts w:cs="Times New Roman"/>
          <w:color w:val="000000"/>
          <w:szCs w:val="24"/>
          <w:shd w:val="clear" w:color="auto" w:fill="FFFFFF"/>
        </w:rPr>
        <w:t>,</w:t>
      </w:r>
      <w:r w:rsidR="00CB59B5">
        <w:rPr>
          <w:rFonts w:cs="Times New Roman"/>
          <w:color w:val="000000"/>
          <w:szCs w:val="24"/>
          <w:shd w:val="clear" w:color="auto" w:fill="FFFFFF"/>
        </w:rPr>
        <w:t xml:space="preserve"> ils</w:t>
      </w:r>
      <w:r w:rsidR="00635278">
        <w:rPr>
          <w:rFonts w:cs="Times New Roman"/>
          <w:color w:val="000000"/>
          <w:szCs w:val="24"/>
          <w:shd w:val="clear" w:color="auto" w:fill="FFFFFF"/>
        </w:rPr>
        <w:t xml:space="preserve"> n’endossent</w:t>
      </w:r>
      <w:r w:rsidR="00CB59B5">
        <w:rPr>
          <w:rFonts w:cs="Times New Roman"/>
          <w:color w:val="000000"/>
          <w:szCs w:val="24"/>
          <w:shd w:val="clear" w:color="auto" w:fill="FFFFFF"/>
        </w:rPr>
        <w:t xml:space="preserve"> pas</w:t>
      </w:r>
      <w:r w:rsidR="00635278">
        <w:rPr>
          <w:rFonts w:cs="Times New Roman"/>
          <w:color w:val="000000"/>
          <w:szCs w:val="24"/>
          <w:shd w:val="clear" w:color="auto" w:fill="FFFFFF"/>
        </w:rPr>
        <w:t xml:space="preserve"> le même rôle et leurs actions n’ont pas la même portée</w:t>
      </w:r>
      <w:r w:rsidR="00CB59B5">
        <w:rPr>
          <w:rFonts w:cs="Times New Roman"/>
          <w:color w:val="000000"/>
          <w:szCs w:val="24"/>
          <w:shd w:val="clear" w:color="auto" w:fill="FFFFFF"/>
        </w:rPr>
        <w:t xml:space="preserve">. Nous n’avons pas affaire à </w:t>
      </w:r>
      <w:r w:rsidR="00635278">
        <w:rPr>
          <w:rFonts w:cs="Times New Roman"/>
          <w:color w:val="000000"/>
          <w:szCs w:val="24"/>
          <w:shd w:val="clear" w:color="auto" w:fill="FFFFFF"/>
        </w:rPr>
        <w:t>deux équipes adverses équivalentes, comme dans le cas du football ou du jeu d’échec</w:t>
      </w:r>
      <w:r w:rsidR="00CB59B5">
        <w:rPr>
          <w:rFonts w:cs="Times New Roman"/>
          <w:color w:val="000000"/>
          <w:szCs w:val="24"/>
          <w:shd w:val="clear" w:color="auto" w:fill="FFFFFF"/>
        </w:rPr>
        <w:t> : l</w:t>
      </w:r>
      <w:r w:rsidR="00635278">
        <w:rPr>
          <w:rFonts w:cs="Times New Roman"/>
          <w:color w:val="000000"/>
          <w:szCs w:val="24"/>
          <w:shd w:val="clear" w:color="auto" w:fill="FFFFFF"/>
        </w:rPr>
        <w:t xml:space="preserve">es relations de pouvoir et les rapports de force traversent et constituent les configurations. La notion, si </w:t>
      </w:r>
      <w:r w:rsidR="000104F3">
        <w:rPr>
          <w:rFonts w:cs="Times New Roman"/>
          <w:color w:val="000000"/>
          <w:szCs w:val="24"/>
          <w:shd w:val="clear" w:color="auto" w:fill="FFFFFF"/>
        </w:rPr>
        <w:t xml:space="preserve">elle </w:t>
      </w:r>
      <w:r w:rsidR="00CB59B5">
        <w:rPr>
          <w:rFonts w:cs="Times New Roman"/>
          <w:color w:val="000000"/>
          <w:szCs w:val="24"/>
          <w:shd w:val="clear" w:color="auto" w:fill="FFFFFF"/>
        </w:rPr>
        <w:t xml:space="preserve">appelle certaines précisions </w:t>
      </w:r>
      <w:r w:rsidR="00635278">
        <w:rPr>
          <w:rFonts w:cs="Times New Roman"/>
          <w:color w:val="000000"/>
          <w:szCs w:val="24"/>
          <w:shd w:val="clear" w:color="auto" w:fill="FFFFFF"/>
        </w:rPr>
        <w:t>en ce sens, nous permet tout de même de saisir les interactions, les liens d’interdépendance, et de se donner les moyens de considérer à la fois les limites de la structure (contexte social, cadre légal) et l’influence que peut avoir chacun des acteurs sur les actions de l’autre.</w:t>
      </w:r>
      <w:r w:rsidR="00CB59B5">
        <w:rPr>
          <w:rFonts w:cs="Times New Roman"/>
          <w:color w:val="000000"/>
          <w:szCs w:val="24"/>
          <w:shd w:val="clear" w:color="auto" w:fill="FFFFFF"/>
        </w:rPr>
        <w:t xml:space="preserve"> C</w:t>
      </w:r>
      <w:proofErr w:type="spellStart"/>
      <w:r w:rsidR="00CB59B5" w:rsidRPr="00635278">
        <w:rPr>
          <w:rFonts w:cs="Times New Roman"/>
          <w:szCs w:val="24"/>
          <w:lang w:val="fr-FR"/>
        </w:rPr>
        <w:t>omprendre</w:t>
      </w:r>
      <w:proofErr w:type="spellEnd"/>
      <w:r w:rsidR="00B95949" w:rsidRPr="00635278">
        <w:rPr>
          <w:rFonts w:cs="Times New Roman"/>
          <w:szCs w:val="24"/>
          <w:lang w:val="fr-FR"/>
        </w:rPr>
        <w:t xml:space="preserve"> les procédures d’expulsion comme une configuration nous permet </w:t>
      </w:r>
      <w:r w:rsidR="00CB59B5">
        <w:rPr>
          <w:rFonts w:cs="Times New Roman"/>
          <w:szCs w:val="24"/>
          <w:lang w:val="fr-FR"/>
        </w:rPr>
        <w:t xml:space="preserve">donc </w:t>
      </w:r>
      <w:r w:rsidR="00B95949">
        <w:rPr>
          <w:rFonts w:cs="Times New Roman"/>
          <w:szCs w:val="24"/>
          <w:lang w:val="fr-FR"/>
        </w:rPr>
        <w:t xml:space="preserve">d’ouvrir notre champ de vision et </w:t>
      </w:r>
      <w:r w:rsidR="00CB59B5">
        <w:rPr>
          <w:rFonts w:cs="Times New Roman"/>
          <w:szCs w:val="24"/>
          <w:lang w:val="fr-FR"/>
        </w:rPr>
        <w:t>d’appréhender</w:t>
      </w:r>
      <w:r w:rsidR="00B95949">
        <w:rPr>
          <w:rFonts w:cs="Times New Roman"/>
          <w:szCs w:val="24"/>
          <w:lang w:val="fr-FR"/>
        </w:rPr>
        <w:t xml:space="preserve"> l’ensemble des acteurs impliqués. C’est notamment cette approche </w:t>
      </w:r>
      <w:r w:rsidR="00B95949" w:rsidRPr="00CB59B5">
        <w:rPr>
          <w:rFonts w:cs="Times New Roman"/>
          <w:szCs w:val="24"/>
          <w:lang w:val="fr-FR"/>
        </w:rPr>
        <w:t>qui permettra de</w:t>
      </w:r>
      <w:r w:rsidR="001754D1" w:rsidRPr="00CB59B5">
        <w:rPr>
          <w:rFonts w:cs="Times New Roman"/>
          <w:szCs w:val="24"/>
          <w:lang w:val="fr-FR"/>
        </w:rPr>
        <w:t xml:space="preserve"> répondre</w:t>
      </w:r>
      <w:r w:rsidR="000104F3">
        <w:rPr>
          <w:rFonts w:cs="Times New Roman"/>
          <w:szCs w:val="24"/>
          <w:lang w:val="fr-FR"/>
        </w:rPr>
        <w:t xml:space="preserve"> en partie</w:t>
      </w:r>
      <w:r w:rsidR="001754D1" w:rsidRPr="00CB59B5">
        <w:rPr>
          <w:rFonts w:cs="Times New Roman"/>
          <w:szCs w:val="24"/>
          <w:lang w:val="fr-FR"/>
        </w:rPr>
        <w:t xml:space="preserve"> à </w:t>
      </w:r>
      <w:r w:rsidR="00CB59B5" w:rsidRPr="00CB59B5">
        <w:rPr>
          <w:rFonts w:cs="Times New Roman"/>
          <w:szCs w:val="24"/>
          <w:lang w:val="fr-FR"/>
        </w:rPr>
        <w:t>notre</w:t>
      </w:r>
      <w:r w:rsidR="001754D1" w:rsidRPr="00CB59B5">
        <w:rPr>
          <w:rFonts w:cs="Times New Roman"/>
          <w:szCs w:val="24"/>
          <w:lang w:val="fr-FR"/>
        </w:rPr>
        <w:t xml:space="preserve"> troisième question</w:t>
      </w:r>
      <w:r w:rsidR="00CB59B5" w:rsidRPr="00CB59B5">
        <w:rPr>
          <w:rFonts w:cs="Times New Roman"/>
          <w:szCs w:val="24"/>
          <w:lang w:val="fr-FR"/>
        </w:rPr>
        <w:t xml:space="preserve"> </w:t>
      </w:r>
      <w:r w:rsidR="001754D1" w:rsidRPr="00CB59B5">
        <w:rPr>
          <w:rFonts w:cs="Times New Roman"/>
          <w:szCs w:val="24"/>
          <w:lang w:val="fr-FR"/>
        </w:rPr>
        <w:t xml:space="preserve">: </w:t>
      </w:r>
    </w:p>
    <w:p w14:paraId="1A21AA71" w14:textId="4D99C2CC" w:rsidR="001754D1" w:rsidRPr="00CB59B5" w:rsidRDefault="001754D1" w:rsidP="001229BC">
      <w:pPr>
        <w:pStyle w:val="Paragraphedeliste"/>
        <w:numPr>
          <w:ilvl w:val="0"/>
          <w:numId w:val="15"/>
        </w:numPr>
        <w:spacing w:line="276" w:lineRule="auto"/>
        <w:rPr>
          <w:i/>
        </w:rPr>
      </w:pPr>
      <w:r w:rsidRPr="00CB59B5">
        <w:rPr>
          <w:i/>
        </w:rPr>
        <w:t xml:space="preserve">Quels sens donnent à l’expulsion chacun des acteurs engagés dans le processus ? En particulier, quelles sont les motivations des bailleurs qui initient la procédure ? </w:t>
      </w:r>
    </w:p>
    <w:p w14:paraId="611A801B" w14:textId="09500939" w:rsidR="00B95949" w:rsidRDefault="001754D1" w:rsidP="00984322">
      <w:pPr>
        <w:spacing w:line="276" w:lineRule="auto"/>
        <w:rPr>
          <w:rFonts w:cs="Times New Roman"/>
          <w:szCs w:val="24"/>
          <w:lang w:val="fr-FR"/>
        </w:rPr>
      </w:pPr>
      <w:r>
        <w:rPr>
          <w:rFonts w:cs="Times New Roman"/>
          <w:szCs w:val="24"/>
          <w:lang w:val="fr-FR"/>
        </w:rPr>
        <w:t>Concevoir une procédure d’expulsion comme une configuration, et combiner ce</w:t>
      </w:r>
      <w:r w:rsidR="00C424E8">
        <w:rPr>
          <w:rFonts w:cs="Times New Roman"/>
          <w:szCs w:val="24"/>
          <w:lang w:val="fr-FR"/>
        </w:rPr>
        <w:t xml:space="preserve"> postulat</w:t>
      </w:r>
      <w:r>
        <w:rPr>
          <w:rFonts w:cs="Times New Roman"/>
          <w:szCs w:val="24"/>
          <w:lang w:val="fr-FR"/>
        </w:rPr>
        <w:t xml:space="preserve"> avec l’approche interactionniste</w:t>
      </w:r>
      <w:r w:rsidR="00C424E8">
        <w:rPr>
          <w:rFonts w:cs="Times New Roman"/>
          <w:szCs w:val="24"/>
          <w:lang w:val="fr-FR"/>
        </w:rPr>
        <w:t>,</w:t>
      </w:r>
      <w:r>
        <w:rPr>
          <w:rFonts w:cs="Times New Roman"/>
          <w:szCs w:val="24"/>
          <w:lang w:val="fr-FR"/>
        </w:rPr>
        <w:t xml:space="preserve"> nous permet de </w:t>
      </w:r>
      <w:r w:rsidR="00B95949">
        <w:rPr>
          <w:rFonts w:cs="Times New Roman"/>
          <w:szCs w:val="24"/>
          <w:lang w:val="fr-FR"/>
        </w:rPr>
        <w:t xml:space="preserve">travailler sur les représentations que chacun des acteurs </w:t>
      </w:r>
      <w:r w:rsidR="00C424E8">
        <w:rPr>
          <w:rFonts w:cs="Times New Roman"/>
          <w:szCs w:val="24"/>
          <w:lang w:val="fr-FR"/>
        </w:rPr>
        <w:t>investit dans</w:t>
      </w:r>
      <w:r w:rsidR="00B95949">
        <w:rPr>
          <w:rFonts w:cs="Times New Roman"/>
          <w:szCs w:val="24"/>
          <w:lang w:val="fr-FR"/>
        </w:rPr>
        <w:t xml:space="preserve"> la procédure</w:t>
      </w:r>
      <w:r>
        <w:rPr>
          <w:rFonts w:cs="Times New Roman"/>
          <w:szCs w:val="24"/>
          <w:lang w:val="fr-FR"/>
        </w:rPr>
        <w:t xml:space="preserve">. Cela nous invite également à </w:t>
      </w:r>
      <w:r w:rsidR="00C424E8">
        <w:rPr>
          <w:rFonts w:cs="Times New Roman"/>
          <w:szCs w:val="24"/>
          <w:lang w:val="fr-FR"/>
        </w:rPr>
        <w:t xml:space="preserve">nous pencher sur </w:t>
      </w:r>
      <w:r>
        <w:rPr>
          <w:rFonts w:cs="Times New Roman"/>
          <w:szCs w:val="24"/>
          <w:lang w:val="fr-FR"/>
        </w:rPr>
        <w:t xml:space="preserve">les rôles et actions de chacun </w:t>
      </w:r>
      <w:r>
        <w:rPr>
          <w:rFonts w:cs="Times New Roman"/>
          <w:szCs w:val="24"/>
          <w:lang w:val="fr-FR"/>
        </w:rPr>
        <w:lastRenderedPageBreak/>
        <w:t xml:space="preserve">des acteurs, et </w:t>
      </w:r>
      <w:r w:rsidR="00024AB5">
        <w:rPr>
          <w:rFonts w:cs="Times New Roman"/>
          <w:szCs w:val="24"/>
          <w:lang w:val="fr-FR"/>
        </w:rPr>
        <w:t xml:space="preserve">sur </w:t>
      </w:r>
      <w:r>
        <w:rPr>
          <w:rFonts w:cs="Times New Roman"/>
          <w:szCs w:val="24"/>
          <w:lang w:val="fr-FR"/>
        </w:rPr>
        <w:t xml:space="preserve">la manière dont ils peuvent initier la procédure (pour les bailleurs) et influencer son </w:t>
      </w:r>
      <w:r w:rsidR="00B95949">
        <w:rPr>
          <w:rFonts w:cs="Times New Roman"/>
          <w:szCs w:val="24"/>
          <w:lang w:val="fr-FR"/>
        </w:rPr>
        <w:t>issue</w:t>
      </w:r>
      <w:r w:rsidR="00367246">
        <w:rPr>
          <w:rFonts w:cs="Times New Roman"/>
          <w:szCs w:val="24"/>
          <w:lang w:val="fr-FR"/>
        </w:rPr>
        <w:t xml:space="preserve"> en fonction de leurs actions</w:t>
      </w:r>
      <w:r w:rsidR="00B95949">
        <w:rPr>
          <w:rFonts w:cs="Times New Roman"/>
          <w:szCs w:val="24"/>
          <w:lang w:val="fr-FR"/>
        </w:rPr>
        <w:t xml:space="preserve">. </w:t>
      </w:r>
    </w:p>
    <w:p w14:paraId="5CDEB3AA" w14:textId="0E0CB4FE" w:rsidR="008058BC" w:rsidRPr="005C4A7C" w:rsidRDefault="00862593" w:rsidP="008058BC">
      <w:pPr>
        <w:spacing w:line="276" w:lineRule="auto"/>
      </w:pPr>
      <w:r>
        <w:t>Il reste donc</w:t>
      </w:r>
      <w:r w:rsidR="008058BC" w:rsidRPr="005C4A7C">
        <w:t xml:space="preserve"> au sociologue, lorsqu’il observe un segment de ces chaînes d’interdépendance, </w:t>
      </w:r>
      <w:r w:rsidR="008058BC">
        <w:t xml:space="preserve">une tâche cruciale, </w:t>
      </w:r>
      <w:r w:rsidR="008058BC" w:rsidRPr="005C4A7C">
        <w:t>dont il n’est en réalité pas complètement maître, nous dit Paugam</w:t>
      </w:r>
      <w:r w:rsidR="008058BC">
        <w:t> :</w:t>
      </w:r>
      <w:r w:rsidR="008058BC" w:rsidRPr="005C4A7C">
        <w:t xml:space="preserve"> </w:t>
      </w:r>
      <w:r w:rsidR="008058BC">
        <w:t xml:space="preserve">décider </w:t>
      </w:r>
      <w:r w:rsidR="008058BC" w:rsidRPr="005C4A7C">
        <w:t>où commencer l’enquête et où la terminer,</w:t>
      </w:r>
      <w:r w:rsidR="00024AB5">
        <w:t xml:space="preserve"> décider</w:t>
      </w:r>
      <w:r w:rsidR="008058BC" w:rsidRPr="005C4A7C">
        <w:t xml:space="preserve"> quelles chaines d’interdépendance </w:t>
      </w:r>
      <w:r w:rsidR="00024AB5">
        <w:t>on étudie</w:t>
      </w:r>
      <w:r w:rsidR="008058BC" w:rsidRPr="005C4A7C">
        <w:t xml:space="preserve">, dans le temps (période historique) et dans l’espace (territoire délimité) : </w:t>
      </w:r>
    </w:p>
    <w:p w14:paraId="669F6FF3" w14:textId="284752D3" w:rsidR="008058BC" w:rsidRPr="005C4A7C" w:rsidRDefault="008058BC" w:rsidP="008058BC">
      <w:pPr>
        <w:spacing w:line="276" w:lineRule="auto"/>
        <w:ind w:left="708"/>
        <w:rPr>
          <w:sz w:val="20"/>
        </w:rPr>
      </w:pPr>
      <w:r w:rsidRPr="005C4A7C">
        <w:rPr>
          <w:sz w:val="20"/>
        </w:rPr>
        <w:t>« Ces deux décisions déterminent le périmètre du « cas » qu’il étudie. Impossible ici de raisonner en général : c’est la question qu’il pose, et le domaine de la réalité sociale qui l’intéresse, qui déterminent ces deux décisions d’un point de vue scientifique, tandis que ce sont les opportunités qui s’offrent à lui qui les déterminent d’un point de vue social, et qui dépendent à la fois du monde étudié et de ses propres caractéristiques singulières. » (</w:t>
      </w:r>
      <w:r w:rsidR="00024AB5">
        <w:rPr>
          <w:sz w:val="20"/>
        </w:rPr>
        <w:t>Baud &amp; Weber</w:t>
      </w:r>
      <w:r w:rsidRPr="005C4A7C">
        <w:rPr>
          <w:sz w:val="20"/>
        </w:rPr>
        <w:t>, 2012 : 243)</w:t>
      </w:r>
    </w:p>
    <w:p w14:paraId="55749CF6" w14:textId="3D04C60B" w:rsidR="00055307" w:rsidRDefault="00B95949" w:rsidP="00507A74">
      <w:pPr>
        <w:spacing w:line="276" w:lineRule="auto"/>
        <w:rPr>
          <w:i/>
          <w:highlight w:val="yellow"/>
        </w:rPr>
      </w:pPr>
      <w:r>
        <w:t>Si la procédure juridique commence avec l’introduction d’une requête (ou citation) par le bailleur, q</w:t>
      </w:r>
      <w:r w:rsidR="00862593" w:rsidRPr="00862593">
        <w:t>uand peut-on fixer le début du processus de la perte du logement ? Est-</w:t>
      </w:r>
      <w:r w:rsidR="00024AB5">
        <w:t>on sûr</w:t>
      </w:r>
      <w:r w:rsidR="00862593" w:rsidRPr="00862593">
        <w:t xml:space="preserve"> que cela coïncide avec l’initiative juridique, l’introduction d’une requête venant du</w:t>
      </w:r>
      <w:r w:rsidR="00862593" w:rsidRPr="009343F6">
        <w:t xml:space="preserve"> bailleur ?</w:t>
      </w:r>
      <w:r w:rsidR="00024AB5">
        <w:t xml:space="preserve"> </w:t>
      </w:r>
      <w:r w:rsidR="00862593">
        <w:t>À ce stade-ci</w:t>
      </w:r>
      <w:r w:rsidR="00024AB5">
        <w:t xml:space="preserve"> de la réflexion</w:t>
      </w:r>
      <w:r w:rsidR="00862593">
        <w:t>, il nous manque encore des outils pour saisir d’autres éléments constitutifs du processus que nous étudions, notamment ce qui concerne la gestion du budget des ménages et l’accumulation de dettes locative</w:t>
      </w:r>
      <w:r w:rsidR="008F3A0E">
        <w:t>.</w:t>
      </w:r>
      <w:r w:rsidR="00DF213E">
        <w:t xml:space="preserve"> </w:t>
      </w:r>
      <w:r w:rsidR="00507A74">
        <w:t>Il nous manque encore aussi de quoi aborder la question des motivations et des</w:t>
      </w:r>
      <w:r w:rsidR="00890D09">
        <w:t xml:space="preserve"> pratiques</w:t>
      </w:r>
      <w:r w:rsidR="00024AB5">
        <w:t xml:space="preserve"> des</w:t>
      </w:r>
      <w:r w:rsidR="00890D09">
        <w:t xml:space="preserve"> bailleurs. </w:t>
      </w:r>
      <w:r w:rsidR="00055307">
        <w:t>Nous</w:t>
      </w:r>
      <w:r w:rsidR="00507A74">
        <w:t xml:space="preserve"> n’avons en effet toujours pas</w:t>
      </w:r>
      <w:r w:rsidR="00890D09">
        <w:t xml:space="preserve"> d’outils pour répondre à</w:t>
      </w:r>
      <w:r w:rsidR="00055307">
        <w:t xml:space="preserve"> la seconde partie de la question 3. :</w:t>
      </w:r>
      <w:r w:rsidR="00507A74">
        <w:t xml:space="preserve"> </w:t>
      </w:r>
      <w:r w:rsidR="00055307" w:rsidRPr="00024AB5">
        <w:rPr>
          <w:i/>
        </w:rPr>
        <w:t>Comment se fait-il que certains sollicitent un juge de paix et d’autres pas ? Quand et pourquoi décident-ils d’introduire une requête auprès d’un juge ?</w:t>
      </w:r>
    </w:p>
    <w:p w14:paraId="341857B8" w14:textId="350D041C" w:rsidR="00862593" w:rsidRDefault="008F3A0E" w:rsidP="00862593">
      <w:pPr>
        <w:spacing w:line="276" w:lineRule="auto"/>
      </w:pPr>
      <w:r w:rsidRPr="00507A74">
        <w:t xml:space="preserve">L’ensemble de ces </w:t>
      </w:r>
      <w:r w:rsidR="00507A74" w:rsidRPr="00507A74">
        <w:t>questions</w:t>
      </w:r>
      <w:r w:rsidR="00507A74">
        <w:t>, qu’elles concernent les bailleurs ou les locataires,</w:t>
      </w:r>
      <w:r w:rsidR="00507A74" w:rsidRPr="00507A74">
        <w:t xml:space="preserve"> peuvent être regroupées sous l</w:t>
      </w:r>
      <w:r w:rsidR="00024AB5">
        <w:t xml:space="preserve">a catégorie </w:t>
      </w:r>
      <w:r w:rsidR="00507A74" w:rsidRPr="00507A74">
        <w:t xml:space="preserve">des </w:t>
      </w:r>
      <w:r w:rsidR="00507A74" w:rsidRPr="00507A74">
        <w:rPr>
          <w:i/>
        </w:rPr>
        <w:t>pratiques économique</w:t>
      </w:r>
      <w:r w:rsidR="00507A74">
        <w:t>s des acteurs.</w:t>
      </w:r>
      <w:r w:rsidR="00507A74" w:rsidRPr="00507A74">
        <w:t xml:space="preserve"> </w:t>
      </w:r>
      <w:r w:rsidR="00024AB5">
        <w:t>Il</w:t>
      </w:r>
      <w:r w:rsidR="00862593">
        <w:t xml:space="preserve"> nous parait d’autant plus important d’aborder </w:t>
      </w:r>
      <w:r w:rsidR="00507A74">
        <w:t>ce</w:t>
      </w:r>
      <w:r w:rsidR="00024AB5">
        <w:t>tte dimension</w:t>
      </w:r>
      <w:r w:rsidR="00862593">
        <w:t xml:space="preserve"> pour comprendre les procédures d’expulsions, que </w:t>
      </w:r>
      <w:r w:rsidR="00E13C94">
        <w:t>dans son é</w:t>
      </w:r>
      <w:r w:rsidR="00862593" w:rsidRPr="00D024D8">
        <w:t>tude l’IW</w:t>
      </w:r>
      <w:r w:rsidR="00862593">
        <w:t>E</w:t>
      </w:r>
      <w:r w:rsidR="00862593" w:rsidRPr="00D024D8">
        <w:t>PS</w:t>
      </w:r>
      <w:r w:rsidR="000E3F96">
        <w:t xml:space="preserve"> </w:t>
      </w:r>
      <w:r w:rsidR="00E13C94">
        <w:t>cite l’Union nationale pour l’habitat qui</w:t>
      </w:r>
      <w:r w:rsidR="00862593" w:rsidRPr="00D024D8">
        <w:t xml:space="preserve"> rappelle que «</w:t>
      </w:r>
      <w:r w:rsidR="00862593">
        <w:t xml:space="preserve"> </w:t>
      </w:r>
      <w:r w:rsidR="00E13C94">
        <w:t>p</w:t>
      </w:r>
      <w:r w:rsidR="00E13C94" w:rsidRPr="00E13C94">
        <w:t>lus que la seule question de la prévention de l’expulsion, c’est celle de la prévention de l’impayé qui est posée</w:t>
      </w:r>
      <w:r w:rsidR="00A35D95">
        <w:t xml:space="preserve"> </w:t>
      </w:r>
      <w:r w:rsidR="00862593" w:rsidRPr="00D024D8">
        <w:t>»</w:t>
      </w:r>
      <w:r w:rsidR="00E13C94">
        <w:t xml:space="preserve"> (IWEPS, 2015 :17)</w:t>
      </w:r>
      <w:r w:rsidR="00862593">
        <w:t xml:space="preserve">. </w:t>
      </w:r>
    </w:p>
    <w:p w14:paraId="5A9E4D71" w14:textId="10936ACB" w:rsidR="001754D1" w:rsidRDefault="001754D1" w:rsidP="00862593">
      <w:pPr>
        <w:spacing w:line="276" w:lineRule="auto"/>
      </w:pPr>
    </w:p>
    <w:p w14:paraId="2E16B137" w14:textId="6961FCA7" w:rsidR="00BB6E17" w:rsidRDefault="00163A16" w:rsidP="001229BC">
      <w:pPr>
        <w:pStyle w:val="Titre2"/>
        <w:numPr>
          <w:ilvl w:val="0"/>
          <w:numId w:val="1"/>
        </w:numPr>
        <w:spacing w:line="276" w:lineRule="auto"/>
      </w:pPr>
      <w:bookmarkStart w:id="37" w:name="_Toc152687220"/>
      <w:r>
        <w:t>Ethnographie économique</w:t>
      </w:r>
      <w:bookmarkEnd w:id="37"/>
      <w:r>
        <w:t xml:space="preserve"> </w:t>
      </w:r>
    </w:p>
    <w:p w14:paraId="6F267CEA" w14:textId="0F61B7F8" w:rsidR="00E13C94" w:rsidRDefault="00373217" w:rsidP="00E13C94">
      <w:r>
        <w:t>Un inventaire des outils sociologiques retenus est désormais possible :</w:t>
      </w:r>
    </w:p>
    <w:p w14:paraId="0C9B865A" w14:textId="44247318" w:rsidR="00984322" w:rsidRDefault="00AA5EC8" w:rsidP="001229BC">
      <w:pPr>
        <w:pStyle w:val="Paragraphedeliste"/>
        <w:numPr>
          <w:ilvl w:val="0"/>
          <w:numId w:val="16"/>
        </w:numPr>
        <w:spacing w:line="276" w:lineRule="auto"/>
      </w:pPr>
      <w:proofErr w:type="gramStart"/>
      <w:r>
        <w:t>les</w:t>
      </w:r>
      <w:proofErr w:type="gramEnd"/>
      <w:r w:rsidR="00984322">
        <w:t xml:space="preserve"> notions de trajectoire et de carrière</w:t>
      </w:r>
      <w:r>
        <w:t xml:space="preserve"> </w:t>
      </w:r>
      <w:r w:rsidR="00984322">
        <w:t>nous permettent de travailler le matériau biographique afin de saisir les parcours de manière dynamique et longitudinal</w:t>
      </w:r>
      <w:r>
        <w:t>e</w:t>
      </w:r>
      <w:r w:rsidR="00984322">
        <w:t>, et de</w:t>
      </w:r>
      <w:r>
        <w:t xml:space="preserve"> </w:t>
      </w:r>
      <w:r w:rsidR="00984322">
        <w:t xml:space="preserve">les objectiver en les rattachant aux contraintes objectives qui pèsent sur </w:t>
      </w:r>
      <w:r>
        <w:t>eux</w:t>
      </w:r>
      <w:r w:rsidR="00233B29">
        <w:t> ;</w:t>
      </w:r>
    </w:p>
    <w:p w14:paraId="3E50B831" w14:textId="0302895C" w:rsidR="00984322" w:rsidRDefault="00984322" w:rsidP="001229BC">
      <w:pPr>
        <w:pStyle w:val="Paragraphedeliste"/>
        <w:numPr>
          <w:ilvl w:val="0"/>
          <w:numId w:val="16"/>
        </w:numPr>
        <w:spacing w:line="276" w:lineRule="auto"/>
      </w:pPr>
      <w:proofErr w:type="gramStart"/>
      <w:r>
        <w:t>l’approche</w:t>
      </w:r>
      <w:proofErr w:type="gramEnd"/>
      <w:r>
        <w:t xml:space="preserve"> interactionniste nous permet de regarder ce qui se passe du </w:t>
      </w:r>
      <w:proofErr w:type="spellStart"/>
      <w:r>
        <w:t>coté</w:t>
      </w:r>
      <w:proofErr w:type="spellEnd"/>
      <w:r>
        <w:t xml:space="preserve"> de ceux qui ont le pouvoir de définir des normes et de les mettre en pratique : les institutions et les </w:t>
      </w:r>
      <w:proofErr w:type="spellStart"/>
      <w:r w:rsidRPr="00AA5EC8">
        <w:rPr>
          <w:i/>
        </w:rPr>
        <w:t>politcy</w:t>
      </w:r>
      <w:proofErr w:type="spellEnd"/>
      <w:r w:rsidRPr="00AA5EC8">
        <w:rPr>
          <w:i/>
        </w:rPr>
        <w:t xml:space="preserve"> </w:t>
      </w:r>
      <w:proofErr w:type="spellStart"/>
      <w:r w:rsidRPr="00AA5EC8">
        <w:rPr>
          <w:i/>
        </w:rPr>
        <w:t>makers</w:t>
      </w:r>
      <w:proofErr w:type="spellEnd"/>
      <w:r>
        <w:t xml:space="preserve"> qui </w:t>
      </w:r>
      <w:r w:rsidR="00AA5EC8">
        <w:t>appliquent</w:t>
      </w:r>
      <w:r>
        <w:t xml:space="preserve"> les politiques publiques.</w:t>
      </w:r>
      <w:r w:rsidR="00E03DC6">
        <w:t xml:space="preserve"> Cette approche nous donne à voir une série de décalages, de « conflit</w:t>
      </w:r>
      <w:r w:rsidR="00AA5EC8">
        <w:t>s</w:t>
      </w:r>
      <w:r w:rsidR="00E03DC6">
        <w:t xml:space="preserve"> d’interprétation », </w:t>
      </w:r>
      <w:r w:rsidR="00233B29">
        <w:t xml:space="preserve">de conflits de normes </w:t>
      </w:r>
      <w:r w:rsidR="00E03DC6">
        <w:t>entre ces acteurs</w:t>
      </w:r>
      <w:r w:rsidR="00233B29">
        <w:t xml:space="preserve">, notamment </w:t>
      </w:r>
      <w:r w:rsidR="00AA5EC8">
        <w:t>sur</w:t>
      </w:r>
      <w:r w:rsidR="00233B29">
        <w:t xml:space="preserve"> la « bonne gestion budgétaire » et</w:t>
      </w:r>
      <w:r w:rsidR="00AA5EC8">
        <w:t xml:space="preserve"> sur le</w:t>
      </w:r>
      <w:r w:rsidR="00233B29">
        <w:t xml:space="preserve"> rapport au temps</w:t>
      </w:r>
      <w:r w:rsidR="00AA5EC8">
        <w:t xml:space="preserve"> </w:t>
      </w:r>
      <w:r w:rsidR="00233B29">
        <w:t>;</w:t>
      </w:r>
    </w:p>
    <w:p w14:paraId="465F8A09" w14:textId="4BDFDDFD" w:rsidR="00E03DC6" w:rsidRDefault="00AA5EC8" w:rsidP="001229BC">
      <w:pPr>
        <w:pStyle w:val="Paragraphedeliste"/>
        <w:numPr>
          <w:ilvl w:val="0"/>
          <w:numId w:val="16"/>
        </w:numPr>
        <w:spacing w:line="276" w:lineRule="auto"/>
      </w:pPr>
      <w:proofErr w:type="gramStart"/>
      <w:r>
        <w:t>l</w:t>
      </w:r>
      <w:r w:rsidR="00E03DC6">
        <w:t>a</w:t>
      </w:r>
      <w:proofErr w:type="gramEnd"/>
      <w:r w:rsidR="00E03DC6">
        <w:t xml:space="preserve"> notion de configuration empruntée à Elias nous permet de gagner encore en objectivité, en rattachant le matériau </w:t>
      </w:r>
      <w:r w:rsidR="00233B29">
        <w:t>récolté au contexte social et historique au sein duquel il émerge. Elle nous permet également de considérer les actions de l’ensemble des acteurs engagés dans la procédure d’expulsion</w:t>
      </w:r>
      <w:r>
        <w:t>,</w:t>
      </w:r>
      <w:r w:rsidR="00233B29">
        <w:t xml:space="preserve"> et de reconnaitre, pour chacun</w:t>
      </w:r>
      <w:r>
        <w:t>,</w:t>
      </w:r>
      <w:r w:rsidR="00233B29">
        <w:t xml:space="preserve"> l’influence qu’ils peuvent avoir sur son issue. </w:t>
      </w:r>
    </w:p>
    <w:p w14:paraId="046C657A" w14:textId="37DC5AAB" w:rsidR="00233B29" w:rsidRDefault="00233B29" w:rsidP="00233B29">
      <w:pPr>
        <w:spacing w:line="276" w:lineRule="auto"/>
      </w:pPr>
      <w:r>
        <w:t xml:space="preserve">Mais plusieurs </w:t>
      </w:r>
      <w:r w:rsidR="00B75BF0">
        <w:t xml:space="preserve">questions </w:t>
      </w:r>
      <w:r>
        <w:t>sont encore en suspens</w:t>
      </w:r>
      <w:r w:rsidR="00B75BF0">
        <w:t xml:space="preserve"> pour saisir tout à faire le processus qui mène à l’expulsion</w:t>
      </w:r>
      <w:r>
        <w:t xml:space="preserve">, et nous manquons encore d’outils pour y répondre : </w:t>
      </w:r>
    </w:p>
    <w:p w14:paraId="4D7DA3E1" w14:textId="5AF6F816" w:rsidR="00233B29" w:rsidRPr="00B75BF0" w:rsidRDefault="00B75BF0" w:rsidP="001229BC">
      <w:pPr>
        <w:pStyle w:val="Paragraphedeliste"/>
        <w:numPr>
          <w:ilvl w:val="0"/>
          <w:numId w:val="17"/>
        </w:numPr>
        <w:spacing w:line="276" w:lineRule="auto"/>
        <w:rPr>
          <w:i/>
        </w:rPr>
      </w:pPr>
      <w:r w:rsidRPr="00B75BF0">
        <w:rPr>
          <w:i/>
        </w:rPr>
        <w:t>Quand</w:t>
      </w:r>
      <w:r w:rsidR="00233B29" w:rsidRPr="00B75BF0">
        <w:rPr>
          <w:i/>
        </w:rPr>
        <w:t xml:space="preserve"> le risque de perdre son logement pour une dette locative commence</w:t>
      </w:r>
      <w:r w:rsidR="00AA5EC8">
        <w:rPr>
          <w:i/>
        </w:rPr>
        <w:t>-t-il</w:t>
      </w:r>
      <w:r w:rsidR="00233B29" w:rsidRPr="00B75BF0">
        <w:rPr>
          <w:i/>
        </w:rPr>
        <w:t xml:space="preserve"> ? </w:t>
      </w:r>
    </w:p>
    <w:p w14:paraId="6804CF2B" w14:textId="432F5B93" w:rsidR="00233B29" w:rsidRPr="00B75BF0" w:rsidRDefault="00B75BF0" w:rsidP="001229BC">
      <w:pPr>
        <w:pStyle w:val="Paragraphedeliste"/>
        <w:numPr>
          <w:ilvl w:val="0"/>
          <w:numId w:val="17"/>
        </w:numPr>
        <w:spacing w:line="276" w:lineRule="auto"/>
        <w:rPr>
          <w:i/>
        </w:rPr>
      </w:pPr>
      <w:r w:rsidRPr="00B75BF0">
        <w:rPr>
          <w:i/>
        </w:rPr>
        <w:lastRenderedPageBreak/>
        <w:t>Pourquoi</w:t>
      </w:r>
      <w:r w:rsidR="00233B29" w:rsidRPr="00B75BF0">
        <w:rPr>
          <w:i/>
        </w:rPr>
        <w:t xml:space="preserve"> le locataire « décide</w:t>
      </w:r>
      <w:proofErr w:type="gramStart"/>
      <w:r w:rsidR="00233B29" w:rsidRPr="00B75BF0">
        <w:rPr>
          <w:i/>
        </w:rPr>
        <w:t> »</w:t>
      </w:r>
      <w:r w:rsidR="00AA5EC8">
        <w:rPr>
          <w:i/>
        </w:rPr>
        <w:t>-</w:t>
      </w:r>
      <w:proofErr w:type="gramEnd"/>
      <w:r w:rsidR="00AA5EC8">
        <w:rPr>
          <w:i/>
        </w:rPr>
        <w:t>t-il</w:t>
      </w:r>
      <w:r w:rsidR="00233B29" w:rsidRPr="00B75BF0">
        <w:rPr>
          <w:i/>
        </w:rPr>
        <w:t xml:space="preserve"> d’arrêter de payer son loyer ? </w:t>
      </w:r>
    </w:p>
    <w:p w14:paraId="1B8C9C0F" w14:textId="12811D74" w:rsidR="00233B29" w:rsidRPr="00B75BF0" w:rsidRDefault="00B75BF0" w:rsidP="001229BC">
      <w:pPr>
        <w:pStyle w:val="Paragraphedeliste"/>
        <w:numPr>
          <w:ilvl w:val="0"/>
          <w:numId w:val="17"/>
        </w:numPr>
        <w:spacing w:line="276" w:lineRule="auto"/>
        <w:rPr>
          <w:i/>
        </w:rPr>
      </w:pPr>
      <w:r w:rsidRPr="00B75BF0">
        <w:rPr>
          <w:i/>
        </w:rPr>
        <w:t>À</w:t>
      </w:r>
      <w:r w:rsidR="00233B29" w:rsidRPr="00B75BF0">
        <w:rPr>
          <w:i/>
        </w:rPr>
        <w:t xml:space="preserve"> quelle moment le propriétaire décide</w:t>
      </w:r>
      <w:r w:rsidR="00AA5EC8">
        <w:rPr>
          <w:i/>
        </w:rPr>
        <w:t>-t-il</w:t>
      </w:r>
      <w:r w:rsidR="00233B29" w:rsidRPr="00B75BF0">
        <w:rPr>
          <w:i/>
        </w:rPr>
        <w:t xml:space="preserve"> alors de solliciter le juge de paix ? Quel est son « seuil de tolérance » ?</w:t>
      </w:r>
      <w:r w:rsidR="00AA5EC8">
        <w:rPr>
          <w:i/>
        </w:rPr>
        <w:t xml:space="preserve"> Au bout de combien de mois de retard ?</w:t>
      </w:r>
    </w:p>
    <w:p w14:paraId="4807D0AC" w14:textId="1F4B85D9" w:rsidR="00A5780F" w:rsidRDefault="001754D1" w:rsidP="00E505A5">
      <w:pPr>
        <w:spacing w:line="276" w:lineRule="auto"/>
      </w:pPr>
      <w:r>
        <w:t>Pour répondre</w:t>
      </w:r>
      <w:r w:rsidR="00AA5EC8">
        <w:t xml:space="preserve"> à ces questions</w:t>
      </w:r>
      <w:r>
        <w:t xml:space="preserve">, </w:t>
      </w:r>
      <w:r w:rsidR="0076262D" w:rsidRPr="00FC60E7">
        <w:t xml:space="preserve">nous proposons de </w:t>
      </w:r>
      <w:r w:rsidR="00FC60E7" w:rsidRPr="00FC60E7">
        <w:t xml:space="preserve">puiser </w:t>
      </w:r>
      <w:r w:rsidR="0076262D" w:rsidRPr="00FC60E7">
        <w:t xml:space="preserve">dans </w:t>
      </w:r>
      <w:r w:rsidR="00FC60E7" w:rsidRPr="00FC60E7">
        <w:t>un ensemble vaste de concepts</w:t>
      </w:r>
      <w:r w:rsidR="00AA5EC8">
        <w:t xml:space="preserve"> et de </w:t>
      </w:r>
      <w:r w:rsidR="00FC60E7" w:rsidRPr="00FC60E7">
        <w:t xml:space="preserve">méthodes </w:t>
      </w:r>
      <w:r w:rsidR="00AA5EC8">
        <w:t>qui relèvent de</w:t>
      </w:r>
      <w:r w:rsidR="00830AF8">
        <w:t xml:space="preserve"> </w:t>
      </w:r>
      <w:r w:rsidR="00F16A20">
        <w:t>l’ethnographie des pratiques économiques</w:t>
      </w:r>
      <w:r w:rsidR="00FC60E7" w:rsidRPr="00FC60E7">
        <w:t>.</w:t>
      </w:r>
      <w:r w:rsidR="00FC60E7">
        <w:t xml:space="preserve"> </w:t>
      </w:r>
    </w:p>
    <w:p w14:paraId="44EA7EB7" w14:textId="7974C159" w:rsidR="00E33E0C" w:rsidRPr="00E33E0C" w:rsidRDefault="00E33E0C" w:rsidP="00E505A5">
      <w:pPr>
        <w:pStyle w:val="Titre3"/>
        <w:spacing w:line="276" w:lineRule="auto"/>
      </w:pPr>
      <w:bookmarkStart w:id="38" w:name="_Toc152687221"/>
      <w:r>
        <w:t>Hériter de Karl Polanyi</w:t>
      </w:r>
      <w:bookmarkEnd w:id="38"/>
    </w:p>
    <w:p w14:paraId="5DDC76B9" w14:textId="5DD85B1C" w:rsidR="00652AAF" w:rsidRPr="00ED1A02" w:rsidRDefault="00652AAF" w:rsidP="00E505A5">
      <w:pPr>
        <w:spacing w:line="276" w:lineRule="auto"/>
      </w:pPr>
      <w:r>
        <w:t xml:space="preserve">Les différents auteurs se rattachant à ce champ particulier de la sociologie ont </w:t>
      </w:r>
      <w:r w:rsidR="00644D4B">
        <w:t>en commun</w:t>
      </w:r>
      <w:r>
        <w:t xml:space="preserve"> de se réclamer de Karl </w:t>
      </w:r>
      <w:r w:rsidR="00B455D7">
        <w:t>Polanyi</w:t>
      </w:r>
      <w:r>
        <w:t xml:space="preserve">, et de son ouvrage majeur </w:t>
      </w:r>
      <w:r>
        <w:rPr>
          <w:i/>
        </w:rPr>
        <w:t xml:space="preserve">La grande transformation. </w:t>
      </w:r>
      <w:r w:rsidR="00EF2418">
        <w:t xml:space="preserve">Dans </w:t>
      </w:r>
      <w:r w:rsidR="00AA5EC8">
        <w:t>cet</w:t>
      </w:r>
      <w:r w:rsidR="00EF2418">
        <w:t xml:space="preserve"> ouvrage, </w:t>
      </w:r>
      <w:r w:rsidR="00B455D7">
        <w:t>Polanyi</w:t>
      </w:r>
      <w:r w:rsidR="00927B39">
        <w:t xml:space="preserve"> retrace l’histoire des marché</w:t>
      </w:r>
      <w:r w:rsidR="00AA5EC8">
        <w:t>s</w:t>
      </w:r>
      <w:r w:rsidR="00927B39">
        <w:t xml:space="preserve"> économiques nationaux. Il montre que leur émergence n’est pas le résultat « naturel » de l’action d’une main invisible, l’extension logique d’échanges locaux, autorégulé</w:t>
      </w:r>
      <w:r w:rsidR="00AA5EC8">
        <w:t>s</w:t>
      </w:r>
      <w:r w:rsidR="00927B39">
        <w:t>, mais bien plutôt l’effet d’une politique d’Etat délibérée (</w:t>
      </w:r>
      <w:r w:rsidR="00B455D7">
        <w:t>Polanyi</w:t>
      </w:r>
      <w:r w:rsidR="00927B39">
        <w:t xml:space="preserve">, </w:t>
      </w:r>
      <w:r w:rsidR="00AA5EC8">
        <w:t xml:space="preserve">2009 : </w:t>
      </w:r>
      <w:r w:rsidR="00927B39">
        <w:t xml:space="preserve">111) : </w:t>
      </w:r>
      <w:r w:rsidR="00644D4B">
        <w:t xml:space="preserve">voyant dans </w:t>
      </w:r>
      <w:r w:rsidR="00962402">
        <w:t>le marché « nationalisé » le meilleur soutien pour assoir leur pouvoir</w:t>
      </w:r>
      <w:r w:rsidR="00644D4B">
        <w:t>, les Etats occidentaux centralisé</w:t>
      </w:r>
      <w:r w:rsidR="00AA5EC8">
        <w:t>s</w:t>
      </w:r>
      <w:r w:rsidR="00644D4B">
        <w:t xml:space="preserve"> ont activement mis en œuvre une série de lois ou de politiques pour que celui-ci voit le jour </w:t>
      </w:r>
      <w:r w:rsidR="00962402">
        <w:t>(</w:t>
      </w:r>
      <w:r w:rsidR="00B455D7">
        <w:t>Polanyi</w:t>
      </w:r>
      <w:r w:rsidR="00962402">
        <w:t>,</w:t>
      </w:r>
      <w:r w:rsidR="008E7D0E">
        <w:t xml:space="preserve"> 2009</w:t>
      </w:r>
      <w:r w:rsidR="00EB5B24">
        <w:t> : Chapitre 4</w:t>
      </w:r>
      <w:r w:rsidR="00962402">
        <w:t>).</w:t>
      </w:r>
      <w:r w:rsidR="00425986">
        <w:t xml:space="preserve"> </w:t>
      </w:r>
    </w:p>
    <w:p w14:paraId="37523E01" w14:textId="7117C870" w:rsidR="00B455D7" w:rsidRDefault="00962402" w:rsidP="00B455D7">
      <w:pPr>
        <w:spacing w:line="276" w:lineRule="auto"/>
      </w:pPr>
      <w:r w:rsidRPr="00ED1A02">
        <w:t xml:space="preserve">La science économique a depuis oublié cette régulation </w:t>
      </w:r>
      <w:r w:rsidR="00B455D7">
        <w:t>étatique</w:t>
      </w:r>
      <w:r w:rsidRPr="00ED1A02">
        <w:t xml:space="preserve"> du marché</w:t>
      </w:r>
      <w:r w:rsidR="00252B7B" w:rsidRPr="00ED1A02">
        <w:t xml:space="preserve">, </w:t>
      </w:r>
      <w:r w:rsidRPr="00ED1A02">
        <w:t>effacée derrière l’</w:t>
      </w:r>
      <w:r w:rsidR="009472CF" w:rsidRPr="00ED1A02">
        <w:t>abstraction</w:t>
      </w:r>
      <w:r w:rsidRPr="00ED1A02">
        <w:t xml:space="preserve"> d’un marché « autorégulé » </w:t>
      </w:r>
      <w:r w:rsidR="00EB5B24">
        <w:t>(</w:t>
      </w:r>
      <w:r w:rsidR="009472CF" w:rsidRPr="00ED1A02">
        <w:t xml:space="preserve">par l’équilibre qui se forme spontanément entre l’offre et la demande, </w:t>
      </w:r>
      <w:r w:rsidRPr="00ED1A02">
        <w:t>détaché de tout activités sociales et contextes politiques</w:t>
      </w:r>
      <w:r w:rsidR="00644D4B" w:rsidRPr="00ED1A02">
        <w:t> : l’intérêt personnel de chacun, guidé par une « main invisible », assur</w:t>
      </w:r>
      <w:r w:rsidR="00EB5B24">
        <w:t>erait</w:t>
      </w:r>
      <w:r w:rsidR="00644D4B" w:rsidRPr="00ED1A02">
        <w:t xml:space="preserve"> le bien commun</w:t>
      </w:r>
      <w:r w:rsidR="00EB5B24">
        <w:t>)</w:t>
      </w:r>
      <w:r w:rsidRPr="00ED1A02">
        <w:t xml:space="preserve">. </w:t>
      </w:r>
      <w:r w:rsidR="00ED1A02" w:rsidRPr="00ED1A02">
        <w:t xml:space="preserve">Le marché se trouve alors dissocié de l’ordre social dans lequel il prend pourtant place, comme toute pratique humaine. </w:t>
      </w:r>
      <w:r w:rsidR="00B455D7">
        <w:t xml:space="preserve">Jusqu’à ce grand retournement : </w:t>
      </w:r>
      <w:r w:rsidR="0095582A" w:rsidRPr="00101442">
        <w:t>« au lieu que l’économie [soit] encastrée dans les relations sociales, ce sont les relations sociales qui sont encastrées dans le système économique. » (</w:t>
      </w:r>
      <w:r w:rsidR="00B455D7" w:rsidRPr="00101442">
        <w:t>Polanyi</w:t>
      </w:r>
      <w:r w:rsidR="0095582A" w:rsidRPr="00101442">
        <w:t xml:space="preserve">, </w:t>
      </w:r>
      <w:r w:rsidR="00EB5B24">
        <w:t>2009 :</w:t>
      </w:r>
      <w:r w:rsidR="0095582A" w:rsidRPr="00101442">
        <w:t xml:space="preserve">104). </w:t>
      </w:r>
    </w:p>
    <w:p w14:paraId="09564C16" w14:textId="310EF476" w:rsidR="00252B7B" w:rsidRPr="0095582A" w:rsidRDefault="00B455D7" w:rsidP="00B455D7">
      <w:pPr>
        <w:spacing w:line="276" w:lineRule="auto"/>
        <w:rPr>
          <w:highlight w:val="magenta"/>
        </w:rPr>
      </w:pPr>
      <w:r>
        <w:t>Polanyi décrit c</w:t>
      </w:r>
      <w:r w:rsidR="00ED1A02" w:rsidRPr="00ED1A02">
        <w:t>ette</w:t>
      </w:r>
      <w:r w:rsidR="00252B7B" w:rsidRPr="00ED1A02">
        <w:t xml:space="preserve"> relecture de l’histoire </w:t>
      </w:r>
      <w:r w:rsidR="00ED1A02" w:rsidRPr="00ED1A02">
        <w:t>comme une utopie négative, violente et destructrice, qui, entre autres, « sépare la terre de l’homme et organise la société de manière à satisfaire les exigences d’un marché de l’immobilier. » (</w:t>
      </w:r>
      <w:r w:rsidRPr="00ED1A02">
        <w:t>Polanyi</w:t>
      </w:r>
      <w:r w:rsidR="00ED1A02" w:rsidRPr="00ED1A02">
        <w:t>, 253-254). </w:t>
      </w:r>
      <w:r w:rsidR="00252B7B" w:rsidRPr="00252B7B">
        <w:t xml:space="preserve">L'intention de </w:t>
      </w:r>
      <w:r w:rsidR="00ED1A02">
        <w:t xml:space="preserve">l’auteur </w:t>
      </w:r>
      <w:r w:rsidR="00252B7B" w:rsidRPr="00252B7B">
        <w:t xml:space="preserve">est de montrer à quel point </w:t>
      </w:r>
      <w:r w:rsidR="00252B7B">
        <w:t>cette approche est loin</w:t>
      </w:r>
      <w:r w:rsidR="00252B7B" w:rsidRPr="00252B7B">
        <w:t xml:space="preserve"> de la réalité des sociétés humaines tout au long de l'histoire</w:t>
      </w:r>
      <w:r w:rsidR="00252B7B">
        <w:t> : a</w:t>
      </w:r>
      <w:r w:rsidR="00252B7B" w:rsidRPr="00252B7B">
        <w:t xml:space="preserve">vant le XIXe siècle, l'économie humaine a toujours été </w:t>
      </w:r>
      <w:r w:rsidR="00252B7B">
        <w:t>encastrée (</w:t>
      </w:r>
      <w:proofErr w:type="spellStart"/>
      <w:r w:rsidR="00252B7B">
        <w:rPr>
          <w:i/>
        </w:rPr>
        <w:t>embedded</w:t>
      </w:r>
      <w:proofErr w:type="spellEnd"/>
      <w:r w:rsidR="00252B7B">
        <w:rPr>
          <w:i/>
        </w:rPr>
        <w:t>)</w:t>
      </w:r>
      <w:r w:rsidR="00252B7B" w:rsidRPr="00252B7B">
        <w:t xml:space="preserve"> dans la société.</w:t>
      </w:r>
      <w:r w:rsidR="00252B7B">
        <w:t xml:space="preserve"> </w:t>
      </w:r>
      <w:r w:rsidR="00252B7B" w:rsidRPr="00252B7B">
        <w:t>L</w:t>
      </w:r>
      <w:r w:rsidR="00783998">
        <w:t>a notion d</w:t>
      </w:r>
      <w:proofErr w:type="gramStart"/>
      <w:r w:rsidR="00783998">
        <w:t>’</w:t>
      </w:r>
      <w:r w:rsidR="00252B7B" w:rsidRPr="00252B7B">
        <w:t>«</w:t>
      </w:r>
      <w:proofErr w:type="gramEnd"/>
      <w:r w:rsidR="00252B7B" w:rsidRPr="00252B7B">
        <w:t xml:space="preserve"> encastrement » </w:t>
      </w:r>
      <w:r w:rsidR="00252B7B">
        <w:t>(</w:t>
      </w:r>
      <w:proofErr w:type="spellStart"/>
      <w:r w:rsidR="00252B7B" w:rsidRPr="00ED1A02">
        <w:rPr>
          <w:i/>
        </w:rPr>
        <w:t>embeddeness</w:t>
      </w:r>
      <w:proofErr w:type="spellEnd"/>
      <w:r w:rsidR="00252B7B">
        <w:t xml:space="preserve">) </w:t>
      </w:r>
      <w:r w:rsidR="00252B7B" w:rsidRPr="00252B7B">
        <w:t>exprime l'idée que l'économie n'est pas autonome, c</w:t>
      </w:r>
      <w:r w:rsidR="00252B7B">
        <w:t xml:space="preserve">ontrairement à ce que stipule la </w:t>
      </w:r>
      <w:r w:rsidR="00252B7B" w:rsidRPr="00252B7B">
        <w:t>théorie économique</w:t>
      </w:r>
      <w:r w:rsidR="00783998">
        <w:t xml:space="preserve"> libérale</w:t>
      </w:r>
      <w:r w:rsidR="00252B7B" w:rsidRPr="00252B7B">
        <w:t>, mais</w:t>
      </w:r>
      <w:r w:rsidR="00252B7B">
        <w:t xml:space="preserve"> bien</w:t>
      </w:r>
      <w:r w:rsidR="00252B7B" w:rsidRPr="00252B7B">
        <w:t xml:space="preserve"> subordonnée à la politique, à la religion et aux relations sociales.</w:t>
      </w:r>
      <w:r w:rsidR="0095582A">
        <w:t xml:space="preserve"> </w:t>
      </w:r>
    </w:p>
    <w:p w14:paraId="73DBEB8B" w14:textId="028315F5" w:rsidR="00F16A20" w:rsidRDefault="0095582A" w:rsidP="00E505A5">
      <w:pPr>
        <w:spacing w:line="276" w:lineRule="auto"/>
      </w:pPr>
      <w:r w:rsidRPr="00101442">
        <w:t xml:space="preserve">Depuis les années </w:t>
      </w:r>
      <w:r w:rsidR="00783998">
        <w:t>19</w:t>
      </w:r>
      <w:r w:rsidRPr="00101442">
        <w:t xml:space="preserve">70, plusieurs auteurs se revendiquant de </w:t>
      </w:r>
      <w:r w:rsidR="00101442" w:rsidRPr="00101442">
        <w:t>Polanyi</w:t>
      </w:r>
      <w:r w:rsidRPr="00101442">
        <w:t xml:space="preserve"> reprennent à leur compte la notion </w:t>
      </w:r>
      <w:r w:rsidR="006B300B" w:rsidRPr="00101442">
        <w:t>d’</w:t>
      </w:r>
      <w:proofErr w:type="spellStart"/>
      <w:r w:rsidR="006B300B" w:rsidRPr="00101442">
        <w:rPr>
          <w:i/>
          <w:iCs/>
        </w:rPr>
        <w:t>embeddedness</w:t>
      </w:r>
      <w:proofErr w:type="spellEnd"/>
      <w:r w:rsidRPr="00101442">
        <w:t xml:space="preserve"> et travaillent sur l’encastrement </w:t>
      </w:r>
      <w:r w:rsidR="006B300B" w:rsidRPr="00101442">
        <w:t>des phénomènes économiques dans des processus sociaux</w:t>
      </w:r>
      <w:r w:rsidRPr="00101442">
        <w:t>. Il</w:t>
      </w:r>
      <w:r w:rsidR="00B455D7">
        <w:t>s</w:t>
      </w:r>
      <w:r w:rsidRPr="00101442">
        <w:t xml:space="preserve"> se donne</w:t>
      </w:r>
      <w:r w:rsidR="00B455D7">
        <w:t>nt</w:t>
      </w:r>
      <w:r w:rsidRPr="00101442">
        <w:t xml:space="preserve"> pour tâche de</w:t>
      </w:r>
      <w:r w:rsidR="00101442">
        <w:t xml:space="preserve"> </w:t>
      </w:r>
      <w:r w:rsidR="006B300B" w:rsidRPr="00101442">
        <w:t xml:space="preserve">mettre au jour des processus et des rapports sociaux </w:t>
      </w:r>
      <w:r w:rsidRPr="00101442">
        <w:t xml:space="preserve">qui se trouvent </w:t>
      </w:r>
      <w:r w:rsidR="006B300B" w:rsidRPr="00101442">
        <w:t>au cœur de l’activité économique</w:t>
      </w:r>
      <w:r w:rsidRPr="00101442">
        <w:t xml:space="preserve">, dans la veine du sociologue états-unien </w:t>
      </w:r>
      <w:r w:rsidR="006B300B" w:rsidRPr="00101442">
        <w:t>Harrison White</w:t>
      </w:r>
      <w:r w:rsidR="00783998">
        <w:t>,</w:t>
      </w:r>
      <w:r w:rsidRPr="00101442">
        <w:t xml:space="preserve"> pour qui </w:t>
      </w:r>
      <w:r w:rsidR="006B300B" w:rsidRPr="00101442">
        <w:t>les marchés sont d’authentiques créations sociales, plutôt que des espaces autonomes sur lesquels des processus sociaux vien</w:t>
      </w:r>
      <w:r w:rsidR="00783998">
        <w:t>draient</w:t>
      </w:r>
      <w:r w:rsidR="006B300B" w:rsidRPr="00101442">
        <w:t xml:space="preserve"> seulement se </w:t>
      </w:r>
      <w:r w:rsidR="006B300B" w:rsidRPr="00DB411B">
        <w:t>greffer</w:t>
      </w:r>
      <w:r w:rsidR="00101442" w:rsidRPr="00DB411B">
        <w:t xml:space="preserve"> </w:t>
      </w:r>
      <w:r w:rsidRPr="00DB411B">
        <w:t xml:space="preserve">(Zelizer, </w:t>
      </w:r>
      <w:r w:rsidR="00DB411B" w:rsidRPr="00DB411B">
        <w:t>2005 :</w:t>
      </w:r>
      <w:r w:rsidRPr="00DB411B">
        <w:t xml:space="preserve"> 127)</w:t>
      </w:r>
      <w:r w:rsidR="006B300B" w:rsidRPr="00DB411B">
        <w:t>.</w:t>
      </w:r>
      <w:r w:rsidR="00101442" w:rsidRPr="00DB411B">
        <w:t xml:space="preserve"> </w:t>
      </w:r>
      <w:r w:rsidRPr="00DB411B">
        <w:t>Pour</w:t>
      </w:r>
      <w:r w:rsidRPr="00101442">
        <w:t xml:space="preserve"> </w:t>
      </w:r>
      <w:r w:rsidR="00101442" w:rsidRPr="00101442">
        <w:t>c</w:t>
      </w:r>
      <w:r w:rsidRPr="00101442">
        <w:t>es sociologue</w:t>
      </w:r>
      <w:r w:rsidR="00101442" w:rsidRPr="00101442">
        <w:t>s</w:t>
      </w:r>
      <w:r w:rsidRPr="00101442">
        <w:t xml:space="preserve"> </w:t>
      </w:r>
      <w:r w:rsidR="006B300B" w:rsidRPr="00101442">
        <w:t>en quête d’une sociologie économique alternative</w:t>
      </w:r>
      <w:r w:rsidRPr="00101442">
        <w:t xml:space="preserve">, non seulement </w:t>
      </w:r>
      <w:r w:rsidR="006B300B" w:rsidRPr="00101442">
        <w:t>les cadres de l’économie</w:t>
      </w:r>
      <w:r w:rsidR="00101442" w:rsidRPr="00101442">
        <w:t xml:space="preserve"> sont </w:t>
      </w:r>
      <w:r w:rsidR="00F16A20">
        <w:t>le fruit de</w:t>
      </w:r>
      <w:r w:rsidR="00101442" w:rsidRPr="00101442">
        <w:t xml:space="preserve"> processus sociaux</w:t>
      </w:r>
      <w:r w:rsidR="006B300B" w:rsidRPr="00101442">
        <w:t>, mais le contenu de ces cadres</w:t>
      </w:r>
      <w:r w:rsidR="00DB411B">
        <w:t xml:space="preserve"> et </w:t>
      </w:r>
      <w:r w:rsidR="00101442" w:rsidRPr="00101442">
        <w:t xml:space="preserve">les pratiques économiques sont </w:t>
      </w:r>
      <w:r w:rsidR="00DB411B">
        <w:t>eux</w:t>
      </w:r>
      <w:r w:rsidR="00101442" w:rsidRPr="00101442">
        <w:t xml:space="preserve">-mêmes </w:t>
      </w:r>
      <w:r w:rsidR="00DB411B">
        <w:t xml:space="preserve">des </w:t>
      </w:r>
      <w:r w:rsidR="00101442" w:rsidRPr="00101442">
        <w:t>produits sociaux</w:t>
      </w:r>
      <w:r w:rsidR="00101442">
        <w:t xml:space="preserve"> : </w:t>
      </w:r>
      <w:r w:rsidR="00C06232">
        <w:t>les pratiques économiques</w:t>
      </w:r>
      <w:r w:rsidR="00101442" w:rsidRPr="00C06232">
        <w:t xml:space="preserve"> n’ont rien de naturel, mais sont le produit d’un intense travail de socialisation</w:t>
      </w:r>
      <w:r w:rsidR="00C06232" w:rsidRPr="00C06232">
        <w:t xml:space="preserve"> dont dépend notamment la position sociale des individu</w:t>
      </w:r>
      <w:r w:rsidR="00DB411B">
        <w:t>s</w:t>
      </w:r>
      <w:r w:rsidR="00C06232" w:rsidRPr="00C06232">
        <w:t>, le contexte social</w:t>
      </w:r>
      <w:r w:rsidR="00DB411B">
        <w:t xml:space="preserve"> et </w:t>
      </w:r>
      <w:r w:rsidR="00C06232" w:rsidRPr="00C06232">
        <w:t>politique dans lequel il</w:t>
      </w:r>
      <w:r w:rsidR="00DB411B">
        <w:t>s</w:t>
      </w:r>
      <w:r w:rsidR="00C06232" w:rsidRPr="00C06232">
        <w:t xml:space="preserve"> évolue</w:t>
      </w:r>
      <w:r w:rsidR="00DB411B">
        <w:t>nt</w:t>
      </w:r>
      <w:r w:rsidR="00C06232" w:rsidRPr="00C06232">
        <w:t xml:space="preserve">, </w:t>
      </w:r>
      <w:r w:rsidR="00DB411B">
        <w:t xml:space="preserve">et enfin </w:t>
      </w:r>
      <w:r w:rsidR="00C06232" w:rsidRPr="00C06232">
        <w:t xml:space="preserve">les institutions sociales qui l’entourent (Etat, banques, entreprises mais aussi école, famille, etc.). </w:t>
      </w:r>
      <w:r w:rsidR="00101442" w:rsidRPr="00C06232">
        <w:t xml:space="preserve">(Zelizer, </w:t>
      </w:r>
      <w:r w:rsidR="00DB411B">
        <w:t>2005 :</w:t>
      </w:r>
      <w:r w:rsidR="00101442" w:rsidRPr="00C06232">
        <w:t xml:space="preserve"> 131).</w:t>
      </w:r>
      <w:r w:rsidR="00C06232">
        <w:t xml:space="preserve"> </w:t>
      </w:r>
    </w:p>
    <w:p w14:paraId="46A23CC3" w14:textId="60FF684E" w:rsidR="00B77A5A" w:rsidRPr="00071196" w:rsidRDefault="00F16A20" w:rsidP="00E505A5">
      <w:pPr>
        <w:spacing w:line="276" w:lineRule="auto"/>
        <w:rPr>
          <w:highlight w:val="magenta"/>
        </w:rPr>
      </w:pPr>
      <w:r>
        <w:t xml:space="preserve">Le champ de la sociologie française s’est elle aussi attelée à l’étude de la </w:t>
      </w:r>
      <w:r w:rsidR="00C06232">
        <w:t>socialisation des comportements économiques</w:t>
      </w:r>
      <w:r>
        <w:t xml:space="preserve">. Florence Weber, en France, en est notamment la cheffe de file. Dans </w:t>
      </w:r>
      <w:r w:rsidR="00E114DD">
        <w:t>son ouvrage</w:t>
      </w:r>
      <w:r>
        <w:t xml:space="preserve"> </w:t>
      </w:r>
      <w:r>
        <w:rPr>
          <w:i/>
        </w:rPr>
        <w:t xml:space="preserve">L’ethnographie économique </w:t>
      </w:r>
      <w:r>
        <w:t>(2007)</w:t>
      </w:r>
      <w:r>
        <w:rPr>
          <w:i/>
        </w:rPr>
        <w:t xml:space="preserve">, </w:t>
      </w:r>
      <w:r>
        <w:t xml:space="preserve">co-écrit avec la sociologue Caroline Dufy, elle </w:t>
      </w:r>
      <w:r w:rsidR="00DB411B">
        <w:t>expose</w:t>
      </w:r>
      <w:r>
        <w:t xml:space="preserve"> les grands traits de cette </w:t>
      </w:r>
      <w:r w:rsidR="006934C8">
        <w:t>méthode</w:t>
      </w:r>
      <w:r w:rsidR="00B455D7">
        <w:t xml:space="preserve"> qui semble essentielle pour traiter de l’objet qui nous occupe.</w:t>
      </w:r>
    </w:p>
    <w:p w14:paraId="26211FD5" w14:textId="538D4D9A" w:rsidR="00D46D9C" w:rsidRPr="005C1832" w:rsidRDefault="00D46D9C" w:rsidP="00E505A5">
      <w:pPr>
        <w:pStyle w:val="Titre3"/>
        <w:spacing w:line="276" w:lineRule="auto"/>
      </w:pPr>
      <w:bookmarkStart w:id="39" w:name="_Toc152687222"/>
      <w:r>
        <w:lastRenderedPageBreak/>
        <w:t>Observer les pratiques</w:t>
      </w:r>
      <w:r w:rsidR="007E7640">
        <w:t>, étudier les cadres de transaction</w:t>
      </w:r>
      <w:bookmarkEnd w:id="39"/>
    </w:p>
    <w:p w14:paraId="58F23158" w14:textId="197BEBFD" w:rsidR="006613C0" w:rsidRDefault="00890D09" w:rsidP="00E505A5">
      <w:pPr>
        <w:spacing w:line="276" w:lineRule="auto"/>
      </w:pPr>
      <w:r>
        <w:t>La</w:t>
      </w:r>
      <w:r w:rsidR="006613C0">
        <w:t xml:space="preserve"> méthode proposée par Dufy et Weber est celle de l’ethnographie, </w:t>
      </w:r>
      <w:r w:rsidR="006613C0" w:rsidRPr="006613C0">
        <w:t>à ceci près qu’elle se débarrasse de cette fracture</w:t>
      </w:r>
      <w:r w:rsidR="00353502">
        <w:t>,</w:t>
      </w:r>
      <w:r w:rsidR="006613C0" w:rsidRPr="006613C0">
        <w:t xml:space="preserve"> ou de « ce grand partage »</w:t>
      </w:r>
      <w:r w:rsidR="00353502">
        <w:t>,</w:t>
      </w:r>
      <w:r w:rsidR="006613C0" w:rsidRPr="006613C0">
        <w:t xml:space="preserve"> pour reprendre une autre notion chère à Polanyi </w:t>
      </w:r>
      <w:r w:rsidR="00353502">
        <w:t>(</w:t>
      </w:r>
      <w:r w:rsidR="006613C0" w:rsidRPr="006613C0">
        <w:t>qui distingue les société</w:t>
      </w:r>
      <w:r w:rsidR="00862578">
        <w:t>s</w:t>
      </w:r>
      <w:r w:rsidR="006613C0" w:rsidRPr="006613C0">
        <w:t xml:space="preserve"> occidentales des autres</w:t>
      </w:r>
      <w:r w:rsidR="00353502">
        <w:t>,</w:t>
      </w:r>
      <w:r w:rsidR="006613C0" w:rsidRPr="006613C0">
        <w:t xml:space="preserve"> dites « primitives »</w:t>
      </w:r>
      <w:r w:rsidR="00353502">
        <w:t>)</w:t>
      </w:r>
      <w:r w:rsidR="006613C0" w:rsidRPr="006613C0">
        <w:t>. Ainsi, dans le vocabulaire de l’ethnograph</w:t>
      </w:r>
      <w:r w:rsidR="00353502">
        <w:t>i</w:t>
      </w:r>
      <w:r w:rsidR="006613C0" w:rsidRPr="006613C0">
        <w:t xml:space="preserve">e économique, l’indigène « ne désigne qu'une position dans l'analyse, </w:t>
      </w:r>
      <w:r w:rsidR="00353502">
        <w:t>[la notion]</w:t>
      </w:r>
      <w:r w:rsidR="006613C0" w:rsidRPr="006613C0">
        <w:t xml:space="preserve"> s'applique indifféremment aux Bororos, aux chefs d'entreprise, aux scientifiques, y compris dans les sciences sociales » (</w:t>
      </w:r>
      <w:r w:rsidR="00353502">
        <w:t xml:space="preserve">Dufy &amp; Weber, </w:t>
      </w:r>
      <w:r w:rsidR="002F6358">
        <w:t xml:space="preserve">2007 : </w:t>
      </w:r>
      <w:r w:rsidR="006613C0" w:rsidRPr="006613C0">
        <w:t>19).</w:t>
      </w:r>
    </w:p>
    <w:p w14:paraId="0C74EBED" w14:textId="42A10389" w:rsidR="007E7640" w:rsidRPr="00A076AB" w:rsidRDefault="001E6101" w:rsidP="00E505A5">
      <w:pPr>
        <w:spacing w:line="276" w:lineRule="auto"/>
      </w:pPr>
      <w:r>
        <w:t xml:space="preserve">L’ethnographie économique entend donc étudier les pratiques indigènes engagées dans des transactions marchandes ou des échanges monétaires. </w:t>
      </w:r>
      <w:r w:rsidR="007E7640" w:rsidRPr="001A07AD">
        <w:t>Il s’agit</w:t>
      </w:r>
      <w:r w:rsidR="007E7640">
        <w:t xml:space="preserve">, pour l’ethnographie économique, </w:t>
      </w:r>
      <w:r w:rsidR="007E7640" w:rsidRPr="001A07AD">
        <w:t>de reconstituer les raisonnements des indi</w:t>
      </w:r>
      <w:r w:rsidR="007E7640">
        <w:t>gènes</w:t>
      </w:r>
      <w:r w:rsidR="00B455D7">
        <w:t xml:space="preserve"> engagé</w:t>
      </w:r>
      <w:r w:rsidR="00862578">
        <w:t>s</w:t>
      </w:r>
      <w:r w:rsidR="00B455D7">
        <w:t xml:space="preserve"> dans un échange</w:t>
      </w:r>
      <w:r w:rsidR="007E7640">
        <w:t>,</w:t>
      </w:r>
      <w:r w:rsidR="007E7640" w:rsidRPr="001A07AD">
        <w:t xml:space="preserve"> à partir d'une étude de leurs pratiques d'une part, mais aussi des cadres </w:t>
      </w:r>
      <w:r w:rsidR="00862578">
        <w:t xml:space="preserve">institutionnels </w:t>
      </w:r>
      <w:r w:rsidR="007E7640" w:rsidRPr="001A07AD">
        <w:t>de la transaction d’autres part (</w:t>
      </w:r>
      <w:r w:rsidR="002F6358">
        <w:t xml:space="preserve">Dufy &amp; Weber, 2007 : </w:t>
      </w:r>
      <w:r w:rsidR="007E7640" w:rsidRPr="001A07AD">
        <w:t>20)</w:t>
      </w:r>
      <w:r w:rsidR="002F6358" w:rsidRPr="002F6358">
        <w:rPr>
          <w:rStyle w:val="Appelnotedebasdep"/>
        </w:rPr>
        <w:t xml:space="preserve"> </w:t>
      </w:r>
      <w:r w:rsidR="002F6358">
        <w:rPr>
          <w:rStyle w:val="Appelnotedebasdep"/>
        </w:rPr>
        <w:footnoteReference w:id="33"/>
      </w:r>
      <w:r w:rsidR="007E7640" w:rsidRPr="001A07AD">
        <w:t>.</w:t>
      </w:r>
      <w:r w:rsidR="007E7640">
        <w:t xml:space="preserve"> Or ces </w:t>
      </w:r>
      <w:r w:rsidR="007E7640" w:rsidRPr="00A076AB">
        <w:t xml:space="preserve">transactions peuvent évoluer dans différents cadres. Dufy et Weber identifient deux cas de figure : </w:t>
      </w:r>
    </w:p>
    <w:p w14:paraId="7C8B9E96" w14:textId="07682EC2" w:rsidR="007E7640" w:rsidRDefault="007E7640" w:rsidP="001229BC">
      <w:pPr>
        <w:pStyle w:val="Paragraphedeliste"/>
        <w:numPr>
          <w:ilvl w:val="0"/>
          <w:numId w:val="18"/>
        </w:numPr>
        <w:spacing w:line="276" w:lineRule="auto"/>
      </w:pPr>
      <w:r>
        <w:t>S</w:t>
      </w:r>
      <w:r w:rsidRPr="00A076AB">
        <w:t>oit</w:t>
      </w:r>
      <w:r>
        <w:t xml:space="preserve"> les transactions sont </w:t>
      </w:r>
      <w:r w:rsidRPr="00A076AB">
        <w:t>encadrées par un système juridique ou normatif qui leur enlève toute ambiguïté. Chacun des partenaires de la transaction sait</w:t>
      </w:r>
      <w:r w:rsidR="002F6358">
        <w:t xml:space="preserve"> alors</w:t>
      </w:r>
      <w:r w:rsidRPr="00A076AB">
        <w:t xml:space="preserve"> ce qu'il est en train de faire et partage ce savoir implicite avec les autres. </w:t>
      </w:r>
    </w:p>
    <w:p w14:paraId="134FE93D" w14:textId="3F8F4C80" w:rsidR="007E7640" w:rsidRPr="00A076AB" w:rsidRDefault="007E7640" w:rsidP="001229BC">
      <w:pPr>
        <w:pStyle w:val="Paragraphedeliste"/>
        <w:numPr>
          <w:ilvl w:val="0"/>
          <w:numId w:val="18"/>
        </w:numPr>
        <w:spacing w:line="276" w:lineRule="auto"/>
      </w:pPr>
      <w:r w:rsidRPr="00A076AB">
        <w:t>Soit les différents partenaires d'une transaction donnée ont à leur disposition plusieurs manières de la penser</w:t>
      </w:r>
      <w:r w:rsidR="002F6358">
        <w:t>,</w:t>
      </w:r>
      <w:r w:rsidRPr="00A076AB">
        <w:t xml:space="preserve"> et</w:t>
      </w:r>
      <w:r w:rsidR="002F6358">
        <w:t xml:space="preserve"> ils</w:t>
      </w:r>
      <w:r w:rsidRPr="00A076AB">
        <w:t xml:space="preserve"> jouent de cette ambiguïté pour inscrire leur action sur plusieurs registres. Dans ce second cas de figure, soit le malentendu permet à la transaction de se poursuivre, soit l'ambiguïté débouche sur son interruption ou sur un conflit (</w:t>
      </w:r>
      <w:r w:rsidR="002F6358">
        <w:t xml:space="preserve">Dufy &amp; Weber, 2007 : </w:t>
      </w:r>
      <w:r w:rsidRPr="00A076AB">
        <w:t>26).</w:t>
      </w:r>
    </w:p>
    <w:p w14:paraId="6BD97A63" w14:textId="2786F46A" w:rsidR="007F5A25" w:rsidRDefault="007E7640" w:rsidP="001754D1">
      <w:pPr>
        <w:spacing w:line="276" w:lineRule="auto"/>
      </w:pPr>
      <w:r w:rsidRPr="00666254">
        <w:t xml:space="preserve">L'essentiel du travail ethnographique consistera donc à </w:t>
      </w:r>
      <w:r w:rsidR="00862578">
        <w:t>identifier</w:t>
      </w:r>
      <w:r w:rsidRPr="00666254">
        <w:t xml:space="preserve"> les cadres </w:t>
      </w:r>
      <w:r w:rsidR="00862578">
        <w:t>au sein desquels</w:t>
      </w:r>
      <w:r w:rsidRPr="00666254">
        <w:t xml:space="preserve"> </w:t>
      </w:r>
      <w:r w:rsidR="00862578">
        <w:t>les transactions</w:t>
      </w:r>
      <w:r w:rsidRPr="00666254">
        <w:t xml:space="preserve"> prennent leur </w:t>
      </w:r>
      <w:r w:rsidR="00862578">
        <w:t>sens</w:t>
      </w:r>
      <w:r w:rsidRPr="00666254">
        <w:t xml:space="preserve"> pour </w:t>
      </w:r>
      <w:r w:rsidR="00862578">
        <w:t>chacun des acteurs,</w:t>
      </w:r>
      <w:r>
        <w:t xml:space="preserve"> à travers </w:t>
      </w:r>
      <w:r w:rsidRPr="00666254">
        <w:t xml:space="preserve">une analyse </w:t>
      </w:r>
      <w:r w:rsidR="001754D1">
        <w:t>f</w:t>
      </w:r>
      <w:r w:rsidRPr="00666254">
        <w:t>ine de</w:t>
      </w:r>
      <w:r w:rsidR="00862578">
        <w:t xml:space="preserve"> leurs</w:t>
      </w:r>
      <w:r w:rsidRPr="00666254">
        <w:t xml:space="preserve"> </w:t>
      </w:r>
      <w:r>
        <w:t xml:space="preserve">discours, </w:t>
      </w:r>
      <w:r w:rsidRPr="00666254">
        <w:t>pratiques et représentations</w:t>
      </w:r>
      <w:r w:rsidR="00862578">
        <w:t xml:space="preserve"> </w:t>
      </w:r>
      <w:r>
        <w:t>(</w:t>
      </w:r>
      <w:r w:rsidR="002F6358">
        <w:t xml:space="preserve">Dufy &amp; Weber, 2007 : </w:t>
      </w:r>
      <w:r w:rsidRPr="004F7375">
        <w:t>22)</w:t>
      </w:r>
      <w:r w:rsidR="00740983" w:rsidRPr="00740983">
        <w:t>.</w:t>
      </w:r>
      <w:r w:rsidR="00740983">
        <w:t xml:space="preserve"> </w:t>
      </w:r>
    </w:p>
    <w:p w14:paraId="7BB38FAA" w14:textId="441F81EB" w:rsidR="007E7640" w:rsidRPr="00740983" w:rsidRDefault="007F5A25" w:rsidP="001754D1">
      <w:pPr>
        <w:spacing w:line="276" w:lineRule="auto"/>
      </w:pPr>
      <w:r>
        <w:t xml:space="preserve">Ce travail sur </w:t>
      </w:r>
      <w:r w:rsidR="002F6358">
        <w:t>le</w:t>
      </w:r>
      <w:r>
        <w:t xml:space="preserve"> cadre de l’interaction me parait d’autant plus fécond que </w:t>
      </w:r>
      <w:r w:rsidR="000C4450">
        <w:t>les</w:t>
      </w:r>
      <w:r>
        <w:t xml:space="preserve"> procédures d’expulsion se déploie</w:t>
      </w:r>
      <w:r w:rsidR="000C4450">
        <w:t>nt</w:t>
      </w:r>
      <w:r>
        <w:t xml:space="preserve"> sur différents registres d’actions, à cheval sur différents cadres, chacun des acteurs étant engagé à différents degrés dans ces registres. Pour illustrer cette idée de la manière la plus simple possible</w:t>
      </w:r>
      <w:r w:rsidR="000C4450">
        <w:t xml:space="preserve"> </w:t>
      </w:r>
      <w:r w:rsidR="002F6358">
        <w:t>(</w:t>
      </w:r>
      <w:r w:rsidR="000C4450">
        <w:t>en reconnaissant, bien sûr, qu’aucun cadre de référence n’est jamais « pur »</w:t>
      </w:r>
      <w:r w:rsidR="002F6358">
        <w:t>),</w:t>
      </w:r>
      <w:r w:rsidR="00DF213E">
        <w:t xml:space="preserve"> </w:t>
      </w:r>
      <w:r w:rsidR="000C4450">
        <w:t xml:space="preserve">le </w:t>
      </w:r>
      <w:r>
        <w:t>bailleur privé a sans doute pour cadre de référence principal l</w:t>
      </w:r>
      <w:r w:rsidR="000C4450">
        <w:t>’économie du marché</w:t>
      </w:r>
      <w:r>
        <w:t xml:space="preserve"> du logement, </w:t>
      </w:r>
      <w:r w:rsidR="002F6358">
        <w:t xml:space="preserve">tandis que </w:t>
      </w:r>
      <w:r>
        <w:t>les actions de l’assistante social</w:t>
      </w:r>
      <w:r w:rsidR="002F6358">
        <w:t>e</w:t>
      </w:r>
      <w:r>
        <w:t xml:space="preserve"> prennent sens dans le cadre du travail social, </w:t>
      </w:r>
      <w:r w:rsidR="000C4450">
        <w:t>et</w:t>
      </w:r>
      <w:r>
        <w:t xml:space="preserve"> qu</w:t>
      </w:r>
      <w:r w:rsidR="002F6358">
        <w:t>e</w:t>
      </w:r>
      <w:r>
        <w:t xml:space="preserve"> le juge statu</w:t>
      </w:r>
      <w:r w:rsidR="002F6358">
        <w:t>e</w:t>
      </w:r>
      <w:r>
        <w:t xml:space="preserve"> en référence au cadre institutionnel juridique : comment ces différents cadres peuvent-ils entrer en friction </w:t>
      </w:r>
      <w:r w:rsidR="002F6358">
        <w:t>(</w:t>
      </w:r>
      <w:r>
        <w:t>ou, au contraire, se combiner</w:t>
      </w:r>
      <w:r w:rsidR="002F6358">
        <w:t>)</w:t>
      </w:r>
      <w:r>
        <w:t xml:space="preserve"> pour </w:t>
      </w:r>
      <w:r w:rsidR="000C4450">
        <w:t xml:space="preserve">faire aboutir </w:t>
      </w:r>
      <w:r w:rsidR="002F6358">
        <w:t>(</w:t>
      </w:r>
      <w:r w:rsidR="000C4450">
        <w:t>ou au contraire régler à l’amiable</w:t>
      </w:r>
      <w:r w:rsidR="002F6358">
        <w:t>)</w:t>
      </w:r>
      <w:r w:rsidR="000C4450">
        <w:t xml:space="preserve"> une procédure d’expulsion ?</w:t>
      </w:r>
    </w:p>
    <w:p w14:paraId="558B69CF" w14:textId="4D14833A" w:rsidR="00890D09" w:rsidRDefault="000C4450" w:rsidP="00890D09">
      <w:pPr>
        <w:spacing w:line="276" w:lineRule="auto"/>
      </w:pPr>
      <w:r>
        <w:t>Pour répondre, précisons encore que</w:t>
      </w:r>
      <w:r w:rsidR="00507A74" w:rsidRPr="00387002">
        <w:t xml:space="preserve"> l’ethnographie économique révèle le sens des </w:t>
      </w:r>
      <w:r w:rsidR="00387002">
        <w:t>transactions économiques</w:t>
      </w:r>
      <w:r w:rsidR="00507A74" w:rsidRPr="00387002">
        <w:t xml:space="preserve"> en </w:t>
      </w:r>
      <w:r w:rsidR="00387002" w:rsidRPr="00387002">
        <w:t xml:space="preserve">portant tout autant son analyse sur les </w:t>
      </w:r>
      <w:r w:rsidR="00387002" w:rsidRPr="00387002">
        <w:rPr>
          <w:i/>
        </w:rPr>
        <w:t>objets</w:t>
      </w:r>
      <w:r w:rsidR="00387002">
        <w:t xml:space="preserve"> de la transaction</w:t>
      </w:r>
      <w:r w:rsidR="00387002" w:rsidRPr="00387002">
        <w:t xml:space="preserve"> que sur les personnes</w:t>
      </w:r>
      <w:r w:rsidR="00387002">
        <w:t xml:space="preserve"> qui y sont engagés</w:t>
      </w:r>
      <w:r w:rsidR="00387002" w:rsidRPr="00387002">
        <w:t>.</w:t>
      </w:r>
      <w:r w:rsidR="00387002">
        <w:t xml:space="preserve"> </w:t>
      </w:r>
      <w:r w:rsidR="00387002" w:rsidRPr="00387002">
        <w:t xml:space="preserve">Autrement dit, pour Weber, </w:t>
      </w:r>
      <w:r w:rsidR="00387002">
        <w:t xml:space="preserve">une </w:t>
      </w:r>
      <w:r w:rsidR="00387002" w:rsidRPr="00387002">
        <w:t xml:space="preserve">transaction </w:t>
      </w:r>
      <w:r w:rsidR="00387002">
        <w:t>peut aussi bien trouver son sens lorsqu’on la rattache</w:t>
      </w:r>
      <w:r w:rsidR="00387002" w:rsidRPr="00387002">
        <w:t xml:space="preserve"> à sa place au sein d’une série de transactions portant </w:t>
      </w:r>
      <w:r w:rsidR="00890D09" w:rsidRPr="00E13C94">
        <w:t>sur des biens « objectivement » comparables</w:t>
      </w:r>
      <w:r w:rsidR="00387002">
        <w:t xml:space="preserve"> – ce qu’on appelle un marché – que dans la « séquence de relation » qui engage les partenaires</w:t>
      </w:r>
      <w:r w:rsidR="00890D09">
        <w:t xml:space="preserve"> (Weber, </w:t>
      </w:r>
      <w:r w:rsidR="00387002">
        <w:t>200</w:t>
      </w:r>
      <w:r w:rsidR="00A951B0">
        <w:t>0</w:t>
      </w:r>
      <w:r w:rsidR="00387002">
        <w:t xml:space="preserve">/4 : </w:t>
      </w:r>
      <w:r w:rsidR="00890D09">
        <w:t>88)</w:t>
      </w:r>
      <w:r w:rsidR="00387002">
        <w:t xml:space="preserve">. Elle propose « une </w:t>
      </w:r>
      <w:r w:rsidR="00890D09" w:rsidRPr="00387002">
        <w:t>articulation systématique, qui tente de repérer à quels moments l’une</w:t>
      </w:r>
      <w:r w:rsidR="00387002" w:rsidRPr="00387002">
        <w:t xml:space="preserve"> </w:t>
      </w:r>
      <w:r w:rsidR="002F6358">
        <w:t>(</w:t>
      </w:r>
      <w:r w:rsidR="00387002" w:rsidRPr="00387002">
        <w:t>analyse sur les objets</w:t>
      </w:r>
      <w:r w:rsidR="002F6358">
        <w:t>)</w:t>
      </w:r>
      <w:r w:rsidR="00890D09" w:rsidRPr="00387002">
        <w:t xml:space="preserve"> ou l’autre </w:t>
      </w:r>
      <w:r w:rsidR="002F6358">
        <w:t>(</w:t>
      </w:r>
      <w:r w:rsidR="00387002" w:rsidRPr="00387002">
        <w:t>analyse sur les personnes</w:t>
      </w:r>
      <w:r w:rsidR="002F6358">
        <w:t>)</w:t>
      </w:r>
      <w:r w:rsidR="00387002" w:rsidRPr="00387002">
        <w:t xml:space="preserve"> </w:t>
      </w:r>
      <w:r w:rsidR="00890D09" w:rsidRPr="00387002">
        <w:t xml:space="preserve">rend le mieux compte des phénomènes observés, à quels moments l’une ou l’autre s’impose seule, à quels moments enfin il faut les convoquer toutes les deux pour éclairer les différentes facettes de l’événement étudié. » </w:t>
      </w:r>
      <w:r w:rsidR="00387002" w:rsidRPr="00387002">
        <w:t>(</w:t>
      </w:r>
      <w:r w:rsidR="00890D09" w:rsidRPr="00387002">
        <w:t xml:space="preserve">Weber, </w:t>
      </w:r>
      <w:r w:rsidR="00387002" w:rsidRPr="00387002">
        <w:t>200</w:t>
      </w:r>
      <w:r w:rsidR="00A951B0">
        <w:t>0</w:t>
      </w:r>
      <w:r w:rsidR="00387002" w:rsidRPr="00387002">
        <w:t xml:space="preserve">/4 : </w:t>
      </w:r>
      <w:r w:rsidR="00890D09" w:rsidRPr="00387002">
        <w:t>88</w:t>
      </w:r>
      <w:r w:rsidR="00387002" w:rsidRPr="00387002">
        <w:t>)</w:t>
      </w:r>
    </w:p>
    <w:p w14:paraId="606703E3" w14:textId="13B26CCE" w:rsidR="00890D09" w:rsidRDefault="000C4450" w:rsidP="00890D09">
      <w:pPr>
        <w:spacing w:line="276" w:lineRule="auto"/>
      </w:pPr>
      <w:r>
        <w:lastRenderedPageBreak/>
        <w:t>Quoi de plus pertinent</w:t>
      </w:r>
      <w:r w:rsidR="006664F5">
        <w:t>,</w:t>
      </w:r>
      <w:r>
        <w:t xml:space="preserve"> comme grille d’analyse pour étudier le logement, cette « marchandise impossible »</w:t>
      </w:r>
      <w:r w:rsidR="0056355A">
        <w:t xml:space="preserve"> (T</w:t>
      </w:r>
      <w:r w:rsidR="00A26CD6">
        <w:t>opalov,1987)</w:t>
      </w:r>
      <w:r>
        <w:t>, qui</w:t>
      </w:r>
      <w:r w:rsidR="00273630">
        <w:t xml:space="preserve"> est </w:t>
      </w:r>
      <w:r>
        <w:t xml:space="preserve">à la fois </w:t>
      </w:r>
      <w:r w:rsidR="00273630">
        <w:t xml:space="preserve">un </w:t>
      </w:r>
      <w:r w:rsidR="00FE6FC5">
        <w:t xml:space="preserve">capital, et </w:t>
      </w:r>
      <w:r w:rsidR="00273630">
        <w:t xml:space="preserve">un </w:t>
      </w:r>
      <w:r w:rsidR="00FE6FC5">
        <w:t>droit fondamental ? Weber indique qu’il faut</w:t>
      </w:r>
      <w:r w:rsidR="00DF213E">
        <w:t xml:space="preserve"> </w:t>
      </w:r>
      <w:r w:rsidR="00387002" w:rsidRPr="00FE6FC5">
        <w:t>« </w:t>
      </w:r>
      <w:r w:rsidR="00FE6FC5" w:rsidRPr="00FE6FC5">
        <w:t>c</w:t>
      </w:r>
      <w:r w:rsidR="00890D09" w:rsidRPr="00FE6FC5">
        <w:t>onsidérer la formation d’un prix non pas comme le résultat de modèles théoriques (ce que fait l’économie) mais comme le résultat de processus sociaux observables (qui entraînent la croyance en l’équivalence des objets)</w:t>
      </w:r>
      <w:r w:rsidR="00577D24">
        <w:t> » et que cela « </w:t>
      </w:r>
      <w:r w:rsidR="00890D09" w:rsidRPr="00FE6FC5">
        <w:t>permet de s’interroger à la fois sur les techniques qui établissent l’équivalence et sur les discussions, voire les</w:t>
      </w:r>
      <w:r w:rsidR="00387002" w:rsidRPr="00FE6FC5">
        <w:t xml:space="preserve"> conflits </w:t>
      </w:r>
      <w:r w:rsidR="00890D09" w:rsidRPr="00FE6FC5">
        <w:t>autour de cette équivalence : la notion de juste prix, incompréhensible pour les économistes aujourd’hui, est justement un de ces concepts indigènes les plus importants en matière de fixation du prix.</w:t>
      </w:r>
      <w:r w:rsidR="00FE6FC5" w:rsidRPr="00FE6FC5">
        <w:t> »</w:t>
      </w:r>
      <w:r w:rsidR="00DF213E">
        <w:t xml:space="preserve"> </w:t>
      </w:r>
      <w:r w:rsidR="00507A74" w:rsidRPr="00FE6FC5">
        <w:t>(W</w:t>
      </w:r>
      <w:r w:rsidR="00577D24">
        <w:t>eber</w:t>
      </w:r>
      <w:r w:rsidR="00FE6FC5">
        <w:t>, 2000/4 :</w:t>
      </w:r>
      <w:r w:rsidR="00577D24">
        <w:t xml:space="preserve"> </w:t>
      </w:r>
      <w:r w:rsidR="00FE6FC5">
        <w:t>2) En ce sens, il y aurait tout une analyse socio--historique à faire sur la constitution des prix du marché privé du logement en Belgique, en lien avec les politiques sociales et les politiques d’accès à la propriété privée</w:t>
      </w:r>
      <w:r w:rsidR="00577D24">
        <w:t>,</w:t>
      </w:r>
      <w:r w:rsidR="00FE6FC5">
        <w:t xml:space="preserve"> mais il y a aussi un vif intérêt à comprendre pourquoi de nombreux locataires pauvres ne considèrent pas payer « le juste prix » pour leur logement : qu’est</w:t>
      </w:r>
      <w:r w:rsidR="00850A52">
        <w:t>-</w:t>
      </w:r>
      <w:r w:rsidR="00FE6FC5">
        <w:t>ce qu’un prix juste pour</w:t>
      </w:r>
      <w:r w:rsidR="00577D24">
        <w:t xml:space="preserve"> l’accès</w:t>
      </w:r>
      <w:r w:rsidR="00FE6FC5">
        <w:t xml:space="preserve"> à un droit fondamental ? et qu’est-ce qu’un prix juste </w:t>
      </w:r>
      <w:r w:rsidR="00850A52">
        <w:t xml:space="preserve">selon le </w:t>
      </w:r>
      <w:r w:rsidR="00FE6FC5">
        <w:t>bailleur ?</w:t>
      </w:r>
      <w:r w:rsidR="00850A52">
        <w:t xml:space="preserve"> </w:t>
      </w:r>
      <w:r w:rsidR="00577D24">
        <w:t xml:space="preserve">Enfin, </w:t>
      </w:r>
      <w:r w:rsidR="00850A52">
        <w:t xml:space="preserve">qu’en est-il pour l’assistante sociale qui invite un usager à déménager hors de Bruxelles, malgré ses attaches sociales, parce qu’elle considère que son loyer est </w:t>
      </w:r>
      <w:r w:rsidR="00577D24">
        <w:t>« </w:t>
      </w:r>
      <w:r w:rsidR="00850A52">
        <w:t>trop élevé</w:t>
      </w:r>
      <w:r w:rsidR="00577D24">
        <w:t> »</w:t>
      </w:r>
      <w:r w:rsidR="00850A52">
        <w:t xml:space="preserve"> ? </w:t>
      </w:r>
    </w:p>
    <w:p w14:paraId="75C7F430" w14:textId="6027AF53" w:rsidR="004B3D63" w:rsidRDefault="00850A52" w:rsidP="00890D09">
      <w:pPr>
        <w:spacing w:line="276" w:lineRule="auto"/>
        <w:rPr>
          <w:rFonts w:cs="Times New Roman"/>
        </w:rPr>
      </w:pPr>
      <w:r w:rsidRPr="00850A52">
        <w:t xml:space="preserve">L’ethnographie économique nous offre des outils pour répondre à ces questions. </w:t>
      </w:r>
      <w:r w:rsidR="004B3D63" w:rsidRPr="004B3D63">
        <w:rPr>
          <w:rFonts w:cs="Times New Roman"/>
        </w:rPr>
        <w:t>Camille François, par exemple, s’inscrivant lui aussi dans la lignée des travaux d’ethnographie économique, s’est penché sur la spécificité de la dette locative à partir d’une étude sur le parc de logement d’un bailleur social public de la région parisienne. Il montre que</w:t>
      </w:r>
      <w:r w:rsidR="00577D24">
        <w:rPr>
          <w:rFonts w:cs="Times New Roman"/>
        </w:rPr>
        <w:t>,</w:t>
      </w:r>
      <w:r w:rsidR="004B3D63" w:rsidRPr="004B3D63">
        <w:rPr>
          <w:rFonts w:cs="Times New Roman"/>
        </w:rPr>
        <w:t xml:space="preserve"> loin d’être le résultat d’un « accident de la vie », de l’irresponsabilité morale ou de l’incompétence budgétaire des locataires « mettant en danger » leur « toit » et leur famille, les pratiques d’endettement des ménages populaires étudiés procèdent d’une rationalité économique propre : les arriérés de loyer fonctionnent comme un « dispositif impersonnel d’accès à l’argent » pour les ménages populaires, qui en usent comme d'une « dette sans emprunt » (François, 2018).</w:t>
      </w:r>
      <w:r w:rsidR="004B3D63">
        <w:rPr>
          <w:rFonts w:cs="Times New Roman"/>
        </w:rPr>
        <w:t xml:space="preserve"> </w:t>
      </w:r>
    </w:p>
    <w:p w14:paraId="578393A9" w14:textId="10B704FD" w:rsidR="004B3D63" w:rsidRDefault="004B3D63" w:rsidP="00890D09">
      <w:pPr>
        <w:spacing w:line="276" w:lineRule="auto"/>
        <w:rPr>
          <w:rFonts w:cs="Times New Roman"/>
        </w:rPr>
      </w:pPr>
      <w:r>
        <w:rPr>
          <w:rFonts w:cs="Times New Roman"/>
        </w:rPr>
        <w:t xml:space="preserve">Voilà donc qui nous offre </w:t>
      </w:r>
      <w:r w:rsidR="00EC082B">
        <w:rPr>
          <w:rFonts w:cs="Times New Roman"/>
        </w:rPr>
        <w:t>de nombreux éléments de réponse pour notre</w:t>
      </w:r>
      <w:r>
        <w:rPr>
          <w:rFonts w:cs="Times New Roman"/>
        </w:rPr>
        <w:t xml:space="preserve"> quatrième question : </w:t>
      </w:r>
    </w:p>
    <w:p w14:paraId="28A2E127" w14:textId="40BEE246" w:rsidR="004B3D63" w:rsidRPr="00D70C1F" w:rsidRDefault="004B3D63" w:rsidP="001229BC">
      <w:pPr>
        <w:pStyle w:val="Paragraphedeliste"/>
        <w:numPr>
          <w:ilvl w:val="0"/>
          <w:numId w:val="20"/>
        </w:numPr>
        <w:spacing w:line="276" w:lineRule="auto"/>
        <w:rPr>
          <w:i/>
        </w:rPr>
      </w:pPr>
      <w:r w:rsidRPr="00D70C1F">
        <w:rPr>
          <w:i/>
        </w:rPr>
        <w:t xml:space="preserve">Qu’est ce qui </w:t>
      </w:r>
      <w:r w:rsidR="00D70C1F" w:rsidRPr="00D70C1F">
        <w:rPr>
          <w:i/>
        </w:rPr>
        <w:t>a</w:t>
      </w:r>
      <w:r w:rsidRPr="00D70C1F">
        <w:rPr>
          <w:i/>
        </w:rPr>
        <w:t>mène le locataire à se retrouver engagé dans une procédure d’expulsion ? Comment se fait-il que le locataire « décide », à un moment donné, d’interrompre le paiement de son loyer ?</w:t>
      </w:r>
    </w:p>
    <w:p w14:paraId="67F0E8F5" w14:textId="77777777" w:rsidR="004B3D63" w:rsidRPr="004B3D63" w:rsidRDefault="004B3D63" w:rsidP="00890D09">
      <w:pPr>
        <w:spacing w:line="276" w:lineRule="auto"/>
        <w:rPr>
          <w:rFonts w:cs="Times New Roman"/>
        </w:rPr>
      </w:pPr>
    </w:p>
    <w:p w14:paraId="03C3D816" w14:textId="77777777" w:rsidR="002C5816" w:rsidRDefault="002C5816" w:rsidP="002C5816">
      <w:pPr>
        <w:pStyle w:val="Titre3"/>
        <w:spacing w:line="276" w:lineRule="auto"/>
      </w:pPr>
      <w:bookmarkStart w:id="40" w:name="_Toc152687223"/>
      <w:r>
        <w:t>Louer son bien : mettre en suspens les relations sociales ?</w:t>
      </w:r>
      <w:bookmarkEnd w:id="40"/>
    </w:p>
    <w:p w14:paraId="009B3F2C" w14:textId="76A75D82" w:rsidR="00E114DD" w:rsidRPr="001666CE" w:rsidRDefault="00182F5B" w:rsidP="00E505A5">
      <w:pPr>
        <w:spacing w:line="276" w:lineRule="auto"/>
      </w:pPr>
      <w:r>
        <w:t xml:space="preserve">La science économique traditionnelle nous a habitués à concevoir le marché comme </w:t>
      </w:r>
      <w:r w:rsidR="00DE7E0C">
        <w:t xml:space="preserve">un </w:t>
      </w:r>
      <w:r>
        <w:t xml:space="preserve">univers étanche au reste du monde social. C’est ce que </w:t>
      </w:r>
      <w:r w:rsidR="00E114DD" w:rsidRPr="001666CE">
        <w:t>Zelizer</w:t>
      </w:r>
      <w:r w:rsidR="00E76D6A">
        <w:t xml:space="preserve">, dans les pas de Polanyi, </w:t>
      </w:r>
      <w:r w:rsidR="00E114DD" w:rsidRPr="001666CE">
        <w:t xml:space="preserve">a appelé les « théories des mondes hostiles » </w:t>
      </w:r>
      <w:r w:rsidR="00DE7E0C">
        <w:t>(</w:t>
      </w:r>
      <w:r w:rsidR="00E114DD" w:rsidRPr="001666CE">
        <w:t>Zelizer, 2005</w:t>
      </w:r>
      <w:r w:rsidR="00DE7E0C">
        <w:t xml:space="preserve"> : </w:t>
      </w:r>
      <w:r w:rsidR="00E114DD" w:rsidRPr="001666CE">
        <w:t>20-35</w:t>
      </w:r>
      <w:r w:rsidR="00DE7E0C">
        <w:t>)</w:t>
      </w:r>
      <w:r w:rsidRPr="001666CE">
        <w:t xml:space="preserve"> : </w:t>
      </w:r>
      <w:r w:rsidR="002358A1" w:rsidRPr="001666CE">
        <w:t xml:space="preserve">à </w:t>
      </w:r>
      <w:r w:rsidR="00E114DD" w:rsidRPr="001666CE">
        <w:t>la sphère économique</w:t>
      </w:r>
      <w:r w:rsidR="00DE7E0C">
        <w:t>,</w:t>
      </w:r>
      <w:r w:rsidR="00E114DD" w:rsidRPr="001666CE">
        <w:t xml:space="preserve"> </w:t>
      </w:r>
      <w:r w:rsidR="002358A1" w:rsidRPr="001666CE">
        <w:t xml:space="preserve">où </w:t>
      </w:r>
      <w:r w:rsidR="00E114DD" w:rsidRPr="001666CE">
        <w:t>régnerait la rationalité économique, l'argent et l'intérêt,</w:t>
      </w:r>
      <w:r w:rsidRPr="001666CE">
        <w:t xml:space="preserve"> s’oppose</w:t>
      </w:r>
      <w:r w:rsidR="00DE7E0C">
        <w:t>nt</w:t>
      </w:r>
      <w:r w:rsidR="00E114DD" w:rsidRPr="001666CE">
        <w:t xml:space="preserve"> </w:t>
      </w:r>
      <w:r w:rsidR="007F6F69">
        <w:t>« </w:t>
      </w:r>
      <w:r w:rsidR="002358A1" w:rsidRPr="001666CE">
        <w:t>les</w:t>
      </w:r>
      <w:r w:rsidR="00E114DD" w:rsidRPr="001666CE">
        <w:t xml:space="preserve"> autres sphères où régneraient la sociabilité, la solidarité, mais aussi les conflits sociaux et les rapports de force symboliques, l'économie du don et les appartenances culturelles</w:t>
      </w:r>
      <w:r w:rsidR="007F6F69">
        <w:t> »</w:t>
      </w:r>
      <w:r w:rsidRPr="001666CE">
        <w:t xml:space="preserve"> (</w:t>
      </w:r>
      <w:r w:rsidR="00DE7E0C">
        <w:t xml:space="preserve">Dufy &amp; </w:t>
      </w:r>
      <w:r w:rsidRPr="001666CE">
        <w:t xml:space="preserve">Weber, </w:t>
      </w:r>
      <w:r w:rsidR="00DE7E0C">
        <w:t xml:space="preserve">2007 : </w:t>
      </w:r>
      <w:r w:rsidRPr="001666CE">
        <w:t>17)</w:t>
      </w:r>
      <w:r w:rsidR="00E114DD" w:rsidRPr="001666CE">
        <w:t>.</w:t>
      </w:r>
    </w:p>
    <w:p w14:paraId="090728D4" w14:textId="733C8D0B" w:rsidR="00666254" w:rsidRDefault="008108A2" w:rsidP="00E505A5">
      <w:pPr>
        <w:spacing w:line="276" w:lineRule="auto"/>
      </w:pPr>
      <w:r>
        <w:t>L’ethnographie économique s’inscrit</w:t>
      </w:r>
      <w:r w:rsidR="00DE7E0C">
        <w:t xml:space="preserve"> – à </w:t>
      </w:r>
      <w:r w:rsidR="00182F5B" w:rsidRPr="001666CE">
        <w:t>rebours de cette approche</w:t>
      </w:r>
      <w:r w:rsidR="00DE7E0C">
        <w:t xml:space="preserve"> – dans </w:t>
      </w:r>
      <w:r w:rsidR="00E76D6A">
        <w:t xml:space="preserve">les </w:t>
      </w:r>
      <w:r w:rsidR="00182F5B" w:rsidRPr="00E76D6A">
        <w:t>théories des mondes imbriqués</w:t>
      </w:r>
      <w:r w:rsidR="00DE7E0C">
        <w:t>,</w:t>
      </w:r>
      <w:r w:rsidR="00E76D6A">
        <w:t xml:space="preserve"> </w:t>
      </w:r>
      <w:r>
        <w:t xml:space="preserve">qui </w:t>
      </w:r>
      <w:r w:rsidR="00E76D6A">
        <w:t xml:space="preserve">considèrent </w:t>
      </w:r>
      <w:r w:rsidR="005B2B33">
        <w:t xml:space="preserve">que les </w:t>
      </w:r>
      <w:r w:rsidR="00182F5B" w:rsidRPr="001666CE">
        <w:t>pratique</w:t>
      </w:r>
      <w:r w:rsidR="001666CE">
        <w:t>s</w:t>
      </w:r>
      <w:r w:rsidR="00182F5B" w:rsidRPr="001666CE">
        <w:t xml:space="preserve"> économiques </w:t>
      </w:r>
      <w:r w:rsidR="005B2B33">
        <w:t xml:space="preserve">sont </w:t>
      </w:r>
      <w:r w:rsidR="00451E28" w:rsidRPr="001666CE">
        <w:t>au croisement des différentes sphères de la société</w:t>
      </w:r>
      <w:r w:rsidR="00E76D6A">
        <w:t>, avec lesquelles les individus peuvent composer</w:t>
      </w:r>
      <w:r w:rsidR="00182F5B" w:rsidRPr="001666CE">
        <w:t>.</w:t>
      </w:r>
      <w:r w:rsidR="005B2B33">
        <w:t xml:space="preserve"> </w:t>
      </w:r>
      <w:r>
        <w:t>En effet, p</w:t>
      </w:r>
      <w:r w:rsidR="00E76D6A">
        <w:t xml:space="preserve">lusieurs principes de comportement peuvent coexister de manière </w:t>
      </w:r>
      <w:r w:rsidR="00E76D6A" w:rsidRPr="00DE7E0C">
        <w:t>concomitante</w:t>
      </w:r>
      <w:r w:rsidR="0068435A" w:rsidRPr="00DE7E0C">
        <w:t>,</w:t>
      </w:r>
      <w:r w:rsidR="0068435A">
        <w:t xml:space="preserve"> sans que ces </w:t>
      </w:r>
      <w:r w:rsidR="0068435A" w:rsidRPr="0068435A">
        <w:t>différents principes ne renvoient à des mondes hostiles</w:t>
      </w:r>
      <w:r w:rsidR="00666254">
        <w:t>. Il</w:t>
      </w:r>
      <w:r w:rsidR="00513D68">
        <w:t>s</w:t>
      </w:r>
      <w:r w:rsidR="00666254">
        <w:t xml:space="preserve"> renvoient plutôt à des mondes « </w:t>
      </w:r>
      <w:r w:rsidR="0068435A" w:rsidRPr="0068435A">
        <w:t>rituellement séparés</w:t>
      </w:r>
      <w:r w:rsidR="00666254">
        <w:t xml:space="preserve"> » mais </w:t>
      </w:r>
      <w:r w:rsidR="00DE7E0C">
        <w:t xml:space="preserve">aussi </w:t>
      </w:r>
      <w:r w:rsidR="00666254">
        <w:t>« </w:t>
      </w:r>
      <w:r w:rsidR="0068435A" w:rsidRPr="0068435A">
        <w:t>socialement connectés</w:t>
      </w:r>
      <w:r w:rsidR="0068435A">
        <w:t> »</w:t>
      </w:r>
      <w:r w:rsidR="00666254">
        <w:t xml:space="preserve"> : </w:t>
      </w:r>
      <w:r w:rsidR="00513D68">
        <w:t>c</w:t>
      </w:r>
      <w:r w:rsidR="00666254" w:rsidRPr="001A07AD">
        <w:t>es mondes sont tissés les uns aux autres dans la trame du quotidien</w:t>
      </w:r>
      <w:r w:rsidR="00666254">
        <w:t xml:space="preserve"> </w:t>
      </w:r>
      <w:r w:rsidR="0068435A">
        <w:t>(</w:t>
      </w:r>
      <w:r w:rsidR="00DE7E0C">
        <w:t xml:space="preserve">Dufy &amp; </w:t>
      </w:r>
      <w:r w:rsidR="0068435A">
        <w:t xml:space="preserve">Weber, </w:t>
      </w:r>
      <w:r w:rsidR="00DE7E0C">
        <w:t>2007 :</w:t>
      </w:r>
      <w:r w:rsidR="0068435A">
        <w:t xml:space="preserve"> 19)</w:t>
      </w:r>
      <w:r w:rsidR="0068435A" w:rsidRPr="0068435A">
        <w:t>. U</w:t>
      </w:r>
      <w:r w:rsidR="00E76D6A">
        <w:t>n individu se réfèrera à l’un ou l’autre principe en fonction du champ d’activité ou du registre d’action</w:t>
      </w:r>
      <w:r w:rsidR="0068435A">
        <w:t xml:space="preserve">, </w:t>
      </w:r>
      <w:r w:rsidR="00DE7E0C">
        <w:t>du</w:t>
      </w:r>
      <w:r w:rsidR="0068435A">
        <w:t xml:space="preserve"> moment ou</w:t>
      </w:r>
      <w:r w:rsidR="00DE7E0C">
        <w:t xml:space="preserve"> de</w:t>
      </w:r>
      <w:r w:rsidR="0068435A">
        <w:t xml:space="preserve"> la situation</w:t>
      </w:r>
      <w:r w:rsidR="00E76D6A">
        <w:t xml:space="preserve"> dans l</w:t>
      </w:r>
      <w:r w:rsidR="0068435A">
        <w:t>a</w:t>
      </w:r>
      <w:r w:rsidR="00E76D6A">
        <w:t>quel</w:t>
      </w:r>
      <w:r w:rsidR="0068435A">
        <w:t>le</w:t>
      </w:r>
      <w:r w:rsidR="00E76D6A">
        <w:t xml:space="preserve"> </w:t>
      </w:r>
      <w:r w:rsidR="0068435A">
        <w:t>il est engagé</w:t>
      </w:r>
      <w:r w:rsidR="00E76D6A">
        <w:t xml:space="preserve">. </w:t>
      </w:r>
      <w:r w:rsidR="00451E28" w:rsidRPr="001A07AD">
        <w:t xml:space="preserve">Pour </w:t>
      </w:r>
      <w:r w:rsidR="0068435A" w:rsidRPr="001A07AD">
        <w:t xml:space="preserve">les </w:t>
      </w:r>
      <w:r w:rsidR="00451E28" w:rsidRPr="001A07AD">
        <w:t xml:space="preserve">théories des </w:t>
      </w:r>
      <w:r w:rsidR="00451E28" w:rsidRPr="001A07AD">
        <w:lastRenderedPageBreak/>
        <w:t xml:space="preserve">mondes imbriqués, </w:t>
      </w:r>
      <w:r w:rsidR="0068435A" w:rsidRPr="001A07AD">
        <w:t xml:space="preserve">il s’agit donc </w:t>
      </w:r>
      <w:r w:rsidR="00451E28" w:rsidRPr="001A07AD">
        <w:t xml:space="preserve">d'étudier en même temps le fonctionnement spécifique </w:t>
      </w:r>
      <w:r w:rsidR="0068435A" w:rsidRPr="001A07AD">
        <w:t xml:space="preserve">de chacun de ces mondes, </w:t>
      </w:r>
      <w:r w:rsidR="00451E28" w:rsidRPr="001A07AD">
        <w:t>et les allers et retours des individus entre ces différents circuits</w:t>
      </w:r>
      <w:r w:rsidR="00513D68">
        <w:t xml:space="preserve"> </w:t>
      </w:r>
      <w:r w:rsidR="0068435A" w:rsidRPr="001A07AD">
        <w:t>(</w:t>
      </w:r>
      <w:r w:rsidR="00DE7E0C">
        <w:t xml:space="preserve">Dufy &amp; Weber : </w:t>
      </w:r>
      <w:r w:rsidR="00451E28" w:rsidRPr="001A07AD">
        <w:t>19</w:t>
      </w:r>
      <w:r w:rsidR="0068435A" w:rsidRPr="001A07AD">
        <w:t>)</w:t>
      </w:r>
      <w:r w:rsidR="00666254">
        <w:t xml:space="preserve">. </w:t>
      </w:r>
    </w:p>
    <w:p w14:paraId="24DCD2A4" w14:textId="02C5F026" w:rsidR="000125AF" w:rsidRDefault="00DE7E0C" w:rsidP="000125AF">
      <w:pPr>
        <w:spacing w:line="276" w:lineRule="auto"/>
      </w:pPr>
      <w:r>
        <w:t>L</w:t>
      </w:r>
      <w:r w:rsidR="007E7640">
        <w:t xml:space="preserve">a théorie des mondes hostiles, qui perçoit les échanges économiques et les rapports sociaux comme deux territoires étanches, semble bien loin de nous : il n’y a plus d’un </w:t>
      </w:r>
      <w:r w:rsidR="000125AF">
        <w:t>côté</w:t>
      </w:r>
      <w:r w:rsidR="007E7640">
        <w:t xml:space="preserve"> le monde de la rationalité économique, où des individus anonymes échange</w:t>
      </w:r>
      <w:r>
        <w:t>nt</w:t>
      </w:r>
      <w:r w:rsidR="007E7640">
        <w:t>, mus par leur propre intérêt individuel, et de l’autre le monde des relations personnelles et de l’échange purement affectif et désintéressé. Notre perception a gagné en subtilité et nous pouvons à présent saisir de manière plus fine la complexité des transactions sociales économiques.</w:t>
      </w:r>
      <w:r w:rsidR="00850A52">
        <w:t xml:space="preserve"> </w:t>
      </w:r>
      <w:r>
        <w:t>Nous sommes en mesure d’étudier</w:t>
      </w:r>
      <w:r w:rsidR="00850A52">
        <w:t xml:space="preserve">, notamment, </w:t>
      </w:r>
      <w:r w:rsidR="000125AF">
        <w:t xml:space="preserve">les cas, rencontré sur notre terrain de thèse, de propriétaires privés qui collaborent avec les services « capteurs logements » des CPAS </w:t>
      </w:r>
      <w:r w:rsidR="00BB0FF9">
        <w:t xml:space="preserve">ou des Agences immobilières sociales, en plein essor, </w:t>
      </w:r>
      <w:r w:rsidR="000125AF">
        <w:t>pour louer à des allocataires</w:t>
      </w:r>
      <w:r w:rsidR="00081A4F">
        <w:t xml:space="preserve"> sociaux</w:t>
      </w:r>
      <w:r w:rsidR="000125AF">
        <w:t xml:space="preserve">. </w:t>
      </w:r>
      <w:r w:rsidR="00BB0FF9">
        <w:t>Pour comprendre ce genre de phénomène, pour saisir les dynamiques à l’œuvre dans le marché du logement des personnes pauvres</w:t>
      </w:r>
      <w:r>
        <w:t>,</w:t>
      </w:r>
      <w:r w:rsidR="00BB0FF9">
        <w:t xml:space="preserve"> et l’impact de la « crise du logement » sur les locataires mais aussi les travailleurs sociaux et les propriétaires, il </w:t>
      </w:r>
      <w:r>
        <w:t>est en effet utile de</w:t>
      </w:r>
      <w:r w:rsidR="00BB0FF9">
        <w:t xml:space="preserve"> saisir les moyens que nous offre l’ethnographie économique</w:t>
      </w:r>
      <w:r>
        <w:t>,</w:t>
      </w:r>
      <w:r w:rsidR="00BB0FF9">
        <w:t xml:space="preserve"> et </w:t>
      </w:r>
      <w:r>
        <w:t xml:space="preserve">de </w:t>
      </w:r>
      <w:r w:rsidR="00BB0FF9">
        <w:t xml:space="preserve">sortir de </w:t>
      </w:r>
      <w:r w:rsidR="00BB0FF9" w:rsidRPr="00B20049">
        <w:t xml:space="preserve">l’abstraction qui met « entre parenthèses des caractéristiques personnelles des partenaires de l’échange ». (Weber, </w:t>
      </w:r>
      <w:r w:rsidR="00BB0FF9">
        <w:t>2000/4 :</w:t>
      </w:r>
      <w:r w:rsidR="00BB0FF9" w:rsidRPr="00B20049">
        <w:t xml:space="preserve"> 87)</w:t>
      </w:r>
    </w:p>
    <w:p w14:paraId="0BC4A9B5" w14:textId="7E9A8159" w:rsidR="000125AF" w:rsidRDefault="00BB0FF9" w:rsidP="00BB0FF9">
      <w:pPr>
        <w:spacing w:line="276" w:lineRule="auto"/>
      </w:pPr>
      <w:r>
        <w:t>Cela nous permettra de porter un regard neuf sur les pratiques économiques et la gestion budgétaire des différents acteurs engagés dans les procédures d’expulsion. Ce matériau nous amènera à comprendre, du côté des bailleurs :</w:t>
      </w:r>
      <w:r w:rsidR="00DF213E">
        <w:t xml:space="preserve"> </w:t>
      </w:r>
    </w:p>
    <w:p w14:paraId="084F3D22" w14:textId="3CCD8EB0" w:rsidR="0081685D" w:rsidRPr="00DE7E0C" w:rsidRDefault="00DE7E0C" w:rsidP="001229BC">
      <w:pPr>
        <w:pStyle w:val="Paragraphedeliste"/>
        <w:numPr>
          <w:ilvl w:val="0"/>
          <w:numId w:val="19"/>
        </w:numPr>
        <w:spacing w:line="276" w:lineRule="auto"/>
        <w:rPr>
          <w:color w:val="323232"/>
          <w:sz w:val="30"/>
          <w:szCs w:val="30"/>
          <w:shd w:val="clear" w:color="auto" w:fill="FAFAFA"/>
        </w:rPr>
      </w:pPr>
      <w:r w:rsidRPr="00DE7E0C">
        <w:t>Pourquoi</w:t>
      </w:r>
      <w:r w:rsidR="005556D4" w:rsidRPr="00DE7E0C">
        <w:t xml:space="preserve"> certains sollicitent un juge de paix et d’autres pas ? Quand et pourquoi décident-ils d’introduire une requête auprès d’un juge ?</w:t>
      </w:r>
    </w:p>
    <w:p w14:paraId="3555D0A9" w14:textId="4A49BBFC" w:rsidR="00A7305F" w:rsidRPr="00DE7E0C" w:rsidRDefault="00A7305F" w:rsidP="001229BC">
      <w:pPr>
        <w:pStyle w:val="Paragraphedeliste"/>
        <w:numPr>
          <w:ilvl w:val="0"/>
          <w:numId w:val="19"/>
        </w:numPr>
        <w:spacing w:line="276" w:lineRule="auto"/>
      </w:pPr>
      <w:r w:rsidRPr="00DE7E0C">
        <w:t>En cas de dette</w:t>
      </w:r>
      <w:r w:rsidR="00BB0FF9" w:rsidRPr="00DE7E0C">
        <w:t xml:space="preserve"> </w:t>
      </w:r>
      <w:r w:rsidRPr="00DE7E0C">
        <w:t xml:space="preserve">locative, </w:t>
      </w:r>
      <w:r w:rsidR="00BB0FF9" w:rsidRPr="00DE7E0C">
        <w:t>pourquoi</w:t>
      </w:r>
      <w:r w:rsidRPr="00DE7E0C">
        <w:t xml:space="preserve"> le propriétaire décide de sollicit</w:t>
      </w:r>
      <w:r w:rsidR="00BB0FF9" w:rsidRPr="00DE7E0C">
        <w:t>er</w:t>
      </w:r>
      <w:r w:rsidRPr="00DE7E0C">
        <w:t xml:space="preserve"> le juge de paix et à quel moment</w:t>
      </w:r>
      <w:r w:rsidR="00DE7E0C" w:rsidRPr="00DE7E0C">
        <w:t xml:space="preserve"> ? À </w:t>
      </w:r>
      <w:r w:rsidRPr="00DE7E0C">
        <w:t xml:space="preserve">partir de combien de retard </w:t>
      </w:r>
      <w:r w:rsidR="00BB0FF9" w:rsidRPr="00DE7E0C">
        <w:t xml:space="preserve">de paiement ? Quelle est sa </w:t>
      </w:r>
      <w:r w:rsidR="00762491" w:rsidRPr="00DE7E0C">
        <w:t xml:space="preserve">marge de tolérance ? </w:t>
      </w:r>
      <w:r w:rsidR="00BB0FF9" w:rsidRPr="00DE7E0C">
        <w:t>E</w:t>
      </w:r>
      <w:r w:rsidR="00762491" w:rsidRPr="00DE7E0C">
        <w:t>n fonction de quel critère</w:t>
      </w:r>
      <w:r w:rsidR="00BB0FF9" w:rsidRPr="00DE7E0C">
        <w:t xml:space="preserve"> est-elle établie</w:t>
      </w:r>
      <w:r w:rsidR="00762491" w:rsidRPr="00DE7E0C">
        <w:t xml:space="preserve"> ? </w:t>
      </w:r>
    </w:p>
    <w:p w14:paraId="3ED87707" w14:textId="3C624F82" w:rsidR="00074CB8" w:rsidRPr="00DE7E0C" w:rsidRDefault="00074CB8" w:rsidP="00074CB8">
      <w:pPr>
        <w:spacing w:line="276" w:lineRule="auto"/>
      </w:pPr>
      <w:r w:rsidRPr="00DE7E0C">
        <w:t xml:space="preserve">Du côté des locataires : </w:t>
      </w:r>
    </w:p>
    <w:p w14:paraId="229106A5" w14:textId="131E44BA" w:rsidR="00074CB8" w:rsidRPr="00DE7E0C" w:rsidRDefault="00074CB8" w:rsidP="001229BC">
      <w:pPr>
        <w:pStyle w:val="Paragraphedeliste"/>
        <w:numPr>
          <w:ilvl w:val="0"/>
          <w:numId w:val="19"/>
        </w:numPr>
        <w:spacing w:line="276" w:lineRule="auto"/>
      </w:pPr>
      <w:r w:rsidRPr="00DE7E0C">
        <w:t>Quelles sont les pratiques économiques du locataire ? Selon quelle rationalité économique gère-</w:t>
      </w:r>
      <w:proofErr w:type="spellStart"/>
      <w:r w:rsidRPr="00DE7E0C">
        <w:t>t’il</w:t>
      </w:r>
      <w:proofErr w:type="spellEnd"/>
      <w:r w:rsidRPr="00DE7E0C">
        <w:t xml:space="preserve"> son budget ? Est-il en mesure d’apurer sa dette ? </w:t>
      </w:r>
    </w:p>
    <w:p w14:paraId="59D5B6FD" w14:textId="0D9E6F33" w:rsidR="00074CB8" w:rsidRDefault="00074CB8" w:rsidP="00074CB8">
      <w:pPr>
        <w:spacing w:line="276" w:lineRule="auto"/>
      </w:pPr>
      <w:r>
        <w:t xml:space="preserve">Enfin, comment </w:t>
      </w:r>
      <w:r w:rsidR="00DE7E0C">
        <w:t>les différents</w:t>
      </w:r>
      <w:r>
        <w:t xml:space="preserve"> acteurs arrivent</w:t>
      </w:r>
      <w:r w:rsidR="00DE7E0C">
        <w:t>-ils</w:t>
      </w:r>
      <w:r>
        <w:t xml:space="preserve"> à se constituer un cadre de référence commun</w:t>
      </w:r>
      <w:r w:rsidR="00DE7E0C">
        <w:t>,</w:t>
      </w:r>
      <w:r>
        <w:t xml:space="preserve"> afin de parvenir à un accord – à moins que le conflit perdure et n’aboutisse à l’expulsion</w:t>
      </w:r>
      <w:r w:rsidR="00DE7E0C">
        <w:t> ?</w:t>
      </w:r>
    </w:p>
    <w:p w14:paraId="121CA529" w14:textId="544231F2" w:rsidR="00EB61BC" w:rsidRDefault="00EB61BC">
      <w:pPr>
        <w:spacing w:line="259" w:lineRule="auto"/>
        <w:jc w:val="left"/>
      </w:pPr>
      <w:r>
        <w:br w:type="page"/>
      </w:r>
    </w:p>
    <w:p w14:paraId="703058BE" w14:textId="375508DF" w:rsidR="00163A16" w:rsidRDefault="00D175CD" w:rsidP="00C14587">
      <w:pPr>
        <w:pStyle w:val="Titre1"/>
        <w:spacing w:line="276" w:lineRule="auto"/>
      </w:pPr>
      <w:bookmarkStart w:id="41" w:name="_Toc152687224"/>
      <w:r>
        <w:lastRenderedPageBreak/>
        <w:t>Conclu</w:t>
      </w:r>
      <w:r w:rsidR="00163A16">
        <w:t xml:space="preserve">sion </w:t>
      </w:r>
      <w:r w:rsidR="00EB61BC">
        <w:t>générale</w:t>
      </w:r>
      <w:bookmarkEnd w:id="41"/>
      <w:r w:rsidR="00EB61BC">
        <w:t xml:space="preserve"> </w:t>
      </w:r>
    </w:p>
    <w:p w14:paraId="143D7591" w14:textId="77777777" w:rsidR="00C14587" w:rsidRPr="00C14587" w:rsidRDefault="00C14587" w:rsidP="00C14587">
      <w:pPr>
        <w:shd w:val="clear" w:color="auto" w:fill="FFFFFF"/>
        <w:spacing w:line="276" w:lineRule="auto"/>
        <w:rPr>
          <w:rFonts w:cs="Times New Roman"/>
        </w:rPr>
      </w:pPr>
      <w:r w:rsidRPr="00C14587">
        <w:rPr>
          <w:rFonts w:cs="Times New Roman"/>
        </w:rPr>
        <w:t>Les expulsions locatives, en plus d’être un sujet politique sensible, constituent un objet sociologique remarquable, tant il mobilise une multitude d’acteurs, de situations, de trajectoires mais aussi de discours et de pratiques divergentes. Locataires, propriétaires, Juges de Paix, travailleurs sociaux, huissiers de Justice, chacun prend part au phénomène et charrie avec lui ressources, motifs et intérêts particuliers. Comment donc comprendre ce phénomène ? Relève-t-il de facteurs individuels (la « mauvaise gestion » du locataire) ou de facteurs conjoncturels (« l’accident »), voire structurels (un certain état des politiques du logement) ? Comment saisir les trajectoires des locataires endettés ? Comment expliquer que certaines procédures d’expulsion aboutissent (les locataires sont mis à la rue le jour prévu, avec présence des huissiers et de la police) tandis que d’autres procédures sont interrompues avant l’expulsion effective ?</w:t>
      </w:r>
    </w:p>
    <w:p w14:paraId="14D40A0E" w14:textId="15FA13D8" w:rsidR="00C14587" w:rsidRPr="00C14587" w:rsidRDefault="00C14587" w:rsidP="00C14587">
      <w:pPr>
        <w:spacing w:line="276" w:lineRule="auto"/>
        <w:rPr>
          <w:rFonts w:cs="Times New Roman"/>
          <w:shd w:val="clear" w:color="auto" w:fill="FFFFFF"/>
        </w:rPr>
      </w:pPr>
      <w:r w:rsidRPr="00C14587">
        <w:rPr>
          <w:rFonts w:cs="Times New Roman"/>
          <w:shd w:val="clear" w:color="auto" w:fill="FFFFFF"/>
        </w:rPr>
        <w:t>Ce TFE était l’occasion de puiser dans la sociologie concepts et méthodologies qui nous permettent de répondre à ces questions.</w:t>
      </w:r>
    </w:p>
    <w:p w14:paraId="7DA29C3D" w14:textId="77777777" w:rsidR="00C14587" w:rsidRPr="00C14587" w:rsidRDefault="00C14587" w:rsidP="00C14587">
      <w:pPr>
        <w:shd w:val="clear" w:color="auto" w:fill="FFFFFF"/>
        <w:spacing w:line="276" w:lineRule="auto"/>
        <w:rPr>
          <w:rFonts w:cs="Times New Roman"/>
        </w:rPr>
      </w:pPr>
      <w:r w:rsidRPr="00C14587">
        <w:rPr>
          <w:rFonts w:cs="Times New Roman"/>
        </w:rPr>
        <w:t>Dans la première partie, je proposais un état de l’art des recherches sur le phénomène. Nous avons pu constater le manque de travaux proprement académiques sur le phénomène dans les pays d’Europe francophone. Les expulsions locatives étant plutôt l’objet – depuis peu en Belgique – de productions relevant de l’expertise institutionnelle (principalement IWEPS et COCOM).</w:t>
      </w:r>
    </w:p>
    <w:p w14:paraId="6250D827" w14:textId="77777777" w:rsidR="00C14587" w:rsidRPr="00C14587" w:rsidRDefault="00C14587" w:rsidP="00C14587">
      <w:pPr>
        <w:shd w:val="clear" w:color="auto" w:fill="FFFFFF"/>
        <w:spacing w:line="276" w:lineRule="auto"/>
        <w:rPr>
          <w:rFonts w:cs="Times New Roman"/>
        </w:rPr>
      </w:pPr>
      <w:r w:rsidRPr="00C14587">
        <w:rPr>
          <w:rFonts w:cs="Times New Roman"/>
        </w:rPr>
        <w:t>La seconde partie de ce TFE proposait un état des lieux du phénomène en Belgique, et plus particulièrement en Wallonie et à Bruxelles, à partir d’une compilation des chiffres disponibles. C’était aussi l’occasion de revenir plus en détail sur les aspects juridiques de la procédure d’expulsion et sur son application concrète : chaque étape de la procédure fait intervenir de nouveaux acteurs, avec leurs propres missions et intérêts.</w:t>
      </w:r>
    </w:p>
    <w:p w14:paraId="52814415" w14:textId="132EB722" w:rsidR="00C14587" w:rsidRPr="00C14587" w:rsidRDefault="00C14587" w:rsidP="00C14587">
      <w:pPr>
        <w:shd w:val="clear" w:color="auto" w:fill="FFFFFF"/>
        <w:spacing w:line="276" w:lineRule="auto"/>
        <w:rPr>
          <w:rFonts w:cs="Times New Roman"/>
        </w:rPr>
      </w:pPr>
      <w:r w:rsidRPr="00C14587">
        <w:rPr>
          <w:rFonts w:cs="Times New Roman"/>
        </w:rPr>
        <w:t>De ces deux premières parties ont émergé une série de problèmes et de questions que l’on peut qualifier de sociologiques. La troisième partie du TFE proposait de dresser un inventaire de différents outils qui nous permettraient d’y répondre :</w:t>
      </w:r>
      <w:r w:rsidR="00CB68BF">
        <w:rPr>
          <w:rFonts w:cs="Times New Roman"/>
        </w:rPr>
        <w:t xml:space="preserve"> </w:t>
      </w:r>
    </w:p>
    <w:p w14:paraId="441DB365" w14:textId="2FB5BED4" w:rsidR="00C14587" w:rsidRPr="00C14587" w:rsidRDefault="00C14587" w:rsidP="001229BC">
      <w:pPr>
        <w:pStyle w:val="NormalWeb"/>
        <w:numPr>
          <w:ilvl w:val="0"/>
          <w:numId w:val="23"/>
        </w:numPr>
        <w:shd w:val="clear" w:color="auto" w:fill="FFFFFF"/>
        <w:spacing w:before="0" w:beforeAutospacing="0" w:after="0" w:afterAutospacing="0" w:line="276" w:lineRule="auto"/>
        <w:jc w:val="both"/>
        <w:rPr>
          <w:szCs w:val="22"/>
        </w:rPr>
      </w:pPr>
      <w:r w:rsidRPr="00C14587">
        <w:rPr>
          <w:szCs w:val="22"/>
        </w:rPr>
        <w:t>Les notions de trajectoire et de carrière nous permettent d’utiliser les récits biographiques afin de saisir les parcours de manière dynamique et longitudinale, et de les objectiver en les rattachant aux contraintes objectives qui pèsent sur eux. Si la notion de trajectoire permet de retracer le parcours de vie d’un individu, la notion de carrière vise une séquence plus limitée, et se pense en relation avec une institution. On pourra donc parler de la trajectoire de vie d’un individu et de sa carrière dans le mal-logement. Articuler trajectoire et carrière permet d’étudier à la fois les </w:t>
      </w:r>
      <w:r w:rsidRPr="00C14587">
        <w:rPr>
          <w:iCs/>
          <w:szCs w:val="22"/>
        </w:rPr>
        <w:t>dispositions </w:t>
      </w:r>
      <w:r w:rsidRPr="00C14587">
        <w:rPr>
          <w:szCs w:val="22"/>
        </w:rPr>
        <w:t>et les </w:t>
      </w:r>
      <w:r w:rsidRPr="00C14587">
        <w:rPr>
          <w:iCs/>
          <w:szCs w:val="22"/>
        </w:rPr>
        <w:t>situations</w:t>
      </w:r>
      <w:r w:rsidRPr="00C14587">
        <w:rPr>
          <w:szCs w:val="22"/>
        </w:rPr>
        <w:t> pour comprendre les parcours d’expulsion ;</w:t>
      </w:r>
    </w:p>
    <w:p w14:paraId="4277F465" w14:textId="6A669E7C" w:rsidR="00C14587" w:rsidRPr="00C14587" w:rsidRDefault="00C14587" w:rsidP="001229BC">
      <w:pPr>
        <w:pStyle w:val="NormalWeb"/>
        <w:numPr>
          <w:ilvl w:val="0"/>
          <w:numId w:val="23"/>
        </w:numPr>
        <w:shd w:val="clear" w:color="auto" w:fill="FFFFFF"/>
        <w:spacing w:before="0" w:beforeAutospacing="0" w:after="0" w:afterAutospacing="0" w:line="276" w:lineRule="auto"/>
        <w:jc w:val="both"/>
        <w:rPr>
          <w:szCs w:val="22"/>
        </w:rPr>
      </w:pPr>
      <w:r w:rsidRPr="00C14587">
        <w:rPr>
          <w:szCs w:val="22"/>
        </w:rPr>
        <w:t>L’approche interactionniste nous permet de regarder ce qui se passe du côté de ceux qui ont le pouvoir de définir des normes et de les mettre en pratique : les institutions et les </w:t>
      </w:r>
      <w:proofErr w:type="spellStart"/>
      <w:r w:rsidRPr="00C14587">
        <w:rPr>
          <w:i/>
          <w:iCs/>
          <w:szCs w:val="22"/>
        </w:rPr>
        <w:t>policy</w:t>
      </w:r>
      <w:proofErr w:type="spellEnd"/>
      <w:r w:rsidRPr="00C14587">
        <w:rPr>
          <w:i/>
          <w:iCs/>
          <w:szCs w:val="22"/>
        </w:rPr>
        <w:t xml:space="preserve"> </w:t>
      </w:r>
      <w:proofErr w:type="spellStart"/>
      <w:r w:rsidRPr="00C14587">
        <w:rPr>
          <w:i/>
          <w:iCs/>
          <w:szCs w:val="22"/>
        </w:rPr>
        <w:t>makers</w:t>
      </w:r>
      <w:proofErr w:type="spellEnd"/>
      <w:r w:rsidRPr="00C14587">
        <w:rPr>
          <w:szCs w:val="22"/>
        </w:rPr>
        <w:t> qui appliquent les politiques publiques. Cette approche nous donne à voir une série de décalages, de « conflits d’interprétation » et de conflits de normes entre ces acteurs, notamment sur la « bonne gestion budgétaire » et sur le rapport au temps. ;</w:t>
      </w:r>
    </w:p>
    <w:p w14:paraId="0EE7A435" w14:textId="7DDAE238" w:rsidR="00C14587" w:rsidRPr="00C14587" w:rsidRDefault="00C14587" w:rsidP="001229BC">
      <w:pPr>
        <w:pStyle w:val="NormalWeb"/>
        <w:numPr>
          <w:ilvl w:val="0"/>
          <w:numId w:val="23"/>
        </w:numPr>
        <w:shd w:val="clear" w:color="auto" w:fill="FFFFFF"/>
        <w:spacing w:before="0" w:beforeAutospacing="0" w:after="0" w:afterAutospacing="0" w:line="276" w:lineRule="auto"/>
        <w:jc w:val="both"/>
        <w:rPr>
          <w:szCs w:val="22"/>
        </w:rPr>
      </w:pPr>
      <w:r w:rsidRPr="00C14587">
        <w:rPr>
          <w:szCs w:val="22"/>
        </w:rPr>
        <w:t>La notion de configuration empruntée à Elias nous permet de gagner encore en objectivité, en rattachant au contexte social et historique les différentes données récoltées lors d’entretiens ou d'enquêtes ethnographiques. Elle nous permet également de considérer les actions de l’ensemble des acteurs engagés dans le processus d’expulsion, et de reconnaitre, pour chacun, l’influence qu’ils peuvent avoir sur l’issue de la procédure.</w:t>
      </w:r>
    </w:p>
    <w:p w14:paraId="67932CBD" w14:textId="2B7C99F4" w:rsidR="00C14587" w:rsidRPr="00C14587" w:rsidRDefault="00C14587" w:rsidP="001229BC">
      <w:pPr>
        <w:pStyle w:val="NormalWeb"/>
        <w:numPr>
          <w:ilvl w:val="0"/>
          <w:numId w:val="23"/>
        </w:numPr>
        <w:spacing w:before="0" w:beforeAutospacing="0" w:after="160" w:afterAutospacing="0" w:line="276" w:lineRule="auto"/>
        <w:jc w:val="both"/>
        <w:rPr>
          <w:szCs w:val="22"/>
          <w:shd w:val="clear" w:color="auto" w:fill="FFFFFF"/>
        </w:rPr>
      </w:pPr>
      <w:r w:rsidRPr="00C14587">
        <w:rPr>
          <w:szCs w:val="22"/>
          <w:shd w:val="clear" w:color="auto" w:fill="FFFFFF"/>
        </w:rPr>
        <w:t xml:space="preserve">Enfin, l’ethnographie économique, parce qu’elle prend pour objet les pratiques économiques et donne à voir le social qui est à leur fondement, nous permet d’étudier de </w:t>
      </w:r>
      <w:r w:rsidRPr="00C14587">
        <w:rPr>
          <w:szCs w:val="22"/>
          <w:shd w:val="clear" w:color="auto" w:fill="FFFFFF"/>
        </w:rPr>
        <w:lastRenderedPageBreak/>
        <w:t>manière plus fine encore ce qui pousse les locataires à accumuler des dettes de loyer, comme ce qui, de l’autre côté du rapport de force, mène les propriétaires à entamer une procédure d’expulsion.</w:t>
      </w:r>
      <w:r w:rsidR="00CB68BF">
        <w:rPr>
          <w:szCs w:val="22"/>
          <w:shd w:val="clear" w:color="auto" w:fill="FFFFFF"/>
        </w:rPr>
        <w:t xml:space="preserve"> </w:t>
      </w:r>
    </w:p>
    <w:p w14:paraId="67D0F831" w14:textId="38AA16C5" w:rsidR="00C14587" w:rsidRPr="00C14587" w:rsidRDefault="00C14587" w:rsidP="00C14587">
      <w:pPr>
        <w:spacing w:line="276" w:lineRule="auto"/>
        <w:rPr>
          <w:rFonts w:cs="Times New Roman"/>
        </w:rPr>
      </w:pPr>
      <w:r w:rsidRPr="00C14587">
        <w:rPr>
          <w:rFonts w:cs="Times New Roman"/>
        </w:rPr>
        <w:t xml:space="preserve">Le logement apparait finalement comme un objet complexe, à la fois objet de transaction économique, marchandise, mais aussi besoin et droit fondamental. La sociologue Susanna </w:t>
      </w:r>
      <w:proofErr w:type="spellStart"/>
      <w:r w:rsidRPr="00C14587">
        <w:rPr>
          <w:rFonts w:cs="Times New Roman"/>
        </w:rPr>
        <w:t>Magri</w:t>
      </w:r>
      <w:proofErr w:type="spellEnd"/>
      <w:r w:rsidRPr="00C14587">
        <w:rPr>
          <w:rFonts w:cs="Times New Roman"/>
        </w:rPr>
        <w:t xml:space="preserve"> rappelle qu’il est aussi, profondément, un marqueur social et un foyer de subjectivation : « son échange et son usage pèsent selon des modalités et des degrés différents sur l'avenir des parties prenantes; située dans un espace physique qui reproduit la hiérarchie de l'espace social, elle est le lieu de rapprochements et de confrontations formatrices des identités sociales ; source d'oppositions ou d'antagonismes, elle contribue à la construction des identités politiques et devient objet de luttes politiques. » (</w:t>
      </w:r>
      <w:proofErr w:type="spellStart"/>
      <w:r w:rsidRPr="00C14587">
        <w:rPr>
          <w:rFonts w:cs="Times New Roman"/>
        </w:rPr>
        <w:t>Magri</w:t>
      </w:r>
      <w:proofErr w:type="spellEnd"/>
      <w:r w:rsidRPr="00C14587">
        <w:rPr>
          <w:rFonts w:cs="Times New Roman"/>
        </w:rPr>
        <w:t>, 1996 : 368)</w:t>
      </w:r>
    </w:p>
    <w:p w14:paraId="56CE4ECF" w14:textId="77777777" w:rsidR="00C14587" w:rsidRPr="00C14587" w:rsidRDefault="00C14587" w:rsidP="00C14587">
      <w:pPr>
        <w:shd w:val="clear" w:color="auto" w:fill="FFFFFF"/>
        <w:spacing w:line="276" w:lineRule="auto"/>
        <w:rPr>
          <w:rFonts w:cs="Times New Roman"/>
        </w:rPr>
      </w:pPr>
      <w:r w:rsidRPr="00C14587">
        <w:rPr>
          <w:rFonts w:cs="Times New Roman"/>
        </w:rPr>
        <w:t>Si le logement fait « crise » aujourd’hui, la conjoncture sociale est telle que la mobilisation collective, politique, pour le droit au logement ne réunit pas les foules. Ils sont pourtant nombreux, ces ménages de locataires précaires, à se battre au quotidien, souvent seuls, parfois assistés par différents acteurs de l'aide sociale, et/ou par un soutien familial, pour payer leur loyer et se maintenir au logement.</w:t>
      </w:r>
    </w:p>
    <w:p w14:paraId="447014CD" w14:textId="4F61F9C5" w:rsidR="00C14587" w:rsidRDefault="00C14587" w:rsidP="00FD77D6">
      <w:pPr>
        <w:shd w:val="clear" w:color="auto" w:fill="FFFFFF"/>
        <w:spacing w:line="276" w:lineRule="auto"/>
        <w:rPr>
          <w:rFonts w:cs="Times New Roman"/>
        </w:rPr>
      </w:pPr>
      <w:r w:rsidRPr="00C14587">
        <w:rPr>
          <w:rFonts w:cs="Times New Roman"/>
        </w:rPr>
        <w:t>Le risque de « perdre son logement » et, à travers lui, la question des procédures d’expulsion locative, nous semblait d’autant plus fondamentale à aborder qu’il recouvre une multitude de représentations et d’explications : le défaut de « responsabilité » ou de « capacité» des locataires « qui ne savent pas gérer » ;</w:t>
      </w:r>
      <w:r>
        <w:rPr>
          <w:rFonts w:cs="Times New Roman"/>
        </w:rPr>
        <w:t xml:space="preserve"> </w:t>
      </w:r>
      <w:r w:rsidRPr="00C14587">
        <w:rPr>
          <w:rFonts w:cs="Times New Roman"/>
        </w:rPr>
        <w:t>« l’accident », l'évènement improbable, imprévu et imprévisible ;</w:t>
      </w:r>
      <w:r>
        <w:rPr>
          <w:rFonts w:cs="Times New Roman"/>
        </w:rPr>
        <w:t xml:space="preserve"> </w:t>
      </w:r>
      <w:r w:rsidRPr="00C14587">
        <w:rPr>
          <w:rFonts w:cs="Times New Roman"/>
        </w:rPr>
        <w:t>le</w:t>
      </w:r>
      <w:r w:rsidR="00FD77D6">
        <w:rPr>
          <w:rFonts w:cs="Times New Roman"/>
        </w:rPr>
        <w:t xml:space="preserve"> </w:t>
      </w:r>
      <w:r w:rsidRPr="00C14587">
        <w:rPr>
          <w:rFonts w:cs="Times New Roman"/>
        </w:rPr>
        <w:t>« vol », la réappropriation violente, « abusive », d'un toit par</w:t>
      </w:r>
      <w:r>
        <w:rPr>
          <w:rFonts w:cs="Times New Roman"/>
        </w:rPr>
        <w:t xml:space="preserve"> </w:t>
      </w:r>
      <w:r w:rsidRPr="00C14587">
        <w:rPr>
          <w:rFonts w:cs="Times New Roman"/>
        </w:rPr>
        <w:t>un propriétaire trop « avide », ou encore la force du « destin » social</w:t>
      </w:r>
      <w:r>
        <w:rPr>
          <w:rFonts w:cs="Times New Roman"/>
        </w:rPr>
        <w:t xml:space="preserve"> </w:t>
      </w:r>
      <w:r w:rsidRPr="00C14587">
        <w:rPr>
          <w:rFonts w:cs="Times New Roman"/>
        </w:rPr>
        <w:t>: les effets de structure, l'état du marché locatif, l'orientation des politiques publiques en la matière.</w:t>
      </w:r>
    </w:p>
    <w:p w14:paraId="2880FD19" w14:textId="24E34491" w:rsidR="00C14587" w:rsidRPr="00C14587" w:rsidRDefault="00C14587" w:rsidP="00C14587">
      <w:pPr>
        <w:shd w:val="clear" w:color="auto" w:fill="FFFFFF"/>
        <w:spacing w:line="276" w:lineRule="auto"/>
        <w:rPr>
          <w:rFonts w:cs="Times New Roman"/>
        </w:rPr>
      </w:pPr>
      <w:r w:rsidRPr="00C14587">
        <w:rPr>
          <w:rFonts w:cs="Times New Roman"/>
          <w:iCs/>
        </w:rPr>
        <w:t>Ce TFE a été l’occasion de se donner les moyens nécessaires pour saisir un phénomène complexe</w:t>
      </w:r>
      <w:r w:rsidR="00FD77D6">
        <w:rPr>
          <w:rFonts w:cs="Times New Roman"/>
          <w:iCs/>
        </w:rPr>
        <w:t>, appréhender les différends, les décalages, les oppositions</w:t>
      </w:r>
      <w:r w:rsidRPr="00C14587">
        <w:rPr>
          <w:rFonts w:cs="Times New Roman"/>
          <w:iCs/>
        </w:rPr>
        <w:t>. Il s'agirait</w:t>
      </w:r>
      <w:r>
        <w:rPr>
          <w:rFonts w:cs="Times New Roman"/>
          <w:iCs/>
        </w:rPr>
        <w:t xml:space="preserve">, par la suite, </w:t>
      </w:r>
      <w:r w:rsidR="00FD77D6">
        <w:rPr>
          <w:rFonts w:cs="Times New Roman"/>
          <w:iCs/>
        </w:rPr>
        <w:t xml:space="preserve">d’articuler l’ensemble, </w:t>
      </w:r>
      <w:proofErr w:type="spellStart"/>
      <w:r w:rsidR="00FD77D6">
        <w:rPr>
          <w:rFonts w:cs="Times New Roman"/>
          <w:iCs/>
        </w:rPr>
        <w:t>re-saisir</w:t>
      </w:r>
      <w:proofErr w:type="spellEnd"/>
      <w:r w:rsidR="00FD77D6">
        <w:rPr>
          <w:rFonts w:cs="Times New Roman"/>
          <w:iCs/>
        </w:rPr>
        <w:t xml:space="preserve"> ces</w:t>
      </w:r>
      <w:r>
        <w:rPr>
          <w:rFonts w:cs="Times New Roman"/>
          <w:iCs/>
        </w:rPr>
        <w:t xml:space="preserve"> </w:t>
      </w:r>
      <w:r w:rsidR="00FD77D6">
        <w:rPr>
          <w:rFonts w:cs="Times New Roman"/>
          <w:iCs/>
        </w:rPr>
        <w:t xml:space="preserve">représentations, </w:t>
      </w:r>
      <w:r>
        <w:rPr>
          <w:rFonts w:cs="Times New Roman"/>
          <w:iCs/>
        </w:rPr>
        <w:t xml:space="preserve">pratiques </w:t>
      </w:r>
      <w:r w:rsidRPr="00C14587">
        <w:rPr>
          <w:rFonts w:cs="Times New Roman"/>
          <w:iCs/>
        </w:rPr>
        <w:t xml:space="preserve">et </w:t>
      </w:r>
      <w:r>
        <w:rPr>
          <w:rFonts w:cs="Times New Roman"/>
          <w:iCs/>
        </w:rPr>
        <w:t>usage</w:t>
      </w:r>
      <w:r w:rsidR="00FD77D6">
        <w:rPr>
          <w:rFonts w:cs="Times New Roman"/>
          <w:iCs/>
        </w:rPr>
        <w:t>s différents</w:t>
      </w:r>
      <w:r>
        <w:rPr>
          <w:rFonts w:cs="Times New Roman"/>
          <w:iCs/>
        </w:rPr>
        <w:t xml:space="preserve"> </w:t>
      </w:r>
      <w:r w:rsidR="00FD77D6">
        <w:rPr>
          <w:rFonts w:cs="Times New Roman"/>
          <w:iCs/>
        </w:rPr>
        <w:t xml:space="preserve">pour rendre compte des parcours d’expulsion et des dynamiques à l’œuvre au sein du marché du logement des pauvres. </w:t>
      </w:r>
    </w:p>
    <w:p w14:paraId="3248A227" w14:textId="777A69CB" w:rsidR="00C14587" w:rsidRDefault="00C14587" w:rsidP="00C14587">
      <w:pPr>
        <w:spacing w:line="259" w:lineRule="auto"/>
        <w:jc w:val="left"/>
        <w:rPr>
          <w:rFonts w:eastAsiaTheme="majorEastAsia" w:cstheme="majorBidi"/>
          <w:color w:val="2F5496" w:themeColor="accent1" w:themeShade="BF"/>
          <w:sz w:val="32"/>
          <w:szCs w:val="32"/>
        </w:rPr>
      </w:pPr>
      <w:r>
        <w:t xml:space="preserve"> </w:t>
      </w:r>
      <w:r>
        <w:br w:type="page"/>
      </w:r>
    </w:p>
    <w:p w14:paraId="27155D16" w14:textId="7E237B93" w:rsidR="00163A16" w:rsidRDefault="006308DA" w:rsidP="00E505A5">
      <w:pPr>
        <w:pStyle w:val="Titre1"/>
        <w:spacing w:line="276" w:lineRule="auto"/>
      </w:pPr>
      <w:bookmarkStart w:id="42" w:name="_Toc152687225"/>
      <w:r>
        <w:lastRenderedPageBreak/>
        <w:t>Bibliographie</w:t>
      </w:r>
      <w:bookmarkEnd w:id="42"/>
      <w:r>
        <w:t xml:space="preserve"> </w:t>
      </w:r>
    </w:p>
    <w:p w14:paraId="7DB1C8A5" w14:textId="77777777" w:rsidR="00053AAD" w:rsidRDefault="00053AAD" w:rsidP="00053AAD">
      <w:pPr>
        <w:pStyle w:val="Titre2"/>
      </w:pPr>
      <w:bookmarkStart w:id="43" w:name="_Toc152687226"/>
      <w:r>
        <w:t>Publications scientifiques</w:t>
      </w:r>
      <w:bookmarkEnd w:id="43"/>
      <w:r>
        <w:t xml:space="preserve"> </w:t>
      </w:r>
    </w:p>
    <w:p w14:paraId="213A1161" w14:textId="7D88A746" w:rsidR="00D333F5" w:rsidRPr="00B66266" w:rsidRDefault="00D333F5" w:rsidP="000B489D">
      <w:pPr>
        <w:spacing w:line="276" w:lineRule="auto"/>
        <w:rPr>
          <w:rFonts w:cs="Times New Roman"/>
          <w:color w:val="323232"/>
          <w:shd w:val="clear" w:color="auto" w:fill="FFFFFF"/>
          <w:lang w:val="en-US"/>
        </w:rPr>
      </w:pPr>
      <w:r w:rsidRPr="002232A8">
        <w:rPr>
          <w:rFonts w:cs="Times New Roman"/>
          <w:shd w:val="clear" w:color="auto" w:fill="FFFFFF"/>
        </w:rPr>
        <w:t xml:space="preserve">BEAUD Stéphane, WEBER Florence, « 11 – Le raisonnement ethnographique », </w:t>
      </w:r>
      <w:r w:rsidRPr="002232A8">
        <w:rPr>
          <w:rFonts w:cs="Times New Roman"/>
          <w:i/>
          <w:shd w:val="clear" w:color="auto" w:fill="FFFFFF"/>
        </w:rPr>
        <w:t>in</w:t>
      </w:r>
      <w:r w:rsidRPr="002232A8">
        <w:rPr>
          <w:rFonts w:cs="Times New Roman"/>
          <w:shd w:val="clear" w:color="auto" w:fill="FFFFFF"/>
        </w:rPr>
        <w:t xml:space="preserve"> Serge Paugam éd., </w:t>
      </w:r>
      <w:r w:rsidRPr="002232A8">
        <w:rPr>
          <w:rFonts w:cs="Times New Roman"/>
          <w:i/>
          <w:iCs/>
          <w:shd w:val="clear" w:color="auto" w:fill="FFFFFF"/>
        </w:rPr>
        <w:t>L’enquête sociologique,</w:t>
      </w:r>
      <w:r w:rsidR="009C74C1" w:rsidRPr="002232A8">
        <w:rPr>
          <w:rFonts w:cs="Times New Roman"/>
          <w:i/>
          <w:iCs/>
          <w:shd w:val="clear" w:color="auto" w:fill="FFFFFF"/>
        </w:rPr>
        <w:t xml:space="preserve"> </w:t>
      </w:r>
      <w:r w:rsidRPr="002232A8">
        <w:rPr>
          <w:rFonts w:cs="Times New Roman"/>
          <w:shd w:val="clear" w:color="auto" w:fill="FFFFFF"/>
        </w:rPr>
        <w:t xml:space="preserve">Presses Universitaires de France, « Quadrige », Paris, 2012, p. 223-246. </w:t>
      </w:r>
      <w:r w:rsidRPr="00B66266">
        <w:rPr>
          <w:rFonts w:cs="Times New Roman"/>
          <w:shd w:val="clear" w:color="auto" w:fill="FFFFFF"/>
          <w:lang w:val="en-US"/>
        </w:rPr>
        <w:t xml:space="preserve">Disponible </w:t>
      </w:r>
      <w:proofErr w:type="gramStart"/>
      <w:r w:rsidRPr="00B66266">
        <w:rPr>
          <w:rFonts w:cs="Times New Roman"/>
          <w:shd w:val="clear" w:color="auto" w:fill="FFFFFF"/>
          <w:lang w:val="en-US"/>
        </w:rPr>
        <w:t>sur :</w:t>
      </w:r>
      <w:proofErr w:type="gramEnd"/>
      <w:r w:rsidRPr="00B66266">
        <w:rPr>
          <w:rFonts w:cs="Times New Roman"/>
          <w:shd w:val="clear" w:color="auto" w:fill="FFFFFF"/>
          <w:lang w:val="en-US"/>
        </w:rPr>
        <w:t xml:space="preserve"> </w:t>
      </w:r>
      <w:hyperlink r:id="rId15" w:history="1">
        <w:r w:rsidRPr="00B66266">
          <w:rPr>
            <w:rStyle w:val="Lienhypertexte"/>
            <w:rFonts w:cs="Times New Roman"/>
            <w:shd w:val="clear" w:color="auto" w:fill="FFFFFF"/>
            <w:lang w:val="en-US"/>
          </w:rPr>
          <w:t>https://www.cairn.info/--9782130608738-page-223.htm</w:t>
        </w:r>
      </w:hyperlink>
    </w:p>
    <w:p w14:paraId="43DFBAFF" w14:textId="537DEEAC" w:rsidR="000E1000" w:rsidRPr="000B489D" w:rsidRDefault="000E1000" w:rsidP="000B489D">
      <w:pPr>
        <w:spacing w:line="276" w:lineRule="auto"/>
        <w:rPr>
          <w:rFonts w:cs="Times New Roman"/>
        </w:rPr>
      </w:pPr>
      <w:r w:rsidRPr="002232A8">
        <w:rPr>
          <w:rFonts w:cs="Times New Roman"/>
          <w:shd w:val="clear" w:color="auto" w:fill="FFFFFF"/>
          <w:lang w:val="en-US"/>
        </w:rPr>
        <w:t>BECKER Howard S</w:t>
      </w:r>
      <w:r w:rsidR="003D49D9" w:rsidRPr="002232A8">
        <w:rPr>
          <w:rFonts w:cs="Times New Roman"/>
          <w:shd w:val="clear" w:color="auto" w:fill="FFFFFF"/>
          <w:lang w:val="en-US"/>
        </w:rPr>
        <w:t>.</w:t>
      </w:r>
      <w:r w:rsidRPr="002232A8">
        <w:rPr>
          <w:rFonts w:cs="Times New Roman"/>
          <w:shd w:val="clear" w:color="auto" w:fill="FFFFFF"/>
          <w:lang w:val="en-US"/>
        </w:rPr>
        <w:t>, </w:t>
      </w:r>
      <w:r w:rsidRPr="002232A8">
        <w:rPr>
          <w:rFonts w:cs="Times New Roman"/>
          <w:i/>
          <w:iCs/>
          <w:shd w:val="clear" w:color="auto" w:fill="FFFFFF"/>
          <w:lang w:val="en-US"/>
        </w:rPr>
        <w:t>Outsiders. </w:t>
      </w:r>
      <w:r w:rsidRPr="002232A8">
        <w:rPr>
          <w:rFonts w:cs="Times New Roman"/>
          <w:i/>
          <w:iCs/>
          <w:shd w:val="clear" w:color="auto" w:fill="FFFFFF"/>
        </w:rPr>
        <w:t>Études de sociologie de la déviance</w:t>
      </w:r>
      <w:r w:rsidR="003D49D9" w:rsidRPr="002232A8">
        <w:rPr>
          <w:rFonts w:cs="Times New Roman"/>
          <w:i/>
          <w:iCs/>
          <w:shd w:val="clear" w:color="auto" w:fill="FFFFFF"/>
        </w:rPr>
        <w:t>,</w:t>
      </w:r>
      <w:r w:rsidRPr="002232A8">
        <w:rPr>
          <w:rFonts w:cs="Times New Roman"/>
          <w:i/>
          <w:iCs/>
          <w:shd w:val="clear" w:color="auto" w:fill="FFFFFF"/>
        </w:rPr>
        <w:t> </w:t>
      </w:r>
      <w:r w:rsidRPr="002232A8">
        <w:rPr>
          <w:rFonts w:cs="Times New Roman"/>
          <w:shd w:val="clear" w:color="auto" w:fill="FFFFFF"/>
        </w:rPr>
        <w:t>Éditions Métailié, « Leçons De Choses », 1985</w:t>
      </w:r>
      <w:r w:rsidR="003D49D9" w:rsidRPr="002232A8">
        <w:rPr>
          <w:rFonts w:cs="Times New Roman"/>
          <w:shd w:val="clear" w:color="auto" w:fill="FFFFFF"/>
        </w:rPr>
        <w:t>. Disponible sur :</w:t>
      </w:r>
      <w:r w:rsidRPr="002232A8">
        <w:rPr>
          <w:rFonts w:cs="Times New Roman"/>
          <w:shd w:val="clear" w:color="auto" w:fill="FFFFFF"/>
        </w:rPr>
        <w:t xml:space="preserve"> </w:t>
      </w:r>
      <w:hyperlink r:id="rId16" w:history="1">
        <w:r w:rsidR="003D49D9" w:rsidRPr="000B489D">
          <w:rPr>
            <w:rStyle w:val="Lienhypertexte"/>
            <w:rFonts w:cs="Times New Roman"/>
            <w:shd w:val="clear" w:color="auto" w:fill="FFFFFF"/>
          </w:rPr>
          <w:t>https://www.cairn.info/outsiders--9782864249184.htm</w:t>
        </w:r>
      </w:hyperlink>
      <w:r w:rsidR="003D49D9" w:rsidRPr="000B489D">
        <w:rPr>
          <w:rFonts w:cs="Times New Roman"/>
          <w:color w:val="323232"/>
          <w:shd w:val="clear" w:color="auto" w:fill="FFFFFF"/>
        </w:rPr>
        <w:t xml:space="preserve"> </w:t>
      </w:r>
      <w:r w:rsidR="003D49D9" w:rsidRPr="002232A8">
        <w:rPr>
          <w:rFonts w:cs="Times New Roman"/>
          <w:shd w:val="clear" w:color="auto" w:fill="FFFFFF"/>
        </w:rPr>
        <w:t xml:space="preserve">; </w:t>
      </w:r>
      <w:r w:rsidR="003D49D9" w:rsidRPr="002232A8">
        <w:rPr>
          <w:rFonts w:cs="Times New Roman"/>
          <w:i/>
          <w:iCs/>
          <w:shd w:val="clear" w:color="auto" w:fill="FFFFFF"/>
        </w:rPr>
        <w:t>Les ficelles du métier. Comment conduire sa recherche en sciences sociales. </w:t>
      </w:r>
      <w:r w:rsidR="003D49D9" w:rsidRPr="002232A8">
        <w:rPr>
          <w:rFonts w:cs="Times New Roman"/>
          <w:shd w:val="clear" w:color="auto" w:fill="FFFFFF"/>
        </w:rPr>
        <w:t>La Découverte, « Repères », 2002. Disponible sur </w:t>
      </w:r>
      <w:r w:rsidR="003D49D9" w:rsidRPr="000B489D">
        <w:rPr>
          <w:rFonts w:cs="Times New Roman"/>
          <w:color w:val="323232"/>
          <w:shd w:val="clear" w:color="auto" w:fill="FFFFFF"/>
        </w:rPr>
        <w:t xml:space="preserve">: </w:t>
      </w:r>
      <w:hyperlink r:id="rId17" w:history="1">
        <w:r w:rsidR="003D49D9" w:rsidRPr="000B489D">
          <w:rPr>
            <w:rStyle w:val="Lienhypertexte"/>
            <w:rFonts w:cs="Times New Roman"/>
            <w:shd w:val="clear" w:color="auto" w:fill="FFFFFF"/>
          </w:rPr>
          <w:t>https://www.cairn.info/les-ficelles-du-metier--9782707133700.htm</w:t>
        </w:r>
      </w:hyperlink>
      <w:r w:rsidR="003D49D9" w:rsidRPr="000B489D">
        <w:rPr>
          <w:rFonts w:cs="Times New Roman"/>
          <w:color w:val="323232"/>
          <w:shd w:val="clear" w:color="auto" w:fill="FFFFFF"/>
        </w:rPr>
        <w:t xml:space="preserve"> </w:t>
      </w:r>
    </w:p>
    <w:p w14:paraId="59154673" w14:textId="528B064C" w:rsidR="003C06B5" w:rsidRPr="000B489D" w:rsidRDefault="003C06B5" w:rsidP="000B489D">
      <w:pPr>
        <w:spacing w:line="276" w:lineRule="auto"/>
        <w:rPr>
          <w:rFonts w:cs="Times New Roman"/>
        </w:rPr>
      </w:pPr>
      <w:r w:rsidRPr="000B489D">
        <w:rPr>
          <w:rFonts w:cs="Times New Roman"/>
        </w:rPr>
        <w:t xml:space="preserve">BERNARD Nicolas, LEMAIRE Laurent, </w:t>
      </w:r>
      <w:r w:rsidRPr="000B489D">
        <w:rPr>
          <w:rStyle w:val="a-size-extra-large"/>
          <w:rFonts w:cs="Times New Roman"/>
          <w:i/>
          <w:color w:val="0F1111"/>
        </w:rPr>
        <w:t>Expulsions de logement, sans-abrisme et relogement</w:t>
      </w:r>
      <w:r w:rsidRPr="000B489D">
        <w:rPr>
          <w:rStyle w:val="a-size-extra-large"/>
          <w:rFonts w:cs="Times New Roman"/>
          <w:color w:val="0F1111"/>
        </w:rPr>
        <w:t xml:space="preserve">, </w:t>
      </w:r>
      <w:proofErr w:type="spellStart"/>
      <w:r w:rsidRPr="000B489D">
        <w:rPr>
          <w:rStyle w:val="a-size-extra-large"/>
          <w:rFonts w:cs="Times New Roman"/>
          <w:color w:val="0F1111"/>
        </w:rPr>
        <w:t>ed</w:t>
      </w:r>
      <w:proofErr w:type="spellEnd"/>
      <w:r w:rsidRPr="000B489D">
        <w:rPr>
          <w:rStyle w:val="a-size-extra-large"/>
          <w:rFonts w:cs="Times New Roman"/>
          <w:color w:val="0F1111"/>
        </w:rPr>
        <w:t>.</w:t>
      </w:r>
      <w:r w:rsidR="00EC4658" w:rsidRPr="000B489D">
        <w:rPr>
          <w:rStyle w:val="a-size-extra-large"/>
          <w:rFonts w:cs="Times New Roman"/>
          <w:color w:val="0F1111"/>
        </w:rPr>
        <w:t xml:space="preserve"> </w:t>
      </w:r>
      <w:r w:rsidRPr="000B489D">
        <w:rPr>
          <w:rStyle w:val="a-size-extra-large"/>
          <w:rFonts w:cs="Times New Roman"/>
          <w:color w:val="0F1111"/>
        </w:rPr>
        <w:t>Larcier, 2010.</w:t>
      </w:r>
    </w:p>
    <w:p w14:paraId="07E58867" w14:textId="4C098A1D" w:rsidR="00096944" w:rsidRPr="000B489D" w:rsidRDefault="00096944" w:rsidP="000B489D">
      <w:pPr>
        <w:autoSpaceDE w:val="0"/>
        <w:autoSpaceDN w:val="0"/>
        <w:adjustRightInd w:val="0"/>
        <w:spacing w:line="276" w:lineRule="auto"/>
        <w:rPr>
          <w:rFonts w:cs="Times New Roman"/>
        </w:rPr>
      </w:pPr>
      <w:r w:rsidRPr="000B489D">
        <w:rPr>
          <w:rFonts w:cs="Times New Roman"/>
        </w:rPr>
        <w:t xml:space="preserve">BERTRAND Louis, </w:t>
      </w:r>
      <w:r w:rsidRPr="000B489D">
        <w:rPr>
          <w:rFonts w:cs="Times New Roman"/>
          <w:i/>
        </w:rPr>
        <w:t>Norme, règle et individu dans les politiques locales du logement des personnes défavorisées</w:t>
      </w:r>
      <w:r w:rsidRPr="000B489D">
        <w:rPr>
          <w:rFonts w:cs="Times New Roman"/>
        </w:rPr>
        <w:t>, Thèse de doctorat en Urbanisme, aménagement et politiques urbaines Sous la direction de </w:t>
      </w:r>
      <w:hyperlink r:id="rId18" w:history="1">
        <w:r w:rsidRPr="000B489D">
          <w:rPr>
            <w:rFonts w:cs="Times New Roman"/>
          </w:rPr>
          <w:t>Jean-Claude Driant</w:t>
        </w:r>
      </w:hyperlink>
      <w:r w:rsidRPr="000B489D">
        <w:rPr>
          <w:rFonts w:cs="Times New Roman"/>
        </w:rPr>
        <w:t xml:space="preserve">, Université de Paris Est, </w:t>
      </w:r>
      <w:r w:rsidR="00B65593" w:rsidRPr="000B489D">
        <w:rPr>
          <w:rFonts w:cs="Times New Roman"/>
        </w:rPr>
        <w:t>s</w:t>
      </w:r>
      <w:r w:rsidRPr="000B489D">
        <w:rPr>
          <w:rFonts w:cs="Times New Roman"/>
        </w:rPr>
        <w:t>outenue le 05-12-2008</w:t>
      </w:r>
      <w:r w:rsidR="00B65593" w:rsidRPr="000B489D">
        <w:rPr>
          <w:rFonts w:cs="Times New Roman"/>
        </w:rPr>
        <w:t>.</w:t>
      </w:r>
    </w:p>
    <w:p w14:paraId="2F3BAC79" w14:textId="19D1104E" w:rsidR="00A347A0" w:rsidRPr="000B489D" w:rsidRDefault="00A347A0" w:rsidP="000B489D">
      <w:pPr>
        <w:autoSpaceDE w:val="0"/>
        <w:autoSpaceDN w:val="0"/>
        <w:adjustRightInd w:val="0"/>
        <w:spacing w:line="276" w:lineRule="auto"/>
        <w:rPr>
          <w:rFonts w:cs="Times New Roman"/>
        </w:rPr>
      </w:pPr>
      <w:r w:rsidRPr="000B489D">
        <w:rPr>
          <w:rFonts w:cs="Times New Roman"/>
        </w:rPr>
        <w:t>BOURDIEU Pierre, </w:t>
      </w:r>
      <w:r w:rsidR="00BC3A20" w:rsidRPr="000B489D">
        <w:rPr>
          <w:rFonts w:cs="Times New Roman"/>
        </w:rPr>
        <w:t xml:space="preserve">« L'illusion biographique », </w:t>
      </w:r>
      <w:r w:rsidR="00BC3A20" w:rsidRPr="000B489D">
        <w:rPr>
          <w:rFonts w:cs="Times New Roman"/>
          <w:i/>
        </w:rPr>
        <w:t xml:space="preserve">in </w:t>
      </w:r>
      <w:r w:rsidR="00BC3A20" w:rsidRPr="000B489D">
        <w:rPr>
          <w:rFonts w:cs="Times New Roman"/>
        </w:rPr>
        <w:t>Actes de la recherche en sciences sociales. Vol. 62-63, juin 1986. L’illusion biographique. pp. 69-72. Disponible sur :</w:t>
      </w:r>
      <w:r w:rsidR="00A4398C">
        <w:rPr>
          <w:rFonts w:cs="Times New Roman"/>
        </w:rPr>
        <w:t xml:space="preserve"> </w:t>
      </w:r>
      <w:hyperlink r:id="rId19" w:history="1">
        <w:r w:rsidR="00BC3A20" w:rsidRPr="000B489D">
          <w:rPr>
            <w:rStyle w:val="Lienhypertexte"/>
            <w:rFonts w:cs="Times New Roman"/>
          </w:rPr>
          <w:t>http://www.persee.fr/web/revues/home/prescript/article/arss_0335-5322_1986_num_62_1_2317</w:t>
        </w:r>
      </w:hyperlink>
      <w:r w:rsidR="00BC3A20" w:rsidRPr="000B489D">
        <w:rPr>
          <w:rFonts w:cs="Times New Roman"/>
        </w:rPr>
        <w:t xml:space="preserve">; </w:t>
      </w:r>
      <w:r w:rsidRPr="000B489D">
        <w:rPr>
          <w:rFonts w:cs="Times New Roman"/>
          <w:i/>
        </w:rPr>
        <w:t>Les Structures sociales de l’économie</w:t>
      </w:r>
      <w:r w:rsidRPr="000B489D">
        <w:rPr>
          <w:rFonts w:cs="Times New Roman"/>
        </w:rPr>
        <w:t>, Paris, Seuil, 2000.</w:t>
      </w:r>
    </w:p>
    <w:p w14:paraId="15CE5AA4" w14:textId="286B55C8" w:rsidR="00331DF6" w:rsidRPr="000B489D" w:rsidRDefault="00171BA8" w:rsidP="000B489D">
      <w:pPr>
        <w:autoSpaceDE w:val="0"/>
        <w:autoSpaceDN w:val="0"/>
        <w:adjustRightInd w:val="0"/>
        <w:spacing w:line="276" w:lineRule="auto"/>
        <w:rPr>
          <w:rFonts w:cs="Times New Roman"/>
          <w:shd w:val="clear" w:color="auto" w:fill="FFFFFF"/>
        </w:rPr>
      </w:pPr>
      <w:r w:rsidRPr="000B489D">
        <w:rPr>
          <w:rStyle w:val="authors"/>
          <w:rFonts w:cs="Times New Roman"/>
          <w:shd w:val="clear" w:color="auto" w:fill="FFFFFF"/>
          <w:lang w:val="en-US"/>
        </w:rPr>
        <w:t>BRAMLEY</w:t>
      </w:r>
      <w:r w:rsidR="00331DF6" w:rsidRPr="000B489D">
        <w:rPr>
          <w:rStyle w:val="authors"/>
          <w:rFonts w:cs="Times New Roman"/>
          <w:shd w:val="clear" w:color="auto" w:fill="FFFFFF"/>
          <w:lang w:val="en-US"/>
        </w:rPr>
        <w:t xml:space="preserve"> Glen, </w:t>
      </w:r>
      <w:r w:rsidRPr="000B489D">
        <w:rPr>
          <w:rStyle w:val="authors"/>
          <w:rFonts w:cs="Times New Roman"/>
          <w:shd w:val="clear" w:color="auto" w:fill="FFFFFF"/>
          <w:lang w:val="en-US"/>
        </w:rPr>
        <w:t>FITZPATRICK</w:t>
      </w:r>
      <w:r w:rsidR="00331DF6" w:rsidRPr="000B489D">
        <w:rPr>
          <w:rStyle w:val="authors"/>
          <w:rFonts w:cs="Times New Roman"/>
          <w:shd w:val="clear" w:color="auto" w:fill="FFFFFF"/>
          <w:lang w:val="en-US"/>
        </w:rPr>
        <w:t xml:space="preserve"> Susanne, “H</w:t>
      </w:r>
      <w:r w:rsidR="00331DF6" w:rsidRPr="000B489D">
        <w:rPr>
          <w:rStyle w:val="arttitle"/>
          <w:rFonts w:cs="Times New Roman"/>
          <w:shd w:val="clear" w:color="auto" w:fill="FFFFFF"/>
          <w:lang w:val="en-US"/>
        </w:rPr>
        <w:t>omelessness in the UK: who is most at risk?”,</w:t>
      </w:r>
      <w:r w:rsidR="00331DF6" w:rsidRPr="000B489D">
        <w:rPr>
          <w:rFonts w:cs="Times New Roman"/>
          <w:shd w:val="clear" w:color="auto" w:fill="FFFFFF"/>
          <w:lang w:val="en-US"/>
        </w:rPr>
        <w:t> </w:t>
      </w:r>
      <w:r w:rsidR="00331DF6" w:rsidRPr="000B489D">
        <w:rPr>
          <w:rStyle w:val="serialtitle"/>
          <w:rFonts w:cs="Times New Roman"/>
          <w:shd w:val="clear" w:color="auto" w:fill="FFFFFF"/>
          <w:lang w:val="en-US"/>
        </w:rPr>
        <w:t>Housing Studies,</w:t>
      </w:r>
      <w:r w:rsidR="00331DF6" w:rsidRPr="000B489D">
        <w:rPr>
          <w:rFonts w:cs="Times New Roman"/>
          <w:shd w:val="clear" w:color="auto" w:fill="FFFFFF"/>
          <w:lang w:val="en-US"/>
        </w:rPr>
        <w:t> </w:t>
      </w:r>
      <w:r w:rsidR="00331DF6" w:rsidRPr="000B489D">
        <w:rPr>
          <w:rStyle w:val="volumeissue"/>
          <w:rFonts w:cs="Times New Roman"/>
          <w:shd w:val="clear" w:color="auto" w:fill="FFFFFF"/>
          <w:lang w:val="en-US"/>
        </w:rPr>
        <w:t>33:1,</w:t>
      </w:r>
      <w:r w:rsidR="00331DF6" w:rsidRPr="000B489D">
        <w:rPr>
          <w:rFonts w:cs="Times New Roman"/>
          <w:shd w:val="clear" w:color="auto" w:fill="FFFFFF"/>
          <w:lang w:val="en-US"/>
        </w:rPr>
        <w:t> </w:t>
      </w:r>
      <w:r w:rsidR="00331DF6" w:rsidRPr="000B489D">
        <w:rPr>
          <w:rStyle w:val="pagerange"/>
          <w:rFonts w:cs="Times New Roman"/>
          <w:shd w:val="clear" w:color="auto" w:fill="FFFFFF"/>
          <w:lang w:val="en-US"/>
        </w:rPr>
        <w:t>96-116</w:t>
      </w:r>
      <w:r w:rsidRPr="000B489D">
        <w:rPr>
          <w:rStyle w:val="pagerange"/>
          <w:rFonts w:cs="Times New Roman"/>
          <w:shd w:val="clear" w:color="auto" w:fill="FFFFFF"/>
          <w:lang w:val="en-US"/>
        </w:rPr>
        <w:t xml:space="preserve">, 2018. </w:t>
      </w:r>
      <w:r w:rsidRPr="000B489D">
        <w:rPr>
          <w:rStyle w:val="pagerange"/>
          <w:rFonts w:cs="Times New Roman"/>
          <w:shd w:val="clear" w:color="auto" w:fill="FFFFFF"/>
        </w:rPr>
        <w:t xml:space="preserve">Disponible sur </w:t>
      </w:r>
      <w:r w:rsidRPr="000B489D">
        <w:rPr>
          <w:rStyle w:val="pagerange"/>
          <w:rFonts w:cs="Times New Roman"/>
          <w:color w:val="333333"/>
          <w:shd w:val="clear" w:color="auto" w:fill="FFFFFF"/>
        </w:rPr>
        <w:t xml:space="preserve">: </w:t>
      </w:r>
      <w:hyperlink r:id="rId20" w:history="1">
        <w:r w:rsidRPr="000B489D">
          <w:rPr>
            <w:rStyle w:val="Lienhypertexte"/>
            <w:rFonts w:cs="Times New Roman"/>
            <w:shd w:val="clear" w:color="auto" w:fill="FFFFFF"/>
          </w:rPr>
          <w:t>https://www.tandfonline.com/doi/full/10.1080/02673037.2017.1344957?scroll=top&amp;needAccess=true</w:t>
        </w:r>
      </w:hyperlink>
      <w:r w:rsidRPr="000B489D">
        <w:rPr>
          <w:rStyle w:val="pagerange"/>
          <w:rFonts w:cs="Times New Roman"/>
          <w:color w:val="333333"/>
          <w:shd w:val="clear" w:color="auto" w:fill="FFFFFF"/>
        </w:rPr>
        <w:t xml:space="preserve"> </w:t>
      </w:r>
    </w:p>
    <w:p w14:paraId="55EED68D" w14:textId="7040CE6C" w:rsidR="005F3A0E" w:rsidRPr="000E14E0" w:rsidRDefault="008B0AA8" w:rsidP="000B489D">
      <w:pPr>
        <w:autoSpaceDE w:val="0"/>
        <w:autoSpaceDN w:val="0"/>
        <w:adjustRightInd w:val="0"/>
        <w:spacing w:line="276" w:lineRule="auto"/>
        <w:rPr>
          <w:rFonts w:cs="Times New Roman"/>
        </w:rPr>
      </w:pPr>
      <w:r w:rsidRPr="000B489D">
        <w:rPr>
          <w:rFonts w:cs="Times New Roman"/>
          <w:lang w:val="en-US"/>
        </w:rPr>
        <w:t>BRU-HOME</w:t>
      </w:r>
      <w:r w:rsidR="005F3A0E" w:rsidRPr="000B489D">
        <w:rPr>
          <w:rFonts w:cs="Times New Roman"/>
          <w:lang w:val="en-US"/>
        </w:rPr>
        <w:t xml:space="preserve">, </w:t>
      </w:r>
      <w:r w:rsidR="005F3A0E" w:rsidRPr="000B489D">
        <w:rPr>
          <w:rFonts w:cs="Times New Roman"/>
          <w:i/>
          <w:lang w:val="en-US"/>
        </w:rPr>
        <w:t>The prevalence and consequences of evictions for the housing precariat in Brussels. A state of the arts</w:t>
      </w:r>
      <w:r w:rsidR="005F3A0E" w:rsidRPr="000B489D">
        <w:rPr>
          <w:rFonts w:cs="Times New Roman"/>
          <w:lang w:val="en-US"/>
        </w:rPr>
        <w:t xml:space="preserve">, </w:t>
      </w:r>
      <w:r w:rsidR="001D74B1" w:rsidRPr="000B489D">
        <w:rPr>
          <w:rFonts w:cs="Times New Roman"/>
          <w:lang w:val="en-US"/>
        </w:rPr>
        <w:t xml:space="preserve">2020; </w:t>
      </w:r>
      <w:r w:rsidR="001D74B1" w:rsidRPr="000B489D">
        <w:rPr>
          <w:rFonts w:cs="Times New Roman"/>
          <w:i/>
          <w:lang w:val="en-US"/>
        </w:rPr>
        <w:t xml:space="preserve">Mapping housing evictions in </w:t>
      </w:r>
      <w:proofErr w:type="spellStart"/>
      <w:r w:rsidR="001D74B1" w:rsidRPr="000B489D">
        <w:rPr>
          <w:rFonts w:cs="Times New Roman"/>
          <w:i/>
          <w:lang w:val="en-US"/>
        </w:rPr>
        <w:t>Prussels</w:t>
      </w:r>
      <w:proofErr w:type="spellEnd"/>
      <w:r w:rsidR="001D74B1" w:rsidRPr="000B489D">
        <w:rPr>
          <w:rFonts w:cs="Times New Roman"/>
          <w:i/>
          <w:lang w:val="en-US"/>
        </w:rPr>
        <w:t>. Preliminary results for the third work package of the</w:t>
      </w:r>
      <w:r w:rsidR="00304BB9" w:rsidRPr="000B489D">
        <w:rPr>
          <w:rFonts w:cs="Times New Roman"/>
          <w:i/>
          <w:lang w:val="en-US"/>
        </w:rPr>
        <w:t xml:space="preserve"> </w:t>
      </w:r>
      <w:r w:rsidRPr="000B489D">
        <w:rPr>
          <w:rFonts w:cs="Times New Roman"/>
          <w:i/>
          <w:lang w:val="en-US"/>
        </w:rPr>
        <w:t>BRU-HOME</w:t>
      </w:r>
      <w:r w:rsidR="001D74B1" w:rsidRPr="000B489D">
        <w:rPr>
          <w:rFonts w:cs="Times New Roman"/>
          <w:i/>
          <w:lang w:val="en-US"/>
        </w:rPr>
        <w:t xml:space="preserve"> research project, </w:t>
      </w:r>
      <w:r w:rsidR="001D74B1" w:rsidRPr="000B489D">
        <w:rPr>
          <w:rFonts w:cs="Times New Roman"/>
          <w:lang w:val="en-US"/>
        </w:rPr>
        <w:t>2021.</w:t>
      </w:r>
      <w:r w:rsidR="00053AAD">
        <w:rPr>
          <w:rFonts w:cs="Times New Roman"/>
          <w:lang w:val="en-US"/>
        </w:rPr>
        <w:t xml:space="preserve"> </w:t>
      </w:r>
      <w:r w:rsidR="00053AAD" w:rsidRPr="00053AAD">
        <w:rPr>
          <w:rFonts w:cs="Times New Roman"/>
        </w:rPr>
        <w:t>Disponible sur</w:t>
      </w:r>
      <w:r w:rsidR="00A4398C">
        <w:rPr>
          <w:rFonts w:cs="Times New Roman"/>
        </w:rPr>
        <w:t xml:space="preserve"> </w:t>
      </w:r>
      <w:r w:rsidR="00053AAD" w:rsidRPr="00053AAD">
        <w:rPr>
          <w:rFonts w:cs="Times New Roman"/>
        </w:rPr>
        <w:t xml:space="preserve">: </w:t>
      </w:r>
      <w:hyperlink r:id="rId21" w:history="1">
        <w:r w:rsidR="00053AAD" w:rsidRPr="00857FC7">
          <w:rPr>
            <w:rStyle w:val="Lienhypertexte"/>
            <w:rFonts w:cs="Times New Roman"/>
          </w:rPr>
          <w:t>https://bru-home.ulb.be/wordpress/fr/rapports/</w:t>
        </w:r>
      </w:hyperlink>
      <w:r w:rsidR="000E14E0">
        <w:rPr>
          <w:rFonts w:cs="Times New Roman"/>
        </w:rPr>
        <w:t xml:space="preserve"> ; </w:t>
      </w:r>
      <w:r w:rsidR="000E14E0" w:rsidRPr="000E14E0">
        <w:rPr>
          <w:rFonts w:cs="Times New Roman"/>
          <w:i/>
        </w:rPr>
        <w:t>Les expulsions de logement à Bruxelles :</w:t>
      </w:r>
      <w:r w:rsidR="00CB68BF">
        <w:rPr>
          <w:rFonts w:cs="Times New Roman"/>
          <w:i/>
        </w:rPr>
        <w:t xml:space="preserve"> </w:t>
      </w:r>
      <w:r w:rsidR="000E14E0" w:rsidRPr="000E14E0">
        <w:rPr>
          <w:rFonts w:cs="Times New Roman"/>
          <w:i/>
        </w:rPr>
        <w:t>État des lieux chiffré et spatialisé</w:t>
      </w:r>
      <w:r w:rsidR="000E14E0">
        <w:rPr>
          <w:rFonts w:cs="Times New Roman"/>
          <w:i/>
        </w:rPr>
        <w:t xml:space="preserve">, </w:t>
      </w:r>
      <w:r w:rsidR="000E14E0">
        <w:rPr>
          <w:rFonts w:cs="Times New Roman"/>
        </w:rPr>
        <w:t xml:space="preserve">juillet 2022. Disponible sur : </w:t>
      </w:r>
      <w:hyperlink r:id="rId22" w:history="1">
        <w:r w:rsidR="000E14E0" w:rsidRPr="00857FC7">
          <w:rPr>
            <w:rStyle w:val="Lienhypertexte"/>
            <w:rFonts w:cs="Times New Roman"/>
          </w:rPr>
          <w:t>https://bru-home.ulb.be/reports/bh_rapport_quanti.pdf</w:t>
        </w:r>
      </w:hyperlink>
      <w:r w:rsidR="000E14E0">
        <w:rPr>
          <w:rFonts w:cs="Times New Roman"/>
        </w:rPr>
        <w:t xml:space="preserve"> </w:t>
      </w:r>
    </w:p>
    <w:p w14:paraId="1F8135D1" w14:textId="4CD3F4C8" w:rsidR="005A6193" w:rsidRPr="000B489D" w:rsidRDefault="005A6193" w:rsidP="000B489D">
      <w:pPr>
        <w:pStyle w:val="Default"/>
        <w:spacing w:after="160" w:line="276" w:lineRule="auto"/>
        <w:jc w:val="both"/>
        <w:rPr>
          <w:rFonts w:ascii="Times New Roman" w:hAnsi="Times New Roman" w:cs="Times New Roman"/>
          <w:sz w:val="22"/>
          <w:szCs w:val="22"/>
        </w:rPr>
      </w:pPr>
      <w:r w:rsidRPr="000B489D">
        <w:rPr>
          <w:rFonts w:ascii="Times New Roman" w:hAnsi="Times New Roman" w:cs="Times New Roman"/>
          <w:sz w:val="22"/>
          <w:szCs w:val="22"/>
        </w:rPr>
        <w:t>CASTEL Robert, HAROCHE Claudine, </w:t>
      </w:r>
      <w:r w:rsidRPr="000B489D">
        <w:rPr>
          <w:rFonts w:ascii="Times New Roman" w:hAnsi="Times New Roman" w:cs="Times New Roman"/>
          <w:i/>
          <w:sz w:val="22"/>
          <w:szCs w:val="22"/>
        </w:rPr>
        <w:t>Propriété privée, propriété sociale, propriété de soi. Entretiens sur la construction de l'individu moderne</w:t>
      </w:r>
      <w:r w:rsidRPr="000B489D">
        <w:rPr>
          <w:rFonts w:ascii="Times New Roman" w:hAnsi="Times New Roman" w:cs="Times New Roman"/>
          <w:sz w:val="22"/>
          <w:szCs w:val="22"/>
        </w:rPr>
        <w:t>, Fayard, Paris, 2001.</w:t>
      </w:r>
    </w:p>
    <w:p w14:paraId="7A6277B1" w14:textId="76797CA2" w:rsidR="00D333F5" w:rsidRPr="000B489D" w:rsidRDefault="00D333F5" w:rsidP="000B489D">
      <w:pPr>
        <w:pStyle w:val="Default"/>
        <w:spacing w:after="160" w:line="276" w:lineRule="auto"/>
        <w:jc w:val="both"/>
        <w:rPr>
          <w:rFonts w:ascii="Times New Roman" w:hAnsi="Times New Roman" w:cs="Times New Roman"/>
          <w:sz w:val="22"/>
          <w:szCs w:val="22"/>
        </w:rPr>
      </w:pPr>
      <w:r w:rsidRPr="000B489D">
        <w:rPr>
          <w:rFonts w:ascii="Times New Roman" w:hAnsi="Times New Roman" w:cs="Times New Roman"/>
          <w:sz w:val="22"/>
          <w:szCs w:val="22"/>
          <w:shd w:val="clear" w:color="auto" w:fill="FFFFFF"/>
        </w:rPr>
        <w:t>CORNU Roger, « Évolution et processus configurationnel chez Norbert Elias. », </w:t>
      </w:r>
      <w:r w:rsidRPr="000B489D">
        <w:rPr>
          <w:rStyle w:val="Accentuation"/>
          <w:rFonts w:ascii="Times New Roman" w:hAnsi="Times New Roman" w:cs="Times New Roman"/>
          <w:sz w:val="22"/>
          <w:szCs w:val="22"/>
          <w:shd w:val="clear" w:color="auto" w:fill="FFFFFF"/>
        </w:rPr>
        <w:t>Philosophiques</w:t>
      </w:r>
      <w:r w:rsidRPr="000B489D">
        <w:rPr>
          <w:rFonts w:ascii="Times New Roman" w:hAnsi="Times New Roman" w:cs="Times New Roman"/>
          <w:sz w:val="22"/>
          <w:szCs w:val="22"/>
          <w:shd w:val="clear" w:color="auto" w:fill="FFFFFF"/>
        </w:rPr>
        <w:t xml:space="preserve">, volume 25, numéro 2, automne 1998. Disponible sur : </w:t>
      </w:r>
      <w:hyperlink r:id="rId23" w:history="1">
        <w:r w:rsidRPr="000B489D">
          <w:rPr>
            <w:rStyle w:val="Lienhypertexte"/>
            <w:rFonts w:ascii="Times New Roman" w:hAnsi="Times New Roman" w:cs="Times New Roman"/>
            <w:sz w:val="22"/>
            <w:szCs w:val="22"/>
            <w:shd w:val="clear" w:color="auto" w:fill="FFFFFF"/>
          </w:rPr>
          <w:t>https://www.erudit.org/fr/revues/philoso/1998-v25-n2-philoso1807/027489ar/</w:t>
        </w:r>
      </w:hyperlink>
      <w:r w:rsidRPr="000B489D">
        <w:rPr>
          <w:rFonts w:ascii="Times New Roman" w:hAnsi="Times New Roman" w:cs="Times New Roman"/>
          <w:sz w:val="22"/>
          <w:szCs w:val="22"/>
          <w:shd w:val="clear" w:color="auto" w:fill="FFFFFF"/>
        </w:rPr>
        <w:t xml:space="preserve"> </w:t>
      </w:r>
    </w:p>
    <w:p w14:paraId="62602331" w14:textId="3D429071" w:rsidR="00BD61A8" w:rsidRPr="00B66266" w:rsidRDefault="00BD61A8" w:rsidP="000B489D">
      <w:pPr>
        <w:spacing w:line="276" w:lineRule="auto"/>
        <w:rPr>
          <w:rFonts w:cs="Times New Roman"/>
          <w:lang w:val="en-US"/>
        </w:rPr>
      </w:pPr>
      <w:r w:rsidRPr="00BD61A8">
        <w:rPr>
          <w:shd w:val="clear" w:color="auto" w:fill="FFFFFF"/>
        </w:rPr>
        <w:t>DARMON Muriel, « La notion de carrière : un instrument interactionniste d'objectivation », </w:t>
      </w:r>
      <w:proofErr w:type="spellStart"/>
      <w:r w:rsidRPr="00BD61A8">
        <w:rPr>
          <w:i/>
          <w:iCs/>
          <w:shd w:val="clear" w:color="auto" w:fill="FFFFFF"/>
        </w:rPr>
        <w:t>Politix</w:t>
      </w:r>
      <w:proofErr w:type="spellEnd"/>
      <w:r w:rsidRPr="00BD61A8">
        <w:rPr>
          <w:shd w:val="clear" w:color="auto" w:fill="FFFFFF"/>
        </w:rPr>
        <w:t xml:space="preserve">, 2008/2 (n° 82), p. 149-167. </w:t>
      </w:r>
      <w:r w:rsidRPr="00B66266">
        <w:rPr>
          <w:shd w:val="clear" w:color="auto" w:fill="FFFFFF"/>
          <w:lang w:val="en-US"/>
        </w:rPr>
        <w:t xml:space="preserve">Disponible </w:t>
      </w:r>
      <w:proofErr w:type="gramStart"/>
      <w:r w:rsidRPr="00B66266">
        <w:rPr>
          <w:shd w:val="clear" w:color="auto" w:fill="FFFFFF"/>
          <w:lang w:val="en-US"/>
        </w:rPr>
        <w:t>sur :</w:t>
      </w:r>
      <w:proofErr w:type="gramEnd"/>
      <w:r w:rsidRPr="00B66266">
        <w:rPr>
          <w:shd w:val="clear" w:color="auto" w:fill="FFFFFF"/>
          <w:lang w:val="en-US"/>
        </w:rPr>
        <w:t xml:space="preserve"> </w:t>
      </w:r>
      <w:hyperlink r:id="rId24" w:history="1">
        <w:r w:rsidRPr="00B66266">
          <w:rPr>
            <w:rStyle w:val="Lienhypertexte"/>
            <w:shd w:val="clear" w:color="auto" w:fill="FFFFFF"/>
            <w:lang w:val="en-US"/>
          </w:rPr>
          <w:t>https://www.cairn.info/revue-politix-2008-2-page-149.htm</w:t>
        </w:r>
      </w:hyperlink>
      <w:r w:rsidRPr="00B66266">
        <w:rPr>
          <w:color w:val="323232"/>
          <w:shd w:val="clear" w:color="auto" w:fill="FFFFFF"/>
          <w:lang w:val="en-US"/>
        </w:rPr>
        <w:t xml:space="preserve"> </w:t>
      </w:r>
    </w:p>
    <w:p w14:paraId="4342CD37" w14:textId="4E2ADB6E" w:rsidR="00C53656" w:rsidRPr="002232A8" w:rsidRDefault="00C53656" w:rsidP="000B489D">
      <w:pPr>
        <w:autoSpaceDE w:val="0"/>
        <w:autoSpaceDN w:val="0"/>
        <w:adjustRightInd w:val="0"/>
        <w:spacing w:line="276" w:lineRule="auto"/>
        <w:rPr>
          <w:rFonts w:cs="Times New Roman"/>
          <w:lang w:val="en-US"/>
        </w:rPr>
      </w:pPr>
      <w:r w:rsidRPr="002232A8">
        <w:rPr>
          <w:rFonts w:cs="Times New Roman"/>
          <w:lang w:val="en-US"/>
        </w:rPr>
        <w:t xml:space="preserve">DESMOND Matthew, « Eviction and the reproduction of urban poverty », </w:t>
      </w:r>
      <w:r w:rsidRPr="002232A8">
        <w:rPr>
          <w:rFonts w:cs="Times New Roman"/>
          <w:i/>
          <w:iCs/>
          <w:lang w:val="en-US"/>
        </w:rPr>
        <w:t>American Journal of Sociology</w:t>
      </w:r>
      <w:r w:rsidRPr="002232A8">
        <w:rPr>
          <w:rFonts w:cs="Times New Roman"/>
          <w:lang w:val="en-US"/>
        </w:rPr>
        <w:t>, vol. 118, n°1, p.88-133</w:t>
      </w:r>
      <w:r w:rsidR="003129AD" w:rsidRPr="002232A8">
        <w:rPr>
          <w:rFonts w:cs="Times New Roman"/>
          <w:lang w:val="en-US"/>
        </w:rPr>
        <w:t xml:space="preserve">, </w:t>
      </w:r>
      <w:proofErr w:type="gramStart"/>
      <w:r w:rsidR="003129AD" w:rsidRPr="002232A8">
        <w:rPr>
          <w:rFonts w:cs="Times New Roman"/>
          <w:lang w:val="en-US"/>
        </w:rPr>
        <w:t xml:space="preserve">2012 </w:t>
      </w:r>
      <w:r w:rsidRPr="002232A8">
        <w:rPr>
          <w:rFonts w:cs="Times New Roman"/>
          <w:lang w:val="en-US"/>
        </w:rPr>
        <w:t>;</w:t>
      </w:r>
      <w:proofErr w:type="gramEnd"/>
      <w:r w:rsidRPr="002232A8">
        <w:rPr>
          <w:rFonts w:cs="Times New Roman"/>
          <w:lang w:val="en-US"/>
        </w:rPr>
        <w:t xml:space="preserve"> </w:t>
      </w:r>
      <w:r w:rsidR="003129AD" w:rsidRPr="002232A8">
        <w:rPr>
          <w:rFonts w:cs="Times New Roman"/>
          <w:i/>
          <w:iCs/>
          <w:lang w:val="en-US"/>
        </w:rPr>
        <w:t>Evicted. Poverty and profit and the American City</w:t>
      </w:r>
      <w:r w:rsidR="003129AD" w:rsidRPr="002232A8">
        <w:rPr>
          <w:rFonts w:cs="Times New Roman"/>
          <w:lang w:val="en-US"/>
        </w:rPr>
        <w:t xml:space="preserve">, Allen </w:t>
      </w:r>
      <w:proofErr w:type="gramStart"/>
      <w:r w:rsidR="003129AD" w:rsidRPr="002232A8">
        <w:rPr>
          <w:rFonts w:cs="Times New Roman"/>
          <w:lang w:val="en-US"/>
        </w:rPr>
        <w:t>Lane :</w:t>
      </w:r>
      <w:proofErr w:type="gramEnd"/>
      <w:r w:rsidR="003129AD" w:rsidRPr="002232A8">
        <w:rPr>
          <w:rFonts w:cs="Times New Roman"/>
          <w:lang w:val="en-US"/>
        </w:rPr>
        <w:t xml:space="preserve"> </w:t>
      </w:r>
      <w:proofErr w:type="spellStart"/>
      <w:r w:rsidR="003129AD" w:rsidRPr="002232A8">
        <w:rPr>
          <w:rFonts w:cs="Times New Roman"/>
          <w:lang w:val="en-US"/>
        </w:rPr>
        <w:t>Pengun</w:t>
      </w:r>
      <w:proofErr w:type="spellEnd"/>
      <w:r w:rsidR="003129AD" w:rsidRPr="002232A8">
        <w:rPr>
          <w:rFonts w:cs="Times New Roman"/>
          <w:lang w:val="en-US"/>
        </w:rPr>
        <w:t xml:space="preserve"> Books, 2016. </w:t>
      </w:r>
    </w:p>
    <w:p w14:paraId="311260B2" w14:textId="77777777" w:rsidR="000C0484" w:rsidRPr="002232A8" w:rsidRDefault="000C0484" w:rsidP="000B489D">
      <w:pPr>
        <w:spacing w:line="276" w:lineRule="auto"/>
        <w:rPr>
          <w:rFonts w:cs="Times New Roman"/>
          <w:lang w:val="en-US"/>
        </w:rPr>
      </w:pPr>
      <w:r w:rsidRPr="002232A8">
        <w:rPr>
          <w:rFonts w:cs="Times New Roman"/>
          <w:lang w:val="en-US"/>
        </w:rPr>
        <w:t xml:space="preserve">DE DECKER Pascal, VERSTRAETE Jana, “De </w:t>
      </w:r>
      <w:proofErr w:type="spellStart"/>
      <w:r w:rsidRPr="002232A8">
        <w:rPr>
          <w:rFonts w:cs="Times New Roman"/>
          <w:lang w:val="en-US"/>
        </w:rPr>
        <w:t>gerechtelijke</w:t>
      </w:r>
      <w:proofErr w:type="spellEnd"/>
      <w:r w:rsidRPr="002232A8">
        <w:rPr>
          <w:rFonts w:cs="Times New Roman"/>
          <w:lang w:val="en-US"/>
        </w:rPr>
        <w:t xml:space="preserve"> </w:t>
      </w:r>
      <w:proofErr w:type="spellStart"/>
      <w:r w:rsidRPr="002232A8">
        <w:rPr>
          <w:rFonts w:cs="Times New Roman"/>
          <w:lang w:val="en-US"/>
        </w:rPr>
        <w:t>uithuiszetting</w:t>
      </w:r>
      <w:proofErr w:type="spellEnd"/>
      <w:r w:rsidRPr="002232A8">
        <w:rPr>
          <w:rFonts w:cs="Times New Roman"/>
          <w:lang w:val="en-US"/>
        </w:rPr>
        <w:t xml:space="preserve"> </w:t>
      </w:r>
      <w:proofErr w:type="spellStart"/>
      <w:r w:rsidRPr="002232A8">
        <w:rPr>
          <w:rFonts w:cs="Times New Roman"/>
          <w:lang w:val="en-US"/>
        </w:rPr>
        <w:t>nog</w:t>
      </w:r>
      <w:proofErr w:type="spellEnd"/>
      <w:r w:rsidRPr="002232A8">
        <w:rPr>
          <w:rFonts w:cs="Times New Roman"/>
          <w:lang w:val="en-US"/>
        </w:rPr>
        <w:t xml:space="preserve"> steeds in het </w:t>
      </w:r>
      <w:proofErr w:type="spellStart"/>
      <w:r w:rsidRPr="002232A8">
        <w:rPr>
          <w:rFonts w:cs="Times New Roman"/>
          <w:lang w:val="en-US"/>
        </w:rPr>
        <w:t>duister</w:t>
      </w:r>
      <w:proofErr w:type="spellEnd"/>
      <w:r w:rsidRPr="002232A8">
        <w:rPr>
          <w:rFonts w:cs="Times New Roman"/>
          <w:lang w:val="en-US"/>
        </w:rPr>
        <w:t xml:space="preserve">”, </w:t>
      </w:r>
      <w:proofErr w:type="spellStart"/>
      <w:r w:rsidRPr="002232A8">
        <w:rPr>
          <w:rFonts w:cs="Times New Roman"/>
          <w:lang w:val="en-US"/>
        </w:rPr>
        <w:t>Antwerpen</w:t>
      </w:r>
      <w:proofErr w:type="spellEnd"/>
      <w:r w:rsidRPr="002232A8">
        <w:rPr>
          <w:rFonts w:cs="Times New Roman"/>
          <w:lang w:val="en-US"/>
        </w:rPr>
        <w:t xml:space="preserve"> </w:t>
      </w:r>
      <w:proofErr w:type="spellStart"/>
      <w:r w:rsidRPr="002232A8">
        <w:rPr>
          <w:rFonts w:cs="Times New Roman"/>
          <w:lang w:val="en-US"/>
        </w:rPr>
        <w:t>Garant</w:t>
      </w:r>
      <w:proofErr w:type="spellEnd"/>
      <w:r w:rsidRPr="002232A8">
        <w:rPr>
          <w:rFonts w:cs="Times New Roman"/>
          <w:lang w:val="en-US"/>
        </w:rPr>
        <w:t>, 2015.</w:t>
      </w:r>
    </w:p>
    <w:p w14:paraId="02AF0693" w14:textId="3AF84C99" w:rsidR="009E562C" w:rsidRDefault="00687DB5" w:rsidP="000B489D">
      <w:pPr>
        <w:spacing w:line="276" w:lineRule="auto"/>
        <w:rPr>
          <w:rFonts w:cs="Times New Roman"/>
          <w:lang w:val="en-US"/>
        </w:rPr>
      </w:pPr>
      <w:r w:rsidRPr="002232A8">
        <w:rPr>
          <w:rFonts w:cs="Times New Roman"/>
          <w:lang w:val="en-US"/>
        </w:rPr>
        <w:t xml:space="preserve">DE DECKER Pascal, </w:t>
      </w:r>
      <w:r w:rsidR="009E562C" w:rsidRPr="002232A8">
        <w:rPr>
          <w:rFonts w:cs="Times New Roman"/>
          <w:lang w:val="en-US"/>
        </w:rPr>
        <w:t xml:space="preserve">VERSTRAETE </w:t>
      </w:r>
      <w:r w:rsidRPr="002232A8">
        <w:rPr>
          <w:rFonts w:cs="Times New Roman"/>
          <w:lang w:val="en-US"/>
        </w:rPr>
        <w:t xml:space="preserve">Jana, </w:t>
      </w:r>
      <w:r w:rsidR="009E562C" w:rsidRPr="002232A8">
        <w:rPr>
          <w:rFonts w:cs="Times New Roman"/>
          <w:lang w:val="en-US"/>
        </w:rPr>
        <w:t xml:space="preserve">et DIEDERIK Vermeir, “Evictions in Belgium, a neglected yet pressing issue”, in </w:t>
      </w:r>
      <w:r w:rsidR="009E562C" w:rsidRPr="002232A8">
        <w:rPr>
          <w:rFonts w:cs="Times New Roman"/>
          <w:i/>
          <w:lang w:val="en-US"/>
        </w:rPr>
        <w:t>Loss of Homes and Evictions across Europe,</w:t>
      </w:r>
      <w:r w:rsidR="009E562C" w:rsidRPr="002232A8">
        <w:rPr>
          <w:rFonts w:cs="Times New Roman"/>
          <w:lang w:val="en-US"/>
        </w:rPr>
        <w:t xml:space="preserve"> Edward Elgar Publishing, 2018.</w:t>
      </w:r>
    </w:p>
    <w:p w14:paraId="629F5C4D" w14:textId="3BE47953" w:rsidR="002232A8" w:rsidRPr="002232A8" w:rsidRDefault="002232A8" w:rsidP="000B489D">
      <w:pPr>
        <w:spacing w:line="276" w:lineRule="auto"/>
        <w:rPr>
          <w:rFonts w:cs="Times New Roman"/>
        </w:rPr>
      </w:pPr>
      <w:r w:rsidRPr="002232A8">
        <w:rPr>
          <w:rFonts w:cs="Times New Roman"/>
          <w:shd w:val="clear" w:color="auto" w:fill="FFFFFF"/>
        </w:rPr>
        <w:lastRenderedPageBreak/>
        <w:t>DECHAUX Jean-Hugues, « Sur le concept de configuration : quelques failles dans la sociologie de Norbert Elias », </w:t>
      </w:r>
      <w:r w:rsidRPr="002232A8">
        <w:rPr>
          <w:rFonts w:cs="Times New Roman"/>
          <w:i/>
          <w:iCs/>
          <w:shd w:val="clear" w:color="auto" w:fill="FFFFFF"/>
        </w:rPr>
        <w:t>Cahiers Internationaux de Sociologie</w:t>
      </w:r>
      <w:r w:rsidRPr="002232A8">
        <w:rPr>
          <w:rFonts w:cs="Times New Roman"/>
          <w:shd w:val="clear" w:color="auto" w:fill="FFFFFF"/>
        </w:rPr>
        <w:t xml:space="preserve">, Presses Universitaires de France, pp.293-313, 1995. Disponible sur : </w:t>
      </w:r>
      <w:hyperlink r:id="rId25" w:anchor="metadata_info_tab_contents" w:history="1">
        <w:r w:rsidRPr="002232A8">
          <w:rPr>
            <w:rStyle w:val="Lienhypertexte"/>
            <w:rFonts w:cs="Times New Roman"/>
            <w:shd w:val="clear" w:color="auto" w:fill="FFFFFF"/>
          </w:rPr>
          <w:t>https://www.jstor.org/stable/40690643#metadata_info_tab_contents</w:t>
        </w:r>
      </w:hyperlink>
      <w:r w:rsidRPr="002232A8">
        <w:rPr>
          <w:rFonts w:cs="Times New Roman"/>
          <w:color w:val="826B6B"/>
          <w:shd w:val="clear" w:color="auto" w:fill="FFFFFF"/>
        </w:rPr>
        <w:t xml:space="preserve"> </w:t>
      </w:r>
    </w:p>
    <w:p w14:paraId="00FB9767" w14:textId="77777777" w:rsidR="006F1A78" w:rsidRPr="002232A8" w:rsidRDefault="006F1A78" w:rsidP="000B489D">
      <w:pPr>
        <w:pStyle w:val="Notedebasdepage"/>
        <w:spacing w:after="160" w:line="276" w:lineRule="auto"/>
        <w:rPr>
          <w:rFonts w:cs="Times New Roman"/>
          <w:sz w:val="22"/>
          <w:szCs w:val="22"/>
        </w:rPr>
      </w:pPr>
      <w:r w:rsidRPr="002232A8">
        <w:rPr>
          <w:rFonts w:cs="Times New Roman"/>
          <w:sz w:val="22"/>
          <w:szCs w:val="22"/>
          <w:shd w:val="clear" w:color="auto" w:fill="FFFFFF"/>
        </w:rPr>
        <w:t>DUBAR Claude, « Trajectoires sociales et formes identitaires. Clarifications conceptuelles et méthodologiques », </w:t>
      </w:r>
      <w:r w:rsidRPr="002232A8">
        <w:rPr>
          <w:rFonts w:cs="Times New Roman"/>
          <w:i/>
          <w:iCs/>
          <w:sz w:val="22"/>
          <w:szCs w:val="22"/>
          <w:shd w:val="clear" w:color="auto" w:fill="FFFFFF"/>
        </w:rPr>
        <w:t>Sociétés contemporaines</w:t>
      </w:r>
      <w:r w:rsidRPr="002232A8">
        <w:rPr>
          <w:rFonts w:cs="Times New Roman"/>
          <w:sz w:val="22"/>
          <w:szCs w:val="22"/>
          <w:shd w:val="clear" w:color="auto" w:fill="FFFFFF"/>
        </w:rPr>
        <w:t xml:space="preserve">, 1998/1 (n° 29), p. 73-85. URL : </w:t>
      </w:r>
      <w:hyperlink r:id="rId26" w:history="1">
        <w:r w:rsidRPr="002232A8">
          <w:rPr>
            <w:rStyle w:val="Lienhypertexte"/>
            <w:rFonts w:cs="Times New Roman"/>
            <w:sz w:val="22"/>
            <w:szCs w:val="22"/>
            <w:shd w:val="clear" w:color="auto" w:fill="FFFFFF"/>
          </w:rPr>
          <w:t>https://www.cairn.info/revue-societes-contemporaines-1998-1-page-73.htm</w:t>
        </w:r>
      </w:hyperlink>
      <w:r w:rsidRPr="002232A8">
        <w:rPr>
          <w:rFonts w:cs="Times New Roman"/>
          <w:color w:val="323232"/>
          <w:sz w:val="22"/>
          <w:szCs w:val="22"/>
          <w:shd w:val="clear" w:color="auto" w:fill="FFFFFF"/>
        </w:rPr>
        <w:t xml:space="preserve"> </w:t>
      </w:r>
    </w:p>
    <w:p w14:paraId="586D107D" w14:textId="63F4F4EF" w:rsidR="004B208F" w:rsidRPr="000B489D" w:rsidRDefault="004B208F" w:rsidP="002232A8">
      <w:pPr>
        <w:autoSpaceDE w:val="0"/>
        <w:autoSpaceDN w:val="0"/>
        <w:adjustRightInd w:val="0"/>
        <w:spacing w:line="276" w:lineRule="auto"/>
        <w:rPr>
          <w:rFonts w:cs="Times New Roman"/>
        </w:rPr>
      </w:pPr>
      <w:r w:rsidRPr="002232A8">
        <w:rPr>
          <w:rFonts w:cs="Times New Roman"/>
        </w:rPr>
        <w:t>DUBOIS Vincent,</w:t>
      </w:r>
      <w:r w:rsidR="009C74C1" w:rsidRPr="002232A8">
        <w:rPr>
          <w:rFonts w:cs="Times New Roman"/>
        </w:rPr>
        <w:t xml:space="preserve"> </w:t>
      </w:r>
      <w:r w:rsidRPr="002232A8">
        <w:rPr>
          <w:rFonts w:cs="Times New Roman"/>
          <w:i/>
          <w:iCs/>
        </w:rPr>
        <w:t>La vie au guichet. Relation administrative et traitement de la misère</w:t>
      </w:r>
      <w:r w:rsidRPr="002232A8">
        <w:rPr>
          <w:rFonts w:cs="Times New Roman"/>
        </w:rPr>
        <w:t xml:space="preserve">, Economica, </w:t>
      </w:r>
      <w:r w:rsidR="002232A8" w:rsidRPr="002232A8">
        <w:rPr>
          <w:rFonts w:cs="Times New Roman"/>
        </w:rPr>
        <w:t xml:space="preserve">Paris, </w:t>
      </w:r>
      <w:r w:rsidRPr="002232A8">
        <w:rPr>
          <w:rFonts w:cs="Times New Roman"/>
        </w:rPr>
        <w:t>1999</w:t>
      </w:r>
      <w:r w:rsidR="002232A8">
        <w:rPr>
          <w:rFonts w:cs="Times New Roman"/>
        </w:rPr>
        <w:t xml:space="preserve"> ; </w:t>
      </w:r>
      <w:r w:rsidR="00BC3A20" w:rsidRPr="002232A8">
        <w:rPr>
          <w:rFonts w:cs="Times New Roman"/>
          <w:shd w:val="clear" w:color="auto" w:fill="FFFFFF"/>
        </w:rPr>
        <w:t>«</w:t>
      </w:r>
      <w:r w:rsidR="00A4398C">
        <w:rPr>
          <w:rFonts w:cs="Times New Roman"/>
          <w:shd w:val="clear" w:color="auto" w:fill="FFFFFF"/>
        </w:rPr>
        <w:t xml:space="preserve"> </w:t>
      </w:r>
      <w:r w:rsidR="00BC3A20" w:rsidRPr="002232A8">
        <w:rPr>
          <w:rFonts w:cs="Times New Roman"/>
          <w:shd w:val="clear" w:color="auto" w:fill="FFFFFF"/>
        </w:rPr>
        <w:t xml:space="preserve">La sociologie de l'action publique, de la </w:t>
      </w:r>
      <w:proofErr w:type="spellStart"/>
      <w:r w:rsidR="00BC3A20" w:rsidRPr="002232A8">
        <w:rPr>
          <w:rFonts w:cs="Times New Roman"/>
          <w:shd w:val="clear" w:color="auto" w:fill="FFFFFF"/>
        </w:rPr>
        <w:t>socio-histoire</w:t>
      </w:r>
      <w:proofErr w:type="spellEnd"/>
      <w:r w:rsidR="00BC3A20" w:rsidRPr="002232A8">
        <w:rPr>
          <w:rFonts w:cs="Times New Roman"/>
          <w:shd w:val="clear" w:color="auto" w:fill="FFFFFF"/>
        </w:rPr>
        <w:t xml:space="preserve"> à l'observation des pratiques (et vice-versa) » </w:t>
      </w:r>
      <w:r w:rsidR="00BC3A20" w:rsidRPr="002232A8">
        <w:rPr>
          <w:rFonts w:cs="Times New Roman"/>
          <w:i/>
          <w:shd w:val="clear" w:color="auto" w:fill="FFFFFF"/>
        </w:rPr>
        <w:t xml:space="preserve">in </w:t>
      </w:r>
      <w:proofErr w:type="spellStart"/>
      <w:r w:rsidR="00BC3A20" w:rsidRPr="002232A8">
        <w:rPr>
          <w:rFonts w:cs="Times New Roman"/>
          <w:shd w:val="clear" w:color="auto" w:fill="FFFFFF"/>
        </w:rPr>
        <w:t>Laborier</w:t>
      </w:r>
      <w:proofErr w:type="spellEnd"/>
      <w:r w:rsidR="00BC3A20" w:rsidRPr="002232A8">
        <w:rPr>
          <w:rFonts w:cs="Times New Roman"/>
          <w:shd w:val="clear" w:color="auto" w:fill="FFFFFF"/>
        </w:rPr>
        <w:t xml:space="preserve"> (P.), </w:t>
      </w:r>
      <w:proofErr w:type="spellStart"/>
      <w:r w:rsidR="00BC3A20" w:rsidRPr="002232A8">
        <w:rPr>
          <w:rFonts w:cs="Times New Roman"/>
          <w:shd w:val="clear" w:color="auto" w:fill="FFFFFF"/>
        </w:rPr>
        <w:t>Trom</w:t>
      </w:r>
      <w:proofErr w:type="spellEnd"/>
      <w:r w:rsidR="00BC3A20" w:rsidRPr="002232A8">
        <w:rPr>
          <w:rFonts w:cs="Times New Roman"/>
          <w:shd w:val="clear" w:color="auto" w:fill="FFFFFF"/>
        </w:rPr>
        <w:t xml:space="preserve"> (D.). </w:t>
      </w:r>
      <w:r w:rsidR="00BC3A20" w:rsidRPr="002232A8">
        <w:rPr>
          <w:rFonts w:cs="Times New Roman"/>
          <w:i/>
          <w:iCs/>
          <w:shd w:val="clear" w:color="auto" w:fill="FFFFFF"/>
        </w:rPr>
        <w:t>Historicité de l'action publique</w:t>
      </w:r>
      <w:r w:rsidR="00BC3A20" w:rsidRPr="002232A8">
        <w:rPr>
          <w:rFonts w:cs="Times New Roman"/>
          <w:shd w:val="clear" w:color="auto" w:fill="FFFFFF"/>
        </w:rPr>
        <w:t>, PUF, pp.347-364, 2003. </w:t>
      </w:r>
      <w:r w:rsidR="00BC3A20" w:rsidRPr="002232A8">
        <w:rPr>
          <w:rFonts w:cs="Times New Roman"/>
        </w:rPr>
        <w:t>Disponible sur </w:t>
      </w:r>
      <w:r w:rsidR="00BC3A20" w:rsidRPr="000B489D">
        <w:rPr>
          <w:rFonts w:cs="Times New Roman"/>
        </w:rPr>
        <w:t xml:space="preserve">: </w:t>
      </w:r>
      <w:hyperlink r:id="rId27" w:history="1">
        <w:r w:rsidR="00BC3A20" w:rsidRPr="000B489D">
          <w:rPr>
            <w:rStyle w:val="Lienhypertexte"/>
            <w:rFonts w:cs="Times New Roman"/>
          </w:rPr>
          <w:t>https://halshs.archives-ouvertes.fr/halshs-00464322</w:t>
        </w:r>
      </w:hyperlink>
      <w:r w:rsidR="00A4398C">
        <w:rPr>
          <w:rFonts w:cs="Times New Roman"/>
        </w:rPr>
        <w:t xml:space="preserve"> </w:t>
      </w:r>
    </w:p>
    <w:p w14:paraId="6A487FAD" w14:textId="74C07C93" w:rsidR="00292EF7" w:rsidRPr="000B489D" w:rsidRDefault="00292EF7" w:rsidP="000B489D">
      <w:pPr>
        <w:pStyle w:val="Paragraphedeliste"/>
        <w:spacing w:line="276" w:lineRule="auto"/>
        <w:ind w:left="0"/>
        <w:rPr>
          <w:rFonts w:cs="Times New Roman"/>
          <w:color w:val="000000"/>
          <w:shd w:val="clear" w:color="auto" w:fill="FFFFFF"/>
        </w:rPr>
      </w:pPr>
      <w:r w:rsidRPr="000B489D">
        <w:rPr>
          <w:rStyle w:val="lev"/>
          <w:rFonts w:cs="Times New Roman"/>
          <w:b w:val="0"/>
          <w:bCs w:val="0"/>
          <w:color w:val="000000"/>
          <w:shd w:val="clear" w:color="auto" w:fill="FFFFFF"/>
        </w:rPr>
        <w:t>DUCRET André</w:t>
      </w:r>
      <w:r w:rsidRPr="000B489D">
        <w:rPr>
          <w:rFonts w:cs="Times New Roman"/>
          <w:color w:val="000000"/>
          <w:shd w:val="clear" w:color="auto" w:fill="FFFFFF"/>
        </w:rPr>
        <w:t>, « </w:t>
      </w:r>
      <w:r w:rsidRPr="000B489D">
        <w:rPr>
          <w:rFonts w:cs="Times New Roman"/>
          <w:color w:val="000000"/>
          <w:shd w:val="clear" w:color="auto" w:fill="FFFFFF"/>
          <w:lang w:val="fr-FR"/>
        </w:rPr>
        <w:t>Le concept de « configuration » et ses implications empiriques : Elias avec et contre Weber »</w:t>
      </w:r>
      <w:r w:rsidRPr="000B489D">
        <w:rPr>
          <w:rFonts w:cs="Times New Roman"/>
          <w:color w:val="000000"/>
          <w:shd w:val="clear" w:color="auto" w:fill="FFFFFF"/>
        </w:rPr>
        <w:t>, </w:t>
      </w:r>
      <w:proofErr w:type="spellStart"/>
      <w:r w:rsidRPr="000B489D">
        <w:rPr>
          <w:rStyle w:val="Accentuation"/>
          <w:rFonts w:cs="Times New Roman"/>
          <w:color w:val="000000"/>
          <w:shd w:val="clear" w:color="auto" w:fill="FFFFFF"/>
        </w:rPr>
        <w:t>SociologieS</w:t>
      </w:r>
      <w:proofErr w:type="spellEnd"/>
      <w:r w:rsidRPr="000B489D">
        <w:rPr>
          <w:rFonts w:cs="Times New Roman"/>
          <w:color w:val="000000"/>
          <w:shd w:val="clear" w:color="auto" w:fill="FFFFFF"/>
        </w:rPr>
        <w:t xml:space="preserve"> [Online], en ligne le 11 April 2011. Disponible sur : </w:t>
      </w:r>
      <w:hyperlink r:id="rId28" w:history="1">
        <w:r w:rsidRPr="000B489D">
          <w:rPr>
            <w:rStyle w:val="Lienhypertexte"/>
            <w:rFonts w:cs="Times New Roman"/>
            <w:shd w:val="clear" w:color="auto" w:fill="FFFFFF"/>
          </w:rPr>
          <w:t>http://journals.openedition.org/sociologies/3459</w:t>
        </w:r>
      </w:hyperlink>
      <w:r w:rsidRPr="000B489D">
        <w:rPr>
          <w:rFonts w:cs="Times New Roman"/>
          <w:color w:val="000000"/>
          <w:shd w:val="clear" w:color="auto" w:fill="FFFFFF"/>
        </w:rPr>
        <w:t xml:space="preserve"> </w:t>
      </w:r>
    </w:p>
    <w:p w14:paraId="6E2D7DCD" w14:textId="77777777" w:rsidR="00353502" w:rsidRPr="000B489D" w:rsidRDefault="00353502" w:rsidP="000B489D">
      <w:pPr>
        <w:pStyle w:val="Paragraphedeliste"/>
        <w:spacing w:line="276" w:lineRule="auto"/>
        <w:ind w:left="0"/>
        <w:rPr>
          <w:rFonts w:cs="Times New Roman"/>
          <w:color w:val="323232"/>
          <w:shd w:val="clear" w:color="auto" w:fill="FFFFFF"/>
        </w:rPr>
      </w:pPr>
    </w:p>
    <w:p w14:paraId="1778043F" w14:textId="00DA3718" w:rsidR="00353502" w:rsidRPr="002232A8" w:rsidRDefault="00353502" w:rsidP="000B489D">
      <w:pPr>
        <w:pStyle w:val="Paragraphedeliste"/>
        <w:spacing w:line="276" w:lineRule="auto"/>
        <w:ind w:left="0"/>
        <w:rPr>
          <w:rFonts w:cs="Times New Roman"/>
          <w:shd w:val="clear" w:color="auto" w:fill="FFFFFF"/>
        </w:rPr>
      </w:pPr>
      <w:r w:rsidRPr="002232A8">
        <w:rPr>
          <w:rFonts w:cs="Times New Roman"/>
          <w:shd w:val="clear" w:color="auto" w:fill="FFFFFF"/>
        </w:rPr>
        <w:t>DUFY Caroline, WEBER Florence, </w:t>
      </w:r>
      <w:r w:rsidRPr="002232A8">
        <w:rPr>
          <w:rFonts w:cs="Times New Roman"/>
          <w:i/>
          <w:iCs/>
          <w:shd w:val="clear" w:color="auto" w:fill="FFFFFF"/>
        </w:rPr>
        <w:t>L'ethnographie économique. </w:t>
      </w:r>
      <w:r w:rsidRPr="002232A8">
        <w:rPr>
          <w:rFonts w:cs="Times New Roman"/>
          <w:shd w:val="clear" w:color="auto" w:fill="FFFFFF"/>
        </w:rPr>
        <w:t>La Découverte, « Repères », 2007. Disponible sur : https://www.cairn.info/l-ethnographie-economique--9782707149176.htm</w:t>
      </w:r>
    </w:p>
    <w:p w14:paraId="6B17396A" w14:textId="77777777" w:rsidR="00292EF7" w:rsidRPr="002232A8" w:rsidRDefault="00292EF7" w:rsidP="000B489D">
      <w:pPr>
        <w:pStyle w:val="Paragraphedeliste"/>
        <w:spacing w:line="276" w:lineRule="auto"/>
        <w:ind w:left="0"/>
        <w:rPr>
          <w:rFonts w:cs="Times New Roman"/>
        </w:rPr>
      </w:pPr>
    </w:p>
    <w:p w14:paraId="65A21BD8" w14:textId="01CD22A2" w:rsidR="00592293" w:rsidRPr="000B489D" w:rsidRDefault="00592293" w:rsidP="000B489D">
      <w:pPr>
        <w:pStyle w:val="Paragraphedeliste"/>
        <w:spacing w:line="276" w:lineRule="auto"/>
        <w:ind w:left="0"/>
        <w:rPr>
          <w:rFonts w:cs="Times New Roman"/>
        </w:rPr>
      </w:pPr>
      <w:r w:rsidRPr="002232A8">
        <w:rPr>
          <w:rFonts w:cs="Times New Roman"/>
        </w:rPr>
        <w:t xml:space="preserve">DUVOUX Nicolas, « Configuration », in </w:t>
      </w:r>
      <w:r w:rsidRPr="002232A8">
        <w:rPr>
          <w:rFonts w:cs="Times New Roman"/>
          <w:shd w:val="clear" w:color="auto" w:fill="FFFFFF"/>
        </w:rPr>
        <w:t>Serge Paugam éd., </w:t>
      </w:r>
      <w:r w:rsidRPr="002232A8">
        <w:rPr>
          <w:rFonts w:cs="Times New Roman"/>
          <w:i/>
          <w:iCs/>
          <w:shd w:val="clear" w:color="auto" w:fill="FFFFFF"/>
        </w:rPr>
        <w:t>Les 100 mots de la sociologie</w:t>
      </w:r>
      <w:r w:rsidR="00081F7A" w:rsidRPr="002232A8">
        <w:rPr>
          <w:rFonts w:cs="Times New Roman"/>
          <w:i/>
          <w:iCs/>
          <w:shd w:val="clear" w:color="auto" w:fill="FFFFFF"/>
        </w:rPr>
        <w:t>,</w:t>
      </w:r>
      <w:r w:rsidRPr="002232A8">
        <w:rPr>
          <w:rFonts w:cs="Times New Roman"/>
          <w:shd w:val="clear" w:color="auto" w:fill="FFFFFF"/>
        </w:rPr>
        <w:t xml:space="preserve"> Presses Universitaires de France, « Que sais-je ? », </w:t>
      </w:r>
      <w:r w:rsidR="00081F7A" w:rsidRPr="002232A8">
        <w:rPr>
          <w:rFonts w:cs="Times New Roman"/>
          <w:shd w:val="clear" w:color="auto" w:fill="FFFFFF"/>
        </w:rPr>
        <w:t xml:space="preserve">pp.17-22, Paris, </w:t>
      </w:r>
      <w:r w:rsidRPr="002232A8">
        <w:rPr>
          <w:rFonts w:cs="Times New Roman"/>
          <w:shd w:val="clear" w:color="auto" w:fill="FFFFFF"/>
        </w:rPr>
        <w:t>2010</w:t>
      </w:r>
      <w:r w:rsidR="00081F7A" w:rsidRPr="002232A8">
        <w:rPr>
          <w:rFonts w:cs="Times New Roman"/>
          <w:shd w:val="clear" w:color="auto" w:fill="FFFFFF"/>
        </w:rPr>
        <w:t xml:space="preserve">. Disponible sur : </w:t>
      </w:r>
      <w:hyperlink r:id="rId29" w:history="1">
        <w:r w:rsidR="00081F7A" w:rsidRPr="000B489D">
          <w:rPr>
            <w:rStyle w:val="Lienhypertexte"/>
            <w:rFonts w:cs="Times New Roman"/>
            <w:shd w:val="clear" w:color="auto" w:fill="FFFFFF"/>
          </w:rPr>
          <w:t>https://www.cairn.info/--9782130574057-page-44.htm</w:t>
        </w:r>
      </w:hyperlink>
      <w:r w:rsidR="00081F7A" w:rsidRPr="000B489D">
        <w:rPr>
          <w:rFonts w:cs="Times New Roman"/>
          <w:color w:val="323232"/>
          <w:shd w:val="clear" w:color="auto" w:fill="FFFFFF"/>
        </w:rPr>
        <w:t xml:space="preserve"> </w:t>
      </w:r>
    </w:p>
    <w:p w14:paraId="044E5F81" w14:textId="0D771616" w:rsidR="009446B5" w:rsidRPr="000B489D" w:rsidRDefault="009446B5" w:rsidP="000B489D">
      <w:pPr>
        <w:shd w:val="clear" w:color="auto" w:fill="FFFFFF"/>
        <w:spacing w:line="276" w:lineRule="auto"/>
        <w:rPr>
          <w:rFonts w:cs="Times New Roman"/>
        </w:rPr>
      </w:pPr>
      <w:r w:rsidRPr="000B489D">
        <w:rPr>
          <w:rFonts w:cs="Times New Roman"/>
        </w:rPr>
        <w:t>ELIAS Norbert,</w:t>
      </w:r>
      <w:r w:rsidR="00592293" w:rsidRPr="000B489D">
        <w:rPr>
          <w:rFonts w:cs="Times New Roman"/>
        </w:rPr>
        <w:t xml:space="preserve"> </w:t>
      </w:r>
      <w:r w:rsidR="00592293" w:rsidRPr="000B489D">
        <w:rPr>
          <w:rFonts w:cs="Times New Roman"/>
          <w:i/>
        </w:rPr>
        <w:t xml:space="preserve">La société de cour, </w:t>
      </w:r>
      <w:r w:rsidR="00592293" w:rsidRPr="000B489D">
        <w:rPr>
          <w:rFonts w:eastAsia="Times New Roman" w:cs="Times New Roman"/>
          <w:lang w:eastAsia="fr-BE"/>
        </w:rPr>
        <w:t>préface de R. Chartier, éditions Flammarion, coll. « Champs », Paris, 1985</w:t>
      </w:r>
      <w:r w:rsidR="00BF6E9F" w:rsidRPr="000B489D">
        <w:rPr>
          <w:rFonts w:eastAsia="Times New Roman" w:cs="Times New Roman"/>
          <w:lang w:eastAsia="fr-BE"/>
        </w:rPr>
        <w:t> ;</w:t>
      </w:r>
      <w:r w:rsidRPr="000B489D">
        <w:rPr>
          <w:rFonts w:cs="Times New Roman"/>
        </w:rPr>
        <w:t xml:space="preserve"> </w:t>
      </w:r>
      <w:r w:rsidRPr="000B489D">
        <w:rPr>
          <w:rFonts w:cs="Times New Roman"/>
          <w:i/>
        </w:rPr>
        <w:t xml:space="preserve">Qu’est-ce que la </w:t>
      </w:r>
      <w:proofErr w:type="gramStart"/>
      <w:r w:rsidRPr="000B489D">
        <w:rPr>
          <w:rFonts w:cs="Times New Roman"/>
          <w:i/>
        </w:rPr>
        <w:t>sociologie ?,</w:t>
      </w:r>
      <w:proofErr w:type="gramEnd"/>
      <w:r w:rsidRPr="000B489D">
        <w:rPr>
          <w:rFonts w:cs="Times New Roman"/>
          <w:i/>
        </w:rPr>
        <w:t xml:space="preserve"> </w:t>
      </w:r>
      <w:r w:rsidRPr="000B489D">
        <w:rPr>
          <w:rFonts w:cs="Times New Roman"/>
        </w:rPr>
        <w:t>éditions Pocket Agora, Paris, 1993.</w:t>
      </w:r>
    </w:p>
    <w:p w14:paraId="771BD0F7" w14:textId="061FD908" w:rsidR="00BF6E9F" w:rsidRPr="000B489D" w:rsidRDefault="00BF6E9F" w:rsidP="000B489D">
      <w:pPr>
        <w:pStyle w:val="Paragraphedeliste"/>
        <w:spacing w:line="276" w:lineRule="auto"/>
        <w:ind w:left="0"/>
        <w:rPr>
          <w:rFonts w:cs="Times New Roman"/>
        </w:rPr>
      </w:pPr>
      <w:r w:rsidRPr="000B489D">
        <w:rPr>
          <w:rFonts w:cs="Times New Roman"/>
        </w:rPr>
        <w:t xml:space="preserve">ELIAS Norbert, DUNNING Éric, </w:t>
      </w:r>
      <w:r w:rsidRPr="000B489D">
        <w:rPr>
          <w:rFonts w:cs="Times New Roman"/>
          <w:i/>
        </w:rPr>
        <w:t>Sport et civilisation. La violence maîtrisée</w:t>
      </w:r>
      <w:r w:rsidRPr="000B489D">
        <w:rPr>
          <w:rFonts w:cs="Times New Roman"/>
        </w:rPr>
        <w:t>, Fayard, Paris, 1994</w:t>
      </w:r>
    </w:p>
    <w:p w14:paraId="3F0DDEC4" w14:textId="2A24EE3E" w:rsidR="003D49D9" w:rsidRPr="000B489D" w:rsidRDefault="003D49D9" w:rsidP="000B489D">
      <w:pPr>
        <w:autoSpaceDE w:val="0"/>
        <w:autoSpaceDN w:val="0"/>
        <w:adjustRightInd w:val="0"/>
        <w:spacing w:line="276" w:lineRule="auto"/>
        <w:rPr>
          <w:rFonts w:cs="Times New Roman"/>
        </w:rPr>
      </w:pPr>
      <w:r w:rsidRPr="000B489D">
        <w:rPr>
          <w:rFonts w:cs="Times New Roman"/>
        </w:rPr>
        <w:t xml:space="preserve">FILLIEULE Olivier, </w:t>
      </w:r>
      <w:r w:rsidR="00DB7734" w:rsidRPr="000B489D">
        <w:rPr>
          <w:rFonts w:cs="Times New Roman"/>
        </w:rPr>
        <w:t xml:space="preserve">« Propositions pour une analyse processuelle de l’engagement individuel. </w:t>
      </w:r>
      <w:r w:rsidR="00DB7734" w:rsidRPr="000B489D">
        <w:rPr>
          <w:rFonts w:cs="Times New Roman"/>
          <w:i/>
          <w:iCs/>
        </w:rPr>
        <w:t xml:space="preserve">Post </w:t>
      </w:r>
      <w:proofErr w:type="spellStart"/>
      <w:r w:rsidR="00DB7734" w:rsidRPr="000B489D">
        <w:rPr>
          <w:rFonts w:cs="Times New Roman"/>
          <w:i/>
          <w:iCs/>
        </w:rPr>
        <w:t>Scriptum</w:t>
      </w:r>
      <w:proofErr w:type="spellEnd"/>
      <w:r w:rsidR="00DB7734" w:rsidRPr="000B489D">
        <w:rPr>
          <w:rFonts w:cs="Times New Roman"/>
          <w:i/>
          <w:iCs/>
        </w:rPr>
        <w:t xml:space="preserve"> </w:t>
      </w:r>
      <w:r w:rsidR="00DB7734" w:rsidRPr="000B489D">
        <w:rPr>
          <w:rFonts w:cs="Times New Roman"/>
        </w:rPr>
        <w:t xml:space="preserve">», </w:t>
      </w:r>
      <w:r w:rsidR="00DB7734" w:rsidRPr="000B489D">
        <w:rPr>
          <w:rFonts w:cs="Times New Roman"/>
          <w:i/>
          <w:iCs/>
        </w:rPr>
        <w:t>Revue française de science politique</w:t>
      </w:r>
      <w:r w:rsidR="00DB7734" w:rsidRPr="000B489D">
        <w:rPr>
          <w:rFonts w:cs="Times New Roman"/>
        </w:rPr>
        <w:t xml:space="preserve">, vol 51, n°1-2, 2001, pp. 199-215. Disponible sur : </w:t>
      </w:r>
      <w:hyperlink r:id="rId30" w:history="1">
        <w:r w:rsidR="00DB7734" w:rsidRPr="000B489D">
          <w:rPr>
            <w:rStyle w:val="Lienhypertexte"/>
            <w:rFonts w:cs="Times New Roman"/>
          </w:rPr>
          <w:t>https://www.cairn.info/revue-francaise-de-science-politique-2001-1-page-199.htm</w:t>
        </w:r>
      </w:hyperlink>
      <w:r w:rsidR="00DB7734" w:rsidRPr="000B489D">
        <w:rPr>
          <w:rFonts w:cs="Times New Roman"/>
        </w:rPr>
        <w:t xml:space="preserve"> </w:t>
      </w:r>
    </w:p>
    <w:p w14:paraId="5EC66F40" w14:textId="77777777" w:rsidR="00690A5F" w:rsidRPr="000B489D" w:rsidRDefault="004E7680" w:rsidP="000B489D">
      <w:pPr>
        <w:spacing w:line="276" w:lineRule="auto"/>
        <w:rPr>
          <w:rFonts w:cs="Times New Roman"/>
        </w:rPr>
      </w:pPr>
      <w:r w:rsidRPr="000B489D">
        <w:rPr>
          <w:rFonts w:cs="Times New Roman"/>
        </w:rPr>
        <w:t>FOUCAULT Michel, « Prisons et asiles dans les mécanismes du pouvoir » (mars 1974), in Dits et écrits I, Paris, Gallimard, « Quarto », 2001, no 136, p. 1391 ; « Des supplices aux cellules, entretien avec R.-P. Droit » (février 1975), in </w:t>
      </w:r>
      <w:r w:rsidRPr="000B489D">
        <w:rPr>
          <w:rFonts w:cs="Times New Roman"/>
          <w:i/>
          <w:iCs/>
        </w:rPr>
        <w:t>Dits et écrits I</w:t>
      </w:r>
      <w:r w:rsidRPr="000B489D">
        <w:rPr>
          <w:rFonts w:cs="Times New Roman"/>
        </w:rPr>
        <w:t>, </w:t>
      </w:r>
      <w:r w:rsidRPr="000B489D">
        <w:rPr>
          <w:rFonts w:cs="Times New Roman"/>
          <w:i/>
          <w:iCs/>
        </w:rPr>
        <w:t xml:space="preserve">op. </w:t>
      </w:r>
      <w:proofErr w:type="spellStart"/>
      <w:proofErr w:type="gramStart"/>
      <w:r w:rsidRPr="000B489D">
        <w:rPr>
          <w:rFonts w:cs="Times New Roman"/>
          <w:i/>
          <w:iCs/>
        </w:rPr>
        <w:t>cit</w:t>
      </w:r>
      <w:proofErr w:type="spellEnd"/>
      <w:proofErr w:type="gramEnd"/>
      <w:r w:rsidRPr="000B489D">
        <w:rPr>
          <w:rFonts w:cs="Times New Roman"/>
          <w:i/>
          <w:iCs/>
        </w:rPr>
        <w:t>.</w:t>
      </w:r>
      <w:r w:rsidRPr="000B489D">
        <w:rPr>
          <w:rFonts w:cs="Times New Roman"/>
        </w:rPr>
        <w:t>, no 151, p. 1588.</w:t>
      </w:r>
    </w:p>
    <w:p w14:paraId="21AD2BE0" w14:textId="4E350731" w:rsidR="008231FD" w:rsidRPr="000B489D" w:rsidRDefault="00690A5F" w:rsidP="000B489D">
      <w:pPr>
        <w:spacing w:line="276" w:lineRule="auto"/>
        <w:rPr>
          <w:rFonts w:cs="Times New Roman"/>
        </w:rPr>
      </w:pPr>
      <w:r w:rsidRPr="000B489D">
        <w:rPr>
          <w:rFonts w:cs="Times New Roman"/>
        </w:rPr>
        <w:t>FRAN</w:t>
      </w:r>
      <w:r w:rsidR="00B31CA9" w:rsidRPr="000B489D">
        <w:rPr>
          <w:rFonts w:cs="Times New Roman"/>
        </w:rPr>
        <w:t xml:space="preserve">ÇOIS Camille, </w:t>
      </w:r>
      <w:r w:rsidR="00B31CA9" w:rsidRPr="000B489D">
        <w:rPr>
          <w:rFonts w:cs="Times New Roman"/>
          <w:i/>
        </w:rPr>
        <w:t xml:space="preserve">Déloger le peuple. L’État et l'administration des expulsions locatives, </w:t>
      </w:r>
      <w:r w:rsidR="00B31CA9" w:rsidRPr="000B489D">
        <w:rPr>
          <w:rFonts w:cs="Times New Roman"/>
        </w:rPr>
        <w:t>Thèse de sociologie et de science politique</w:t>
      </w:r>
      <w:r w:rsidR="00096944" w:rsidRPr="000B489D">
        <w:rPr>
          <w:rFonts w:cs="Times New Roman"/>
        </w:rPr>
        <w:t xml:space="preserve"> sous la direction de Sylvie Tissot,</w:t>
      </w:r>
      <w:r w:rsidR="00B31CA9" w:rsidRPr="000B489D">
        <w:rPr>
          <w:rFonts w:cs="Times New Roman"/>
        </w:rPr>
        <w:t xml:space="preserve"> </w:t>
      </w:r>
      <w:r w:rsidR="00096944" w:rsidRPr="000B489D">
        <w:rPr>
          <w:rFonts w:cs="Times New Roman"/>
        </w:rPr>
        <w:t xml:space="preserve">Université </w:t>
      </w:r>
      <w:r w:rsidR="00B31CA9" w:rsidRPr="000B489D">
        <w:rPr>
          <w:rFonts w:cs="Times New Roman"/>
        </w:rPr>
        <w:t xml:space="preserve">Paris 8, </w:t>
      </w:r>
      <w:r w:rsidR="00B65593" w:rsidRPr="000B489D">
        <w:rPr>
          <w:rFonts w:cs="Times New Roman"/>
        </w:rPr>
        <w:t>souten</w:t>
      </w:r>
      <w:r w:rsidR="00B31CA9" w:rsidRPr="000B489D">
        <w:rPr>
          <w:rFonts w:cs="Times New Roman"/>
        </w:rPr>
        <w:t>ue le 22 novembre 2017</w:t>
      </w:r>
      <w:r w:rsidR="00577D24" w:rsidRPr="000B489D">
        <w:rPr>
          <w:rFonts w:cs="Times New Roman"/>
        </w:rPr>
        <w:t xml:space="preserve"> ; FRANÇOIS Camille, </w:t>
      </w:r>
      <w:r w:rsidR="00577D24" w:rsidRPr="000B489D">
        <w:rPr>
          <w:rFonts w:cs="Times New Roman"/>
          <w:i/>
        </w:rPr>
        <w:t>Faire payer les femmes : le sexe du recouvrement des dettes de loyer</w:t>
      </w:r>
      <w:r w:rsidR="00577D24" w:rsidRPr="000B489D">
        <w:rPr>
          <w:rFonts w:cs="Times New Roman"/>
        </w:rPr>
        <w:t xml:space="preserve">, </w:t>
      </w:r>
      <w:r w:rsidR="00577D24" w:rsidRPr="000B489D">
        <w:rPr>
          <w:rFonts w:cs="Times New Roman"/>
          <w:i/>
        </w:rPr>
        <w:t>in</w:t>
      </w:r>
      <w:r w:rsidR="00577D24" w:rsidRPr="000B489D">
        <w:rPr>
          <w:rFonts w:cs="Times New Roman"/>
        </w:rPr>
        <w:t xml:space="preserve"> LAMBERT Anne (</w:t>
      </w:r>
      <w:proofErr w:type="spellStart"/>
      <w:r w:rsidR="00577D24" w:rsidRPr="000B489D">
        <w:rPr>
          <w:rFonts w:cs="Times New Roman"/>
        </w:rPr>
        <w:t>dir</w:t>
      </w:r>
      <w:proofErr w:type="spellEnd"/>
      <w:r w:rsidR="00577D24" w:rsidRPr="000B489D">
        <w:rPr>
          <w:rFonts w:cs="Times New Roman"/>
        </w:rPr>
        <w:t>.), DIETRICH-RAGON Pascale (</w:t>
      </w:r>
      <w:proofErr w:type="spellStart"/>
      <w:r w:rsidR="00577D24" w:rsidRPr="000B489D">
        <w:rPr>
          <w:rFonts w:cs="Times New Roman"/>
        </w:rPr>
        <w:t>dir</w:t>
      </w:r>
      <w:proofErr w:type="spellEnd"/>
      <w:r w:rsidR="00577D24" w:rsidRPr="000B489D">
        <w:rPr>
          <w:rFonts w:cs="Times New Roman"/>
        </w:rPr>
        <w:t>.), BONVALET Catherine (</w:t>
      </w:r>
      <w:proofErr w:type="spellStart"/>
      <w:r w:rsidR="00577D24" w:rsidRPr="000B489D">
        <w:rPr>
          <w:rFonts w:cs="Times New Roman"/>
        </w:rPr>
        <w:t>dir</w:t>
      </w:r>
      <w:proofErr w:type="spellEnd"/>
      <w:r w:rsidR="00577D24" w:rsidRPr="000B489D">
        <w:rPr>
          <w:rFonts w:cs="Times New Roman"/>
        </w:rPr>
        <w:t xml:space="preserve">), </w:t>
      </w:r>
      <w:r w:rsidR="00577D24" w:rsidRPr="000B489D">
        <w:rPr>
          <w:rFonts w:cs="Times New Roman"/>
          <w:i/>
        </w:rPr>
        <w:t>Le monde privé des femmes : Genre et habitat dans la société française</w:t>
      </w:r>
      <w:r w:rsidR="00577D24" w:rsidRPr="000B489D">
        <w:rPr>
          <w:rFonts w:cs="Times New Roman"/>
        </w:rPr>
        <w:t xml:space="preserve">, </w:t>
      </w:r>
      <w:proofErr w:type="spellStart"/>
      <w:r w:rsidR="00577D24" w:rsidRPr="000B489D">
        <w:rPr>
          <w:rFonts w:cs="Times New Roman"/>
        </w:rPr>
        <w:t>Ined</w:t>
      </w:r>
      <w:proofErr w:type="spellEnd"/>
      <w:r w:rsidR="00577D24" w:rsidRPr="000B489D">
        <w:rPr>
          <w:rFonts w:cs="Times New Roman"/>
        </w:rPr>
        <w:t xml:space="preserve"> Éditions, Paris, 2018. Disponible sur :</w:t>
      </w:r>
      <w:r w:rsidR="009C74C1" w:rsidRPr="000B489D">
        <w:rPr>
          <w:rFonts w:cs="Times New Roman"/>
        </w:rPr>
        <w:t xml:space="preserve"> </w:t>
      </w:r>
      <w:hyperlink r:id="rId31" w:anchor="authors" w:history="1">
        <w:r w:rsidR="00577D24" w:rsidRPr="000B489D">
          <w:rPr>
            <w:rStyle w:val="Lienhypertexte"/>
            <w:rFonts w:cs="Times New Roman"/>
          </w:rPr>
          <w:t>https://books.openedition.org/ined/17385?lang=fr#authors</w:t>
        </w:r>
      </w:hyperlink>
      <w:r w:rsidR="00577D24" w:rsidRPr="000B489D">
        <w:rPr>
          <w:rFonts w:cs="Times New Roman"/>
        </w:rPr>
        <w:t xml:space="preserve"> </w:t>
      </w:r>
      <w:r w:rsidR="00EC082B" w:rsidRPr="000B489D">
        <w:rPr>
          <w:rFonts w:cs="Times New Roman"/>
        </w:rPr>
        <w:t>f</w:t>
      </w:r>
    </w:p>
    <w:p w14:paraId="5C7135E1" w14:textId="624A8DC8" w:rsidR="001D53DD" w:rsidRPr="000B489D" w:rsidRDefault="001D53DD" w:rsidP="000B489D">
      <w:pPr>
        <w:spacing w:line="276" w:lineRule="auto"/>
        <w:rPr>
          <w:rFonts w:cs="Times New Roman"/>
        </w:rPr>
      </w:pPr>
      <w:r w:rsidRPr="000B489D">
        <w:rPr>
          <w:rFonts w:cs="Times New Roman"/>
        </w:rPr>
        <w:t xml:space="preserve">GARFINKEL Harold, </w:t>
      </w:r>
      <w:r w:rsidRPr="000B489D">
        <w:rPr>
          <w:rFonts w:cs="Times New Roman"/>
          <w:i/>
        </w:rPr>
        <w:t>Recherches en ethnométhodologie</w:t>
      </w:r>
      <w:r w:rsidRPr="000B489D">
        <w:rPr>
          <w:rFonts w:cs="Times New Roman"/>
        </w:rPr>
        <w:t xml:space="preserve">, édité et introduit par Michel Barthélémy &amp; Louis </w:t>
      </w:r>
      <w:proofErr w:type="spellStart"/>
      <w:r w:rsidRPr="000B489D">
        <w:rPr>
          <w:rFonts w:cs="Times New Roman"/>
        </w:rPr>
        <w:t>Quéré</w:t>
      </w:r>
      <w:proofErr w:type="spellEnd"/>
      <w:r w:rsidRPr="000B489D">
        <w:rPr>
          <w:rFonts w:cs="Times New Roman"/>
        </w:rPr>
        <w:t>, Paris, PUF [1967], 2007.</w:t>
      </w:r>
    </w:p>
    <w:p w14:paraId="612E15D5" w14:textId="70731D09" w:rsidR="00DA01C5" w:rsidRPr="000B489D" w:rsidRDefault="00DA01C5" w:rsidP="000B489D">
      <w:pPr>
        <w:autoSpaceDE w:val="0"/>
        <w:autoSpaceDN w:val="0"/>
        <w:adjustRightInd w:val="0"/>
        <w:spacing w:line="276" w:lineRule="auto"/>
        <w:rPr>
          <w:rFonts w:cs="Times New Roman"/>
        </w:rPr>
      </w:pPr>
      <w:r w:rsidRPr="000B489D">
        <w:rPr>
          <w:rFonts w:cs="Times New Roman"/>
        </w:rPr>
        <w:t xml:space="preserve">GOFFMAN </w:t>
      </w:r>
      <w:proofErr w:type="spellStart"/>
      <w:r w:rsidRPr="000B489D">
        <w:rPr>
          <w:rFonts w:cs="Times New Roman"/>
        </w:rPr>
        <w:t>Erevin</w:t>
      </w:r>
      <w:proofErr w:type="spellEnd"/>
      <w:r w:rsidRPr="000B489D">
        <w:rPr>
          <w:rFonts w:cs="Times New Roman"/>
        </w:rPr>
        <w:t xml:space="preserve">, </w:t>
      </w:r>
      <w:r w:rsidRPr="000B489D">
        <w:rPr>
          <w:rFonts w:cs="Times New Roman"/>
          <w:i/>
          <w:iCs/>
        </w:rPr>
        <w:t>Asiles. Études sur la condition sociale des malades mentaux</w:t>
      </w:r>
      <w:r w:rsidRPr="000B489D">
        <w:rPr>
          <w:rFonts w:cs="Times New Roman"/>
        </w:rPr>
        <w:t xml:space="preserve">, Les Éditions de Minuit, </w:t>
      </w:r>
      <w:r w:rsidR="00292BEA" w:rsidRPr="000B489D">
        <w:rPr>
          <w:rFonts w:cs="Times New Roman"/>
        </w:rPr>
        <w:t>Paris,</w:t>
      </w:r>
      <w:r w:rsidRPr="000B489D">
        <w:rPr>
          <w:rFonts w:cs="Times New Roman"/>
        </w:rPr>
        <w:t>1968</w:t>
      </w:r>
      <w:r w:rsidR="00860A98" w:rsidRPr="000B489D">
        <w:rPr>
          <w:rFonts w:cs="Times New Roman"/>
        </w:rPr>
        <w:t>.</w:t>
      </w:r>
    </w:p>
    <w:p w14:paraId="3DD525CE" w14:textId="5A340925" w:rsidR="007C3FAD" w:rsidRPr="000B489D" w:rsidRDefault="007C3FAD" w:rsidP="000B489D">
      <w:pPr>
        <w:autoSpaceDE w:val="0"/>
        <w:autoSpaceDN w:val="0"/>
        <w:adjustRightInd w:val="0"/>
        <w:spacing w:line="276" w:lineRule="auto"/>
        <w:rPr>
          <w:rFonts w:cs="Times New Roman"/>
        </w:rPr>
      </w:pPr>
      <w:r w:rsidRPr="000B489D">
        <w:rPr>
          <w:rFonts w:cs="Times New Roman"/>
        </w:rPr>
        <w:t xml:space="preserve">GRIGNON Claude, PASSERON Jean-Claude, </w:t>
      </w:r>
      <w:r w:rsidRPr="000B489D">
        <w:rPr>
          <w:rFonts w:cs="Times New Roman"/>
          <w:i/>
          <w:iCs/>
        </w:rPr>
        <w:t>Le savant et le populaire. Misérabilisme et populisme en sociologie et en littérature</w:t>
      </w:r>
      <w:r w:rsidRPr="000B489D">
        <w:rPr>
          <w:rFonts w:cs="Times New Roman"/>
        </w:rPr>
        <w:t>, Paris, Éditions du Seuil, 1989.</w:t>
      </w:r>
    </w:p>
    <w:p w14:paraId="19417C21" w14:textId="25D4601E" w:rsidR="008231FD" w:rsidRPr="000B489D" w:rsidRDefault="008231FD" w:rsidP="000B489D">
      <w:pPr>
        <w:autoSpaceDE w:val="0"/>
        <w:autoSpaceDN w:val="0"/>
        <w:adjustRightInd w:val="0"/>
        <w:spacing w:line="276" w:lineRule="auto"/>
        <w:rPr>
          <w:rFonts w:cs="Times New Roman"/>
        </w:rPr>
      </w:pPr>
      <w:r w:rsidRPr="000B489D">
        <w:rPr>
          <w:rFonts w:cs="Times New Roman"/>
        </w:rPr>
        <w:lastRenderedPageBreak/>
        <w:t xml:space="preserve">GUIMARD Nathalie, </w:t>
      </w:r>
      <w:r w:rsidRPr="000B489D">
        <w:rPr>
          <w:rFonts w:cs="Times New Roman"/>
          <w:i/>
        </w:rPr>
        <w:t>Le locataire endetté. La construction d'une catégorie sociale</w:t>
      </w:r>
      <w:r w:rsidRPr="000B489D">
        <w:rPr>
          <w:rFonts w:cs="Times New Roman"/>
        </w:rPr>
        <w:t xml:space="preserve">, </w:t>
      </w:r>
      <w:proofErr w:type="spellStart"/>
      <w:r w:rsidRPr="000B489D">
        <w:rPr>
          <w:rFonts w:cs="Times New Roman"/>
        </w:rPr>
        <w:t>L’Harmattan</w:t>
      </w:r>
      <w:proofErr w:type="spellEnd"/>
      <w:r w:rsidRPr="000B489D">
        <w:rPr>
          <w:rFonts w:cs="Times New Roman"/>
        </w:rPr>
        <w:t>, 2008.</w:t>
      </w:r>
    </w:p>
    <w:p w14:paraId="5F781B84" w14:textId="0E54CCAF" w:rsidR="0090003C" w:rsidRPr="000B489D" w:rsidRDefault="0090003C" w:rsidP="000B489D">
      <w:pPr>
        <w:autoSpaceDE w:val="0"/>
        <w:autoSpaceDN w:val="0"/>
        <w:adjustRightInd w:val="0"/>
        <w:spacing w:line="276" w:lineRule="auto"/>
        <w:rPr>
          <w:rFonts w:cs="Times New Roman"/>
          <w:lang w:val="en-US"/>
        </w:rPr>
      </w:pPr>
      <w:r w:rsidRPr="000B489D">
        <w:rPr>
          <w:rFonts w:cs="Times New Roman"/>
          <w:lang w:val="en-US"/>
        </w:rPr>
        <w:t>HARTMAN Chester and ROBINSON David, “Evictions: the hidden housing problem”, Housing Policy Debate 14(4): 461–501, 2013.</w:t>
      </w:r>
    </w:p>
    <w:p w14:paraId="663D170F" w14:textId="033152DE" w:rsidR="00E63454" w:rsidRPr="000B489D" w:rsidRDefault="00E63454" w:rsidP="000B489D">
      <w:pPr>
        <w:autoSpaceDE w:val="0"/>
        <w:autoSpaceDN w:val="0"/>
        <w:adjustRightInd w:val="0"/>
        <w:spacing w:line="276" w:lineRule="auto"/>
        <w:rPr>
          <w:rFonts w:cs="Times New Roman"/>
        </w:rPr>
      </w:pPr>
      <w:r w:rsidRPr="000B489D">
        <w:rPr>
          <w:rFonts w:cs="Times New Roman"/>
        </w:rPr>
        <w:t xml:space="preserve">HUGHES Everett С, </w:t>
      </w:r>
      <w:r w:rsidRPr="000B489D">
        <w:rPr>
          <w:rFonts w:cs="Times New Roman"/>
          <w:i/>
        </w:rPr>
        <w:t>Le regard sociologique. Essais choisis</w:t>
      </w:r>
      <w:r w:rsidR="004B5BC8" w:rsidRPr="000B489D">
        <w:rPr>
          <w:rFonts w:cs="Times New Roman"/>
          <w:i/>
        </w:rPr>
        <w:t xml:space="preserve">, </w:t>
      </w:r>
      <w:r w:rsidR="004B5BC8" w:rsidRPr="000B489D">
        <w:rPr>
          <w:rFonts w:cs="Times New Roman"/>
        </w:rPr>
        <w:t>t</w:t>
      </w:r>
      <w:r w:rsidRPr="000B489D">
        <w:rPr>
          <w:rFonts w:cs="Times New Roman"/>
        </w:rPr>
        <w:t xml:space="preserve">extes rassemblés et présentés par Jean-Michel </w:t>
      </w:r>
      <w:proofErr w:type="spellStart"/>
      <w:r w:rsidRPr="000B489D">
        <w:rPr>
          <w:rFonts w:cs="Times New Roman"/>
        </w:rPr>
        <w:t>Chapoulie</w:t>
      </w:r>
      <w:proofErr w:type="spellEnd"/>
      <w:r w:rsidR="004B5BC8" w:rsidRPr="000B489D">
        <w:rPr>
          <w:rFonts w:cs="Times New Roman"/>
        </w:rPr>
        <w:t xml:space="preserve">, Editions EHESS, </w:t>
      </w:r>
      <w:r w:rsidRPr="000B489D">
        <w:rPr>
          <w:rFonts w:cs="Times New Roman"/>
        </w:rPr>
        <w:t>Paris, 1996</w:t>
      </w:r>
      <w:r w:rsidR="004B5BC8" w:rsidRPr="000B489D">
        <w:rPr>
          <w:rFonts w:cs="Times New Roman"/>
        </w:rPr>
        <w:t>.</w:t>
      </w:r>
    </w:p>
    <w:p w14:paraId="7C2AF9B5" w14:textId="32EABE1C" w:rsidR="00142EE9" w:rsidRPr="000B489D" w:rsidRDefault="00142EE9" w:rsidP="000B489D">
      <w:pPr>
        <w:spacing w:line="276" w:lineRule="auto"/>
        <w:rPr>
          <w:rFonts w:cs="Times New Roman"/>
          <w:lang w:eastAsia="fr-BE"/>
        </w:rPr>
      </w:pPr>
      <w:r w:rsidRPr="000B489D">
        <w:rPr>
          <w:rFonts w:cs="Times New Roman"/>
          <w:lang w:eastAsia="fr-BE"/>
        </w:rPr>
        <w:t>LASCOUMES Pierre, LE BOUHRIS Jean-Pierre, « Des « passe-droits » aux passes du droit. La mise en œuvre sociojuridique de l’action publique », Droit et Société, 32, 1996. Disponible sur :</w:t>
      </w:r>
      <w:r w:rsidRPr="000B489D">
        <w:rPr>
          <w:rFonts w:cs="Times New Roman"/>
        </w:rPr>
        <w:t xml:space="preserve"> </w:t>
      </w:r>
      <w:hyperlink r:id="rId32" w:anchor="xd_co_f=MmI3NTg1NDktOGE2NS00NzM3LTkyYTUtYWRkYTc3NDJiZDY4~" w:history="1">
        <w:r w:rsidRPr="000B489D">
          <w:rPr>
            <w:rStyle w:val="Lienhypertexte"/>
            <w:rFonts w:cs="Times New Roman"/>
            <w:lang w:eastAsia="fr-BE"/>
          </w:rPr>
          <w:t>https://www.persee.fr/doc/dreso_0769-3362_1996_num_32_1_1355#xd_co_f=MmI3NTg1NDktOGE2NS00NzM3LTkyYTUtYWRkYTc3NDJiZDY4~</w:t>
        </w:r>
      </w:hyperlink>
      <w:r w:rsidRPr="000B489D">
        <w:rPr>
          <w:rFonts w:cs="Times New Roman"/>
          <w:lang w:eastAsia="fr-BE"/>
        </w:rPr>
        <w:t xml:space="preserve"> </w:t>
      </w:r>
    </w:p>
    <w:p w14:paraId="0E6BB512" w14:textId="4744201E" w:rsidR="00142EE9" w:rsidRPr="00B66266" w:rsidRDefault="00171BA8" w:rsidP="000B489D">
      <w:pPr>
        <w:autoSpaceDE w:val="0"/>
        <w:autoSpaceDN w:val="0"/>
        <w:adjustRightInd w:val="0"/>
        <w:spacing w:line="276" w:lineRule="auto"/>
        <w:rPr>
          <w:rFonts w:cs="Times New Roman"/>
          <w:lang w:val="en-US"/>
        </w:rPr>
      </w:pPr>
      <w:r w:rsidRPr="002232A8">
        <w:rPr>
          <w:rFonts w:cs="Times New Roman"/>
          <w:shd w:val="clear" w:color="auto" w:fill="FFFFFF"/>
        </w:rPr>
        <w:t>LE BRETON David, </w:t>
      </w:r>
      <w:r w:rsidRPr="002232A8">
        <w:rPr>
          <w:rFonts w:cs="Times New Roman"/>
          <w:i/>
          <w:iCs/>
          <w:shd w:val="clear" w:color="auto" w:fill="FFFFFF"/>
        </w:rPr>
        <w:t>L’interactionnisme symbolique. </w:t>
      </w:r>
      <w:r w:rsidRPr="002232A8">
        <w:rPr>
          <w:rFonts w:cs="Times New Roman"/>
          <w:shd w:val="clear" w:color="auto" w:fill="FFFFFF"/>
        </w:rPr>
        <w:t xml:space="preserve">Presses Universitaires de France, « Quadrige », 2012. </w:t>
      </w:r>
      <w:r w:rsidRPr="00B66266">
        <w:rPr>
          <w:rFonts w:cs="Times New Roman"/>
          <w:shd w:val="clear" w:color="auto" w:fill="FFFFFF"/>
          <w:lang w:val="en-US"/>
        </w:rPr>
        <w:t xml:space="preserve">Disponible </w:t>
      </w:r>
      <w:proofErr w:type="gramStart"/>
      <w:r w:rsidRPr="00B66266">
        <w:rPr>
          <w:rFonts w:cs="Times New Roman"/>
          <w:shd w:val="clear" w:color="auto" w:fill="FFFFFF"/>
          <w:lang w:val="en-US"/>
        </w:rPr>
        <w:t>sur :</w:t>
      </w:r>
      <w:proofErr w:type="gramEnd"/>
      <w:r w:rsidRPr="00B66266">
        <w:rPr>
          <w:rFonts w:cs="Times New Roman"/>
          <w:shd w:val="clear" w:color="auto" w:fill="FFFFFF"/>
          <w:lang w:val="en-US"/>
        </w:rPr>
        <w:t xml:space="preserve"> </w:t>
      </w:r>
      <w:hyperlink r:id="rId33" w:history="1">
        <w:r w:rsidR="002232A8" w:rsidRPr="00B66266">
          <w:rPr>
            <w:rStyle w:val="Lienhypertexte"/>
            <w:rFonts w:cs="Times New Roman"/>
            <w:shd w:val="clear" w:color="auto" w:fill="FFFFFF"/>
            <w:lang w:val="en-US"/>
          </w:rPr>
          <w:t>https://www.cairn.info/l-interactionnisme-symbolique--9782130732679.htm</w:t>
        </w:r>
      </w:hyperlink>
      <w:r w:rsidR="002232A8" w:rsidRPr="00B66266">
        <w:rPr>
          <w:rFonts w:cs="Times New Roman"/>
          <w:shd w:val="clear" w:color="auto" w:fill="FFFFFF"/>
          <w:lang w:val="en-US"/>
        </w:rPr>
        <w:t xml:space="preserve"> </w:t>
      </w:r>
    </w:p>
    <w:p w14:paraId="1350A994" w14:textId="0DE808DA" w:rsidR="00534A03" w:rsidRPr="002232A8" w:rsidRDefault="00534A03" w:rsidP="000B489D">
      <w:pPr>
        <w:autoSpaceDE w:val="0"/>
        <w:autoSpaceDN w:val="0"/>
        <w:adjustRightInd w:val="0"/>
        <w:spacing w:line="276" w:lineRule="auto"/>
        <w:rPr>
          <w:rFonts w:cs="Times New Roman"/>
          <w:lang w:val="en-US"/>
        </w:rPr>
      </w:pPr>
      <w:r w:rsidRPr="002232A8">
        <w:rPr>
          <w:rFonts w:cs="Times New Roman"/>
          <w:lang w:val="en-US"/>
        </w:rPr>
        <w:t xml:space="preserve">LEON Scott et IVENIUK James, </w:t>
      </w:r>
      <w:r w:rsidRPr="002232A8">
        <w:rPr>
          <w:rFonts w:cs="Times New Roman"/>
          <w:i/>
          <w:lang w:val="en-US"/>
        </w:rPr>
        <w:t>Forced out: evictions, race and poverty in Toronto</w:t>
      </w:r>
      <w:r w:rsidR="009A0A41" w:rsidRPr="002232A8">
        <w:rPr>
          <w:rFonts w:cs="Times New Roman"/>
          <w:i/>
          <w:lang w:val="en-US"/>
        </w:rPr>
        <w:t>,</w:t>
      </w:r>
      <w:r w:rsidRPr="002232A8">
        <w:rPr>
          <w:rFonts w:cs="Times New Roman"/>
          <w:lang w:val="en-US"/>
        </w:rPr>
        <w:t xml:space="preserve"> Toronto: Wellesley Institute</w:t>
      </w:r>
      <w:r w:rsidR="009A0A41" w:rsidRPr="002232A8">
        <w:rPr>
          <w:rFonts w:cs="Times New Roman"/>
          <w:lang w:val="en-US"/>
        </w:rPr>
        <w:t>, 2020.</w:t>
      </w:r>
    </w:p>
    <w:p w14:paraId="27720CFB" w14:textId="0CC5232A" w:rsidR="00A40428" w:rsidRPr="002232A8" w:rsidRDefault="00A40428" w:rsidP="000B489D">
      <w:pPr>
        <w:autoSpaceDE w:val="0"/>
        <w:autoSpaceDN w:val="0"/>
        <w:adjustRightInd w:val="0"/>
        <w:spacing w:line="276" w:lineRule="auto"/>
        <w:rPr>
          <w:rFonts w:cs="Times New Roman"/>
          <w:shd w:val="clear" w:color="auto" w:fill="FFFFFF"/>
          <w:lang w:val="en-US"/>
        </w:rPr>
      </w:pPr>
      <w:r w:rsidRPr="002232A8">
        <w:rPr>
          <w:rFonts w:cs="Times New Roman"/>
          <w:shd w:val="clear" w:color="auto" w:fill="FFFFFF"/>
          <w:lang w:val="en-US"/>
        </w:rPr>
        <w:t xml:space="preserve">LIPSKY Michael, </w:t>
      </w:r>
      <w:r w:rsidRPr="002232A8">
        <w:rPr>
          <w:rFonts w:cs="Times New Roman"/>
          <w:i/>
          <w:shd w:val="clear" w:color="auto" w:fill="FFFFFF"/>
          <w:lang w:val="en-GB"/>
        </w:rPr>
        <w:t>Street-Level Bureaucracy: Dilemmas of the Individual in Public Services</w:t>
      </w:r>
      <w:r w:rsidR="00CD2369" w:rsidRPr="002232A8">
        <w:rPr>
          <w:rFonts w:cs="Times New Roman"/>
          <w:shd w:val="clear" w:color="auto" w:fill="FFFFFF"/>
          <w:lang w:val="en-GB"/>
        </w:rPr>
        <w:t xml:space="preserve">, </w:t>
      </w:r>
      <w:r w:rsidRPr="002232A8">
        <w:rPr>
          <w:rFonts w:cs="Times New Roman"/>
          <w:shd w:val="clear" w:color="auto" w:fill="FFFFFF"/>
          <w:lang w:val="en-US"/>
        </w:rPr>
        <w:t xml:space="preserve">Russell Sage Foundation, </w:t>
      </w:r>
      <w:r w:rsidR="00CD2369" w:rsidRPr="002232A8">
        <w:rPr>
          <w:rFonts w:cs="Times New Roman"/>
          <w:iCs/>
          <w:shd w:val="clear" w:color="auto" w:fill="FFFFFF"/>
          <w:lang w:val="en-US"/>
        </w:rPr>
        <w:t>Politics &amp; Society,</w:t>
      </w:r>
      <w:r w:rsidR="00CD2369" w:rsidRPr="002232A8">
        <w:rPr>
          <w:rFonts w:cs="Times New Roman"/>
          <w:shd w:val="clear" w:color="auto" w:fill="FFFFFF"/>
          <w:lang w:val="en-US"/>
        </w:rPr>
        <w:t xml:space="preserve"> New York, </w:t>
      </w:r>
      <w:r w:rsidRPr="002232A8">
        <w:rPr>
          <w:rFonts w:cs="Times New Roman"/>
          <w:shd w:val="clear" w:color="auto" w:fill="FFFFFF"/>
          <w:lang w:val="en-US"/>
        </w:rPr>
        <w:t>1980.</w:t>
      </w:r>
    </w:p>
    <w:p w14:paraId="01E2C7DF" w14:textId="682C60CB" w:rsidR="00C921A7" w:rsidRPr="002232A8" w:rsidRDefault="002232A8" w:rsidP="000B489D">
      <w:pPr>
        <w:autoSpaceDE w:val="0"/>
        <w:autoSpaceDN w:val="0"/>
        <w:adjustRightInd w:val="0"/>
        <w:spacing w:line="276" w:lineRule="auto"/>
        <w:rPr>
          <w:rFonts w:cs="Times New Roman"/>
          <w:shd w:val="clear" w:color="auto" w:fill="FFFFFF"/>
        </w:rPr>
      </w:pPr>
      <w:r w:rsidRPr="002232A8">
        <w:rPr>
          <w:rStyle w:val="uppercase"/>
          <w:rFonts w:cs="Times New Roman"/>
          <w:shd w:val="clear" w:color="auto" w:fill="FFFFFF"/>
        </w:rPr>
        <w:t>LEMIEUX</w:t>
      </w:r>
      <w:r w:rsidR="00C921A7" w:rsidRPr="002232A8">
        <w:rPr>
          <w:rFonts w:cs="Times New Roman"/>
          <w:shd w:val="clear" w:color="auto" w:fill="FFFFFF"/>
        </w:rPr>
        <w:t xml:space="preserve"> Cyril</w:t>
      </w:r>
      <w:r w:rsidRPr="002232A8">
        <w:rPr>
          <w:rFonts w:cs="Times New Roman"/>
          <w:shd w:val="clear" w:color="auto" w:fill="FFFFFF"/>
        </w:rPr>
        <w:t>,</w:t>
      </w:r>
      <w:r w:rsidR="00C921A7" w:rsidRPr="002232A8">
        <w:rPr>
          <w:rFonts w:cs="Times New Roman"/>
          <w:shd w:val="clear" w:color="auto" w:fill="FFFFFF"/>
        </w:rPr>
        <w:t xml:space="preserve"> « 2 – Problématiser », in Serge Paugam éd., </w:t>
      </w:r>
      <w:r w:rsidR="00C921A7" w:rsidRPr="002232A8">
        <w:rPr>
          <w:rFonts w:cs="Times New Roman"/>
          <w:i/>
          <w:iCs/>
          <w:shd w:val="clear" w:color="auto" w:fill="FFFFFF"/>
        </w:rPr>
        <w:t>L’enquête sociologique. </w:t>
      </w:r>
      <w:r w:rsidR="00C921A7" w:rsidRPr="002232A8">
        <w:rPr>
          <w:rFonts w:cs="Times New Roman"/>
          <w:shd w:val="clear" w:color="auto" w:fill="FFFFFF"/>
        </w:rPr>
        <w:t>Presses Universitaires de France, 2012</w:t>
      </w:r>
      <w:r w:rsidR="00860A98" w:rsidRPr="002232A8">
        <w:rPr>
          <w:rFonts w:cs="Times New Roman"/>
          <w:shd w:val="clear" w:color="auto" w:fill="FFFFFF"/>
        </w:rPr>
        <w:t>.</w:t>
      </w:r>
    </w:p>
    <w:p w14:paraId="4C870C25" w14:textId="6F9A8586" w:rsidR="00230FCF" w:rsidRDefault="00230FCF" w:rsidP="000B489D">
      <w:pPr>
        <w:autoSpaceDE w:val="0"/>
        <w:autoSpaceDN w:val="0"/>
        <w:adjustRightInd w:val="0"/>
        <w:spacing w:line="276" w:lineRule="auto"/>
        <w:rPr>
          <w:rFonts w:cs="Times New Roman"/>
          <w:color w:val="000000"/>
          <w:spacing w:val="-5"/>
        </w:rPr>
      </w:pPr>
      <w:r w:rsidRPr="002232A8">
        <w:rPr>
          <w:rFonts w:cs="Times New Roman"/>
          <w:spacing w:val="-5"/>
        </w:rPr>
        <w:t>MAGRI Susanna, « Les Propriétaires, Les Locataires, La Loi : Jalons Pour Une Analyse Sociologique Des Rapports de Location », Paris 1850-1920.” </w:t>
      </w:r>
      <w:r w:rsidRPr="002232A8">
        <w:rPr>
          <w:rFonts w:cs="Times New Roman"/>
          <w:i/>
          <w:iCs/>
          <w:spacing w:val="-5"/>
        </w:rPr>
        <w:t>Revue Française de Sociologie</w:t>
      </w:r>
      <w:r w:rsidRPr="002232A8">
        <w:rPr>
          <w:rFonts w:cs="Times New Roman"/>
          <w:spacing w:val="-5"/>
        </w:rPr>
        <w:t>, vol. 37, no. 3, 1996, pp. 397–418. Disponible sur </w:t>
      </w:r>
      <w:r w:rsidRPr="000B489D">
        <w:rPr>
          <w:rFonts w:cs="Times New Roman"/>
          <w:color w:val="000000"/>
          <w:spacing w:val="-5"/>
        </w:rPr>
        <w:t xml:space="preserve">: </w:t>
      </w:r>
      <w:hyperlink r:id="rId34" w:anchor="metadata_info_tab_contents" w:history="1">
        <w:r w:rsidRPr="000B489D">
          <w:rPr>
            <w:rStyle w:val="Lienhypertexte"/>
            <w:rFonts w:cs="Times New Roman"/>
            <w:spacing w:val="-5"/>
          </w:rPr>
          <w:t>https://www.jstor.org/stable/3322464#metadata_info_tab_contents</w:t>
        </w:r>
      </w:hyperlink>
      <w:r w:rsidRPr="000B489D">
        <w:rPr>
          <w:rFonts w:cs="Times New Roman"/>
          <w:color w:val="000000"/>
          <w:spacing w:val="-5"/>
        </w:rPr>
        <w:t xml:space="preserve"> </w:t>
      </w:r>
    </w:p>
    <w:p w14:paraId="4D279B30" w14:textId="138ECFD5" w:rsidR="00D35B93" w:rsidRPr="00D35B93" w:rsidRDefault="00D35B93" w:rsidP="00D35B93">
      <w:pPr>
        <w:pStyle w:val="NormalWeb"/>
        <w:shd w:val="clear" w:color="auto" w:fill="FFFFFF"/>
        <w:spacing w:before="0" w:beforeAutospacing="0" w:after="150" w:afterAutospacing="0"/>
        <w:jc w:val="both"/>
        <w:rPr>
          <w:rStyle w:val="Lienhypertexte"/>
          <w:rFonts w:eastAsiaTheme="minorHAnsi"/>
          <w:szCs w:val="22"/>
          <w:shd w:val="clear" w:color="auto" w:fill="FFFFFF"/>
          <w:lang w:eastAsia="en-US"/>
        </w:rPr>
      </w:pPr>
      <w:r w:rsidRPr="00D35B93">
        <w:rPr>
          <w:szCs w:val="21"/>
        </w:rPr>
        <w:t xml:space="preserve">PASSERON Jean-Claude, « Biographies, flux, itinéraires, trajectoires » </w:t>
      </w:r>
      <w:proofErr w:type="gramStart"/>
      <w:r w:rsidRPr="00D35B93">
        <w:rPr>
          <w:szCs w:val="21"/>
        </w:rPr>
        <w:t>In:</w:t>
      </w:r>
      <w:proofErr w:type="gramEnd"/>
      <w:r w:rsidRPr="00D35B93">
        <w:rPr>
          <w:szCs w:val="21"/>
        </w:rPr>
        <w:t> </w:t>
      </w:r>
      <w:r w:rsidRPr="00D35B93">
        <w:rPr>
          <w:rStyle w:val="Accentuation"/>
          <w:szCs w:val="21"/>
        </w:rPr>
        <w:t>Revue française de sociologie</w:t>
      </w:r>
      <w:r w:rsidRPr="00D35B93">
        <w:rPr>
          <w:szCs w:val="21"/>
        </w:rPr>
        <w:t xml:space="preserve">, 1990, 31-1. pp. 3-22. Disponible sur : </w:t>
      </w:r>
      <w:hyperlink r:id="rId35" w:history="1">
        <w:r w:rsidRPr="00D35B93">
          <w:rPr>
            <w:rStyle w:val="Lienhypertexte"/>
            <w:rFonts w:eastAsiaTheme="minorHAnsi"/>
            <w:szCs w:val="22"/>
            <w:shd w:val="clear" w:color="auto" w:fill="FFFFFF"/>
            <w:lang w:eastAsia="en-US"/>
          </w:rPr>
          <w:t>www.persee.fr/doc/rfsoc_0035-2969_1990_num_31_1_1077</w:t>
        </w:r>
      </w:hyperlink>
      <w:r w:rsidRPr="00D35B93">
        <w:rPr>
          <w:rStyle w:val="Lienhypertexte"/>
          <w:rFonts w:eastAsiaTheme="minorHAnsi"/>
          <w:szCs w:val="22"/>
          <w:shd w:val="clear" w:color="auto" w:fill="FFFFFF"/>
          <w:lang w:eastAsia="en-US"/>
        </w:rPr>
        <w:t xml:space="preserve">  </w:t>
      </w:r>
    </w:p>
    <w:p w14:paraId="39CB14EC" w14:textId="76F4180C" w:rsidR="00DD396D" w:rsidRPr="00B66266" w:rsidRDefault="00DD396D" w:rsidP="000B489D">
      <w:pPr>
        <w:autoSpaceDE w:val="0"/>
        <w:autoSpaceDN w:val="0"/>
        <w:adjustRightInd w:val="0"/>
        <w:spacing w:line="276" w:lineRule="auto"/>
        <w:rPr>
          <w:rFonts w:cs="Times New Roman"/>
          <w:color w:val="0900BD"/>
          <w:lang w:val="en-US"/>
        </w:rPr>
      </w:pPr>
      <w:r w:rsidRPr="002232A8">
        <w:rPr>
          <w:rFonts w:cs="Times New Roman"/>
        </w:rPr>
        <w:t xml:space="preserve">PERRIN-HEREDIA Ana, </w:t>
      </w:r>
      <w:r w:rsidR="002763C4" w:rsidRPr="002232A8">
        <w:rPr>
          <w:rFonts w:cs="Times New Roman"/>
          <w:shd w:val="clear" w:color="auto" w:fill="FFFFFF"/>
        </w:rPr>
        <w:t>« Les logiques sociales de l'endettement : gestion des comptes domestiques en milieux populaires », </w:t>
      </w:r>
      <w:r w:rsidR="002763C4" w:rsidRPr="002232A8">
        <w:rPr>
          <w:rFonts w:cs="Times New Roman"/>
          <w:i/>
          <w:iCs/>
          <w:shd w:val="clear" w:color="auto" w:fill="FFFFFF"/>
        </w:rPr>
        <w:t>Sociétés contemporaines</w:t>
      </w:r>
      <w:r w:rsidR="002763C4" w:rsidRPr="002232A8">
        <w:rPr>
          <w:rFonts w:cs="Times New Roman"/>
          <w:shd w:val="clear" w:color="auto" w:fill="FFFFFF"/>
        </w:rPr>
        <w:t xml:space="preserve">, 2009/4 (n° 76), p. 95-119. Disponible sur : </w:t>
      </w:r>
      <w:hyperlink r:id="rId36" w:history="1">
        <w:r w:rsidR="002763C4" w:rsidRPr="000B489D">
          <w:rPr>
            <w:rStyle w:val="Lienhypertexte"/>
            <w:rFonts w:cs="Times New Roman"/>
            <w:shd w:val="clear" w:color="auto" w:fill="FFFFFF"/>
          </w:rPr>
          <w:t>https://www.cairn.info/revue-societes-contemporaines-2009-4-page-95.htm</w:t>
        </w:r>
      </w:hyperlink>
      <w:r w:rsidR="002763C4" w:rsidRPr="000B489D">
        <w:rPr>
          <w:rFonts w:cs="Times New Roman"/>
          <w:color w:val="323232"/>
          <w:shd w:val="clear" w:color="auto" w:fill="FFFFFF"/>
        </w:rPr>
        <w:t xml:space="preserve"> </w:t>
      </w:r>
      <w:r w:rsidR="002763C4">
        <w:rPr>
          <w:rFonts w:cs="Times New Roman"/>
          <w:color w:val="323232"/>
          <w:shd w:val="clear" w:color="auto" w:fill="FFFFFF"/>
        </w:rPr>
        <w:t xml:space="preserve">; </w:t>
      </w:r>
      <w:r w:rsidRPr="002232A8">
        <w:rPr>
          <w:rFonts w:cs="Times New Roman"/>
          <w:i/>
          <w:iCs/>
        </w:rPr>
        <w:t>Logiques économiques et comptes domestiques en milieux populaires. Ethnographie économique d’une « zone urbaine sensible »</w:t>
      </w:r>
      <w:r w:rsidRPr="002232A8">
        <w:rPr>
          <w:rFonts w:cs="Times New Roman"/>
        </w:rPr>
        <w:t>, Thèse de doctorat en sociologie réalisée sous la direction de Florence WEBER, Reims, Université de Reims Champagne-Ardenne, 2010</w:t>
      </w:r>
      <w:r w:rsidR="00DB7734" w:rsidRPr="002232A8">
        <w:rPr>
          <w:rFonts w:cs="Times New Roman"/>
        </w:rPr>
        <w:t xml:space="preserve"> ; </w:t>
      </w:r>
      <w:r w:rsidR="002763C4" w:rsidRPr="002763C4">
        <w:rPr>
          <w:shd w:val="clear" w:color="auto" w:fill="FFFFFF"/>
        </w:rPr>
        <w:t>« Faire les comptes : normes comptables, normes sociales », </w:t>
      </w:r>
      <w:r w:rsidR="002763C4" w:rsidRPr="002763C4">
        <w:rPr>
          <w:i/>
          <w:iCs/>
          <w:shd w:val="clear" w:color="auto" w:fill="FFFFFF"/>
        </w:rPr>
        <w:t>Genèses</w:t>
      </w:r>
      <w:r w:rsidR="002763C4" w:rsidRPr="002763C4">
        <w:rPr>
          <w:shd w:val="clear" w:color="auto" w:fill="FFFFFF"/>
        </w:rPr>
        <w:t xml:space="preserve">, 2011/3 (n° 84), p. 69-92. </w:t>
      </w:r>
      <w:r w:rsidR="002763C4" w:rsidRPr="00B66266">
        <w:rPr>
          <w:shd w:val="clear" w:color="auto" w:fill="FFFFFF"/>
          <w:lang w:val="en-US"/>
        </w:rPr>
        <w:t xml:space="preserve">Disponible </w:t>
      </w:r>
      <w:proofErr w:type="gramStart"/>
      <w:r w:rsidR="002763C4" w:rsidRPr="00B66266">
        <w:rPr>
          <w:shd w:val="clear" w:color="auto" w:fill="FFFFFF"/>
          <w:lang w:val="en-US"/>
        </w:rPr>
        <w:t>sur :</w:t>
      </w:r>
      <w:proofErr w:type="gramEnd"/>
      <w:r w:rsidR="002763C4" w:rsidRPr="00B66266">
        <w:rPr>
          <w:shd w:val="clear" w:color="auto" w:fill="FFFFFF"/>
          <w:lang w:val="en-US"/>
        </w:rPr>
        <w:t xml:space="preserve"> </w:t>
      </w:r>
      <w:hyperlink r:id="rId37" w:history="1">
        <w:r w:rsidR="002763C4" w:rsidRPr="00B66266">
          <w:rPr>
            <w:rStyle w:val="Lienhypertexte"/>
            <w:shd w:val="clear" w:color="auto" w:fill="FFFFFF"/>
            <w:lang w:val="en-US"/>
          </w:rPr>
          <w:t>https://www.cairn.info/revue-geneses-2011-3-page-69.htm</w:t>
        </w:r>
      </w:hyperlink>
      <w:r w:rsidR="002763C4" w:rsidRPr="00B66266">
        <w:rPr>
          <w:color w:val="323232"/>
          <w:shd w:val="clear" w:color="auto" w:fill="FFFFFF"/>
          <w:lang w:val="en-US"/>
        </w:rPr>
        <w:t xml:space="preserve"> </w:t>
      </w:r>
    </w:p>
    <w:p w14:paraId="6F73166D" w14:textId="0809F77A" w:rsidR="004839DB" w:rsidRPr="002232A8" w:rsidRDefault="004839DB" w:rsidP="000B489D">
      <w:pPr>
        <w:autoSpaceDE w:val="0"/>
        <w:autoSpaceDN w:val="0"/>
        <w:adjustRightInd w:val="0"/>
        <w:spacing w:line="276" w:lineRule="auto"/>
        <w:rPr>
          <w:rFonts w:cs="Times New Roman"/>
          <w:lang w:val="en-US"/>
        </w:rPr>
      </w:pPr>
      <w:r w:rsidRPr="002232A8">
        <w:rPr>
          <w:rFonts w:cs="Times New Roman"/>
          <w:lang w:val="en-US"/>
        </w:rPr>
        <w:t>PHINNEY Robin, DANZINGER Sheldon, POLLACK Harold, et SEEFELD Kristin, “Housing instability among current and former welfare recipients”, American Journal of Public Health 97(5): 832–837, 2007.</w:t>
      </w:r>
    </w:p>
    <w:p w14:paraId="0167B287" w14:textId="65FF6910" w:rsidR="008E7D0E" w:rsidRPr="002232A8" w:rsidRDefault="008E7D0E" w:rsidP="000B489D">
      <w:pPr>
        <w:spacing w:line="276" w:lineRule="auto"/>
        <w:rPr>
          <w:rFonts w:cs="Times New Roman"/>
        </w:rPr>
      </w:pPr>
      <w:r w:rsidRPr="002232A8">
        <w:rPr>
          <w:rFonts w:cs="Times New Roman"/>
        </w:rPr>
        <w:t>POLANYI Karl, </w:t>
      </w:r>
      <w:r w:rsidRPr="002232A8">
        <w:rPr>
          <w:rFonts w:cs="Times New Roman"/>
          <w:i/>
        </w:rPr>
        <w:t>La grande transformation : aux origines politiques et économiques de notre temps</w:t>
      </w:r>
      <w:r w:rsidRPr="002232A8">
        <w:rPr>
          <w:rFonts w:cs="Times New Roman"/>
        </w:rPr>
        <w:t>, Paris, Gallimard, [1983] 2009.</w:t>
      </w:r>
    </w:p>
    <w:p w14:paraId="0A2A5209" w14:textId="61A75461" w:rsidR="008B2035" w:rsidRPr="000B489D" w:rsidRDefault="008B2035" w:rsidP="000B489D">
      <w:pPr>
        <w:autoSpaceDE w:val="0"/>
        <w:autoSpaceDN w:val="0"/>
        <w:adjustRightInd w:val="0"/>
        <w:spacing w:line="276" w:lineRule="auto"/>
        <w:rPr>
          <w:rFonts w:cs="Times New Roman"/>
        </w:rPr>
      </w:pPr>
      <w:r w:rsidRPr="000B489D">
        <w:rPr>
          <w:rStyle w:val="familyname"/>
          <w:rFonts w:cs="Times New Roman"/>
          <w:color w:val="000000"/>
          <w:shd w:val="clear" w:color="auto" w:fill="FFFFFF"/>
        </w:rPr>
        <w:t>SCHWARTZ</w:t>
      </w:r>
      <w:r w:rsidRPr="000B489D">
        <w:rPr>
          <w:rStyle w:val="lev"/>
          <w:rFonts w:cs="Times New Roman"/>
          <w:b w:val="0"/>
          <w:bCs w:val="0"/>
          <w:color w:val="000000"/>
          <w:shd w:val="clear" w:color="auto" w:fill="FFFFFF"/>
        </w:rPr>
        <w:t xml:space="preserve"> Olivier, </w:t>
      </w:r>
      <w:r w:rsidRPr="000B489D">
        <w:rPr>
          <w:rStyle w:val="familyname"/>
          <w:rFonts w:cs="Times New Roman"/>
          <w:color w:val="000000"/>
          <w:shd w:val="clear" w:color="auto" w:fill="FFFFFF"/>
        </w:rPr>
        <w:t>PARADEISE</w:t>
      </w:r>
      <w:r w:rsidRPr="000B489D">
        <w:rPr>
          <w:rStyle w:val="lev"/>
          <w:rFonts w:cs="Times New Roman"/>
          <w:b w:val="0"/>
          <w:bCs w:val="0"/>
          <w:color w:val="000000"/>
          <w:shd w:val="clear" w:color="auto" w:fill="FFFFFF"/>
        </w:rPr>
        <w:t xml:space="preserve"> Catherine, </w:t>
      </w:r>
      <w:r w:rsidRPr="000B489D">
        <w:rPr>
          <w:rStyle w:val="familyname"/>
          <w:rFonts w:cs="Times New Roman"/>
          <w:color w:val="000000"/>
          <w:shd w:val="clear" w:color="auto" w:fill="FFFFFF"/>
        </w:rPr>
        <w:t>DEMAZIÈRE</w:t>
      </w:r>
      <w:r w:rsidRPr="000B489D">
        <w:rPr>
          <w:rStyle w:val="lev"/>
          <w:rFonts w:cs="Times New Roman"/>
          <w:b w:val="0"/>
          <w:bCs w:val="0"/>
          <w:color w:val="000000"/>
          <w:shd w:val="clear" w:color="auto" w:fill="FFFFFF"/>
        </w:rPr>
        <w:t xml:space="preserve"> Didier et </w:t>
      </w:r>
      <w:r w:rsidRPr="000B489D">
        <w:rPr>
          <w:rStyle w:val="familyname"/>
          <w:rFonts w:cs="Times New Roman"/>
          <w:color w:val="000000"/>
          <w:shd w:val="clear" w:color="auto" w:fill="FFFFFF"/>
        </w:rPr>
        <w:t>DUBAR</w:t>
      </w:r>
      <w:r w:rsidRPr="000B489D">
        <w:rPr>
          <w:rStyle w:val="lev"/>
          <w:rFonts w:cs="Times New Roman"/>
          <w:b w:val="0"/>
          <w:bCs w:val="0"/>
          <w:color w:val="000000"/>
          <w:shd w:val="clear" w:color="auto" w:fill="FFFFFF"/>
        </w:rPr>
        <w:t xml:space="preserve"> Claude</w:t>
      </w:r>
      <w:r w:rsidRPr="000B489D">
        <w:rPr>
          <w:rFonts w:cs="Times New Roman"/>
          <w:color w:val="000000"/>
          <w:shd w:val="clear" w:color="auto" w:fill="FFFFFF"/>
        </w:rPr>
        <w:t>, « Analyser les entretiens biographiques. L’exemple des récits d’insertion », </w:t>
      </w:r>
      <w:r w:rsidRPr="000B489D">
        <w:rPr>
          <w:rStyle w:val="Accentuation"/>
          <w:rFonts w:cs="Times New Roman"/>
          <w:color w:val="000000"/>
          <w:shd w:val="clear" w:color="auto" w:fill="FFFFFF"/>
        </w:rPr>
        <w:t>Sociologie du travail</w:t>
      </w:r>
      <w:r w:rsidRPr="000B489D">
        <w:rPr>
          <w:rFonts w:cs="Times New Roman"/>
          <w:color w:val="000000"/>
          <w:shd w:val="clear" w:color="auto" w:fill="FFFFFF"/>
        </w:rPr>
        <w:t xml:space="preserve"> [En ligne], Vol. 41 - n° 4 | Octobre-Décembre 1999 ; Disponible sur : http://journals.openedition.org/sdt/38811 ; DOI : </w:t>
      </w:r>
      <w:hyperlink r:id="rId38" w:history="1">
        <w:r w:rsidRPr="000B489D">
          <w:rPr>
            <w:rStyle w:val="Lienhypertexte"/>
            <w:rFonts w:cs="Times New Roman"/>
            <w:shd w:val="clear" w:color="auto" w:fill="FFFFFF"/>
          </w:rPr>
          <w:t>https://doi.org/10.4000/sdt.38811</w:t>
        </w:r>
      </w:hyperlink>
      <w:r w:rsidRPr="000B489D">
        <w:rPr>
          <w:rFonts w:cs="Times New Roman"/>
          <w:color w:val="000000"/>
          <w:shd w:val="clear" w:color="auto" w:fill="FFFFFF"/>
        </w:rPr>
        <w:t xml:space="preserve"> </w:t>
      </w:r>
    </w:p>
    <w:p w14:paraId="3F1E39D4" w14:textId="637D771C" w:rsidR="00CF1135" w:rsidRDefault="001369E1" w:rsidP="000B489D">
      <w:pPr>
        <w:autoSpaceDE w:val="0"/>
        <w:autoSpaceDN w:val="0"/>
        <w:adjustRightInd w:val="0"/>
        <w:spacing w:line="276" w:lineRule="auto"/>
        <w:rPr>
          <w:rFonts w:cs="Times New Roman"/>
          <w:lang w:val="en-US"/>
        </w:rPr>
      </w:pPr>
      <w:r w:rsidRPr="000B489D">
        <w:rPr>
          <w:rFonts w:cs="Times New Roman"/>
          <w:lang w:val="en-US"/>
        </w:rPr>
        <w:lastRenderedPageBreak/>
        <w:t>STENBERG</w:t>
      </w:r>
      <w:r w:rsidR="00CF1135" w:rsidRPr="000B489D">
        <w:rPr>
          <w:rFonts w:cs="Times New Roman"/>
          <w:lang w:val="en-US"/>
        </w:rPr>
        <w:t xml:space="preserve"> </w:t>
      </w:r>
      <w:proofErr w:type="spellStart"/>
      <w:r w:rsidR="00CF1135" w:rsidRPr="000B489D">
        <w:rPr>
          <w:rFonts w:cs="Times New Roman"/>
          <w:lang w:val="en-US"/>
        </w:rPr>
        <w:t>S</w:t>
      </w:r>
      <w:r w:rsidRPr="000B489D">
        <w:rPr>
          <w:rFonts w:cs="Times New Roman"/>
          <w:lang w:val="en-US"/>
        </w:rPr>
        <w:t>ten</w:t>
      </w:r>
      <w:proofErr w:type="spellEnd"/>
      <w:r w:rsidRPr="000B489D">
        <w:rPr>
          <w:rFonts w:cs="Times New Roman"/>
          <w:lang w:val="en-US"/>
        </w:rPr>
        <w:t xml:space="preserve"> Ake</w:t>
      </w:r>
      <w:r w:rsidR="00CF1135" w:rsidRPr="000B489D">
        <w:rPr>
          <w:rFonts w:cs="Times New Roman"/>
          <w:lang w:val="en-US"/>
        </w:rPr>
        <w:t xml:space="preserve">, </w:t>
      </w:r>
      <w:r w:rsidRPr="000B489D">
        <w:rPr>
          <w:rFonts w:cs="Times New Roman"/>
          <w:lang w:val="en-US"/>
        </w:rPr>
        <w:t>KAREHOLT</w:t>
      </w:r>
      <w:r w:rsidR="00CF1135" w:rsidRPr="000B489D">
        <w:rPr>
          <w:rFonts w:cs="Times New Roman"/>
          <w:lang w:val="en-US"/>
        </w:rPr>
        <w:t xml:space="preserve"> </w:t>
      </w:r>
      <w:proofErr w:type="spellStart"/>
      <w:r w:rsidR="00CF1135" w:rsidRPr="000B489D">
        <w:rPr>
          <w:rFonts w:cs="Times New Roman"/>
          <w:lang w:val="en-US"/>
        </w:rPr>
        <w:t>I</w:t>
      </w:r>
      <w:r w:rsidRPr="000B489D">
        <w:rPr>
          <w:rFonts w:cs="Times New Roman"/>
          <w:lang w:val="en-US"/>
        </w:rPr>
        <w:t>ngemar</w:t>
      </w:r>
      <w:proofErr w:type="spellEnd"/>
      <w:r w:rsidR="00CF1135" w:rsidRPr="000B489D">
        <w:rPr>
          <w:rFonts w:cs="Times New Roman"/>
          <w:lang w:val="en-US"/>
        </w:rPr>
        <w:t xml:space="preserve"> and </w:t>
      </w:r>
      <w:r w:rsidRPr="000B489D">
        <w:rPr>
          <w:rFonts w:cs="Times New Roman"/>
          <w:lang w:val="en-US"/>
        </w:rPr>
        <w:t>CARROLL</w:t>
      </w:r>
      <w:r w:rsidR="00CF1135" w:rsidRPr="000B489D">
        <w:rPr>
          <w:rFonts w:cs="Times New Roman"/>
          <w:lang w:val="en-US"/>
        </w:rPr>
        <w:t xml:space="preserve"> </w:t>
      </w:r>
      <w:proofErr w:type="spellStart"/>
      <w:r w:rsidR="00CF1135" w:rsidRPr="000B489D">
        <w:rPr>
          <w:rFonts w:cs="Times New Roman"/>
          <w:lang w:val="en-US"/>
        </w:rPr>
        <w:t>E</w:t>
      </w:r>
      <w:r w:rsidRPr="000B489D">
        <w:rPr>
          <w:rFonts w:cs="Times New Roman"/>
          <w:lang w:val="en-US"/>
        </w:rPr>
        <w:t>ero</w:t>
      </w:r>
      <w:proofErr w:type="spellEnd"/>
      <w:r w:rsidRPr="000B489D">
        <w:rPr>
          <w:rFonts w:cs="Times New Roman"/>
          <w:lang w:val="en-US"/>
        </w:rPr>
        <w:t xml:space="preserve">, </w:t>
      </w:r>
      <w:proofErr w:type="gramStart"/>
      <w:r w:rsidR="00CF1135" w:rsidRPr="000B489D">
        <w:rPr>
          <w:rFonts w:cs="Times New Roman"/>
          <w:i/>
          <w:lang w:val="en-US"/>
        </w:rPr>
        <w:t>The</w:t>
      </w:r>
      <w:proofErr w:type="gramEnd"/>
      <w:r w:rsidR="00CF1135" w:rsidRPr="000B489D">
        <w:rPr>
          <w:rFonts w:cs="Times New Roman"/>
          <w:i/>
          <w:lang w:val="en-US"/>
        </w:rPr>
        <w:t xml:space="preserve"> precariously housed and the risk of homelessness: a longitudinal study of evictions in Sweden in the 1980s</w:t>
      </w:r>
      <w:r w:rsidRPr="000B489D">
        <w:rPr>
          <w:rFonts w:cs="Times New Roman"/>
          <w:lang w:val="en-US"/>
        </w:rPr>
        <w:t xml:space="preserve">, </w:t>
      </w:r>
      <w:r w:rsidR="00CF1135" w:rsidRPr="000B489D">
        <w:rPr>
          <w:rFonts w:cs="Times New Roman"/>
          <w:lang w:val="en-US"/>
        </w:rPr>
        <w:t xml:space="preserve">Acta </w:t>
      </w:r>
      <w:proofErr w:type="spellStart"/>
      <w:r w:rsidR="00CF1135" w:rsidRPr="000B489D">
        <w:rPr>
          <w:rFonts w:cs="Times New Roman"/>
          <w:lang w:val="en-US"/>
        </w:rPr>
        <w:t>Sociologica</w:t>
      </w:r>
      <w:proofErr w:type="spellEnd"/>
      <w:r w:rsidR="00CF1135" w:rsidRPr="000B489D">
        <w:rPr>
          <w:rFonts w:cs="Times New Roman"/>
          <w:lang w:val="en-US"/>
        </w:rPr>
        <w:t xml:space="preserve"> 38(2): 151–165</w:t>
      </w:r>
      <w:r w:rsidRPr="000B489D">
        <w:rPr>
          <w:rFonts w:cs="Times New Roman"/>
          <w:lang w:val="en-US"/>
        </w:rPr>
        <w:t>, 1995.</w:t>
      </w:r>
    </w:p>
    <w:p w14:paraId="0260AD5D" w14:textId="77777777" w:rsidR="002232A8" w:rsidRPr="000B489D" w:rsidRDefault="002232A8" w:rsidP="002232A8">
      <w:pPr>
        <w:spacing w:line="276" w:lineRule="auto"/>
        <w:rPr>
          <w:rFonts w:cs="Times New Roman"/>
        </w:rPr>
      </w:pPr>
      <w:r>
        <w:rPr>
          <w:rFonts w:cs="Times New Roman"/>
        </w:rPr>
        <w:t>STRAUSS Anselm</w:t>
      </w:r>
      <w:r w:rsidRPr="000B489D">
        <w:rPr>
          <w:rFonts w:cs="Times New Roman"/>
        </w:rPr>
        <w:t>, </w:t>
      </w:r>
      <w:r w:rsidRPr="000B489D">
        <w:rPr>
          <w:rFonts w:cs="Times New Roman"/>
          <w:i/>
        </w:rPr>
        <w:t>La trame de la négociation. Sociologie qualitative et interactionnisme</w:t>
      </w:r>
      <w:r w:rsidRPr="000B489D">
        <w:rPr>
          <w:rFonts w:cs="Times New Roman"/>
        </w:rPr>
        <w:t xml:space="preserve">, </w:t>
      </w:r>
      <w:proofErr w:type="spellStart"/>
      <w:r w:rsidRPr="000B489D">
        <w:rPr>
          <w:rFonts w:cs="Times New Roman"/>
        </w:rPr>
        <w:t>L’Harmattan</w:t>
      </w:r>
      <w:proofErr w:type="spellEnd"/>
      <w:r w:rsidRPr="000B489D">
        <w:rPr>
          <w:rFonts w:cs="Times New Roman"/>
        </w:rPr>
        <w:t>, Paris, 1992</w:t>
      </w:r>
      <w:r>
        <w:rPr>
          <w:rFonts w:cs="Times New Roman"/>
        </w:rPr>
        <w:t>.</w:t>
      </w:r>
    </w:p>
    <w:p w14:paraId="416218FC" w14:textId="21DAFAE3" w:rsidR="006664F5" w:rsidRPr="000B489D" w:rsidRDefault="006664F5" w:rsidP="000B489D">
      <w:pPr>
        <w:spacing w:line="276" w:lineRule="auto"/>
        <w:rPr>
          <w:rFonts w:cs="Times New Roman"/>
          <w:lang w:eastAsia="fr-BE"/>
        </w:rPr>
      </w:pPr>
      <w:r w:rsidRPr="000B489D">
        <w:rPr>
          <w:rFonts w:cs="Times New Roman"/>
          <w:lang w:eastAsia="fr-BE"/>
        </w:rPr>
        <w:t xml:space="preserve">TOPALOV Christian, </w:t>
      </w:r>
      <w:r w:rsidRPr="000B489D">
        <w:rPr>
          <w:rFonts w:cs="Times New Roman"/>
          <w:i/>
          <w:lang w:eastAsia="fr-BE"/>
        </w:rPr>
        <w:t>Le logement en France. Histoire d’une marchandise impossible</w:t>
      </w:r>
      <w:r w:rsidRPr="000B489D">
        <w:rPr>
          <w:rFonts w:cs="Times New Roman"/>
          <w:lang w:eastAsia="fr-BE"/>
        </w:rPr>
        <w:t>, Paris, Presses de la Fondation Nationale des Sciences Politiques, 1987.</w:t>
      </w:r>
    </w:p>
    <w:p w14:paraId="3647096C" w14:textId="60535D10" w:rsidR="008231FD" w:rsidRPr="000B489D" w:rsidRDefault="006F1A78" w:rsidP="000B489D">
      <w:pPr>
        <w:autoSpaceDE w:val="0"/>
        <w:autoSpaceDN w:val="0"/>
        <w:adjustRightInd w:val="0"/>
        <w:spacing w:line="276" w:lineRule="auto"/>
        <w:rPr>
          <w:rFonts w:cs="Times New Roman"/>
        </w:rPr>
      </w:pPr>
      <w:r w:rsidRPr="000B489D">
        <w:rPr>
          <w:rFonts w:cs="Times New Roman"/>
        </w:rPr>
        <w:t xml:space="preserve">QUEIROZ de Jean-Manuel, ZIOLKOWSKI Marek, </w:t>
      </w:r>
      <w:r w:rsidRPr="000B489D">
        <w:rPr>
          <w:rFonts w:cs="Times New Roman"/>
          <w:i/>
          <w:iCs/>
        </w:rPr>
        <w:t>L’interactionnisme symbolique</w:t>
      </w:r>
      <w:r w:rsidRPr="000B489D">
        <w:rPr>
          <w:rFonts w:cs="Times New Roman"/>
        </w:rPr>
        <w:t>, Presses universitaires de Rennes, Rennes, 1994</w:t>
      </w:r>
      <w:r w:rsidR="00783998" w:rsidRPr="000B489D">
        <w:rPr>
          <w:rFonts w:cs="Times New Roman"/>
        </w:rPr>
        <w:t>.</w:t>
      </w:r>
    </w:p>
    <w:p w14:paraId="1AB45183" w14:textId="08D68421" w:rsidR="009C74C1" w:rsidRPr="000B489D" w:rsidRDefault="009C74C1" w:rsidP="000B489D">
      <w:pPr>
        <w:spacing w:line="276" w:lineRule="auto"/>
        <w:rPr>
          <w:rFonts w:cs="Times New Roman"/>
          <w:color w:val="323232"/>
          <w:shd w:val="clear" w:color="auto" w:fill="FFFFFF"/>
        </w:rPr>
      </w:pPr>
      <w:r w:rsidRPr="002232A8">
        <w:rPr>
          <w:rFonts w:cs="Times New Roman"/>
          <w:shd w:val="clear" w:color="auto" w:fill="FFFFFF"/>
        </w:rPr>
        <w:t>SCHIJMAN Emilia, « Usages, pactes et « passes du droit ». L'accès au logement social à Buenos Aires », </w:t>
      </w:r>
      <w:r w:rsidRPr="002232A8">
        <w:rPr>
          <w:rFonts w:cs="Times New Roman"/>
          <w:i/>
          <w:iCs/>
          <w:shd w:val="clear" w:color="auto" w:fill="FFFFFF"/>
        </w:rPr>
        <w:t>Déviance et Société</w:t>
      </w:r>
      <w:r w:rsidRPr="002232A8">
        <w:rPr>
          <w:rFonts w:cs="Times New Roman"/>
          <w:shd w:val="clear" w:color="auto" w:fill="FFFFFF"/>
        </w:rPr>
        <w:t xml:space="preserve">, 2013/1 (Vol. 37), p. 51-65. Disponible sur : </w:t>
      </w:r>
      <w:hyperlink r:id="rId39" w:history="1">
        <w:r w:rsidRPr="000B489D">
          <w:rPr>
            <w:rStyle w:val="Lienhypertexte"/>
            <w:rFonts w:cs="Times New Roman"/>
            <w:shd w:val="clear" w:color="auto" w:fill="FFFFFF"/>
          </w:rPr>
          <w:t>https://www.cairn.info/revue-deviance-et-societe-2013-1-page-51.htm</w:t>
        </w:r>
      </w:hyperlink>
      <w:r w:rsidRPr="000B489D">
        <w:rPr>
          <w:rFonts w:cs="Times New Roman"/>
          <w:color w:val="323232"/>
          <w:shd w:val="clear" w:color="auto" w:fill="FFFFFF"/>
        </w:rPr>
        <w:t xml:space="preserve"> ; </w:t>
      </w:r>
      <w:r w:rsidRPr="002232A8">
        <w:rPr>
          <w:rFonts w:cs="Times New Roman"/>
          <w:shd w:val="clear" w:color="auto" w:fill="FFFFFF"/>
        </w:rPr>
        <w:t>« De l’intérieur des économies pratiques. Produire de la valeur en situation de pauvreté à Buenos Aires », </w:t>
      </w:r>
      <w:r w:rsidRPr="002232A8">
        <w:rPr>
          <w:rFonts w:cs="Times New Roman"/>
          <w:i/>
          <w:iCs/>
          <w:shd w:val="clear" w:color="auto" w:fill="FFFFFF"/>
        </w:rPr>
        <w:t>Les Études Sociales</w:t>
      </w:r>
      <w:r w:rsidRPr="002232A8">
        <w:rPr>
          <w:rFonts w:cs="Times New Roman"/>
          <w:shd w:val="clear" w:color="auto" w:fill="FFFFFF"/>
        </w:rPr>
        <w:t>, 2016/2 (n° 164), p. 231-253. Disponible sur :</w:t>
      </w:r>
      <w:r w:rsidRPr="000B489D">
        <w:rPr>
          <w:rFonts w:cs="Times New Roman"/>
          <w:color w:val="323232"/>
          <w:shd w:val="clear" w:color="auto" w:fill="FFFFFF"/>
        </w:rPr>
        <w:t xml:space="preserve"> </w:t>
      </w:r>
      <w:hyperlink r:id="rId40" w:history="1">
        <w:r w:rsidRPr="000B489D">
          <w:rPr>
            <w:rStyle w:val="Lienhypertexte"/>
            <w:rFonts w:cs="Times New Roman"/>
            <w:shd w:val="clear" w:color="auto" w:fill="FFFFFF"/>
          </w:rPr>
          <w:t>https://www.cairn.info/revue-les-etudes-sociales-2016-2-page-231.htm</w:t>
        </w:r>
      </w:hyperlink>
      <w:r w:rsidRPr="000B489D">
        <w:rPr>
          <w:rFonts w:cs="Times New Roman"/>
          <w:color w:val="323232"/>
          <w:shd w:val="clear" w:color="auto" w:fill="FFFFFF"/>
        </w:rPr>
        <w:t xml:space="preserve"> ; </w:t>
      </w:r>
      <w:r w:rsidRPr="002232A8">
        <w:rPr>
          <w:rFonts w:cs="Times New Roman"/>
          <w:shd w:val="clear" w:color="auto" w:fill="FFFFFF"/>
        </w:rPr>
        <w:t>« L’héritage des pauvres. Économie et relations affectives en Argentine », </w:t>
      </w:r>
      <w:r w:rsidRPr="002232A8">
        <w:rPr>
          <w:rFonts w:cs="Times New Roman"/>
          <w:i/>
          <w:iCs/>
          <w:shd w:val="clear" w:color="auto" w:fill="FFFFFF"/>
        </w:rPr>
        <w:t>Ethnologie française</w:t>
      </w:r>
      <w:r w:rsidRPr="002232A8">
        <w:rPr>
          <w:rFonts w:cs="Times New Roman"/>
          <w:shd w:val="clear" w:color="auto" w:fill="FFFFFF"/>
        </w:rPr>
        <w:t>, 2017/1 (Vol. 47), p. 141-150. Disponible sur :</w:t>
      </w:r>
      <w:r w:rsidRPr="000B489D">
        <w:rPr>
          <w:rFonts w:cs="Times New Roman"/>
          <w:color w:val="323232"/>
          <w:shd w:val="clear" w:color="auto" w:fill="FFFFFF"/>
        </w:rPr>
        <w:t xml:space="preserve"> </w:t>
      </w:r>
      <w:hyperlink r:id="rId41" w:history="1">
        <w:r w:rsidRPr="000B489D">
          <w:rPr>
            <w:rStyle w:val="Lienhypertexte"/>
            <w:rFonts w:cs="Times New Roman"/>
            <w:shd w:val="clear" w:color="auto" w:fill="FFFFFF"/>
          </w:rPr>
          <w:t>https://www.cairn.info/revue-ethnologie-francaise-2017-1-page-141.htm</w:t>
        </w:r>
      </w:hyperlink>
      <w:r w:rsidRPr="000B489D">
        <w:rPr>
          <w:rFonts w:cs="Times New Roman"/>
          <w:color w:val="323232"/>
          <w:shd w:val="clear" w:color="auto" w:fill="FFFFFF"/>
        </w:rPr>
        <w:t xml:space="preserve"> ; </w:t>
      </w:r>
    </w:p>
    <w:p w14:paraId="46C456B2" w14:textId="0C7ACB2F" w:rsidR="00A951B0" w:rsidRPr="002232A8" w:rsidRDefault="00A951B0" w:rsidP="000B489D">
      <w:pPr>
        <w:spacing w:line="276" w:lineRule="auto"/>
        <w:rPr>
          <w:rFonts w:cs="Times New Roman"/>
        </w:rPr>
      </w:pPr>
      <w:r w:rsidRPr="002232A8">
        <w:rPr>
          <w:rFonts w:cs="Times New Roman"/>
          <w:shd w:val="clear" w:color="auto" w:fill="FFFFFF"/>
        </w:rPr>
        <w:t>WEBER Florence, « Transactions marchandes, échanges rituels, relations personnelles. Une ethnographie économique après le Grand Partage », </w:t>
      </w:r>
      <w:r w:rsidRPr="002232A8">
        <w:rPr>
          <w:rFonts w:cs="Times New Roman"/>
          <w:i/>
          <w:iCs/>
          <w:shd w:val="clear" w:color="auto" w:fill="FFFFFF"/>
        </w:rPr>
        <w:t>Genèses</w:t>
      </w:r>
      <w:r w:rsidRPr="002232A8">
        <w:rPr>
          <w:rFonts w:cs="Times New Roman"/>
          <w:shd w:val="clear" w:color="auto" w:fill="FFFFFF"/>
        </w:rPr>
        <w:t>, 2000/4 (n</w:t>
      </w:r>
      <w:r w:rsidRPr="002232A8">
        <w:rPr>
          <w:rFonts w:cs="Times New Roman"/>
          <w:shd w:val="clear" w:color="auto" w:fill="FFFFFF"/>
          <w:vertAlign w:val="superscript"/>
        </w:rPr>
        <w:t>o</w:t>
      </w:r>
      <w:r w:rsidRPr="002232A8">
        <w:rPr>
          <w:rFonts w:cs="Times New Roman"/>
          <w:shd w:val="clear" w:color="auto" w:fill="FFFFFF"/>
        </w:rPr>
        <w:t xml:space="preserve"> 41), p. 85-107. Disponible sur : </w:t>
      </w:r>
      <w:hyperlink r:id="rId42" w:history="1">
        <w:r w:rsidR="00BD61A8" w:rsidRPr="00857FC7">
          <w:rPr>
            <w:rStyle w:val="Lienhypertexte"/>
            <w:rFonts w:cs="Times New Roman"/>
            <w:shd w:val="clear" w:color="auto" w:fill="FFFFFF"/>
          </w:rPr>
          <w:t>https://www.cairn.info/revue-geneses-2000-4-page-85.htm</w:t>
        </w:r>
      </w:hyperlink>
      <w:r w:rsidR="00BD61A8">
        <w:rPr>
          <w:rFonts w:cs="Times New Roman"/>
          <w:shd w:val="clear" w:color="auto" w:fill="FFFFFF"/>
        </w:rPr>
        <w:t xml:space="preserve"> ;</w:t>
      </w:r>
      <w:r w:rsidR="00BD61A8" w:rsidRPr="00F26C8D">
        <w:rPr>
          <w:rFonts w:cs="Times New Roman"/>
          <w:shd w:val="clear" w:color="auto" w:fill="FFFFFF"/>
        </w:rPr>
        <w:t xml:space="preserve"> </w:t>
      </w:r>
      <w:r w:rsidR="00F26C8D" w:rsidRPr="00F26C8D">
        <w:rPr>
          <w:shd w:val="clear" w:color="auto" w:fill="FFFFFF"/>
        </w:rPr>
        <w:t>« Viviana Zelizer, « l'argent social ». Entretien avec Florence Weber », </w:t>
      </w:r>
      <w:r w:rsidR="00F26C8D" w:rsidRPr="00F26C8D">
        <w:rPr>
          <w:i/>
          <w:iCs/>
          <w:shd w:val="clear" w:color="auto" w:fill="FFFFFF"/>
        </w:rPr>
        <w:t>Genèses</w:t>
      </w:r>
      <w:r w:rsidR="00F26C8D" w:rsidRPr="00F26C8D">
        <w:rPr>
          <w:shd w:val="clear" w:color="auto" w:fill="FFFFFF"/>
        </w:rPr>
        <w:t>, 2006/4 (n</w:t>
      </w:r>
      <w:r w:rsidR="00F26C8D" w:rsidRPr="00F26C8D">
        <w:rPr>
          <w:sz w:val="18"/>
          <w:szCs w:val="18"/>
          <w:shd w:val="clear" w:color="auto" w:fill="FFFFFF"/>
          <w:vertAlign w:val="superscript"/>
        </w:rPr>
        <w:t>o</w:t>
      </w:r>
      <w:r w:rsidR="00F26C8D" w:rsidRPr="00F26C8D">
        <w:rPr>
          <w:shd w:val="clear" w:color="auto" w:fill="FFFFFF"/>
        </w:rPr>
        <w:t xml:space="preserve"> 65), p. 126-137. Disponible sur : </w:t>
      </w:r>
      <w:hyperlink r:id="rId43" w:history="1">
        <w:r w:rsidR="00F26C8D" w:rsidRPr="00857FC7">
          <w:rPr>
            <w:rStyle w:val="Lienhypertexte"/>
            <w:shd w:val="clear" w:color="auto" w:fill="FFFFFF"/>
          </w:rPr>
          <w:t>https://www.cairn.info/revue-geneses-2006-4-page-126.htm</w:t>
        </w:r>
      </w:hyperlink>
      <w:r w:rsidR="00F26C8D">
        <w:rPr>
          <w:color w:val="323232"/>
          <w:shd w:val="clear" w:color="auto" w:fill="FFFFFF"/>
        </w:rPr>
        <w:t xml:space="preserve"> </w:t>
      </w:r>
      <w:r w:rsidR="00F26C8D">
        <w:rPr>
          <w:shd w:val="clear" w:color="auto" w:fill="FFFFFF"/>
        </w:rPr>
        <w:t xml:space="preserve">; </w:t>
      </w:r>
      <w:r w:rsidR="00BD61A8" w:rsidRPr="00F26C8D">
        <w:rPr>
          <w:shd w:val="clear" w:color="auto" w:fill="FFFFFF"/>
        </w:rPr>
        <w:t xml:space="preserve">« 11. Le calcul économique ordinaire », </w:t>
      </w:r>
      <w:r w:rsidR="00BD61A8" w:rsidRPr="00F26C8D">
        <w:rPr>
          <w:i/>
          <w:shd w:val="clear" w:color="auto" w:fill="FFFFFF"/>
        </w:rPr>
        <w:t>in</w:t>
      </w:r>
      <w:r w:rsidR="00BD61A8" w:rsidRPr="00F26C8D">
        <w:rPr>
          <w:shd w:val="clear" w:color="auto" w:fill="FFFFFF"/>
        </w:rPr>
        <w:t xml:space="preserve"> Philippe Steiner éd., </w:t>
      </w:r>
      <w:r w:rsidR="00BD61A8" w:rsidRPr="00F26C8D">
        <w:rPr>
          <w:i/>
          <w:iCs/>
          <w:shd w:val="clear" w:color="auto" w:fill="FFFFFF"/>
        </w:rPr>
        <w:t>Traité de sociologie économique. </w:t>
      </w:r>
      <w:r w:rsidR="00BD61A8" w:rsidRPr="00F26C8D">
        <w:rPr>
          <w:shd w:val="clear" w:color="auto" w:fill="FFFFFF"/>
        </w:rPr>
        <w:t xml:space="preserve">Paris cedex 14, Presses Universitaires de France, « Quadrige », 2013, p. 399-438. </w:t>
      </w:r>
      <w:r w:rsidR="002763C4" w:rsidRPr="00F26C8D">
        <w:rPr>
          <w:shd w:val="clear" w:color="auto" w:fill="FFFFFF"/>
        </w:rPr>
        <w:t xml:space="preserve">Disponible sur </w:t>
      </w:r>
      <w:r w:rsidR="00BD61A8" w:rsidRPr="00F26C8D">
        <w:rPr>
          <w:shd w:val="clear" w:color="auto" w:fill="FFFFFF"/>
        </w:rPr>
        <w:t xml:space="preserve">: </w:t>
      </w:r>
      <w:hyperlink r:id="rId44" w:history="1">
        <w:r w:rsidR="002763C4" w:rsidRPr="00857FC7">
          <w:rPr>
            <w:rStyle w:val="Lienhypertexte"/>
            <w:shd w:val="clear" w:color="auto" w:fill="FFFFFF"/>
          </w:rPr>
          <w:t>https://www.cairn.info/--9782130608318-page-399.htm</w:t>
        </w:r>
      </w:hyperlink>
      <w:r w:rsidR="002763C4">
        <w:rPr>
          <w:color w:val="323232"/>
          <w:shd w:val="clear" w:color="auto" w:fill="FFFFFF"/>
        </w:rPr>
        <w:t xml:space="preserve"> </w:t>
      </w:r>
    </w:p>
    <w:p w14:paraId="57E28292" w14:textId="53BC76F1" w:rsidR="00783998" w:rsidRPr="002232A8" w:rsidRDefault="00783998" w:rsidP="000B489D">
      <w:pPr>
        <w:spacing w:line="276" w:lineRule="auto"/>
        <w:rPr>
          <w:rFonts w:cs="Times New Roman"/>
        </w:rPr>
      </w:pPr>
      <w:r w:rsidRPr="002232A8">
        <w:rPr>
          <w:rFonts w:cs="Times New Roman"/>
        </w:rPr>
        <w:t>ZELIZE</w:t>
      </w:r>
      <w:r w:rsidR="0056298D" w:rsidRPr="002232A8">
        <w:rPr>
          <w:rFonts w:cs="Times New Roman"/>
        </w:rPr>
        <w:t>R</w:t>
      </w:r>
      <w:r w:rsidRPr="002232A8">
        <w:rPr>
          <w:rFonts w:cs="Times New Roman"/>
        </w:rPr>
        <w:t xml:space="preserve"> </w:t>
      </w:r>
      <w:hyperlink r:id="rId45" w:history="1">
        <w:r w:rsidRPr="002232A8">
          <w:rPr>
            <w:rFonts w:cs="Times New Roman"/>
          </w:rPr>
          <w:t>Viviana</w:t>
        </w:r>
      </w:hyperlink>
      <w:r w:rsidRPr="002232A8">
        <w:rPr>
          <w:rFonts w:cs="Times New Roman"/>
        </w:rPr>
        <w:t>, </w:t>
      </w:r>
      <w:r w:rsidRPr="002232A8">
        <w:rPr>
          <w:rFonts w:cs="Times New Roman"/>
          <w:i/>
        </w:rPr>
        <w:t>La signification sociale de l'argent</w:t>
      </w:r>
      <w:r w:rsidRPr="002232A8">
        <w:rPr>
          <w:rFonts w:cs="Times New Roman"/>
        </w:rPr>
        <w:t xml:space="preserve">, Seuil, </w:t>
      </w:r>
      <w:proofErr w:type="spellStart"/>
      <w:proofErr w:type="gramStart"/>
      <w:r w:rsidRPr="002232A8">
        <w:rPr>
          <w:rFonts w:cs="Times New Roman"/>
        </w:rPr>
        <w:t>series</w:t>
      </w:r>
      <w:proofErr w:type="spellEnd"/>
      <w:r w:rsidRPr="002232A8">
        <w:rPr>
          <w:rFonts w:cs="Times New Roman"/>
        </w:rPr>
        <w:t>:</w:t>
      </w:r>
      <w:proofErr w:type="gramEnd"/>
      <w:r w:rsidRPr="002232A8">
        <w:rPr>
          <w:rFonts w:cs="Times New Roman"/>
        </w:rPr>
        <w:t xml:space="preserve"> « Liber », Paris, 2005.</w:t>
      </w:r>
    </w:p>
    <w:p w14:paraId="7698F46E" w14:textId="77777777" w:rsidR="00053AAD" w:rsidRDefault="00053AAD">
      <w:pPr>
        <w:spacing w:line="259" w:lineRule="auto"/>
        <w:jc w:val="left"/>
      </w:pPr>
    </w:p>
    <w:p w14:paraId="59D2AAFA" w14:textId="34948B94" w:rsidR="00053AAD" w:rsidRDefault="00053AAD" w:rsidP="00053AAD">
      <w:pPr>
        <w:pStyle w:val="Titre2"/>
      </w:pPr>
      <w:bookmarkStart w:id="44" w:name="_Toc152687227"/>
      <w:r>
        <w:t>Rapports et expertises publiques</w:t>
      </w:r>
      <w:bookmarkEnd w:id="44"/>
    </w:p>
    <w:p w14:paraId="6669BE4D" w14:textId="77777777" w:rsidR="00053AAD" w:rsidRPr="000B489D" w:rsidRDefault="00053AAD" w:rsidP="00053AAD">
      <w:pPr>
        <w:pStyle w:val="Default"/>
        <w:spacing w:after="160" w:line="276" w:lineRule="auto"/>
        <w:jc w:val="both"/>
        <w:rPr>
          <w:rFonts w:ascii="Times New Roman" w:hAnsi="Times New Roman" w:cs="Times New Roman"/>
          <w:sz w:val="22"/>
          <w:szCs w:val="22"/>
        </w:rPr>
      </w:pPr>
      <w:r w:rsidRPr="000B489D">
        <w:rPr>
          <w:rFonts w:ascii="Times New Roman" w:hAnsi="Times New Roman" w:cs="Times New Roman"/>
          <w:sz w:val="22"/>
          <w:szCs w:val="22"/>
        </w:rPr>
        <w:t xml:space="preserve">CPAS de Forest, </w:t>
      </w:r>
      <w:r w:rsidRPr="000B489D">
        <w:rPr>
          <w:rFonts w:ascii="Times New Roman" w:hAnsi="Times New Roman" w:cs="Times New Roman"/>
          <w:i/>
          <w:sz w:val="22"/>
          <w:szCs w:val="22"/>
        </w:rPr>
        <w:t>Diagnostic Contrats Locaux Social Santé (CLSS),</w:t>
      </w:r>
      <w:r w:rsidRPr="000B489D">
        <w:rPr>
          <w:rFonts w:ascii="Times New Roman" w:hAnsi="Times New Roman" w:cs="Times New Roman"/>
          <w:sz w:val="22"/>
          <w:szCs w:val="22"/>
        </w:rPr>
        <w:t xml:space="preserve"> 2021.</w:t>
      </w:r>
    </w:p>
    <w:p w14:paraId="01B68F94" w14:textId="77777777" w:rsidR="00053AAD" w:rsidRDefault="00053AAD" w:rsidP="00053AAD">
      <w:pPr>
        <w:spacing w:line="276" w:lineRule="auto"/>
        <w:rPr>
          <w:rFonts w:cs="Times New Roman"/>
        </w:rPr>
      </w:pPr>
      <w:r w:rsidRPr="000B489D">
        <w:rPr>
          <w:rFonts w:cs="Times New Roman"/>
        </w:rPr>
        <w:t xml:space="preserve">DAL TOURNAI, </w:t>
      </w:r>
      <w:r w:rsidRPr="000B489D">
        <w:rPr>
          <w:rFonts w:cs="Times New Roman"/>
          <w:shd w:val="clear" w:color="auto" w:fill="FFFFFF"/>
        </w:rPr>
        <w:t>CIEP-MOC WAPI, L'ETAPE, PERIFERIA, RWDH, </w:t>
      </w:r>
      <w:r w:rsidRPr="000B489D">
        <w:rPr>
          <w:rFonts w:cs="Times New Roman"/>
          <w:i/>
        </w:rPr>
        <w:t xml:space="preserve">Mal </w:t>
      </w:r>
      <w:proofErr w:type="spellStart"/>
      <w:r w:rsidRPr="000B489D">
        <w:rPr>
          <w:rFonts w:cs="Times New Roman"/>
          <w:i/>
        </w:rPr>
        <w:t>lotie·s</w:t>
      </w:r>
      <w:proofErr w:type="spellEnd"/>
      <w:r w:rsidRPr="000B489D">
        <w:rPr>
          <w:rFonts w:cs="Times New Roman"/>
          <w:i/>
        </w:rPr>
        <w:t xml:space="preserve"> : enquête sur une expulsion, en quête de solutions</w:t>
      </w:r>
      <w:r w:rsidRPr="000B489D">
        <w:rPr>
          <w:rFonts w:cs="Times New Roman"/>
        </w:rPr>
        <w:t>, Tournai, 2022.</w:t>
      </w:r>
    </w:p>
    <w:p w14:paraId="76FCAA14" w14:textId="23198D59" w:rsidR="00053AAD" w:rsidRDefault="00053AAD" w:rsidP="00053AAD">
      <w:pPr>
        <w:spacing w:line="276" w:lineRule="auto"/>
        <w:rPr>
          <w:rFonts w:cs="Times New Roman"/>
          <w:lang w:val="fr-FR"/>
        </w:rPr>
      </w:pPr>
      <w:r>
        <w:rPr>
          <w:rFonts w:cs="Times New Roman"/>
          <w:lang w:val="fr-FR"/>
        </w:rPr>
        <w:t>D</w:t>
      </w:r>
      <w:r w:rsidRPr="000B489D">
        <w:rPr>
          <w:rFonts w:cs="Times New Roman"/>
          <w:lang w:val="fr-FR"/>
        </w:rPr>
        <w:t xml:space="preserve">éclaration de politique générale commune au gouvernement de la </w:t>
      </w:r>
      <w:r>
        <w:rPr>
          <w:rFonts w:cs="Times New Roman"/>
          <w:lang w:val="fr-FR"/>
        </w:rPr>
        <w:t>Ré</w:t>
      </w:r>
      <w:r w:rsidRPr="000B489D">
        <w:rPr>
          <w:rFonts w:cs="Times New Roman"/>
          <w:lang w:val="fr-FR"/>
        </w:rPr>
        <w:t>gion de Bruxelles-capitale et au collège réuni de la commission communautaire commune législature 2019-2024</w:t>
      </w:r>
      <w:r>
        <w:rPr>
          <w:rFonts w:cs="Times New Roman"/>
          <w:lang w:val="fr-FR"/>
        </w:rPr>
        <w:t xml:space="preserve">. Disponible sur : </w:t>
      </w:r>
      <w:hyperlink r:id="rId46" w:history="1">
        <w:r w:rsidRPr="00857FC7">
          <w:rPr>
            <w:rStyle w:val="Lienhypertexte"/>
            <w:rFonts w:cs="Times New Roman"/>
            <w:lang w:val="fr-FR"/>
          </w:rPr>
          <w:t>https://urbanisme.irisnet.be/accord-du-gouvernement</w:t>
        </w:r>
      </w:hyperlink>
      <w:r>
        <w:rPr>
          <w:rFonts w:cs="Times New Roman"/>
          <w:lang w:val="fr-FR"/>
        </w:rPr>
        <w:t xml:space="preserve"> </w:t>
      </w:r>
    </w:p>
    <w:p w14:paraId="74FF58BE" w14:textId="120BFF8E" w:rsidR="00E7711C" w:rsidRPr="000B489D" w:rsidRDefault="00E7711C" w:rsidP="00E7711C">
      <w:pPr>
        <w:spacing w:line="276" w:lineRule="auto"/>
        <w:rPr>
          <w:rFonts w:cs="Times New Roman"/>
        </w:rPr>
      </w:pPr>
      <w:r w:rsidRPr="000B489D">
        <w:rPr>
          <w:rFonts w:cs="Times New Roman"/>
        </w:rPr>
        <w:t xml:space="preserve">FRISQUE Cégolène, </w:t>
      </w:r>
      <w:r w:rsidRPr="000B489D">
        <w:rPr>
          <w:rFonts w:cs="Times New Roman"/>
          <w:i/>
          <w:bdr w:val="none" w:sz="0" w:space="0" w:color="auto" w:frame="1"/>
        </w:rPr>
        <w:t>Le rôle des cadres administratifs intermédiaires dans les politiques sociales du logement</w:t>
      </w:r>
      <w:r w:rsidRPr="000B489D">
        <w:rPr>
          <w:rFonts w:cs="Times New Roman"/>
        </w:rPr>
        <w:t xml:space="preserve">, La Rochelle, MSHS, rapport pour la MIRE, </w:t>
      </w:r>
      <w:r w:rsidRPr="00E7711C">
        <w:rPr>
          <w:rFonts w:cs="Times New Roman"/>
        </w:rPr>
        <w:t>ministère des affaires sociales, France,</w:t>
      </w:r>
      <w:r w:rsidRPr="000B489D">
        <w:rPr>
          <w:rFonts w:cs="Times New Roman"/>
        </w:rPr>
        <w:t xml:space="preserve"> novembre 2003 ; </w:t>
      </w:r>
      <w:r w:rsidRPr="000B489D">
        <w:rPr>
          <w:rFonts w:cs="Times New Roman"/>
          <w:i/>
          <w:bdr w:val="none" w:sz="0" w:space="0" w:color="auto" w:frame="1"/>
        </w:rPr>
        <w:t>La prévention des expulsions locatives : les paradoxes de la banalisation d'un nouveau risque social</w:t>
      </w:r>
      <w:r w:rsidRPr="000B489D">
        <w:rPr>
          <w:rFonts w:cs="Times New Roman"/>
        </w:rPr>
        <w:t>, Nanterre, ISP, rapport pour la MIRE,</w:t>
      </w:r>
      <w:r>
        <w:rPr>
          <w:rFonts w:cs="Times New Roman"/>
        </w:rPr>
        <w:t xml:space="preserve"> </w:t>
      </w:r>
      <w:r w:rsidRPr="00E7711C">
        <w:rPr>
          <w:rFonts w:cs="Times New Roman"/>
        </w:rPr>
        <w:t>ministère des affaires sociales, France,</w:t>
      </w:r>
      <w:r w:rsidRPr="000B489D">
        <w:rPr>
          <w:rFonts w:cs="Times New Roman"/>
        </w:rPr>
        <w:t xml:space="preserve"> juin 2006. </w:t>
      </w:r>
    </w:p>
    <w:p w14:paraId="134851C2" w14:textId="77777777" w:rsidR="00E7711C" w:rsidRPr="000B489D" w:rsidRDefault="00E7711C" w:rsidP="00E7711C">
      <w:pPr>
        <w:autoSpaceDE w:val="0"/>
        <w:autoSpaceDN w:val="0"/>
        <w:adjustRightInd w:val="0"/>
        <w:spacing w:line="276" w:lineRule="auto"/>
        <w:rPr>
          <w:rFonts w:cs="Times New Roman"/>
        </w:rPr>
      </w:pPr>
      <w:r w:rsidRPr="000B489D">
        <w:rPr>
          <w:rFonts w:cs="Times New Roman"/>
        </w:rPr>
        <w:t xml:space="preserve">IWEPS, </w:t>
      </w:r>
      <w:r w:rsidRPr="000B489D">
        <w:rPr>
          <w:rFonts w:cs="Times New Roman"/>
          <w:i/>
        </w:rPr>
        <w:t>Les expulsions domiciliaires en Wallonie : premier état des lieux</w:t>
      </w:r>
      <w:r w:rsidRPr="000B489D">
        <w:rPr>
          <w:rFonts w:cs="Times New Roman"/>
        </w:rPr>
        <w:t>, Namur, 2015.</w:t>
      </w:r>
    </w:p>
    <w:p w14:paraId="0BAEE0F0" w14:textId="77777777" w:rsidR="00653509" w:rsidRPr="000B489D" w:rsidRDefault="00653509" w:rsidP="00653509">
      <w:pPr>
        <w:autoSpaceDE w:val="0"/>
        <w:autoSpaceDN w:val="0"/>
        <w:adjustRightInd w:val="0"/>
        <w:spacing w:line="276" w:lineRule="auto"/>
        <w:rPr>
          <w:rFonts w:cs="Times New Roman"/>
        </w:rPr>
      </w:pPr>
      <w:r w:rsidRPr="002232A8">
        <w:rPr>
          <w:rFonts w:cs="Times New Roman"/>
        </w:rPr>
        <w:t xml:space="preserve">LESSARD Guillaume, SÉNÉCAL Gilles et HAMEL Pierre J., </w:t>
      </w:r>
      <w:r w:rsidRPr="002232A8">
        <w:rPr>
          <w:rFonts w:cs="Times New Roman"/>
          <w:i/>
        </w:rPr>
        <w:t xml:space="preserve">La gentrification des quartiers centraux et l’accès au logement : un état de la question et pistes de solution. Rapport remis à monsieur Réal </w:t>
      </w:r>
      <w:r w:rsidRPr="002232A8">
        <w:rPr>
          <w:rFonts w:cs="Times New Roman"/>
          <w:i/>
        </w:rPr>
        <w:lastRenderedPageBreak/>
        <w:t>Ménard, maire de l’arrondissement Mercier–Hochelaga-Maisonneuve</w:t>
      </w:r>
      <w:r w:rsidRPr="002232A8">
        <w:rPr>
          <w:rFonts w:cs="Times New Roman"/>
        </w:rPr>
        <w:t xml:space="preserve">, INRS, 2017, p.15. Disponible sur : </w:t>
      </w:r>
      <w:hyperlink r:id="rId47" w:history="1">
        <w:r w:rsidRPr="000B489D">
          <w:rPr>
            <w:rStyle w:val="Lienhypertexte"/>
            <w:rFonts w:cs="Times New Roman"/>
          </w:rPr>
          <w:t>http://ville.montreal.qc.ca/pls/portal/docs/PAGE/ARROND_MHM_FR/MEDIA/DOCUMENTS/RAPPORT-LESSARD-S%C9N%C9CAL-HAMEL-FINAL25-4.PDF</w:t>
        </w:r>
      </w:hyperlink>
    </w:p>
    <w:p w14:paraId="1DFFDEF3" w14:textId="77777777" w:rsidR="00653509" w:rsidRPr="002232A8" w:rsidRDefault="00653509" w:rsidP="00653509">
      <w:pPr>
        <w:spacing w:line="276" w:lineRule="auto"/>
        <w:rPr>
          <w:rFonts w:cs="Times New Roman"/>
          <w:i/>
        </w:rPr>
      </w:pPr>
      <w:r w:rsidRPr="002232A8">
        <w:rPr>
          <w:rFonts w:cs="Times New Roman"/>
        </w:rPr>
        <w:t xml:space="preserve">OBSERVATOIRE DE LA SANTÉ ET DU SOCIAL, </w:t>
      </w:r>
      <w:r w:rsidRPr="002232A8">
        <w:rPr>
          <w:rFonts w:cs="Times New Roman"/>
          <w:i/>
        </w:rPr>
        <w:t>Rapport thématique. Précarités-mal-logement et expulsions domiciliaires en Région bruxelloise</w:t>
      </w:r>
      <w:r w:rsidRPr="002232A8">
        <w:rPr>
          <w:rFonts w:cs="Times New Roman"/>
        </w:rPr>
        <w:t xml:space="preserve">, 2019a. ; </w:t>
      </w:r>
      <w:r w:rsidRPr="002232A8">
        <w:rPr>
          <w:rFonts w:cs="Times New Roman"/>
          <w:i/>
        </w:rPr>
        <w:t>Re</w:t>
      </w:r>
      <w:hyperlink r:id="rId48" w:history="1">
        <w:r w:rsidRPr="002232A8">
          <w:rPr>
            <w:rFonts w:cs="Times New Roman"/>
            <w:i/>
          </w:rPr>
          <w:t>gards croisés. Les expulsions du logement et le mal-logement en Région bruxelloise : analyses et propositions de différentes organisations</w:t>
        </w:r>
      </w:hyperlink>
      <w:r w:rsidRPr="002232A8">
        <w:rPr>
          <w:rFonts w:cs="Times New Roman"/>
        </w:rPr>
        <w:t xml:space="preserve">, 2019b. ; </w:t>
      </w:r>
      <w:r w:rsidRPr="002232A8">
        <w:rPr>
          <w:rFonts w:cs="Times New Roman"/>
          <w:i/>
        </w:rPr>
        <w:t xml:space="preserve">Dossier externe. Les expulsions de logement en Région bruxelloise : aspects juridiques, </w:t>
      </w:r>
      <w:r w:rsidRPr="002232A8">
        <w:rPr>
          <w:rFonts w:cs="Times New Roman"/>
        </w:rPr>
        <w:t>2019c</w:t>
      </w:r>
      <w:r w:rsidRPr="002232A8">
        <w:rPr>
          <w:rFonts w:cs="Times New Roman"/>
          <w:i/>
        </w:rPr>
        <w:t>.</w:t>
      </w:r>
    </w:p>
    <w:p w14:paraId="6F1A7E3C" w14:textId="77777777" w:rsidR="00053AAD" w:rsidRPr="00053AAD" w:rsidRDefault="00053AAD" w:rsidP="00053AAD"/>
    <w:p w14:paraId="169FC2CB" w14:textId="2663BAA9" w:rsidR="00053AAD" w:rsidRDefault="00053AAD" w:rsidP="00053AAD">
      <w:pPr>
        <w:pStyle w:val="Titre2"/>
      </w:pPr>
      <w:bookmarkStart w:id="45" w:name="_Toc152687228"/>
      <w:r>
        <w:t xml:space="preserve">Publications associatives </w:t>
      </w:r>
      <w:r w:rsidR="00E7711C">
        <w:t>et philanthropes</w:t>
      </w:r>
      <w:bookmarkEnd w:id="45"/>
    </w:p>
    <w:p w14:paraId="6C183FB7" w14:textId="77777777" w:rsidR="00053AAD" w:rsidRPr="000B489D" w:rsidRDefault="00053AAD" w:rsidP="00053AAD">
      <w:pPr>
        <w:pStyle w:val="Paragraphedeliste"/>
        <w:spacing w:line="276" w:lineRule="auto"/>
        <w:ind w:left="0"/>
        <w:rPr>
          <w:rFonts w:cs="Times New Roman"/>
        </w:rPr>
      </w:pPr>
      <w:r w:rsidRPr="000B489D">
        <w:rPr>
          <w:rFonts w:cs="Times New Roman"/>
        </w:rPr>
        <w:t xml:space="preserve">FEANTSA, </w:t>
      </w:r>
      <w:r w:rsidRPr="000B489D">
        <w:rPr>
          <w:rFonts w:cs="Times New Roman"/>
          <w:i/>
        </w:rPr>
        <w:t>Mettre un terme au sans-abrisme : un manuel pour les décideurs politiques</w:t>
      </w:r>
      <w:r w:rsidRPr="000B489D">
        <w:rPr>
          <w:rFonts w:cs="Times New Roman"/>
        </w:rPr>
        <w:t>, 2010. Disponible sur :</w:t>
      </w:r>
    </w:p>
    <w:p w14:paraId="7951438B" w14:textId="35500ED2" w:rsidR="00053AAD" w:rsidRDefault="002A1CE0" w:rsidP="00053AAD">
      <w:pPr>
        <w:pStyle w:val="Paragraphedeliste"/>
        <w:spacing w:line="276" w:lineRule="auto"/>
        <w:ind w:left="0"/>
        <w:rPr>
          <w:rFonts w:cs="Times New Roman"/>
        </w:rPr>
      </w:pPr>
      <w:hyperlink r:id="rId49" w:history="1">
        <w:r w:rsidR="00053AAD" w:rsidRPr="000B489D">
          <w:rPr>
            <w:rStyle w:val="Lienhypertexte"/>
            <w:rFonts w:cs="Times New Roman"/>
          </w:rPr>
          <w:t>https://www.feantsa.org/download/feantsa_handbook_fr_final-24902801537180740072.pdf</w:t>
        </w:r>
      </w:hyperlink>
      <w:r w:rsidR="00053AAD" w:rsidRPr="000B489D">
        <w:rPr>
          <w:rFonts w:cs="Times New Roman"/>
        </w:rPr>
        <w:t xml:space="preserve"> </w:t>
      </w:r>
    </w:p>
    <w:p w14:paraId="5B556175" w14:textId="7588B72B" w:rsidR="00053AAD" w:rsidRDefault="00053AAD" w:rsidP="00053AAD">
      <w:pPr>
        <w:pStyle w:val="Paragraphedeliste"/>
        <w:spacing w:line="276" w:lineRule="auto"/>
        <w:ind w:left="0"/>
        <w:rPr>
          <w:rFonts w:cs="Times New Roman"/>
        </w:rPr>
      </w:pPr>
    </w:p>
    <w:p w14:paraId="11DD2A34" w14:textId="77777777" w:rsidR="00053AAD" w:rsidRPr="002232A8" w:rsidRDefault="00053AAD" w:rsidP="00053AAD">
      <w:pPr>
        <w:pStyle w:val="Paragraphedeliste"/>
        <w:spacing w:line="276" w:lineRule="auto"/>
        <w:ind w:left="0"/>
        <w:rPr>
          <w:rFonts w:cs="Times New Roman"/>
        </w:rPr>
      </w:pPr>
      <w:r w:rsidRPr="002232A8">
        <w:rPr>
          <w:rFonts w:cs="Times New Roman"/>
          <w:lang w:val="en-US"/>
        </w:rPr>
        <w:t xml:space="preserve">FONDATION ABBÉ PIERRE – FEANTSA, </w:t>
      </w:r>
      <w:r w:rsidRPr="002232A8">
        <w:rPr>
          <w:rFonts w:cs="Times New Roman"/>
          <w:i/>
          <w:lang w:val="en-US"/>
        </w:rPr>
        <w:t>An Overview of Housing Exclusion in Europe 2017</w:t>
      </w:r>
      <w:r w:rsidRPr="002232A8">
        <w:rPr>
          <w:rFonts w:cs="Times New Roman"/>
          <w:lang w:val="en-US"/>
        </w:rPr>
        <w:t xml:space="preserve">, 2017. </w:t>
      </w:r>
      <w:r w:rsidRPr="002232A8">
        <w:rPr>
          <w:rFonts w:cs="Times New Roman"/>
        </w:rPr>
        <w:t>Disponible sur :</w:t>
      </w:r>
    </w:p>
    <w:p w14:paraId="6CA8B8CC" w14:textId="333F8D09" w:rsidR="00053AAD" w:rsidRDefault="002A1CE0" w:rsidP="00053AAD">
      <w:pPr>
        <w:pStyle w:val="Paragraphedeliste"/>
        <w:spacing w:line="276" w:lineRule="auto"/>
        <w:ind w:left="0"/>
        <w:rPr>
          <w:rFonts w:cs="Times New Roman"/>
        </w:rPr>
      </w:pPr>
      <w:hyperlink r:id="rId50" w:history="1">
        <w:r w:rsidR="00053AAD" w:rsidRPr="002232A8">
          <w:rPr>
            <w:rStyle w:val="Lienhypertexte"/>
            <w:rFonts w:cs="Times New Roman"/>
          </w:rPr>
          <w:t>http://www.feantsa.org/en/report/2017/03/21/the-secondoverview-of-housingexclusion-in-europe-2017?bcParent=27</w:t>
        </w:r>
      </w:hyperlink>
      <w:r w:rsidR="00053AAD" w:rsidRPr="002232A8">
        <w:rPr>
          <w:rFonts w:cs="Times New Roman"/>
        </w:rPr>
        <w:t xml:space="preserve"> </w:t>
      </w:r>
    </w:p>
    <w:p w14:paraId="281253D5" w14:textId="77777777" w:rsidR="00EA451A" w:rsidRDefault="00EA451A" w:rsidP="00053AAD">
      <w:pPr>
        <w:pStyle w:val="Paragraphedeliste"/>
        <w:spacing w:line="276" w:lineRule="auto"/>
        <w:ind w:left="0"/>
        <w:rPr>
          <w:rFonts w:cs="Times New Roman"/>
        </w:rPr>
      </w:pPr>
    </w:p>
    <w:p w14:paraId="3AC398BA" w14:textId="3DC53414" w:rsidR="00EA451A" w:rsidRPr="000B489D" w:rsidRDefault="00EA451A" w:rsidP="00053AAD">
      <w:pPr>
        <w:pStyle w:val="Paragraphedeliste"/>
        <w:spacing w:line="276" w:lineRule="auto"/>
        <w:ind w:left="0"/>
        <w:rPr>
          <w:rFonts w:cs="Times New Roman"/>
        </w:rPr>
      </w:pPr>
      <w:r w:rsidRPr="00EA451A">
        <w:rPr>
          <w:rFonts w:cs="Times New Roman"/>
        </w:rPr>
        <w:t>FONDATION ABBÉ PIERRE</w:t>
      </w:r>
      <w:r>
        <w:rPr>
          <w:rFonts w:cs="Times New Roman"/>
        </w:rPr>
        <w:t xml:space="preserve">, </w:t>
      </w:r>
      <w:r w:rsidRPr="007F7F54">
        <w:rPr>
          <w:rFonts w:cs="Times New Roman"/>
          <w:i/>
        </w:rPr>
        <w:t>Que deviennent les ménages expulsés de leur logement ? Des trajectoires de vie fragilisées</w:t>
      </w:r>
      <w:r w:rsidRPr="00EA451A">
        <w:rPr>
          <w:rFonts w:cs="Times New Roman"/>
        </w:rPr>
        <w:t>, Synthèse de l’enquête, Paris, Fondation Abbé Pierre pour le logement des défavorisés</w:t>
      </w:r>
      <w:r>
        <w:rPr>
          <w:rFonts w:cs="Times New Roman"/>
        </w:rPr>
        <w:t>, 2022.</w:t>
      </w:r>
      <w:r w:rsidR="00CD0C2A">
        <w:rPr>
          <w:rFonts w:cs="Times New Roman"/>
        </w:rPr>
        <w:t xml:space="preserve"> Disponible sur : </w:t>
      </w:r>
      <w:hyperlink r:id="rId51" w:history="1">
        <w:r w:rsidR="00C3281C" w:rsidRPr="00857FC7">
          <w:rPr>
            <w:rStyle w:val="Lienhypertexte"/>
            <w:rFonts w:cs="Times New Roman"/>
          </w:rPr>
          <w:t>https://www.fondation-abbe-pierre.fr/sites/default/files/synthese_vr.pdf</w:t>
        </w:r>
      </w:hyperlink>
      <w:r w:rsidR="00C3281C">
        <w:rPr>
          <w:rFonts w:cs="Times New Roman"/>
        </w:rPr>
        <w:t xml:space="preserve"> </w:t>
      </w:r>
    </w:p>
    <w:p w14:paraId="1FC654E2" w14:textId="77777777" w:rsidR="00053AAD" w:rsidRPr="000B489D" w:rsidRDefault="00053AAD" w:rsidP="00053AAD">
      <w:pPr>
        <w:pStyle w:val="Paragraphedeliste"/>
        <w:spacing w:before="240" w:line="276" w:lineRule="auto"/>
        <w:ind w:left="0"/>
        <w:rPr>
          <w:rFonts w:cs="Times New Roman"/>
        </w:rPr>
      </w:pPr>
    </w:p>
    <w:p w14:paraId="16B335CD" w14:textId="29EADB04" w:rsidR="00053AAD" w:rsidRPr="00653509" w:rsidRDefault="00053AAD" w:rsidP="00053AAD">
      <w:pPr>
        <w:pStyle w:val="Paragraphedeliste"/>
        <w:spacing w:before="240" w:line="276" w:lineRule="auto"/>
        <w:ind w:left="0"/>
        <w:rPr>
          <w:rFonts w:cs="Times New Roman"/>
        </w:rPr>
      </w:pPr>
      <w:r w:rsidRPr="000B489D">
        <w:rPr>
          <w:rFonts w:cs="Times New Roman"/>
        </w:rPr>
        <w:t xml:space="preserve">FONDATION ROI BAUDOIN, </w:t>
      </w:r>
      <w:r w:rsidRPr="000B489D">
        <w:rPr>
          <w:rFonts w:cs="Times New Roman"/>
          <w:i/>
        </w:rPr>
        <w:t xml:space="preserve">Rapport général sur la pauvreté, 1994. </w:t>
      </w:r>
      <w:r w:rsidR="00653509">
        <w:rPr>
          <w:rFonts w:cs="Times New Roman"/>
        </w:rPr>
        <w:t xml:space="preserve">Disponible sur : </w:t>
      </w:r>
      <w:hyperlink r:id="rId52" w:history="1">
        <w:r w:rsidR="00653509" w:rsidRPr="00857FC7">
          <w:rPr>
            <w:rStyle w:val="Lienhypertexte"/>
            <w:rFonts w:cs="Times New Roman"/>
          </w:rPr>
          <w:t>https://www.luttepauvrete.be/publications/RGP95.pdf</w:t>
        </w:r>
      </w:hyperlink>
      <w:r w:rsidR="00653509">
        <w:rPr>
          <w:rFonts w:cs="Times New Roman"/>
        </w:rPr>
        <w:t xml:space="preserve"> </w:t>
      </w:r>
    </w:p>
    <w:p w14:paraId="2C3BB53E" w14:textId="749230CB" w:rsidR="00E7711C" w:rsidRPr="000B489D" w:rsidRDefault="00E7711C" w:rsidP="00E7711C">
      <w:pPr>
        <w:spacing w:line="276" w:lineRule="auto"/>
        <w:rPr>
          <w:rFonts w:cs="Times New Roman"/>
        </w:rPr>
      </w:pPr>
      <w:r w:rsidRPr="000B489D">
        <w:rPr>
          <w:rFonts w:cs="Times New Roman"/>
        </w:rPr>
        <w:t xml:space="preserve">FRONT ANTI-EXPULSION, </w:t>
      </w:r>
      <w:r w:rsidRPr="000B489D">
        <w:rPr>
          <w:rFonts w:cs="Times New Roman"/>
          <w:i/>
        </w:rPr>
        <w:t>Petit guide pour les locataires assignés en justice de paix,</w:t>
      </w:r>
      <w:r w:rsidRPr="000B489D">
        <w:rPr>
          <w:rFonts w:cs="Times New Roman"/>
        </w:rPr>
        <w:t xml:space="preserve"> Bruxelles, 2020.</w:t>
      </w:r>
      <w:r w:rsidR="00653509">
        <w:rPr>
          <w:rFonts w:cs="Times New Roman"/>
        </w:rPr>
        <w:t xml:space="preserve"> Disponible sur :</w:t>
      </w:r>
      <w:r w:rsidR="00653509" w:rsidRPr="00653509">
        <w:t xml:space="preserve"> </w:t>
      </w:r>
      <w:hyperlink r:id="rId53" w:history="1">
        <w:r w:rsidR="00653509" w:rsidRPr="00857FC7">
          <w:rPr>
            <w:rStyle w:val="Lienhypertexte"/>
            <w:rFonts w:cs="Times New Roman"/>
          </w:rPr>
          <w:t>https://fr.calameo.com/read/00656291032236276ab41</w:t>
        </w:r>
      </w:hyperlink>
      <w:r w:rsidR="00653509">
        <w:rPr>
          <w:rFonts w:cs="Times New Roman"/>
        </w:rPr>
        <w:t xml:space="preserve"> </w:t>
      </w:r>
    </w:p>
    <w:p w14:paraId="5CDB57A1" w14:textId="77777777" w:rsidR="00653509" w:rsidRPr="000B489D" w:rsidRDefault="00653509" w:rsidP="00653509">
      <w:pPr>
        <w:autoSpaceDE w:val="0"/>
        <w:autoSpaceDN w:val="0"/>
        <w:adjustRightInd w:val="0"/>
        <w:spacing w:line="276" w:lineRule="auto"/>
        <w:rPr>
          <w:rFonts w:cs="Times New Roman"/>
          <w:shd w:val="clear" w:color="auto" w:fill="FFFFFF"/>
        </w:rPr>
      </w:pPr>
      <w:r w:rsidRPr="002232A8">
        <w:rPr>
          <w:rFonts w:cs="Times New Roman"/>
          <w:shd w:val="clear" w:color="auto" w:fill="FFFFFF"/>
        </w:rPr>
        <w:t xml:space="preserve">RASSEMBLEMENT BRUXELLOIS POUR LE DROIT À L’HABITAT, </w:t>
      </w:r>
      <w:r w:rsidRPr="002232A8">
        <w:rPr>
          <w:rFonts w:cs="Times New Roman"/>
          <w:i/>
          <w:shd w:val="clear" w:color="auto" w:fill="FFFFFF"/>
        </w:rPr>
        <w:t>Les expulsions locatives. Mieux vaut prévenir,</w:t>
      </w:r>
      <w:r w:rsidRPr="002232A8">
        <w:rPr>
          <w:rFonts w:cs="Times New Roman"/>
          <w:shd w:val="clear" w:color="auto" w:fill="FFFFFF"/>
        </w:rPr>
        <w:t xml:space="preserve"> 2018. Disponible sur : </w:t>
      </w:r>
      <w:hyperlink r:id="rId54" w:history="1">
        <w:r w:rsidRPr="000B489D">
          <w:rPr>
            <w:rStyle w:val="Lienhypertexte"/>
            <w:rFonts w:cs="Times New Roman"/>
            <w:shd w:val="clear" w:color="auto" w:fill="FFFFFF"/>
          </w:rPr>
          <w:t>https://medium.com/rbdh/les-expulsions-locatives-9730b1357ee8</w:t>
        </w:r>
      </w:hyperlink>
      <w:r w:rsidRPr="000B489D">
        <w:rPr>
          <w:rFonts w:cs="Times New Roman"/>
          <w:shd w:val="clear" w:color="auto" w:fill="FFFFFF"/>
        </w:rPr>
        <w:t xml:space="preserve"> </w:t>
      </w:r>
    </w:p>
    <w:p w14:paraId="16C5EFDA" w14:textId="42DBD43C" w:rsidR="00053AAD" w:rsidRDefault="00053AAD" w:rsidP="00053AAD">
      <w:pPr>
        <w:pStyle w:val="Titre2"/>
      </w:pPr>
      <w:r>
        <w:br w:type="page"/>
      </w:r>
    </w:p>
    <w:p w14:paraId="1248ECAE" w14:textId="7315BE59" w:rsidR="00724D99" w:rsidRDefault="00724D99" w:rsidP="000528FA">
      <w:pPr>
        <w:pStyle w:val="Titre1"/>
      </w:pPr>
      <w:bookmarkStart w:id="46" w:name="_Toc152687229"/>
      <w:r>
        <w:lastRenderedPageBreak/>
        <w:t>ANNEXE 1</w:t>
      </w:r>
      <w:r w:rsidR="000528FA">
        <w:t>- Loi du 30 novembre 1998</w:t>
      </w:r>
      <w:bookmarkEnd w:id="46"/>
    </w:p>
    <w:p w14:paraId="01B33521" w14:textId="45A798F0" w:rsidR="00724D99" w:rsidRPr="00724D99" w:rsidRDefault="00724D99" w:rsidP="00E505A5">
      <w:pPr>
        <w:spacing w:line="276" w:lineRule="auto"/>
        <w:rPr>
          <w:color w:val="000000"/>
        </w:rPr>
      </w:pPr>
      <w:r w:rsidRPr="00724D99">
        <w:rPr>
          <w:b/>
          <w:bCs/>
          <w:color w:val="000000"/>
          <w:u w:val="single"/>
        </w:rPr>
        <w:t>Loi modifiant certaines dispositions du Code judicaire relatives à la procédure en matière de louage de choses et de la loi du 30 décembre 1975 concernant les biens trouvés en dehors des propriétés privées ou mis sur la voie publique en exécution de jugements d'expulsion (1)</w:t>
      </w:r>
      <w:r w:rsidRPr="00724D99">
        <w:rPr>
          <w:color w:val="000000"/>
        </w:rPr>
        <w:t xml:space="preserve"> </w:t>
      </w:r>
    </w:p>
    <w:p w14:paraId="1CA60F8C" w14:textId="77777777" w:rsidR="00724D99" w:rsidRDefault="00724D99" w:rsidP="00E505A5">
      <w:pPr>
        <w:spacing w:line="276" w:lineRule="auto"/>
        <w:rPr>
          <w:color w:val="000000"/>
        </w:rPr>
      </w:pPr>
      <w:r w:rsidRPr="00724D99">
        <w:rPr>
          <w:color w:val="000000"/>
        </w:rPr>
        <w:t>« Art. 1344ter. § 1</w:t>
      </w:r>
      <w:r w:rsidRPr="00724D99">
        <w:rPr>
          <w:color w:val="000000"/>
          <w:vertAlign w:val="superscript"/>
        </w:rPr>
        <w:t>er</w:t>
      </w:r>
      <w:r w:rsidRPr="00724D99">
        <w:rPr>
          <w:color w:val="000000"/>
        </w:rPr>
        <w:t xml:space="preserve">. Le présent article s'applique à toute demande introduite par requête écrite, par citation ou par comparution volontaire, tendant à l'expulsion d'une personne physique qui a conclu un bail à loyer visé à la section II ou à la section </w:t>
      </w:r>
      <w:proofErr w:type="spellStart"/>
      <w:r w:rsidRPr="00724D99">
        <w:rPr>
          <w:color w:val="000000"/>
        </w:rPr>
        <w:t>IIbis</w:t>
      </w:r>
      <w:proofErr w:type="spellEnd"/>
      <w:r w:rsidRPr="00724D99">
        <w:rPr>
          <w:color w:val="000000"/>
        </w:rPr>
        <w:t xml:space="preserve"> du livre III, titre VIII, chapitre II du Code civil portant sur un bien qui, selon l'acte introductif d'instance, sert de domicile au preneur ou, à défaut de domicile, de résidence.</w:t>
      </w:r>
    </w:p>
    <w:p w14:paraId="49243061" w14:textId="29AF3D6F" w:rsidR="00724D99" w:rsidRDefault="00724D99" w:rsidP="00E505A5">
      <w:pPr>
        <w:spacing w:line="276" w:lineRule="auto"/>
        <w:rPr>
          <w:color w:val="000000"/>
        </w:rPr>
      </w:pPr>
      <w:r w:rsidRPr="00724D99">
        <w:rPr>
          <w:color w:val="000000"/>
        </w:rPr>
        <w:t>§ 2. Lorsque la demande est introduite par requête écrite ou par comparution volontaire, le greffier envoie, sauf opposition du preneur conformément au § 4, après un délai de quatre jours suivant l'inscription de l'affaire au rôle général, par quelque procédé de télécommunication que ce soit, à confirmer par simple lettre, une copie de la requête écrite au Centre public d'aide sociale du domicile du preneur ou, à défaut de domicile, au Centre public d'aide sociale de la résidence du preneur.</w:t>
      </w:r>
      <w:r w:rsidRPr="00724D99">
        <w:rPr>
          <w:color w:val="000000"/>
        </w:rPr>
        <w:br/>
        <w:t>§ 3. Lorsque la demande est introduite par citation, l'huissier de justice envoie, sauf opposition du preneur conformément au § 4, après un délai de quatre jours suivant la signification de l'exploit, par quelque procédé de télécommunication que ce soit, à confirmer par simple lettre, une copie de la citation au Centre public d'aide sociale du domicile du preneur, ou, à défaut de domicile, au Centre public d'aide sociale de la résidence du preneur.</w:t>
      </w:r>
    </w:p>
    <w:p w14:paraId="4FE98DE4" w14:textId="77777777" w:rsidR="00724D99" w:rsidRDefault="00724D99" w:rsidP="00E505A5">
      <w:pPr>
        <w:spacing w:line="276" w:lineRule="auto"/>
        <w:rPr>
          <w:color w:val="000000"/>
        </w:rPr>
      </w:pPr>
      <w:r w:rsidRPr="00724D99">
        <w:rPr>
          <w:color w:val="000000"/>
        </w:rPr>
        <w:t>§ 4. Le preneur peut manifester son opposition à la communication de la copie de l'acte introductif d'instance au Centre public d'aide sociale dans le procès-verbal de comparution volontaire ou auprès du greffe dans un délai de deux jours à partir de la convocation par pli judiciaire ou auprès de l'huissier de justice dans un délai de deux jours à partir de la signification.</w:t>
      </w:r>
    </w:p>
    <w:p w14:paraId="5CF0339B" w14:textId="4DF5459C" w:rsidR="00724D99" w:rsidRDefault="00724D99" w:rsidP="00E505A5">
      <w:pPr>
        <w:spacing w:line="276" w:lineRule="auto"/>
        <w:rPr>
          <w:color w:val="000000"/>
        </w:rPr>
      </w:pPr>
      <w:r w:rsidRPr="00724D99">
        <w:rPr>
          <w:color w:val="000000"/>
        </w:rPr>
        <w:t>La requête écrite ou la citation contient le texte de l'alinéa précédent.</w:t>
      </w:r>
      <w:r w:rsidRPr="00724D99">
        <w:rPr>
          <w:color w:val="000000"/>
        </w:rPr>
        <w:br/>
        <w:t>§ 5. Le Centre public d'aide sociale offre, de la manière la plus appropriée, d'apporter son aide dans le cadre de sa mission légale ».</w:t>
      </w:r>
    </w:p>
    <w:p w14:paraId="72415465" w14:textId="77777777" w:rsidR="00724D99" w:rsidRDefault="00724D99" w:rsidP="00E505A5">
      <w:pPr>
        <w:spacing w:line="276" w:lineRule="auto"/>
        <w:rPr>
          <w:color w:val="000000"/>
        </w:rPr>
      </w:pPr>
      <w:r w:rsidRPr="00724D99">
        <w:rPr>
          <w:color w:val="000000"/>
        </w:rPr>
        <w:t>Art. 4. Il est inséré, dans le même chapitre, un article 1344quater, rédigé comme suit :</w:t>
      </w:r>
      <w:r w:rsidRPr="00724D99">
        <w:rPr>
          <w:color w:val="000000"/>
        </w:rPr>
        <w:br/>
        <w:t>« Art. 1344quater. L'expulsion, visée à l`article 1344ter, § 1</w:t>
      </w:r>
      <w:r w:rsidRPr="00724D99">
        <w:rPr>
          <w:color w:val="000000"/>
          <w:vertAlign w:val="superscript"/>
        </w:rPr>
        <w:t>er</w:t>
      </w:r>
      <w:r w:rsidRPr="00724D99">
        <w:rPr>
          <w:color w:val="000000"/>
        </w:rPr>
        <w:t>, ne peut être exécutée en tout état de cause qu'après un délai d'un mois suivant la signification du jugement, à moins que le bailleur ne prouve l'abandon du bien, que les parties n'aient convenu d'un autre délai, cet accord devant être constaté dans le jugement, ou que le juge prolonge ou réduise ce délai à la demande du preneur ou du bailleur qui justifie de circonstances d'une gravité particulière, notamment les possibilités de reloger le preneur dans des conditions suffisantes respectant l'unité, les ressources financières et les besoins de la famille, en particulier pendant l'hiver. Dans ce dernier cas, le juge fixe le délai dans lequel l'expulsion ne peut pas être exécutée, en tenant compte de l'intérêt des deux parties et dans les conditions qu'il détermine.</w:t>
      </w:r>
      <w:r w:rsidRPr="00724D99">
        <w:rPr>
          <w:color w:val="000000"/>
        </w:rPr>
        <w:br/>
        <w:t>En tout état de cause, l'huissier doit aviser le preneur ou les occupants du bien de la date effective de l'expulsion en respectant un délai de cinq jours ouvrables ».</w:t>
      </w:r>
    </w:p>
    <w:p w14:paraId="27579035" w14:textId="4F4F8E51" w:rsidR="00724D99" w:rsidRDefault="00724D99" w:rsidP="00E505A5">
      <w:pPr>
        <w:spacing w:line="276" w:lineRule="auto"/>
        <w:rPr>
          <w:color w:val="000000"/>
        </w:rPr>
      </w:pPr>
      <w:r w:rsidRPr="00724D99">
        <w:rPr>
          <w:color w:val="000000"/>
        </w:rPr>
        <w:t>Art. 5. Il est inséré, dans le même chapitre, un article 1344quinquies, rédigé comme suit :</w:t>
      </w:r>
      <w:r w:rsidRPr="00724D99">
        <w:rPr>
          <w:color w:val="000000"/>
        </w:rPr>
        <w:br/>
        <w:t>« Art. 1344quinquies. Lors de la signification d'un jugement ordonnant une expulsion, visée à l'article 1344ter, § 1</w:t>
      </w:r>
      <w:r w:rsidRPr="00724D99">
        <w:rPr>
          <w:color w:val="000000"/>
          <w:vertAlign w:val="superscript"/>
        </w:rPr>
        <w:t>er</w:t>
      </w:r>
      <w:r w:rsidRPr="00724D99">
        <w:rPr>
          <w:color w:val="000000"/>
        </w:rPr>
        <w:t xml:space="preserve">, l'huissier de justice notifie à la personne que les biens qui se trouveront encore dans l'habitation après le délai légal ou le </w:t>
      </w:r>
      <w:proofErr w:type="spellStart"/>
      <w:r w:rsidRPr="00724D99">
        <w:rPr>
          <w:color w:val="000000"/>
        </w:rPr>
        <w:t>delai</w:t>
      </w:r>
      <w:proofErr w:type="spellEnd"/>
      <w:r w:rsidRPr="00724D99">
        <w:rPr>
          <w:color w:val="000000"/>
        </w:rPr>
        <w:t xml:space="preserve"> fixé par le juge seront mis sur la voie publique à ses frais et, s'ils encombrent la voie publique et que le propriétaire des biens ou ses ayants droit les y laisse, qu'ils seront, également à ses frais, enlevés et conservés durant six mois par l'administration communale, sauf s'il s'agit de biens susceptibles d'une détérioration rapide ou préjudiciables à l'hygiène, à la santé ou à la </w:t>
      </w:r>
      <w:r w:rsidRPr="00724D99">
        <w:rPr>
          <w:color w:val="000000"/>
        </w:rPr>
        <w:lastRenderedPageBreak/>
        <w:t>sécurité publiques. L'huissier de justice mentionne dans l'exploit de signification qu'il a fait cette communication ».</w:t>
      </w:r>
    </w:p>
    <w:p w14:paraId="0B7139A6" w14:textId="5B1D7036" w:rsidR="00724D99" w:rsidRDefault="00724D99" w:rsidP="00E505A5">
      <w:pPr>
        <w:spacing w:line="276" w:lineRule="auto"/>
        <w:rPr>
          <w:color w:val="000000"/>
        </w:rPr>
      </w:pPr>
      <w:r w:rsidRPr="00724D99">
        <w:rPr>
          <w:color w:val="000000"/>
        </w:rPr>
        <w:t xml:space="preserve">Art. 6. Il est inséré dans le même chapitre, un </w:t>
      </w:r>
      <w:proofErr w:type="spellStart"/>
      <w:r w:rsidRPr="00724D99">
        <w:rPr>
          <w:color w:val="000000"/>
        </w:rPr>
        <w:t>articie</w:t>
      </w:r>
      <w:proofErr w:type="spellEnd"/>
      <w:r w:rsidRPr="00724D99">
        <w:rPr>
          <w:color w:val="000000"/>
        </w:rPr>
        <w:t xml:space="preserve"> 1344sexies, rédigé comme suit :</w:t>
      </w:r>
      <w:r w:rsidRPr="00724D99">
        <w:rPr>
          <w:color w:val="000000"/>
        </w:rPr>
        <w:br/>
        <w:t>« Art. 1344sexies. § 1</w:t>
      </w:r>
      <w:r w:rsidRPr="00724D99">
        <w:rPr>
          <w:color w:val="000000"/>
          <w:vertAlign w:val="superscript"/>
        </w:rPr>
        <w:t>er</w:t>
      </w:r>
      <w:r w:rsidRPr="00724D99">
        <w:rPr>
          <w:color w:val="000000"/>
        </w:rPr>
        <w:t>. Lors de la signification d'un jugement ordonnant une expulsion autre que visée dans l'article 1344quinquies, l'huissier de justice envoie, sauf opposition conformément au § 2, dans un délai de quatre jours à partir de la signification du jugement, par simple lettre, une copie du jugement au Centre public d'aide sociale du lieu où le bien se situe.</w:t>
      </w:r>
      <w:r w:rsidRPr="00724D99">
        <w:rPr>
          <w:color w:val="000000"/>
        </w:rPr>
        <w:br/>
        <w:t>§ 2. La personne dont l'expulsion est ordonnée peut, dans un délai de deux jours à partir de la signification du jugement, manifester son opposition à la communication du jugement au Centre public d'aide sociale auprès de l'huissier de justice.</w:t>
      </w:r>
    </w:p>
    <w:p w14:paraId="1366A07C" w14:textId="632778DB" w:rsidR="000528FA" w:rsidRDefault="000528FA">
      <w:pPr>
        <w:spacing w:line="259" w:lineRule="auto"/>
        <w:jc w:val="left"/>
      </w:pPr>
      <w:r>
        <w:br w:type="page"/>
      </w:r>
    </w:p>
    <w:p w14:paraId="7C545228" w14:textId="426B2DCD" w:rsidR="000528FA" w:rsidRDefault="000528FA" w:rsidP="000528FA">
      <w:pPr>
        <w:pStyle w:val="Titre1"/>
      </w:pPr>
      <w:bookmarkStart w:id="47" w:name="_Toc152687230"/>
      <w:r>
        <w:lastRenderedPageBreak/>
        <w:t>ANNEXE 2</w:t>
      </w:r>
      <w:r w:rsidR="008C65B6">
        <w:t xml:space="preserve"> – Liste des tableaux</w:t>
      </w:r>
      <w:bookmarkEnd w:id="47"/>
    </w:p>
    <w:p w14:paraId="71FDA3F9" w14:textId="757E78E2" w:rsidR="00940641" w:rsidRPr="00C335FE" w:rsidRDefault="00D62C37" w:rsidP="001229BC">
      <w:pPr>
        <w:pStyle w:val="Paragraphedeliste"/>
        <w:numPr>
          <w:ilvl w:val="0"/>
          <w:numId w:val="22"/>
        </w:numPr>
        <w:spacing w:line="276" w:lineRule="auto"/>
        <w:rPr>
          <w:lang w:val="en-US"/>
        </w:rPr>
      </w:pPr>
      <w:r w:rsidRPr="00C335FE">
        <w:t xml:space="preserve">Page 17 : </w:t>
      </w:r>
      <w:r w:rsidR="00215055" w:rsidRPr="00C335FE">
        <w:t>Tableau 1 : Nombre d’expulsions en rapport à la population par pays en Europe en 2012.</w:t>
      </w:r>
      <w:r w:rsidR="00CB68BF">
        <w:t xml:space="preserve"> </w:t>
      </w:r>
      <w:r w:rsidR="00215055" w:rsidRPr="00C335FE">
        <w:t xml:space="preserve"> </w:t>
      </w:r>
      <w:r w:rsidR="00215055" w:rsidRPr="00C335FE">
        <w:rPr>
          <w:lang w:val="en-US"/>
        </w:rPr>
        <w:t xml:space="preserve">Source: FEANTSA – </w:t>
      </w:r>
      <w:proofErr w:type="spellStart"/>
      <w:r w:rsidR="00215055" w:rsidRPr="00C335FE">
        <w:rPr>
          <w:lang w:val="en-US"/>
        </w:rPr>
        <w:t>Fondation</w:t>
      </w:r>
      <w:proofErr w:type="spellEnd"/>
      <w:r w:rsidR="00215055" w:rsidRPr="00C335FE">
        <w:rPr>
          <w:lang w:val="en-US"/>
        </w:rPr>
        <w:t xml:space="preserve"> Abbé Pierre, </w:t>
      </w:r>
      <w:r w:rsidR="00215055" w:rsidRPr="00C335FE">
        <w:rPr>
          <w:i/>
          <w:lang w:val="en-US"/>
        </w:rPr>
        <w:t xml:space="preserve">Second overview of housing exclusion in Europe 2017, </w:t>
      </w:r>
      <w:r w:rsidR="00215055" w:rsidRPr="00C335FE">
        <w:rPr>
          <w:lang w:val="en-US"/>
        </w:rPr>
        <w:t>pp.83-84.</w:t>
      </w:r>
    </w:p>
    <w:p w14:paraId="31FD5C4A" w14:textId="340F2A1E" w:rsidR="00215055" w:rsidRPr="00C335FE" w:rsidRDefault="00D62C37" w:rsidP="001229BC">
      <w:pPr>
        <w:pStyle w:val="Paragraphedeliste"/>
        <w:numPr>
          <w:ilvl w:val="0"/>
          <w:numId w:val="22"/>
        </w:numPr>
        <w:spacing w:line="276" w:lineRule="auto"/>
        <w:rPr>
          <w:lang w:val="en-US"/>
        </w:rPr>
      </w:pPr>
      <w:r w:rsidRPr="00C335FE">
        <w:t xml:space="preserve">Page 18 : </w:t>
      </w:r>
      <w:r w:rsidR="00215055" w:rsidRPr="00C335FE">
        <w:t>Tableau 2 :</w:t>
      </w:r>
      <w:r w:rsidR="00B66266" w:rsidRPr="00C335FE">
        <w:t xml:space="preserve"> </w:t>
      </w:r>
      <w:r w:rsidR="00215055" w:rsidRPr="00C335FE">
        <w:t xml:space="preserve">Rapport du nombre d’expulsion sur la population par pays. </w:t>
      </w:r>
      <w:r w:rsidR="00215055" w:rsidRPr="00C335FE">
        <w:rPr>
          <w:lang w:val="en-US"/>
        </w:rPr>
        <w:t xml:space="preserve">Source: FEANTSA – </w:t>
      </w:r>
      <w:proofErr w:type="spellStart"/>
      <w:r w:rsidR="00215055" w:rsidRPr="00C335FE">
        <w:rPr>
          <w:lang w:val="en-US"/>
        </w:rPr>
        <w:t>Fondation</w:t>
      </w:r>
      <w:proofErr w:type="spellEnd"/>
      <w:r w:rsidR="00215055" w:rsidRPr="00C335FE">
        <w:rPr>
          <w:lang w:val="en-US"/>
        </w:rPr>
        <w:t xml:space="preserve"> Abbé Pierre, </w:t>
      </w:r>
      <w:r w:rsidR="00215055" w:rsidRPr="00C335FE">
        <w:rPr>
          <w:i/>
          <w:lang w:val="en-US"/>
        </w:rPr>
        <w:t xml:space="preserve">Second overview of housing exclusion in Europe 2017, </w:t>
      </w:r>
      <w:r w:rsidR="00215055" w:rsidRPr="00C335FE">
        <w:rPr>
          <w:lang w:val="en-US"/>
        </w:rPr>
        <w:t>p. 84.</w:t>
      </w:r>
    </w:p>
    <w:p w14:paraId="7A39E92A" w14:textId="2A887B5F" w:rsidR="00D62C37" w:rsidRPr="00C335FE" w:rsidRDefault="00D62C37" w:rsidP="001229BC">
      <w:pPr>
        <w:pStyle w:val="Paragraphedeliste"/>
        <w:numPr>
          <w:ilvl w:val="0"/>
          <w:numId w:val="22"/>
        </w:numPr>
        <w:spacing w:line="276" w:lineRule="auto"/>
      </w:pPr>
      <w:r w:rsidRPr="00C335FE">
        <w:t xml:space="preserve">Page 19 : </w:t>
      </w:r>
      <w:r w:rsidR="008E5121" w:rsidRPr="00C335FE">
        <w:t>Tableau 3 : Estimation relative et absolu du taux d’expulsion en Belgique en 2016.</w:t>
      </w:r>
    </w:p>
    <w:p w14:paraId="50F1C55A" w14:textId="662CDF5D" w:rsidR="00940641" w:rsidRDefault="00940641">
      <w:pPr>
        <w:spacing w:line="259" w:lineRule="auto"/>
        <w:jc w:val="left"/>
      </w:pPr>
      <w:r>
        <w:br w:type="page"/>
      </w:r>
    </w:p>
    <w:p w14:paraId="04994C11" w14:textId="48EA428C" w:rsidR="008C65B6" w:rsidRDefault="008C65B6" w:rsidP="008C65B6">
      <w:pPr>
        <w:pStyle w:val="Titre1"/>
      </w:pPr>
      <w:bookmarkStart w:id="48" w:name="_Toc152687231"/>
      <w:r>
        <w:lastRenderedPageBreak/>
        <w:t>A</w:t>
      </w:r>
      <w:r w:rsidR="00E36CEF">
        <w:t>NNEXE</w:t>
      </w:r>
      <w:r>
        <w:t xml:space="preserve"> 3 – Liste des abréviations</w:t>
      </w:r>
      <w:bookmarkEnd w:id="48"/>
      <w:r>
        <w:t xml:space="preserve"> </w:t>
      </w:r>
    </w:p>
    <w:p w14:paraId="18DDDF3F" w14:textId="7BD4D3A5" w:rsidR="00240A0F" w:rsidRDefault="00240A0F" w:rsidP="001229BC">
      <w:pPr>
        <w:pStyle w:val="Paragraphedeliste"/>
        <w:numPr>
          <w:ilvl w:val="0"/>
          <w:numId w:val="21"/>
        </w:numPr>
      </w:pPr>
      <w:r>
        <w:t>ALPIL – A</w:t>
      </w:r>
      <w:r w:rsidRPr="00C921A7">
        <w:t>ctions pour l’insertion par le logement</w:t>
      </w:r>
      <w:r w:rsidR="000E4AD2">
        <w:t xml:space="preserve"> (France)</w:t>
      </w:r>
      <w:r w:rsidR="007A70BD">
        <w:t> ;</w:t>
      </w:r>
    </w:p>
    <w:p w14:paraId="05735196" w14:textId="59A52A5B" w:rsidR="008C65B6" w:rsidRDefault="008C65B6" w:rsidP="001229BC">
      <w:pPr>
        <w:pStyle w:val="Paragraphedeliste"/>
        <w:numPr>
          <w:ilvl w:val="0"/>
          <w:numId w:val="21"/>
        </w:numPr>
      </w:pPr>
      <w:r w:rsidRPr="008C65B6">
        <w:t xml:space="preserve">AIS – </w:t>
      </w:r>
      <w:r>
        <w:t>A</w:t>
      </w:r>
      <w:r w:rsidRPr="008C65B6">
        <w:t>gence immobilière sociale</w:t>
      </w:r>
      <w:r w:rsidR="007A70BD">
        <w:t> ;</w:t>
      </w:r>
    </w:p>
    <w:p w14:paraId="4C6A3FAE" w14:textId="0BB2660C" w:rsidR="00BC3C9C" w:rsidRDefault="00BC3C9C" w:rsidP="001229BC">
      <w:pPr>
        <w:pStyle w:val="Paragraphedeliste"/>
        <w:numPr>
          <w:ilvl w:val="0"/>
          <w:numId w:val="21"/>
        </w:numPr>
      </w:pPr>
      <w:r>
        <w:t>CLSS – Contrats locaux sociaux-santé</w:t>
      </w:r>
      <w:r w:rsidR="007A70BD">
        <w:t> ;</w:t>
      </w:r>
    </w:p>
    <w:p w14:paraId="07ACFA5E" w14:textId="34506DAC" w:rsidR="00BC3C9C" w:rsidRPr="008C65B6" w:rsidRDefault="00BC3C9C" w:rsidP="001229BC">
      <w:pPr>
        <w:pStyle w:val="Paragraphedeliste"/>
        <w:numPr>
          <w:ilvl w:val="0"/>
          <w:numId w:val="21"/>
        </w:numPr>
      </w:pPr>
      <w:r>
        <w:t xml:space="preserve">COCOM – </w:t>
      </w:r>
      <w:r w:rsidRPr="00BC3C9C">
        <w:t>Commission communautaire commune</w:t>
      </w:r>
      <w:r w:rsidR="007A70BD">
        <w:t> ;</w:t>
      </w:r>
    </w:p>
    <w:p w14:paraId="0F87AD8F" w14:textId="77A5D7AB" w:rsidR="008C65B6" w:rsidRDefault="008C65B6" w:rsidP="001229BC">
      <w:pPr>
        <w:pStyle w:val="Paragraphedeliste"/>
        <w:numPr>
          <w:ilvl w:val="0"/>
          <w:numId w:val="21"/>
        </w:numPr>
      </w:pPr>
      <w:r w:rsidRPr="008C65B6">
        <w:t xml:space="preserve">CPAS </w:t>
      </w:r>
      <w:r>
        <w:t>– Centre publique d’action sociale</w:t>
      </w:r>
      <w:r w:rsidR="007A70BD">
        <w:t> ;</w:t>
      </w:r>
    </w:p>
    <w:p w14:paraId="4E1B8B52" w14:textId="522CB09B" w:rsidR="00BC3C9C" w:rsidRDefault="00BC3C9C" w:rsidP="001229BC">
      <w:pPr>
        <w:pStyle w:val="Paragraphedeliste"/>
        <w:numPr>
          <w:ilvl w:val="0"/>
          <w:numId w:val="21"/>
        </w:numPr>
      </w:pPr>
      <w:r>
        <w:t>DAL – Droit au logement</w:t>
      </w:r>
      <w:r w:rsidR="007A70BD">
        <w:t> ;</w:t>
      </w:r>
    </w:p>
    <w:p w14:paraId="6430196E" w14:textId="6A4523C8" w:rsidR="00FD3677" w:rsidRPr="00FD3677" w:rsidRDefault="00FD3677" w:rsidP="001229BC">
      <w:pPr>
        <w:pStyle w:val="Paragraphedeliste"/>
        <w:numPr>
          <w:ilvl w:val="0"/>
          <w:numId w:val="21"/>
        </w:numPr>
        <w:rPr>
          <w:lang w:val="en-US"/>
        </w:rPr>
      </w:pPr>
      <w:r w:rsidRPr="00FD3677">
        <w:rPr>
          <w:lang w:val="en-US"/>
        </w:rPr>
        <w:t>ETHOS</w:t>
      </w:r>
      <w:r w:rsidR="00B66266">
        <w:rPr>
          <w:lang w:val="en-US"/>
        </w:rPr>
        <w:t xml:space="preserve"> </w:t>
      </w:r>
      <w:r w:rsidRPr="00FD3677">
        <w:rPr>
          <w:lang w:val="en-US"/>
        </w:rPr>
        <w:t xml:space="preserve">– </w:t>
      </w:r>
      <w:r w:rsidRPr="00BC3C9C">
        <w:rPr>
          <w:lang w:val="en-US"/>
        </w:rPr>
        <w:t>European Typology on Homelessness and housing exclusion</w:t>
      </w:r>
      <w:r w:rsidR="007A70BD">
        <w:rPr>
          <w:lang w:val="en-US"/>
        </w:rPr>
        <w:t>;</w:t>
      </w:r>
    </w:p>
    <w:p w14:paraId="410624A8" w14:textId="667E8668" w:rsidR="00FD3677" w:rsidRDefault="00FD3677" w:rsidP="001229BC">
      <w:pPr>
        <w:pStyle w:val="Paragraphedeliste"/>
        <w:numPr>
          <w:ilvl w:val="0"/>
          <w:numId w:val="21"/>
        </w:numPr>
      </w:pPr>
      <w:r>
        <w:t>FEANTSA</w:t>
      </w:r>
      <w:r w:rsidR="00B66266">
        <w:t xml:space="preserve"> </w:t>
      </w:r>
      <w:r>
        <w:t>–</w:t>
      </w:r>
      <w:r w:rsidR="00B66266">
        <w:t xml:space="preserve"> </w:t>
      </w:r>
      <w:r w:rsidRPr="00FD3677">
        <w:t>Fédération européenne des associations nationales travaillant avec les sans-abri</w:t>
      </w:r>
      <w:r w:rsidR="00C335FE">
        <w:t>s</w:t>
      </w:r>
      <w:r w:rsidR="007A70BD">
        <w:t> ;</w:t>
      </w:r>
    </w:p>
    <w:p w14:paraId="284E4A5C" w14:textId="74B22857" w:rsidR="00FD3677" w:rsidRPr="00BC3C9C" w:rsidRDefault="00FD3677" w:rsidP="001229BC">
      <w:pPr>
        <w:pStyle w:val="Paragraphedeliste"/>
        <w:numPr>
          <w:ilvl w:val="0"/>
          <w:numId w:val="21"/>
        </w:numPr>
      </w:pPr>
      <w:r w:rsidRPr="00FD3677">
        <w:t xml:space="preserve">IWEPS </w:t>
      </w:r>
      <w:r>
        <w:t xml:space="preserve">– Institut wallon </w:t>
      </w:r>
      <w:r w:rsidRPr="000F4498">
        <w:rPr>
          <w:rFonts w:cs="Times New Roman"/>
        </w:rPr>
        <w:t>de l’évaluation, de la prospective et de la statistique</w:t>
      </w:r>
      <w:r w:rsidR="007A70BD">
        <w:rPr>
          <w:rFonts w:cs="Times New Roman"/>
        </w:rPr>
        <w:t> ;</w:t>
      </w:r>
    </w:p>
    <w:p w14:paraId="14FC586D" w14:textId="4BCBDA32" w:rsidR="00BC3C9C" w:rsidRPr="00FD3677" w:rsidRDefault="00BC3C9C" w:rsidP="001229BC">
      <w:pPr>
        <w:pStyle w:val="Paragraphedeliste"/>
        <w:numPr>
          <w:ilvl w:val="0"/>
          <w:numId w:val="21"/>
        </w:numPr>
      </w:pPr>
      <w:r>
        <w:t xml:space="preserve">PDALPD – </w:t>
      </w:r>
      <w:r w:rsidRPr="00AE77C9">
        <w:rPr>
          <w:rFonts w:cs="Times New Roman"/>
        </w:rPr>
        <w:t>Plan pour le logement des personnes défavorisées</w:t>
      </w:r>
      <w:r>
        <w:rPr>
          <w:rFonts w:cs="Times New Roman"/>
        </w:rPr>
        <w:t xml:space="preserve"> (France)</w:t>
      </w:r>
      <w:r w:rsidR="007A70BD">
        <w:rPr>
          <w:rFonts w:cs="Times New Roman"/>
        </w:rPr>
        <w:t> ;</w:t>
      </w:r>
    </w:p>
    <w:p w14:paraId="243C1066" w14:textId="39913005" w:rsidR="008C65B6" w:rsidRPr="008C65B6" w:rsidRDefault="008C65B6" w:rsidP="001229BC">
      <w:pPr>
        <w:pStyle w:val="Paragraphedeliste"/>
        <w:numPr>
          <w:ilvl w:val="0"/>
          <w:numId w:val="21"/>
        </w:numPr>
      </w:pPr>
      <w:r w:rsidRPr="008C65B6">
        <w:t>RBDH</w:t>
      </w:r>
      <w:r>
        <w:t xml:space="preserve"> – Réseau bruxellois pour le droit à l’habitat</w:t>
      </w:r>
      <w:r w:rsidR="007A70BD">
        <w:t> ;</w:t>
      </w:r>
    </w:p>
    <w:p w14:paraId="3484E2D6" w14:textId="25301B3E" w:rsidR="008C65B6" w:rsidRDefault="008C65B6" w:rsidP="001229BC">
      <w:pPr>
        <w:pStyle w:val="Paragraphedeliste"/>
        <w:numPr>
          <w:ilvl w:val="0"/>
          <w:numId w:val="21"/>
        </w:numPr>
      </w:pPr>
      <w:r w:rsidRPr="008C65B6">
        <w:t>RWDH</w:t>
      </w:r>
      <w:r>
        <w:t xml:space="preserve"> – Rassemblement wallon pour le droit à l’habitat</w:t>
      </w:r>
      <w:r w:rsidR="007A70BD">
        <w:t> ;</w:t>
      </w:r>
    </w:p>
    <w:p w14:paraId="57194A97" w14:textId="148BA6FB" w:rsidR="00FD3677" w:rsidRDefault="00FD3677" w:rsidP="001229BC">
      <w:pPr>
        <w:pStyle w:val="Paragraphedeliste"/>
        <w:numPr>
          <w:ilvl w:val="0"/>
          <w:numId w:val="21"/>
        </w:numPr>
      </w:pPr>
      <w:r>
        <w:t>TFE – Travail de fin d’étude</w:t>
      </w:r>
      <w:r w:rsidR="007A70BD">
        <w:t> ;</w:t>
      </w:r>
    </w:p>
    <w:p w14:paraId="1733EC08" w14:textId="4C91ABB2" w:rsidR="00BC3C9C" w:rsidRPr="008C65B6" w:rsidRDefault="00BC3C9C" w:rsidP="001229BC">
      <w:pPr>
        <w:pStyle w:val="Paragraphedeliste"/>
        <w:numPr>
          <w:ilvl w:val="0"/>
          <w:numId w:val="21"/>
        </w:numPr>
      </w:pPr>
      <w:r>
        <w:t xml:space="preserve">UFHJ – </w:t>
      </w:r>
      <w:r w:rsidRPr="00BE5FE7">
        <w:rPr>
          <w:rFonts w:cs="Times New Roman"/>
        </w:rPr>
        <w:t>Union Francophone des Huissiers</w:t>
      </w:r>
      <w:r w:rsidR="007A70BD">
        <w:rPr>
          <w:rFonts w:cs="Times New Roman"/>
        </w:rPr>
        <w:t>.</w:t>
      </w:r>
    </w:p>
    <w:p w14:paraId="79091B3B" w14:textId="3A783064" w:rsidR="00F63E0A" w:rsidRDefault="007A70BD" w:rsidP="00F63E0A">
      <w:pPr>
        <w:spacing w:line="259" w:lineRule="auto"/>
        <w:jc w:val="left"/>
        <w:sectPr w:rsidR="00F63E0A">
          <w:pgSz w:w="11906" w:h="16838"/>
          <w:pgMar w:top="1417" w:right="1417" w:bottom="1417" w:left="1417" w:header="708" w:footer="708" w:gutter="0"/>
          <w:cols w:space="708"/>
          <w:docGrid w:linePitch="360"/>
        </w:sectPr>
      </w:pPr>
      <w:r>
        <w:br w:type="page"/>
      </w:r>
    </w:p>
    <w:p w14:paraId="19BA3E38" w14:textId="7615B972" w:rsidR="008C65B6" w:rsidRDefault="008C65B6" w:rsidP="00C14587"/>
    <w:p w14:paraId="0AFDE312" w14:textId="77777777" w:rsidR="00F63E0A" w:rsidRDefault="00F63E0A" w:rsidP="00950F2F">
      <w:pPr>
        <w:jc w:val="center"/>
        <w:rPr>
          <w:rFonts w:cs="Times New Roman"/>
          <w:i/>
        </w:rPr>
      </w:pPr>
    </w:p>
    <w:p w14:paraId="28B4A8BF" w14:textId="77777777" w:rsidR="00F63E0A" w:rsidRDefault="00F63E0A" w:rsidP="00950F2F">
      <w:pPr>
        <w:jc w:val="center"/>
        <w:rPr>
          <w:rFonts w:cs="Times New Roman"/>
          <w:i/>
        </w:rPr>
      </w:pPr>
    </w:p>
    <w:p w14:paraId="4C503E85" w14:textId="77777777" w:rsidR="00F63E0A" w:rsidRDefault="00F63E0A" w:rsidP="00950F2F">
      <w:pPr>
        <w:jc w:val="center"/>
        <w:rPr>
          <w:rFonts w:cs="Times New Roman"/>
          <w:i/>
        </w:rPr>
      </w:pPr>
    </w:p>
    <w:p w14:paraId="4438B06D" w14:textId="2B6BD576" w:rsidR="00F63E0A" w:rsidRPr="0005015D" w:rsidRDefault="00F63E0A" w:rsidP="00F63E0A">
      <w:pPr>
        <w:ind w:left="1416"/>
        <w:rPr>
          <w:rFonts w:ascii="Arial" w:hAnsi="Arial" w:cs="Arial"/>
          <w:color w:val="FFFFFF" w:themeColor="background1"/>
          <w:sz w:val="24"/>
          <w:szCs w:val="24"/>
        </w:rPr>
      </w:pPr>
      <w:r w:rsidRPr="0005015D">
        <w:rPr>
          <w:rFonts w:ascii="Arial" w:hAnsi="Arial" w:cs="Arial"/>
          <w:color w:val="FFFFFF" w:themeColor="background1"/>
          <w:sz w:val="24"/>
          <w:szCs w:val="24"/>
        </w:rPr>
        <w:t>Locataires, propriétaires, Juges de Paix, travailleurs sociaux, huissiers de Justice, chacun prend part au phénomène et charrie avec lui ressources, motifs et intérêts particuliers. Comment donc comprendre ce phénomène ? Relève-t-il de facteurs individuels (la « mauvaise gestion » du locataire) ou de facteurs conjoncturels (« l’accident »), voire structurels (</w:t>
      </w:r>
      <w:r w:rsidR="00C14587">
        <w:rPr>
          <w:rFonts w:ascii="Arial" w:hAnsi="Arial" w:cs="Arial"/>
          <w:color w:val="FFFFFF" w:themeColor="background1"/>
          <w:sz w:val="24"/>
          <w:szCs w:val="24"/>
        </w:rPr>
        <w:t xml:space="preserve">un certain état des </w:t>
      </w:r>
      <w:r w:rsidRPr="0005015D">
        <w:rPr>
          <w:rFonts w:ascii="Arial" w:hAnsi="Arial" w:cs="Arial"/>
          <w:color w:val="FFFFFF" w:themeColor="background1"/>
          <w:sz w:val="24"/>
          <w:szCs w:val="24"/>
        </w:rPr>
        <w:t>politique</w:t>
      </w:r>
      <w:r w:rsidR="00C14587">
        <w:rPr>
          <w:rFonts w:ascii="Arial" w:hAnsi="Arial" w:cs="Arial"/>
          <w:color w:val="FFFFFF" w:themeColor="background1"/>
          <w:sz w:val="24"/>
          <w:szCs w:val="24"/>
        </w:rPr>
        <w:t>s</w:t>
      </w:r>
      <w:r w:rsidRPr="0005015D">
        <w:rPr>
          <w:rFonts w:ascii="Arial" w:hAnsi="Arial" w:cs="Arial"/>
          <w:color w:val="FFFFFF" w:themeColor="background1"/>
          <w:sz w:val="24"/>
          <w:szCs w:val="24"/>
        </w:rPr>
        <w:t xml:space="preserve"> du logement) ? Comment saisir les trajectoires des locataires endettés ? </w:t>
      </w:r>
      <w:r w:rsidR="00C14587" w:rsidRPr="00C14587">
        <w:rPr>
          <w:rFonts w:ascii="Arial" w:hAnsi="Arial" w:cs="Arial"/>
          <w:color w:val="FFFFFF" w:themeColor="background1"/>
          <w:sz w:val="24"/>
          <w:szCs w:val="24"/>
        </w:rPr>
        <w:t xml:space="preserve">Comment expliquer que certaines procédures d’expulsion aboutissent (les locataires sont mis à la rue le jour prévu, avec présence des huissiers et de la police) tandis que d’autres procédures sont </w:t>
      </w:r>
      <w:r w:rsidR="005D4F97" w:rsidRPr="0005015D">
        <w:rPr>
          <w:rFonts w:ascii="Arial" w:hAnsi="Arial" w:cs="Arial"/>
          <w:color w:val="FFFFFF" w:themeColor="background1"/>
          <w:sz w:val="24"/>
          <w:szCs w:val="24"/>
        </w:rPr>
        <w:t xml:space="preserve">Les expulsions locatives, en plus d’être un sujet politique sensible, constituent un objet sociologique remarquable, tant il mobilise une multitude d’acteurs, de situations, de trajectoires mais aussi de discours et de pratiques </w:t>
      </w:r>
      <w:proofErr w:type="spellStart"/>
      <w:proofErr w:type="gramStart"/>
      <w:r w:rsidR="005D4F97" w:rsidRPr="0005015D">
        <w:rPr>
          <w:rFonts w:ascii="Arial" w:hAnsi="Arial" w:cs="Arial"/>
          <w:color w:val="FFFFFF" w:themeColor="background1"/>
          <w:sz w:val="24"/>
          <w:szCs w:val="24"/>
        </w:rPr>
        <w:t>divergentes.</w:t>
      </w:r>
      <w:r w:rsidR="00C14587" w:rsidRPr="00C14587">
        <w:rPr>
          <w:rFonts w:ascii="Arial" w:hAnsi="Arial" w:cs="Arial"/>
          <w:color w:val="FFFFFF" w:themeColor="background1"/>
          <w:sz w:val="24"/>
          <w:szCs w:val="24"/>
        </w:rPr>
        <w:t>interrompues</w:t>
      </w:r>
      <w:proofErr w:type="spellEnd"/>
      <w:proofErr w:type="gramEnd"/>
      <w:r w:rsidR="00C14587" w:rsidRPr="00C14587">
        <w:rPr>
          <w:rFonts w:ascii="Arial" w:hAnsi="Arial" w:cs="Arial"/>
          <w:color w:val="FFFFFF" w:themeColor="background1"/>
          <w:sz w:val="24"/>
          <w:szCs w:val="24"/>
        </w:rPr>
        <w:t xml:space="preserve"> avant l’expulsion effective ?</w:t>
      </w:r>
    </w:p>
    <w:p w14:paraId="4DD52D2F" w14:textId="77777777" w:rsidR="00F63E0A" w:rsidRPr="0005015D" w:rsidRDefault="00F63E0A" w:rsidP="00F63E0A">
      <w:pPr>
        <w:ind w:left="1416"/>
        <w:rPr>
          <w:rFonts w:ascii="Arial" w:hAnsi="Arial" w:cs="Arial"/>
          <w:color w:val="FFFFFF" w:themeColor="background1"/>
          <w:sz w:val="24"/>
          <w:szCs w:val="24"/>
        </w:rPr>
      </w:pPr>
      <w:r w:rsidRPr="0005015D">
        <w:rPr>
          <w:rFonts w:ascii="Arial" w:hAnsi="Arial" w:cs="Arial"/>
          <w:color w:val="FFFFFF" w:themeColor="background1"/>
          <w:sz w:val="24"/>
          <w:szCs w:val="24"/>
        </w:rPr>
        <w:t>Ce travail théorique propose d’identifier une série d’outils sociologiques qui permettent de saisir et d’analyser les parcours d’expulsion locative, en tenant compte des pratiques et des représentations des multiples acteurs qui y prennent part. Ces outils sont au nombre de quatre : les notions de trajectoire et de carrière ; l’approche interactive ; la notion de configuration ; l’ethnographie économique. Il s’agit donc de se munir des outils théoriques permettant de rendre raison des parcours des locataires menacés de « perdre leur logement », mais aussi de l'usage que propriétaires, locataires et travailleurs sociaux font de la loi.</w:t>
      </w:r>
    </w:p>
    <w:p w14:paraId="24994128" w14:textId="1F695F31" w:rsidR="00942EC6" w:rsidRPr="00EB61BC" w:rsidRDefault="007075B5" w:rsidP="00F63E0A">
      <w:pPr>
        <w:ind w:left="1416"/>
        <w:jc w:val="center"/>
        <w:rPr>
          <w:rFonts w:ascii="Arial" w:hAnsi="Arial" w:cs="Arial"/>
          <w:i/>
          <w:color w:val="FFFFFF" w:themeColor="background1"/>
          <w:sz w:val="24"/>
          <w:szCs w:val="24"/>
        </w:rPr>
      </w:pPr>
      <w:r w:rsidRPr="00EB61BC">
        <w:rPr>
          <w:rFonts w:ascii="Arial" w:hAnsi="Arial" w:cs="Arial"/>
          <w:i/>
          <w:color w:val="FFFFFF" w:themeColor="background1"/>
          <w:sz w:val="24"/>
          <w:szCs w:val="24"/>
        </w:rPr>
        <w:t xml:space="preserve">Logement – Précarité – Expulsions locatives – </w:t>
      </w:r>
      <w:r w:rsidR="00E440FD" w:rsidRPr="00EB61BC">
        <w:rPr>
          <w:rFonts w:ascii="Arial" w:hAnsi="Arial" w:cs="Arial"/>
          <w:i/>
          <w:color w:val="FFFFFF" w:themeColor="background1"/>
          <w:sz w:val="24"/>
          <w:szCs w:val="24"/>
        </w:rPr>
        <w:t>Interactionnisme</w:t>
      </w:r>
      <w:r w:rsidRPr="00EB61BC">
        <w:rPr>
          <w:rFonts w:ascii="Arial" w:hAnsi="Arial" w:cs="Arial"/>
          <w:i/>
          <w:color w:val="FFFFFF" w:themeColor="background1"/>
          <w:sz w:val="24"/>
          <w:szCs w:val="24"/>
        </w:rPr>
        <w:t xml:space="preserve"> – Ethnographie économique</w:t>
      </w:r>
      <w:r w:rsidR="00234966" w:rsidRPr="00EB61BC">
        <w:rPr>
          <w:rFonts w:ascii="Arial" w:hAnsi="Arial" w:cs="Arial"/>
          <w:i/>
          <w:color w:val="FFFFFF" w:themeColor="background1"/>
          <w:sz w:val="24"/>
          <w:szCs w:val="24"/>
        </w:rPr>
        <w:t xml:space="preserve"> – Carrière – Trajectoires </w:t>
      </w:r>
      <w:r w:rsidR="00603E26" w:rsidRPr="00EB61BC">
        <w:rPr>
          <w:rFonts w:ascii="Arial" w:hAnsi="Arial" w:cs="Arial"/>
          <w:i/>
          <w:color w:val="FFFFFF" w:themeColor="background1"/>
          <w:sz w:val="24"/>
          <w:szCs w:val="24"/>
        </w:rPr>
        <w:t xml:space="preserve">– Configuration </w:t>
      </w:r>
    </w:p>
    <w:sectPr w:rsidR="00942EC6" w:rsidRPr="00EB61BC">
      <w:headerReference w:type="default" r:id="rId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F07BE" w14:textId="77777777" w:rsidR="002A1CE0" w:rsidRDefault="002A1CE0" w:rsidP="00614461">
      <w:pPr>
        <w:spacing w:after="0" w:line="240" w:lineRule="auto"/>
      </w:pPr>
      <w:r>
        <w:separator/>
      </w:r>
    </w:p>
  </w:endnote>
  <w:endnote w:type="continuationSeparator" w:id="0">
    <w:p w14:paraId="1D1EA4BA" w14:textId="77777777" w:rsidR="002A1CE0" w:rsidRDefault="002A1CE0" w:rsidP="0061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de2000">
    <w:altName w:val="Yu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6A024" w14:textId="77777777" w:rsidR="002A1CE0" w:rsidRDefault="002A1CE0" w:rsidP="00614461">
      <w:pPr>
        <w:spacing w:after="0" w:line="240" w:lineRule="auto"/>
      </w:pPr>
      <w:r>
        <w:separator/>
      </w:r>
    </w:p>
  </w:footnote>
  <w:footnote w:type="continuationSeparator" w:id="0">
    <w:p w14:paraId="1128187E" w14:textId="77777777" w:rsidR="002A1CE0" w:rsidRDefault="002A1CE0" w:rsidP="00614461">
      <w:pPr>
        <w:spacing w:after="0" w:line="240" w:lineRule="auto"/>
      </w:pPr>
      <w:r>
        <w:continuationSeparator/>
      </w:r>
    </w:p>
  </w:footnote>
  <w:footnote w:id="1">
    <w:p w14:paraId="46E6823A" w14:textId="2F199777" w:rsidR="009F7288" w:rsidRPr="00C921A7" w:rsidRDefault="009F7288" w:rsidP="00C921A7">
      <w:pPr>
        <w:pStyle w:val="Notedebasdepage"/>
      </w:pPr>
      <w:r w:rsidRPr="009A7869">
        <w:rPr>
          <w:rStyle w:val="Appelnotedebasdep"/>
        </w:rPr>
        <w:footnoteRef/>
      </w:r>
      <w:r w:rsidRPr="00C921A7">
        <w:t>On dénombre les personnes qui doivent quitter leur domicile dans un délai d'un mois après le jour du décompte pour les raisons suivantes : a. Un verdict d'expulsion judiciaire signifié ; b. Un décret d'inaptitude ; c. Un délai de préavis expiré ou un délai de préavis qui expirera dans le mois suivant le jour du dénombrement.</w:t>
      </w:r>
    </w:p>
  </w:footnote>
  <w:footnote w:id="2">
    <w:p w14:paraId="3CC2667D" w14:textId="601EB8D0" w:rsidR="009F7288" w:rsidRPr="00C921A7" w:rsidRDefault="009F7288" w:rsidP="00C921A7">
      <w:pPr>
        <w:pStyle w:val="Notedebasdepage"/>
      </w:pPr>
      <w:r w:rsidRPr="00C921A7">
        <w:rPr>
          <w:rStyle w:val="Appelnotedebasdep"/>
        </w:rPr>
        <w:footnoteRef/>
      </w:r>
      <w:r w:rsidRPr="00C921A7">
        <w:t xml:space="preserve"> Initiative citoyenne bruxelloise. Cf. </w:t>
      </w:r>
      <w:r w:rsidRPr="00C921A7">
        <w:rPr>
          <w:i/>
        </w:rPr>
        <w:t xml:space="preserve">infra, </w:t>
      </w:r>
      <w:r w:rsidRPr="00C921A7">
        <w:t>p.12.</w:t>
      </w:r>
    </w:p>
  </w:footnote>
  <w:footnote w:id="3">
    <w:p w14:paraId="660BE2F2" w14:textId="2A3D4D24" w:rsidR="009F7288" w:rsidRPr="00C921A7" w:rsidRDefault="009F7288" w:rsidP="00C921A7">
      <w:pPr>
        <w:pStyle w:val="Notedebasdepage"/>
        <w:rPr>
          <w:lang w:val="fr-FR"/>
        </w:rPr>
      </w:pPr>
      <w:r w:rsidRPr="00C921A7">
        <w:rPr>
          <w:rStyle w:val="Appelnotedebasdep"/>
        </w:rPr>
        <w:footnoteRef/>
      </w:r>
      <w:r w:rsidRPr="00C921A7">
        <w:t xml:space="preserve"> Dans « Problématiser », Cyril Lemieux propose une définition positive et précise de l’acte de problématiser en sociologie : « nous dirons que cet acte consiste dans le fait de formuler une énigme ayant ceci de spécifique que sa réponse appelle </w:t>
      </w:r>
      <w:r w:rsidRPr="00C921A7">
        <w:rPr>
          <w:i/>
          <w:iCs/>
        </w:rPr>
        <w:t>nécessairement</w:t>
      </w:r>
      <w:r w:rsidRPr="00C921A7">
        <w:t> à la fois la construction d’un objet sociologique et une démarche d’enquête empirique »</w:t>
      </w:r>
      <w:r>
        <w:t xml:space="preserve">. Cf. </w:t>
      </w:r>
      <w:r w:rsidRPr="00C921A7">
        <w:rPr>
          <w:rStyle w:val="uppercase"/>
          <w:color w:val="323232"/>
          <w:shd w:val="clear" w:color="auto" w:fill="FFFFFF"/>
        </w:rPr>
        <w:t>Lemieux</w:t>
      </w:r>
      <w:r w:rsidRPr="00C921A7">
        <w:rPr>
          <w:color w:val="323232"/>
          <w:shd w:val="clear" w:color="auto" w:fill="FFFFFF"/>
        </w:rPr>
        <w:t xml:space="preserve"> Cyril. « Problématiser », </w:t>
      </w:r>
      <w:r>
        <w:rPr>
          <w:color w:val="323232"/>
          <w:shd w:val="clear" w:color="auto" w:fill="FFFFFF"/>
        </w:rPr>
        <w:t xml:space="preserve">in </w:t>
      </w:r>
      <w:r w:rsidRPr="00C921A7">
        <w:rPr>
          <w:color w:val="323232"/>
          <w:shd w:val="clear" w:color="auto" w:fill="FFFFFF"/>
        </w:rPr>
        <w:t>Serge Paugam éd., </w:t>
      </w:r>
      <w:r w:rsidRPr="00C921A7">
        <w:rPr>
          <w:i/>
          <w:iCs/>
          <w:color w:val="323232"/>
          <w:shd w:val="clear" w:color="auto" w:fill="FFFFFF"/>
        </w:rPr>
        <w:t>L’enquête sociologique. </w:t>
      </w:r>
      <w:r w:rsidRPr="00C921A7">
        <w:rPr>
          <w:color w:val="323232"/>
          <w:shd w:val="clear" w:color="auto" w:fill="FFFFFF"/>
        </w:rPr>
        <w:t xml:space="preserve">Presses Universitaires de France, 2012, </w:t>
      </w:r>
      <w:r>
        <w:rPr>
          <w:color w:val="323232"/>
          <w:shd w:val="clear" w:color="auto" w:fill="FFFFFF"/>
        </w:rPr>
        <w:t>p.30</w:t>
      </w:r>
      <w:r w:rsidRPr="00C921A7">
        <w:rPr>
          <w:color w:val="323232"/>
          <w:shd w:val="clear" w:color="auto" w:fill="FFFFFF"/>
        </w:rPr>
        <w:t>.</w:t>
      </w:r>
    </w:p>
  </w:footnote>
  <w:footnote w:id="4">
    <w:p w14:paraId="3339B6DC" w14:textId="010CE3EF" w:rsidR="009F7288" w:rsidRPr="00C921A7" w:rsidRDefault="009F7288" w:rsidP="00C921A7">
      <w:pPr>
        <w:pStyle w:val="Notedebasdepage"/>
      </w:pPr>
      <w:r w:rsidRPr="00C921A7">
        <w:rPr>
          <w:rStyle w:val="Appelnotedebasdep"/>
        </w:rPr>
        <w:footnoteRef/>
      </w:r>
      <w:r w:rsidRPr="00C921A7">
        <w:t xml:space="preserve"> La loi n° 90-449 du 31 mai 1990 visant à la mise en œuvre du droit au logement, dite loi Besson, est une </w:t>
      </w:r>
      <w:hyperlink r:id="rId1" w:tooltip="Loi française" w:history="1">
        <w:r w:rsidRPr="00C921A7">
          <w:t>loi française</w:t>
        </w:r>
      </w:hyperlink>
      <w:r w:rsidRPr="00C921A7">
        <w:t> qui vise à garantir un </w:t>
      </w:r>
      <w:hyperlink r:id="rId2" w:tooltip="Droit au logement" w:history="1">
        <w:r w:rsidRPr="00C921A7">
          <w:t>droit au logement</w:t>
        </w:r>
      </w:hyperlink>
      <w:r w:rsidRPr="00C921A7">
        <w:t> par la création des « </w:t>
      </w:r>
      <w:hyperlink r:id="rId3" w:tooltip="Plan départemental d'action pour le logement des personnes défavorisées" w:history="1">
        <w:r w:rsidRPr="00C921A7">
          <w:t>plans départementaux d'action pour le logement des personnes défavorisées</w:t>
        </w:r>
      </w:hyperlink>
      <w:r w:rsidRPr="00C921A7">
        <w:t xml:space="preserve"> » (PDALPD) et un « dispositif d'incitation à l'investissement locatif ». Texte de loi complet disponible ici : </w:t>
      </w:r>
      <w:hyperlink r:id="rId4" w:history="1">
        <w:r w:rsidRPr="00C921A7">
          <w:t>https://www.legifrance.gouv.fr/jorf/id/JORFTEXT000000159413</w:t>
        </w:r>
      </w:hyperlink>
      <w:r w:rsidRPr="00C921A7">
        <w:t xml:space="preserve"> </w:t>
      </w:r>
    </w:p>
  </w:footnote>
  <w:footnote w:id="5">
    <w:p w14:paraId="4CC5DC4C" w14:textId="4DB04A79" w:rsidR="009F7288" w:rsidRPr="00C921A7" w:rsidRDefault="009F7288" w:rsidP="00C921A7">
      <w:pPr>
        <w:pStyle w:val="Notedebasdepage"/>
      </w:pPr>
      <w:r w:rsidRPr="00C921A7">
        <w:rPr>
          <w:rStyle w:val="Appelnotedebasdep"/>
        </w:rPr>
        <w:footnoteRef/>
      </w:r>
      <w:r w:rsidRPr="00C921A7">
        <w:t xml:space="preserve"> Cf. note précédente.</w:t>
      </w:r>
    </w:p>
  </w:footnote>
  <w:footnote w:id="6">
    <w:p w14:paraId="361315FF" w14:textId="12C6723E" w:rsidR="009F7288" w:rsidRPr="00C921A7" w:rsidRDefault="009F7288" w:rsidP="00C921A7">
      <w:pPr>
        <w:pStyle w:val="Notedebasdepage"/>
        <w:rPr>
          <w:lang w:val="fr-FR"/>
        </w:rPr>
      </w:pPr>
      <w:r w:rsidRPr="00C921A7">
        <w:rPr>
          <w:rStyle w:val="Appelnotedebasdep"/>
        </w:rPr>
        <w:footnoteRef/>
      </w:r>
      <w:r w:rsidRPr="00C921A7">
        <w:t xml:space="preserve"> </w:t>
      </w:r>
      <w:r w:rsidRPr="00C921A7">
        <w:rPr>
          <w:lang w:val="fr-FR"/>
        </w:rPr>
        <w:t>Traduction de statistique nord-américaine qui n’existe pas dans nos pays.</w:t>
      </w:r>
    </w:p>
  </w:footnote>
  <w:footnote w:id="7">
    <w:p w14:paraId="496D6D05" w14:textId="49D474CF" w:rsidR="009F7288" w:rsidRPr="00C921A7" w:rsidRDefault="009F7288" w:rsidP="00C921A7">
      <w:pPr>
        <w:pStyle w:val="Notedebasdepage"/>
      </w:pPr>
      <w:r w:rsidRPr="00C921A7">
        <w:rPr>
          <w:rStyle w:val="Appelnotedebasdep"/>
        </w:rPr>
        <w:footnoteRef/>
      </w:r>
      <w:r w:rsidRPr="00C921A7">
        <w:t xml:space="preserve"> Disponible sur : </w:t>
      </w:r>
      <w:hyperlink r:id="rId5" w:history="1">
        <w:r w:rsidRPr="00C921A7">
          <w:rPr>
            <w:rStyle w:val="Lienhypertexte"/>
          </w:rPr>
          <w:t>https://evictions.study/maps.html</w:t>
        </w:r>
      </w:hyperlink>
      <w:r w:rsidRPr="00C921A7">
        <w:t xml:space="preserve">. </w:t>
      </w:r>
    </w:p>
  </w:footnote>
  <w:footnote w:id="8">
    <w:p w14:paraId="361564D5" w14:textId="6777043B" w:rsidR="009F7288" w:rsidRPr="00C921A7" w:rsidRDefault="009F7288" w:rsidP="00C921A7">
      <w:pPr>
        <w:pStyle w:val="Notedebasdepage"/>
      </w:pPr>
      <w:r w:rsidRPr="00C921A7">
        <w:rPr>
          <w:rStyle w:val="Appelnotedebasdep"/>
        </w:rPr>
        <w:footnoteRef/>
      </w:r>
      <w:r w:rsidRPr="00C921A7">
        <w:t xml:space="preserve"> Disponible sur : </w:t>
      </w:r>
      <w:hyperlink r:id="rId6" w:history="1">
        <w:r w:rsidRPr="00C921A7">
          <w:rPr>
            <w:rStyle w:val="Lienhypertexte"/>
          </w:rPr>
          <w:t>https://rwdh.be/lutte-contre-les-evictions-et-expulsions/</w:t>
        </w:r>
      </w:hyperlink>
      <w:r w:rsidRPr="00C921A7">
        <w:t xml:space="preserve">. </w:t>
      </w:r>
    </w:p>
  </w:footnote>
  <w:footnote w:id="9">
    <w:p w14:paraId="2EF124C2" w14:textId="5DCBD369" w:rsidR="009F7288" w:rsidRPr="00C921A7" w:rsidRDefault="009F7288" w:rsidP="00C921A7">
      <w:pPr>
        <w:pStyle w:val="Notedebasdepage"/>
        <w:rPr>
          <w:lang w:val="fr-FR"/>
        </w:rPr>
      </w:pPr>
      <w:r w:rsidRPr="00C921A7">
        <w:rPr>
          <w:rStyle w:val="Appelnotedebasdep"/>
        </w:rPr>
        <w:footnoteRef/>
      </w:r>
      <w:r w:rsidRPr="00C921A7">
        <w:t xml:space="preserve"> </w:t>
      </w:r>
      <w:r w:rsidRPr="00C921A7">
        <w:rPr>
          <w:lang w:val="fr-FR"/>
        </w:rPr>
        <w:t>L’accord de gouvernement stipule que « Ces contrats porteront prioritairement sur la promotion de la santé, la prévention, les politiques de soins et l'accompagnement médico-social, le logement et la santé alimentaire. Ils seront organisés sur un canevas en trois phases : une analyse et un diagnostic des besoins, l’implémentation des mesures et une phase d’évaluation. » (</w:t>
      </w:r>
      <w:r>
        <w:rPr>
          <w:lang w:val="fr-FR"/>
        </w:rPr>
        <w:t xml:space="preserve">Déclaration de politique générale, 2019 : </w:t>
      </w:r>
      <w:r w:rsidRPr="00C921A7">
        <w:rPr>
          <w:lang w:val="fr-FR"/>
        </w:rPr>
        <w:t>32). De l’annonce à la mise en œuvre, ces axes se sont précisés et les expulsions locatives sont maintenant devenues un des deux axes de travail prioritaires, alors que l’accorde parlait que de « logement ». L’enquête que je mène dans le cadre de ma thèse doit notamment m’aider à retracer le processus et comprendre comment est-ce que le sujet s’est resserré autour des expulsions.</w:t>
      </w:r>
    </w:p>
  </w:footnote>
  <w:footnote w:id="10">
    <w:p w14:paraId="1A88A814" w14:textId="6EDB8052" w:rsidR="009F7288" w:rsidRPr="00C921A7" w:rsidRDefault="009F7288" w:rsidP="00C921A7">
      <w:pPr>
        <w:pStyle w:val="Notedebasdepage"/>
        <w:spacing w:after="120"/>
      </w:pPr>
      <w:r w:rsidRPr="00C921A7">
        <w:rPr>
          <w:rStyle w:val="Appelnotedebasdep"/>
        </w:rPr>
        <w:footnoteRef/>
      </w:r>
      <w:r w:rsidRPr="00C921A7">
        <w:t xml:space="preserve"> Pour la définition des départs ou déménagements forcés, nous nous appuierons sur les travaux de Lessard &amp; al : « Les déménagements forcés désignent tout départ directement ou indirectement induit par un avis d’éviction, par la hausse des coûts de loyer, par les transformations associées à la revitalisation des quartiers centraux, bref à tout ce qui est plus généralement associé au phénomène de gentrification. Un déménagement forcé est involontaire. Il survient lorsque le locataire respectait en tout point les conditions de son bail. Il entraîne une perte de contrôle du ménage sur sa situation. » </w:t>
      </w:r>
      <w:r>
        <w:t xml:space="preserve">cf. Lessard Guillaume, Sénécal Gilles et Hamel Pierre J., </w:t>
      </w:r>
      <w:r w:rsidRPr="00860A98">
        <w:rPr>
          <w:i/>
        </w:rPr>
        <w:t>La gentrification des quartiers centraux et l’accès au logement : un état de la question et pistes de solution</w:t>
      </w:r>
      <w:r>
        <w:rPr>
          <w:i/>
        </w:rPr>
        <w:t>.</w:t>
      </w:r>
      <w:r w:rsidRPr="00860A98">
        <w:rPr>
          <w:i/>
        </w:rPr>
        <w:t xml:space="preserve"> Rapport remis à monsieur Réal Ménard, maire de l’arrondissement Mercier–Hochelaga-Maisonneuve</w:t>
      </w:r>
      <w:r>
        <w:t xml:space="preserve">, INRS, 2017, p.15. Disponible sur : </w:t>
      </w:r>
      <w:hyperlink r:id="rId7" w:history="1">
        <w:r w:rsidRPr="00857FC7">
          <w:rPr>
            <w:rStyle w:val="Lienhypertexte"/>
          </w:rPr>
          <w:t>http://ville.montreal.qc.ca/pls/portal/docs/PAGE/ARROND_MHM_FR/MEDIA/DOCUMENTS/RAPPORT-LESSARD-S%C9N%C9CAL-HAMEL-FINAL25-4.PDF</w:t>
        </w:r>
      </w:hyperlink>
      <w:r>
        <w:t xml:space="preserve"> </w:t>
      </w:r>
    </w:p>
    <w:p w14:paraId="1FED80FC" w14:textId="5115AB62" w:rsidR="009F7288" w:rsidRPr="00C921A7" w:rsidRDefault="009F7288" w:rsidP="00C921A7">
      <w:pPr>
        <w:pStyle w:val="Notedebasdepage"/>
        <w:spacing w:after="120"/>
      </w:pPr>
      <w:r w:rsidRPr="00C921A7">
        <w:t>Le Rapport bruxellois sur l’état de la pauvreté (2018) notait déjà qu’au vu du contexte bruxellois, au-delà des expulsions encadrées par les procédures légales, il faut aussi s’intéresser à ce que l’on nomme « départ forcé » ou « déménagement forcé »</w:t>
      </w:r>
      <w:r>
        <w:t xml:space="preserve"> cf.</w:t>
      </w:r>
      <w:r w:rsidRPr="00860A98">
        <w:rPr>
          <w:i/>
        </w:rPr>
        <w:t xml:space="preserve"> Rapport bruxellois sur l’état de la pauvreté</w:t>
      </w:r>
      <w:r>
        <w:t>,</w:t>
      </w:r>
      <w:r w:rsidRPr="00C921A7">
        <w:t xml:space="preserve"> 2018</w:t>
      </w:r>
      <w:r>
        <w:t>, p.</w:t>
      </w:r>
      <w:r w:rsidRPr="00C921A7">
        <w:t xml:space="preserve">39. </w:t>
      </w:r>
    </w:p>
    <w:p w14:paraId="55729E3E" w14:textId="2F3A3CCB" w:rsidR="009F7288" w:rsidRPr="00C921A7" w:rsidRDefault="009F7288" w:rsidP="00C921A7">
      <w:pPr>
        <w:pStyle w:val="Notedebasdepage"/>
        <w:spacing w:after="240"/>
      </w:pPr>
      <w:r w:rsidRPr="00C921A7">
        <w:t>Notons enfin que l’Observatoire des Loyers (2017) indique que parmi les personnes ayant récemment emménagé (depuis moins de 3 ans) en Région bruxelloise et dont le logement précédent se situait déjà dans la Région, pas moins de 12 % ont quitté leur ancien logement dans un cadre qualifié de départ forcé</w:t>
      </w:r>
      <w:r>
        <w:t xml:space="preserve">. </w:t>
      </w:r>
    </w:p>
    <w:p w14:paraId="67F13E3C" w14:textId="77777777" w:rsidR="009F7288" w:rsidRPr="00C921A7" w:rsidRDefault="009F7288" w:rsidP="00C921A7">
      <w:pPr>
        <w:pStyle w:val="Notedebasdepage"/>
      </w:pPr>
    </w:p>
  </w:footnote>
  <w:footnote w:id="11">
    <w:p w14:paraId="275F162F" w14:textId="1B025593" w:rsidR="009F7288" w:rsidRPr="006E7FCE" w:rsidRDefault="009F7288">
      <w:pPr>
        <w:pStyle w:val="Notedebasdepage"/>
      </w:pPr>
      <w:r>
        <w:rPr>
          <w:rStyle w:val="Appelnotedebasdep"/>
        </w:rPr>
        <w:footnoteRef/>
      </w:r>
      <w:r>
        <w:t xml:space="preserve"> Au moment où je conclue ce mémoire, le second rapport du groupe de recherche Bru-Home est sorti (juillet 2022). Je n’ai pas eu le temps d’intégrer les résultats au sein de cet inventaire de données quantitatives. Mais, ayant lu rapidement le rapport, je peux confirmer qu’aucun chiffre ne vient démentir les tendances exposées ici. Le rapport précise notamment qu’à Bruxelles, sur les </w:t>
      </w:r>
      <w:r w:rsidRPr="00F52E8D">
        <w:t>3.908 jugements d’expulsion</w:t>
      </w:r>
      <w:r>
        <w:t xml:space="preserve"> de logement répertoriées, d</w:t>
      </w:r>
      <w:r w:rsidRPr="00F52E8D">
        <w:t>ans six cas sur 10, le jugement est rendu par défaut, c’est-à-dire en l’absence du locataire (ou d’une personne le représentant) à l’audience</w:t>
      </w:r>
      <w:r>
        <w:t xml:space="preserve"> (p.12). </w:t>
      </w:r>
      <w:r w:rsidRPr="00F52E8D">
        <w:t>Les jugements d’expulsion sont motivés dans plus de 8 cas sur 10 par des arriérés locatifs</w:t>
      </w:r>
      <w:r>
        <w:t xml:space="preserve"> (p.14). </w:t>
      </w:r>
      <w:r w:rsidRPr="00F52E8D">
        <w:t>En 2018, environ 13 ménages locataires sur 1.000 ont reçu un jugement d’expulsion. Cela représente 11 expulsions prononcées chaque jour de l’année</w:t>
      </w:r>
      <w:r>
        <w:t xml:space="preserve"> (p.18)</w:t>
      </w:r>
      <w:r w:rsidRPr="00F52E8D">
        <w:t>. La grande majorité des expulsions judiciaires concerne des logements loués sur le marché privé (81%) et sont justifiées par des arriérés de loyer (86%) d’un montant médian de 2.900 €</w:t>
      </w:r>
      <w:r>
        <w:t xml:space="preserve"> (p.38)</w:t>
      </w:r>
      <w:r w:rsidRPr="00F52E8D">
        <w:t>.</w:t>
      </w:r>
      <w:r>
        <w:t xml:space="preserve"> D’autres données intéressantes sont présentées dans le rapport, notamment concernant les profils des ménages mais je ne les reprends pas ici, à cause de potentiels biais annoncés dans le rapport. Bru-home, </w:t>
      </w:r>
      <w:r w:rsidRPr="000E14E0">
        <w:rPr>
          <w:rFonts w:cs="Times New Roman"/>
          <w:i/>
        </w:rPr>
        <w:t>Les expulsions de logement à Bruxelles :</w:t>
      </w:r>
      <w:r>
        <w:rPr>
          <w:rFonts w:cs="Times New Roman"/>
          <w:i/>
        </w:rPr>
        <w:t xml:space="preserve"> </w:t>
      </w:r>
      <w:r w:rsidRPr="000E14E0">
        <w:rPr>
          <w:rFonts w:cs="Times New Roman"/>
          <w:i/>
        </w:rPr>
        <w:t>État des lieux chiffré et spatialisé</w:t>
      </w:r>
      <w:r>
        <w:rPr>
          <w:rFonts w:cs="Times New Roman"/>
          <w:i/>
        </w:rPr>
        <w:t xml:space="preserve">, </w:t>
      </w:r>
      <w:r>
        <w:rPr>
          <w:rFonts w:cs="Times New Roman"/>
        </w:rPr>
        <w:t xml:space="preserve">juillet 2022. Disponible sur : </w:t>
      </w:r>
      <w:hyperlink r:id="rId8" w:history="1">
        <w:r w:rsidRPr="00857FC7">
          <w:rPr>
            <w:rStyle w:val="Lienhypertexte"/>
            <w:rFonts w:cs="Times New Roman"/>
          </w:rPr>
          <w:t>https://bru-home.ulb.be/reports/bh_rapport_quanti.pdf</w:t>
        </w:r>
      </w:hyperlink>
      <w:r>
        <w:t xml:space="preserve"> </w:t>
      </w:r>
    </w:p>
  </w:footnote>
  <w:footnote w:id="12">
    <w:p w14:paraId="4F5146AC" w14:textId="75CFD58D" w:rsidR="009F7288" w:rsidRPr="00C921A7" w:rsidRDefault="009F7288" w:rsidP="00C921A7">
      <w:pPr>
        <w:pStyle w:val="Notedebasdepage"/>
      </w:pPr>
      <w:r w:rsidRPr="00C921A7">
        <w:rPr>
          <w:rStyle w:val="Appelnotedebasdep"/>
        </w:rPr>
        <w:footnoteRef/>
      </w:r>
      <w:r w:rsidRPr="00C921A7">
        <w:t xml:space="preserve"> La recherche wallonne a sollicité : les communes, les chambres d’arrondissement des huissiers de justice, les Agences immobilières sociales, les SLSP, les cantons judiciaires pour l’étude quantitative (IWEPS, 2015).</w:t>
      </w:r>
    </w:p>
  </w:footnote>
  <w:footnote w:id="13">
    <w:p w14:paraId="6F3F174B" w14:textId="4C654A8F" w:rsidR="009F7288" w:rsidRPr="00C921A7" w:rsidRDefault="009F7288" w:rsidP="00C921A7">
      <w:pPr>
        <w:pStyle w:val="Notedebasdepage"/>
      </w:pPr>
      <w:r w:rsidRPr="00C921A7">
        <w:rPr>
          <w:rStyle w:val="Appelnotedebasdep"/>
        </w:rPr>
        <w:footnoteRef/>
      </w:r>
      <w:r w:rsidRPr="00C921A7">
        <w:t xml:space="preserve"> SPF Justice (service d’appui du Collège des cours et tribunaux), Cantons justice de paix, Chambre d’arbitrage et de médiation, Chambre nationale des huissiers, Chambre des huissiers de l’arrondissement de Bruxelles, Une Étude de Huissier, à titre d’exemple, 19 CPAS, 19 Communes, 6 zones de police, SLRB, Fonds du logement, FEDAIS, DIRL. Pour les données disponibles pour chacun de ces organismes, cf. </w:t>
      </w:r>
      <w:r>
        <w:t>T</w:t>
      </w:r>
      <w:r w:rsidRPr="00C921A7">
        <w:t xml:space="preserve">ableau 4, </w:t>
      </w:r>
      <w:r w:rsidRPr="00860A98">
        <w:rPr>
          <w:i/>
        </w:rPr>
        <w:t>Rapport de l’Observatoire de la santé et du social bruxellois</w:t>
      </w:r>
      <w:r w:rsidRPr="00C921A7">
        <w:t>,</w:t>
      </w:r>
      <w:r>
        <w:t xml:space="preserve"> 2018,</w:t>
      </w:r>
      <w:r w:rsidRPr="00C921A7">
        <w:t xml:space="preserve"> pp.46-47.</w:t>
      </w:r>
    </w:p>
  </w:footnote>
  <w:footnote w:id="14">
    <w:p w14:paraId="76649EF2" w14:textId="3BA5911A" w:rsidR="009F7288" w:rsidRPr="00C921A7" w:rsidRDefault="009F7288" w:rsidP="00C921A7">
      <w:pPr>
        <w:pStyle w:val="Notedebasdepage"/>
      </w:pPr>
      <w:r w:rsidRPr="00C921A7">
        <w:rPr>
          <w:rStyle w:val="Appelnotedebasdep"/>
        </w:rPr>
        <w:footnoteRef/>
      </w:r>
      <w:r w:rsidRPr="00C921A7">
        <w:t xml:space="preserve"> J’emprunte ce terme à Robert Castel : « Le terme de support peut avoir plusieurs sens, mais je le prends ici au sens de condition objective de possibilité. C'est la capacité de disposer de réserves qui peuvent être de type relationnel, culturel, économique, etc. […] comme conditions préalables pour entrer dans un processus de devenir-sujet. » (Castel</w:t>
      </w:r>
      <w:r>
        <w:t xml:space="preserve"> &amp;</w:t>
      </w:r>
      <w:r w:rsidRPr="00C921A7">
        <w:t xml:space="preserve"> Haroche, 2001 : 29.)</w:t>
      </w:r>
    </w:p>
  </w:footnote>
  <w:footnote w:id="15">
    <w:p w14:paraId="3D0ECD9B" w14:textId="2A3C95F5" w:rsidR="009F7288" w:rsidRPr="00C921A7" w:rsidRDefault="009F7288" w:rsidP="00C921A7">
      <w:pPr>
        <w:pStyle w:val="Notedebasdepage"/>
      </w:pPr>
      <w:r w:rsidRPr="00C921A7">
        <w:rPr>
          <w:rStyle w:val="Appelnotedebasdep"/>
        </w:rPr>
        <w:footnoteRef/>
      </w:r>
      <w:r w:rsidRPr="00C921A7">
        <w:t xml:space="preserve"> Il existe la possibilité d’introduire une requête conjointe : lorsque les deux parties sont en conflit et décident de comparaitre spontanément devant le tribunal, ce qui permet de réduire les frais d’huissier et garantit la présence de locataire. </w:t>
      </w:r>
    </w:p>
  </w:footnote>
  <w:footnote w:id="16">
    <w:p w14:paraId="23823C8B" w14:textId="396A15BE" w:rsidR="009F7288" w:rsidRPr="00C921A7" w:rsidRDefault="009F7288" w:rsidP="00C921A7">
      <w:pPr>
        <w:pStyle w:val="Notedebasdepage"/>
      </w:pPr>
      <w:r w:rsidRPr="00C921A7">
        <w:rPr>
          <w:rStyle w:val="Appelnotedebasdep"/>
        </w:rPr>
        <w:footnoteRef/>
      </w:r>
      <w:r w:rsidRPr="00C921A7">
        <w:t xml:space="preserve"> Le propriétaire peut décider d’avoi recours à l’un ou l’autre, ce qui n’aura pas le même impact sur le locataire, vue la différence de coût entre ces deux types d’introduction : le coût de la requête devant le Juge de Paix est de 50 EUR, tandis que celui de la citation se situe entre 200 EUR et 350 EUR, à la charge du locataire. </w:t>
      </w:r>
    </w:p>
  </w:footnote>
  <w:footnote w:id="17">
    <w:p w14:paraId="147C3F2F" w14:textId="77777777" w:rsidR="009F7288" w:rsidRPr="00C921A7" w:rsidRDefault="009F7288" w:rsidP="00C921A7">
      <w:pPr>
        <w:pStyle w:val="Notedebasdepage"/>
      </w:pPr>
      <w:r w:rsidRPr="00C921A7">
        <w:rPr>
          <w:rStyle w:val="Appelnotedebasdep"/>
        </w:rPr>
        <w:footnoteRef/>
      </w:r>
      <w:r w:rsidRPr="00C921A7">
        <w:t xml:space="preserve"> Loi du 19 octobre 2015 modifiant le droit de la procédure civile et portant des dispositions diverses en matière de justice, M.B., 22 octobre 2015.</w:t>
      </w:r>
    </w:p>
  </w:footnote>
  <w:footnote w:id="18">
    <w:p w14:paraId="075A1146" w14:textId="77777777" w:rsidR="009F7288" w:rsidRPr="00C921A7" w:rsidRDefault="009F7288" w:rsidP="00C921A7">
      <w:pPr>
        <w:pStyle w:val="Notedebasdepage"/>
      </w:pPr>
      <w:r w:rsidRPr="00C921A7">
        <w:rPr>
          <w:rStyle w:val="Appelnotedebasdep"/>
        </w:rPr>
        <w:footnoteRef/>
      </w:r>
      <w:r w:rsidRPr="00C921A7">
        <w:t xml:space="preserve"> Loi du 30 novembre 1998 modifiant certaines dispositions du Code judiciaire relatives à la procédure en matière de louage de choses. </w:t>
      </w:r>
    </w:p>
  </w:footnote>
  <w:footnote w:id="19">
    <w:p w14:paraId="54D0D147" w14:textId="57ABDBF0" w:rsidR="009F7288" w:rsidRPr="00C921A7" w:rsidRDefault="009F7288" w:rsidP="00C921A7">
      <w:pPr>
        <w:spacing w:after="0" w:line="240" w:lineRule="auto"/>
        <w:rPr>
          <w:sz w:val="20"/>
          <w:szCs w:val="20"/>
        </w:rPr>
      </w:pPr>
      <w:r w:rsidRPr="00C921A7">
        <w:rPr>
          <w:rStyle w:val="Appelnotedebasdep"/>
          <w:sz w:val="20"/>
          <w:szCs w:val="20"/>
        </w:rPr>
        <w:footnoteRef/>
      </w:r>
      <w:r w:rsidRPr="00C921A7">
        <w:rPr>
          <w:sz w:val="20"/>
          <w:szCs w:val="20"/>
        </w:rPr>
        <w:t xml:space="preserve"> Cette faculté de s’opposer, au nom du droit à la vie privée, doit légalement être portée à la connaissance du locataire par une mention dans la requête écrite ou la citation.</w:t>
      </w:r>
    </w:p>
  </w:footnote>
  <w:footnote w:id="20">
    <w:p w14:paraId="425B3CEA" w14:textId="1A5A2CA4" w:rsidR="009F7288" w:rsidRPr="00C921A7" w:rsidRDefault="009F7288" w:rsidP="00C921A7">
      <w:pPr>
        <w:pStyle w:val="Notedebasdepage"/>
      </w:pPr>
      <w:r w:rsidRPr="00C921A7">
        <w:rPr>
          <w:rStyle w:val="Appelnotedebasdep"/>
        </w:rPr>
        <w:footnoteRef/>
      </w:r>
      <w:r w:rsidRPr="00C921A7">
        <w:t xml:space="preserve"> Art. 519, § 4 du code judiciaire. Disponible sur :</w:t>
      </w:r>
    </w:p>
    <w:p w14:paraId="0CFF10EB" w14:textId="53674745" w:rsidR="009F7288" w:rsidRPr="00C921A7" w:rsidRDefault="002A1CE0" w:rsidP="00C921A7">
      <w:pPr>
        <w:pStyle w:val="Notedebasdepage"/>
      </w:pPr>
      <w:hyperlink r:id="rId9" w:anchor="LNK0221" w:history="1">
        <w:r w:rsidR="009F7288" w:rsidRPr="00C921A7">
          <w:rPr>
            <w:rStyle w:val="Lienhypertexte"/>
          </w:rPr>
          <w:t>https://www.ejustice.just.fgov.be/cgi_loi/loi_a1.pl?DETAIL=1967101002%2FF&amp;caller=list&amp;row_id=1&amp;numero=4&amp;rech=13&amp;cn=1967101002&amp;table_name=LOI&amp;nm=1967101053&amp;la=F&amp;dt=CODE+JUDICIAIRE&amp;language=fr&amp;fr=f&amp;choix1=ET&amp;choix2=ET&amp;fromtab=loi_all&amp;trier=promulgation&amp;chercher=t&amp;sql=dt+contains++%27CODE%27%26+%27JUDICIAIRE%27and+actif+%3D+%27Y%27&amp;tri=dd+AS+RANK+&amp;imgcn.x=35&amp;imgcn.y=9#LNK0221</w:t>
        </w:r>
      </w:hyperlink>
      <w:r w:rsidR="009F7288" w:rsidRPr="00C921A7">
        <w:t xml:space="preserve"> </w:t>
      </w:r>
    </w:p>
  </w:footnote>
  <w:footnote w:id="21">
    <w:p w14:paraId="60615D2C" w14:textId="434C4CA2" w:rsidR="009F7288" w:rsidRPr="00C921A7" w:rsidRDefault="009F7288" w:rsidP="00C921A7">
      <w:pPr>
        <w:spacing w:line="240" w:lineRule="auto"/>
        <w:rPr>
          <w:rFonts w:cs="Times New Roman"/>
          <w:sz w:val="20"/>
          <w:szCs w:val="20"/>
        </w:rPr>
      </w:pPr>
      <w:r w:rsidRPr="00C921A7">
        <w:rPr>
          <w:rStyle w:val="Appelnotedebasdep"/>
          <w:sz w:val="20"/>
          <w:szCs w:val="20"/>
        </w:rPr>
        <w:footnoteRef/>
      </w:r>
      <w:r w:rsidRPr="00C921A7">
        <w:rPr>
          <w:sz w:val="20"/>
          <w:szCs w:val="20"/>
        </w:rPr>
        <w:t xml:space="preserve"> </w:t>
      </w:r>
      <w:r w:rsidRPr="00C921A7">
        <w:rPr>
          <w:rFonts w:cs="Times New Roman"/>
          <w:sz w:val="20"/>
          <w:szCs w:val="20"/>
        </w:rPr>
        <w:t xml:space="preserve">« Après l’expiration du délai d’un mois à dater de la signification du jugement, les biens toujours présents dans les lieux loués – y compris les biens insaisissables parce qu’essentiels à une vie digne au quotidien – seront mis sur la voie publique. Ce dispositif "brutal" veut inciter le locataire à évacuer anticipativement ses biens mobiliers des lieux dont il a été expulsé. À défaut pour le locataire de les retirer, ils sont enlevés et conservés pendant six mois par l’administration communale, à l’exception des biens susceptibles de détérioration rapide ou préjudiciable à l’hygiène, qui seront évacués/détruits ou vendus. Le fruit de la vente sera conservé à destination du propriétaire de la marchandise pendant un délai de six mois, à l’expiration duquel il sera versé à la commune. L’huissier de justice procédant à l’exécution peut convenir avec la commune de faire directement transporter les biens en un lieu désigné par la commune, lorsqu’il est certain que le propriétaire les abandonnera et que l’encombrement ou l’atteinte à l’environnement serait contraire à la bonne administration de la commune. Les frais d’enlèvement et de conservation sont à charge du locataire. Les administrations communales peuvent dès lors subordonner la restitution des biens – à l’exception des biens insaisissables – au paiement préalable des frais prévus par l’autorité communale et variables pour chaque commune. » </w:t>
      </w:r>
    </w:p>
    <w:p w14:paraId="12403A01" w14:textId="77777777" w:rsidR="009F7288" w:rsidRPr="00C921A7" w:rsidRDefault="009F7288" w:rsidP="00C921A7">
      <w:pPr>
        <w:pStyle w:val="Notedebasdepage"/>
      </w:pPr>
    </w:p>
  </w:footnote>
  <w:footnote w:id="22">
    <w:p w14:paraId="02BA9BC8" w14:textId="62173540" w:rsidR="009F7288" w:rsidRPr="00DD7F67" w:rsidRDefault="009F7288" w:rsidP="00C921A7">
      <w:pPr>
        <w:pStyle w:val="Notedebasdepage"/>
      </w:pPr>
      <w:r w:rsidRPr="00C921A7">
        <w:rPr>
          <w:rStyle w:val="Appelnotedebasdep"/>
        </w:rPr>
        <w:footnoteRef/>
      </w:r>
      <w:r w:rsidRPr="00C921A7">
        <w:t xml:space="preserve"> </w:t>
      </w:r>
      <w:r w:rsidRPr="00C921A7">
        <w:rPr>
          <w:lang w:val="fr-FR"/>
        </w:rPr>
        <w:t>Notons qu’il y a des raisons de considérer le récit de vie subjectif comme matériau riche et utile, et non pur produit de « l’illusion biographique », sans forcément passer tout de suite à la notion de trajectoire telle que mobilisée par Strauss et Goffman, dans la mesure où ce type de récit, comme le note Claude Dubar, est lui-même contraint : « dans la mesure où l’expression de [la] trajectoire subjective est doublement contrainte, par les catégories lexicales disponibles et les questions du chercheur, on peut faire l’hypothèse que le corpus des entretiens recueillis et des schèmes construits à partir d’eux permet de dégager, de manière inductive, des types d’argumentation, des agencements typiques, des configurations spécifiques de catégories… » (</w:t>
      </w:r>
      <w:r w:rsidRPr="00C921A7">
        <w:rPr>
          <w:color w:val="323232"/>
          <w:shd w:val="clear" w:color="auto" w:fill="FFFFFF"/>
        </w:rPr>
        <w:t>Dubar, 1998).</w:t>
      </w:r>
      <w:r w:rsidRPr="00DD7F67">
        <w:rPr>
          <w:color w:val="323232"/>
          <w:shd w:val="clear" w:color="auto" w:fill="FFFFFF"/>
        </w:rPr>
        <w:t xml:space="preserve"> </w:t>
      </w:r>
    </w:p>
  </w:footnote>
  <w:footnote w:id="23">
    <w:p w14:paraId="501D1BB2" w14:textId="63400331" w:rsidR="009F7288" w:rsidRPr="00C921A7" w:rsidRDefault="009F7288" w:rsidP="00C921A7">
      <w:pPr>
        <w:spacing w:line="240" w:lineRule="auto"/>
        <w:rPr>
          <w:sz w:val="20"/>
          <w:szCs w:val="20"/>
        </w:rPr>
      </w:pPr>
      <w:r w:rsidRPr="00C921A7">
        <w:rPr>
          <w:rStyle w:val="Appelnotedebasdep"/>
          <w:sz w:val="20"/>
          <w:szCs w:val="20"/>
        </w:rPr>
        <w:footnoteRef/>
      </w:r>
      <w:r w:rsidRPr="00C921A7">
        <w:rPr>
          <w:sz w:val="20"/>
          <w:szCs w:val="20"/>
        </w:rPr>
        <w:t xml:space="preserve"> « </w:t>
      </w:r>
      <w:r w:rsidRPr="00C921A7">
        <w:rPr>
          <w:i/>
          <w:sz w:val="20"/>
          <w:szCs w:val="20"/>
        </w:rPr>
        <w:t xml:space="preserve">Lorsqu’on fait le récit de sa vie (…) on ordonne les évènements de façon symbolique. Le sens qu’on donne à sa vie repose sur les concepts et les interprétations auxquelles on accorde délibérément la primauté sur la multitude désordonnée des actes de son passé » (Mirrors and masks : The search for Identity, </w:t>
      </w:r>
      <w:r w:rsidRPr="00C921A7">
        <w:rPr>
          <w:sz w:val="20"/>
          <w:szCs w:val="20"/>
        </w:rPr>
        <w:t>1959, tr. Fr.1992, p.153-154, cité par De Qeiroz et Ziolkowski, 1994, p.47.)</w:t>
      </w:r>
    </w:p>
    <w:p w14:paraId="33227A34" w14:textId="53E3400D" w:rsidR="009F7288" w:rsidRPr="00C921A7" w:rsidRDefault="009F7288" w:rsidP="00C921A7">
      <w:pPr>
        <w:pStyle w:val="Notedebasdepage"/>
      </w:pPr>
    </w:p>
  </w:footnote>
  <w:footnote w:id="24">
    <w:p w14:paraId="2D6B285C" w14:textId="3AEA5B36" w:rsidR="009F7288" w:rsidRPr="00C921A7" w:rsidRDefault="009F7288" w:rsidP="00C921A7">
      <w:pPr>
        <w:pStyle w:val="Notedebasdepage"/>
        <w:rPr>
          <w:lang w:val="fr-FR"/>
        </w:rPr>
      </w:pPr>
      <w:r w:rsidRPr="00C921A7">
        <w:rPr>
          <w:rStyle w:val="Appelnotedebasdep"/>
        </w:rPr>
        <w:footnoteRef/>
      </w:r>
      <w:r w:rsidRPr="00C921A7">
        <w:t xml:space="preserve"> Becker écrit : « Il faudrait aussi prendre en compte ceux qui entretiennent avec la déviance des rapports plus éphémères et que leur carrière éloigne ultérieurement de celle-ci pour les rapprocher d'un genre de vie conventionnel. C'est ainsi, par exemple, que l'étude des jeunes délinquants qui ne continuent pas dans cette voie à l’âge adulte nous en apprendrait peut-être davantage encore que l'étude de ceux qui s'enfoncent dans la délinquance. » (Becker, 1985 : 48)</w:t>
      </w:r>
    </w:p>
  </w:footnote>
  <w:footnote w:id="25">
    <w:p w14:paraId="28DF6FD0" w14:textId="1F6792F9" w:rsidR="009F7288" w:rsidRPr="00C921A7" w:rsidRDefault="009F7288" w:rsidP="00C921A7">
      <w:pPr>
        <w:autoSpaceDE w:val="0"/>
        <w:autoSpaceDN w:val="0"/>
        <w:adjustRightInd w:val="0"/>
        <w:spacing w:after="0" w:line="240" w:lineRule="auto"/>
        <w:rPr>
          <w:sz w:val="20"/>
          <w:szCs w:val="20"/>
        </w:rPr>
      </w:pPr>
      <w:r w:rsidRPr="00C921A7">
        <w:rPr>
          <w:rStyle w:val="Appelnotedebasdep"/>
          <w:sz w:val="20"/>
          <w:szCs w:val="20"/>
        </w:rPr>
        <w:footnoteRef/>
      </w:r>
      <w:r w:rsidRPr="00C921A7">
        <w:rPr>
          <w:sz w:val="20"/>
          <w:szCs w:val="20"/>
        </w:rPr>
        <w:t xml:space="preserve"> </w:t>
      </w:r>
      <w:r w:rsidRPr="00C921A7">
        <w:rPr>
          <w:rFonts w:cs="Times New Roman"/>
          <w:sz w:val="20"/>
          <w:szCs w:val="20"/>
        </w:rPr>
        <w:t xml:space="preserve">On reprend ici, en l’adaptant les propos d’Olivier Fillieule, « Propositions pour une analyse processuelle de l’engagement individuel. </w:t>
      </w:r>
      <w:r w:rsidRPr="00C921A7">
        <w:rPr>
          <w:rFonts w:cs="Times New Roman"/>
          <w:i/>
          <w:iCs/>
          <w:sz w:val="20"/>
          <w:szCs w:val="20"/>
        </w:rPr>
        <w:t xml:space="preserve">Post Scriptum </w:t>
      </w:r>
      <w:r w:rsidRPr="00C921A7">
        <w:rPr>
          <w:rFonts w:cs="Times New Roman"/>
          <w:sz w:val="20"/>
          <w:szCs w:val="20"/>
        </w:rPr>
        <w:t xml:space="preserve">», </w:t>
      </w:r>
      <w:r w:rsidRPr="00C921A7">
        <w:rPr>
          <w:rFonts w:cs="Times New Roman"/>
          <w:i/>
          <w:iCs/>
          <w:sz w:val="20"/>
          <w:szCs w:val="20"/>
        </w:rPr>
        <w:t>Revue française de science politique</w:t>
      </w:r>
      <w:r w:rsidRPr="00C921A7">
        <w:rPr>
          <w:rFonts w:cs="Times New Roman"/>
          <w:sz w:val="20"/>
          <w:szCs w:val="20"/>
        </w:rPr>
        <w:t xml:space="preserve">, vol 51, n°1-2, 2001, pp. 199-215. </w:t>
      </w:r>
    </w:p>
  </w:footnote>
  <w:footnote w:id="26">
    <w:p w14:paraId="0D053441" w14:textId="477965D7" w:rsidR="009F7288" w:rsidRPr="00DD7F67" w:rsidRDefault="009F7288" w:rsidP="00C921A7">
      <w:pPr>
        <w:pStyle w:val="Notedebasdepage"/>
      </w:pPr>
      <w:r w:rsidRPr="00C921A7">
        <w:rPr>
          <w:rStyle w:val="Appelnotedebasdep"/>
        </w:rPr>
        <w:footnoteRef/>
      </w:r>
      <w:r w:rsidRPr="00C921A7">
        <w:t xml:space="preserve"> Pour une critique de ce paradigme, lire le passionnant article de Ana Perrin-Heredia, </w:t>
      </w:r>
      <w:r w:rsidRPr="00C921A7">
        <w:rPr>
          <w:color w:val="323232"/>
          <w:shd w:val="clear" w:color="auto" w:fill="FFFFFF"/>
        </w:rPr>
        <w:t>« Les logiques sociales de l'endettement : gestion des comptes domestiques en milieux populaires », </w:t>
      </w:r>
      <w:r w:rsidRPr="00C921A7">
        <w:rPr>
          <w:i/>
          <w:iCs/>
          <w:color w:val="323232"/>
          <w:shd w:val="clear" w:color="auto" w:fill="FFFFFF"/>
        </w:rPr>
        <w:t>Sociétés contemporaines</w:t>
      </w:r>
      <w:r w:rsidRPr="00C921A7">
        <w:rPr>
          <w:color w:val="323232"/>
          <w:shd w:val="clear" w:color="auto" w:fill="FFFFFF"/>
        </w:rPr>
        <w:t>, vol. 76, no. 4, 2009, pp. 95-119.</w:t>
      </w:r>
    </w:p>
  </w:footnote>
  <w:footnote w:id="27">
    <w:p w14:paraId="6E7FD16A" w14:textId="66119838" w:rsidR="009F7288" w:rsidRPr="00C921A7" w:rsidRDefault="009F7288" w:rsidP="00C921A7">
      <w:pPr>
        <w:pStyle w:val="Notedebasdepage"/>
      </w:pPr>
      <w:r w:rsidRPr="00C921A7">
        <w:rPr>
          <w:rStyle w:val="Appelnotedebasdep"/>
        </w:rPr>
        <w:footnoteRef/>
      </w:r>
      <w:r w:rsidRPr="00C921A7">
        <w:t xml:space="preserve"> </w:t>
      </w:r>
      <w:r w:rsidRPr="00C921A7">
        <w:rPr>
          <w:lang w:val="fr-FR"/>
        </w:rPr>
        <w:t xml:space="preserve">Cela rejoint d’ailleurs les considérations de Glen Bramley &amp; Suzanne Fitzpatrick dans leur travail sur les profils à risque de sans-abrisme, qui a été d’une grande aide pour construire mon raisonnement. </w:t>
      </w:r>
      <w:r w:rsidRPr="00C921A7">
        <w:rPr>
          <w:lang w:val="en-US"/>
        </w:rPr>
        <w:t xml:space="preserve">Dans leur article daté de 2018, « Homelessness in the UK: who is most at risk?», ils identifient une série de profils à risque de sans abrisme : « It has made clear that, in the UK at least, homelessness is not randomly distributed across the population, but rather the odds of experiencing it are systematically structured around a set of identifiable individual, social and structural factors, most of which, it should be emphasized, are outside the control of those directly affected. Note that the resultant ‘weighted possibility’ (Williams, 2001) of homelessness for some systematically disadvantaged groups is so high that it comes close to constituting a ‘norm’. » (p.112). Mais les auteurs nuancent leurs résulats en invitant la recherche à se pencher sur des modèles plus complexes pour étudier les trajectoires : « It is also important to qualify these comments by observing that the models used in this paper have been essentially linear additive, assuming a similar layering of effects for different groups, and not incorporating interaction effects. While this has been an effective research strategy at this exploratory stage, there is clearly scope for further investigation of more complex models. » </w:t>
      </w:r>
      <w:r w:rsidRPr="00C921A7">
        <w:t>(p.114).</w:t>
      </w:r>
    </w:p>
  </w:footnote>
  <w:footnote w:id="28">
    <w:p w14:paraId="3290CA26" w14:textId="5A3724D9" w:rsidR="009F7288" w:rsidRPr="00C921A7" w:rsidRDefault="009F7288" w:rsidP="00C921A7">
      <w:pPr>
        <w:spacing w:line="240" w:lineRule="auto"/>
        <w:rPr>
          <w:rFonts w:cs="Times New Roman"/>
          <w:sz w:val="20"/>
          <w:szCs w:val="20"/>
        </w:rPr>
      </w:pPr>
      <w:r w:rsidRPr="00C921A7">
        <w:rPr>
          <w:rStyle w:val="Appelnotedebasdep"/>
          <w:sz w:val="20"/>
          <w:szCs w:val="20"/>
        </w:rPr>
        <w:footnoteRef/>
      </w:r>
      <w:r w:rsidRPr="00C921A7">
        <w:rPr>
          <w:sz w:val="20"/>
          <w:szCs w:val="20"/>
        </w:rPr>
        <w:t xml:space="preserve"> </w:t>
      </w:r>
      <w:r w:rsidRPr="00C921A7">
        <w:rPr>
          <w:rFonts w:cs="Times New Roman"/>
          <w:sz w:val="20"/>
          <w:szCs w:val="20"/>
        </w:rPr>
        <w:t xml:space="preserve">Pour revenir à notre point précédent, la notion de carrière n’est donc définitivement pas une redite ni une reprise de la trajectoire biographique, mais l’une et l’autre se complètent. Là ou la carrière est pensée dans l’interaction et le rapport à la norme, la trajectoire permet d’identifier des ressources ou « supports » (au sens de Castel), propres à l’individu, qui lui permettent d’évoluer de différentes manières dans développement de sa carrière déviante – la carrière de « mauvais locataire », par exemple. </w:t>
      </w:r>
    </w:p>
    <w:p w14:paraId="17B04C8C" w14:textId="6B8398FB" w:rsidR="009F7288" w:rsidRPr="00C921A7" w:rsidRDefault="009F7288" w:rsidP="00C921A7">
      <w:pPr>
        <w:pStyle w:val="Notedebasdepage"/>
      </w:pPr>
    </w:p>
  </w:footnote>
  <w:footnote w:id="29">
    <w:p w14:paraId="0F78D48B" w14:textId="77777777" w:rsidR="009F7288" w:rsidRPr="00C476C4" w:rsidRDefault="009F7288" w:rsidP="00860A98">
      <w:pPr>
        <w:autoSpaceDE w:val="0"/>
        <w:autoSpaceDN w:val="0"/>
        <w:adjustRightInd w:val="0"/>
        <w:spacing w:after="0" w:line="240" w:lineRule="auto"/>
        <w:jc w:val="left"/>
      </w:pPr>
      <w:r w:rsidRPr="00860A98">
        <w:rPr>
          <w:rStyle w:val="Appelnotedebasdep"/>
        </w:rPr>
        <w:footnoteRef/>
      </w:r>
      <w:r w:rsidRPr="00860A98">
        <w:t xml:space="preserve"> Cf. </w:t>
      </w:r>
      <w:r w:rsidRPr="00860A98">
        <w:rPr>
          <w:rFonts w:cs="Times New Roman"/>
          <w:sz w:val="20"/>
          <w:szCs w:val="20"/>
        </w:rPr>
        <w:t xml:space="preserve">GRIGNON Claude, PASSERON Jean-Claude, </w:t>
      </w:r>
      <w:r w:rsidRPr="00860A98">
        <w:rPr>
          <w:rFonts w:cs="Times New Roman"/>
          <w:i/>
          <w:iCs/>
          <w:sz w:val="20"/>
          <w:szCs w:val="20"/>
        </w:rPr>
        <w:t>Le savant et le populaire. Misérabilisme et populisme en sociologie et en littérature</w:t>
      </w:r>
      <w:r w:rsidRPr="00860A98">
        <w:rPr>
          <w:rFonts w:cs="Times New Roman"/>
          <w:sz w:val="20"/>
          <w:szCs w:val="20"/>
        </w:rPr>
        <w:t>, Paris, Éditions du Seuil, 1989.</w:t>
      </w:r>
    </w:p>
    <w:p w14:paraId="19C3B91A" w14:textId="3DD780E6" w:rsidR="009F7288" w:rsidRPr="00860A98" w:rsidRDefault="009F7288" w:rsidP="00C921A7">
      <w:pPr>
        <w:pStyle w:val="Notedebasdepage"/>
      </w:pPr>
    </w:p>
  </w:footnote>
  <w:footnote w:id="30">
    <w:p w14:paraId="0C3DF4A7" w14:textId="33493B1A" w:rsidR="009F7288" w:rsidRPr="00292BEA" w:rsidRDefault="009F7288" w:rsidP="00292BEA">
      <w:pPr>
        <w:autoSpaceDE w:val="0"/>
        <w:autoSpaceDN w:val="0"/>
        <w:adjustRightInd w:val="0"/>
        <w:spacing w:after="0" w:line="240" w:lineRule="auto"/>
        <w:rPr>
          <w:sz w:val="20"/>
          <w:szCs w:val="20"/>
        </w:rPr>
      </w:pPr>
      <w:r w:rsidRPr="00292BEA">
        <w:rPr>
          <w:rStyle w:val="Appelnotedebasdep"/>
          <w:sz w:val="20"/>
          <w:szCs w:val="20"/>
        </w:rPr>
        <w:footnoteRef/>
      </w:r>
      <w:r w:rsidRPr="00292BEA">
        <w:rPr>
          <w:sz w:val="20"/>
          <w:szCs w:val="20"/>
          <w:lang w:val="en-US"/>
        </w:rPr>
        <w:t xml:space="preserve"> Cf. Lloyd W. Mc Corkle et Richard Korn, « Resocialization Within Walls”, </w:t>
      </w:r>
      <w:r w:rsidRPr="00292BEA">
        <w:rPr>
          <w:i/>
          <w:sz w:val="20"/>
          <w:szCs w:val="20"/>
          <w:lang w:val="en-US"/>
        </w:rPr>
        <w:t xml:space="preserve">The Annals, </w:t>
      </w:r>
      <w:r w:rsidRPr="00292BEA">
        <w:rPr>
          <w:sz w:val="20"/>
          <w:szCs w:val="20"/>
          <w:lang w:val="en-US"/>
        </w:rPr>
        <w:t xml:space="preserve">CCXCIII 1934, p.88. cité par Goffman, </w:t>
      </w:r>
      <w:r w:rsidRPr="00292BEA">
        <w:rPr>
          <w:rFonts w:cs="Times New Roman"/>
          <w:i/>
          <w:iCs/>
          <w:sz w:val="20"/>
          <w:szCs w:val="20"/>
          <w:lang w:val="en-US"/>
        </w:rPr>
        <w:t xml:space="preserve">Asiles. </w:t>
      </w:r>
      <w:r w:rsidRPr="00292BEA">
        <w:rPr>
          <w:rFonts w:cs="Times New Roman"/>
          <w:i/>
          <w:iCs/>
          <w:sz w:val="20"/>
          <w:szCs w:val="20"/>
        </w:rPr>
        <w:t>Études sur la condition sociale des malades mentaux</w:t>
      </w:r>
      <w:r w:rsidRPr="00292BEA">
        <w:rPr>
          <w:rFonts w:cs="Times New Roman"/>
          <w:sz w:val="20"/>
          <w:szCs w:val="20"/>
        </w:rPr>
        <w:t xml:space="preserve">, Les Éditions de Minuit, Paris,1968, </w:t>
      </w:r>
      <w:r w:rsidRPr="00292BEA">
        <w:rPr>
          <w:sz w:val="20"/>
          <w:szCs w:val="20"/>
        </w:rPr>
        <w:t>p.368</w:t>
      </w:r>
    </w:p>
  </w:footnote>
  <w:footnote w:id="31">
    <w:p w14:paraId="118CE00A" w14:textId="15D37792" w:rsidR="009F7288" w:rsidRPr="00292BEA" w:rsidRDefault="009F7288" w:rsidP="00C921A7">
      <w:pPr>
        <w:pStyle w:val="Notedebasdepage"/>
        <w:rPr>
          <w:i/>
        </w:rPr>
      </w:pPr>
      <w:r w:rsidRPr="00292BEA">
        <w:rPr>
          <w:rStyle w:val="Appelnotedebasdep"/>
        </w:rPr>
        <w:footnoteRef/>
      </w:r>
      <w:r w:rsidRPr="00292BEA">
        <w:t xml:space="preserve"> Cf. </w:t>
      </w:r>
      <w:r w:rsidRPr="00292BEA">
        <w:rPr>
          <w:i/>
        </w:rPr>
        <w:t>supra.</w:t>
      </w:r>
    </w:p>
  </w:footnote>
  <w:footnote w:id="32">
    <w:p w14:paraId="10151322" w14:textId="06C9BB5E" w:rsidR="009F7288" w:rsidRPr="00C921A7" w:rsidRDefault="009F7288" w:rsidP="00C921A7">
      <w:pPr>
        <w:pStyle w:val="Notedebasdepage"/>
      </w:pPr>
      <w:r w:rsidRPr="00C921A7">
        <w:rPr>
          <w:rStyle w:val="Appelnotedebasdep"/>
        </w:rPr>
        <w:footnoteRef/>
      </w:r>
      <w:r w:rsidRPr="00C921A7">
        <w:t xml:space="preserve"> Dans son rapport, l’IWPES cite l’ALPIL (actions pour l’insertion par le logement) : » « Toute la question de la prévention peut se résumer à celle de la gestion du temps. Très souvent, nous avons noté combien les temporalités différentes des acteurs concernés (les propriétaires, les locataires, les travailleurs sociaux, les intervenants du droit et ceux du logement) pesaient sur le suivi du dossier. La prévention s’exercera, entre autres, par le rapprochement des temporalités » (ALPIL, 2008, p. 2. ; cité par l’IWEPS, 2015, p.17). Cette question du rapport au temps me semble fondamentale et j’espère avoir l’occasion de la développer dans le cadre de ma thèse.</w:t>
      </w:r>
    </w:p>
  </w:footnote>
  <w:footnote w:id="33">
    <w:p w14:paraId="2F434453" w14:textId="684CEAE4" w:rsidR="009F7288" w:rsidRPr="00666254" w:rsidRDefault="009F7288" w:rsidP="00C921A7">
      <w:pPr>
        <w:pStyle w:val="Notedebasdepage"/>
        <w:rPr>
          <w:lang w:val="fr-FR"/>
        </w:rPr>
      </w:pPr>
      <w:r w:rsidRPr="00C921A7">
        <w:rPr>
          <w:rStyle w:val="Appelnotedebasdep"/>
        </w:rPr>
        <w:footnoteRef/>
      </w:r>
      <w:r w:rsidRPr="00C921A7">
        <w:t xml:space="preserve"> Dufy et Weber parlent de cadres institutionnels et de cadres de l'interaction. Nous n’avons pas la place ici pour revenir sur la notion de cadre dans le corpus interactionniste, mais nous considérons qu’ethnographie économique et approche interactionniste sont tout à fait compatibles.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D7FA" w14:textId="77777777" w:rsidR="009F7288" w:rsidRDefault="009F728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5E89" w14:textId="3C4FA235" w:rsidR="009F7288" w:rsidRDefault="002A1CE0">
    <w:pPr>
      <w:pStyle w:val="En-tte"/>
    </w:pPr>
    <w:r>
      <w:rPr>
        <w:noProof/>
      </w:rPr>
      <w:pict w14:anchorId="0FC00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left:0;text-align:left;margin-left:11.75pt;margin-top:11.85pt;width:595.3pt;height:841.9pt;z-index:-251657216;mso-wrap-edited:f;mso-position-horizontal-relative:page;mso-position-vertical-relative:page" wrapcoords="2883 3673 2883 20638 20321 20638 20321 3673 2883 3673">
          <v:imagedata r:id="rId1" o:title="Ecole_des_sciences_politiques_et_sociales_PSAD_ESPO2"/>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4FF7"/>
    <w:multiLevelType w:val="hybridMultilevel"/>
    <w:tmpl w:val="034A7E9A"/>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 w15:restartNumberingAfterBreak="0">
    <w:nsid w:val="02F9386C"/>
    <w:multiLevelType w:val="hybridMultilevel"/>
    <w:tmpl w:val="A29CA8A0"/>
    <w:lvl w:ilvl="0" w:tplc="9452A9F8">
      <w:start w:val="1"/>
      <w:numFmt w:val="bullet"/>
      <w:lvlText w:val="-"/>
      <w:lvlJc w:val="left"/>
      <w:pPr>
        <w:ind w:left="720" w:hanging="360"/>
      </w:pPr>
      <w:rPr>
        <w:rFonts w:ascii="Courier New" w:hAnsi="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52D45CA"/>
    <w:multiLevelType w:val="hybridMultilevel"/>
    <w:tmpl w:val="0FFA666A"/>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F">
      <w:start w:val="1"/>
      <w:numFmt w:val="decimal"/>
      <w:lvlText w:val="%3."/>
      <w:lvlJc w:val="left"/>
      <w:pPr>
        <w:ind w:left="2160" w:hanging="360"/>
      </w:pPr>
      <w:rPr>
        <w:rFont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542706E"/>
    <w:multiLevelType w:val="hybridMultilevel"/>
    <w:tmpl w:val="FBFA62CC"/>
    <w:lvl w:ilvl="0" w:tplc="965A6618">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61B5E8A"/>
    <w:multiLevelType w:val="hybridMultilevel"/>
    <w:tmpl w:val="6AA81652"/>
    <w:lvl w:ilvl="0" w:tplc="080C0001">
      <w:start w:val="1"/>
      <w:numFmt w:val="bullet"/>
      <w:lvlText w:val=""/>
      <w:lvlJc w:val="left"/>
      <w:pPr>
        <w:ind w:left="1068" w:hanging="360"/>
      </w:pPr>
      <w:rPr>
        <w:rFonts w:ascii="Symbol" w:hAnsi="Symbol"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09CB50B3"/>
    <w:multiLevelType w:val="hybridMultilevel"/>
    <w:tmpl w:val="4A3897E2"/>
    <w:lvl w:ilvl="0" w:tplc="9452A9F8">
      <w:start w:val="1"/>
      <w:numFmt w:val="bullet"/>
      <w:lvlText w:val="-"/>
      <w:lvlJc w:val="left"/>
      <w:pPr>
        <w:ind w:left="720" w:hanging="360"/>
      </w:pPr>
      <w:rPr>
        <w:rFonts w:ascii="Courier New" w:hAnsi="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29D540A"/>
    <w:multiLevelType w:val="hybridMultilevel"/>
    <w:tmpl w:val="9BF47604"/>
    <w:lvl w:ilvl="0" w:tplc="9452A9F8">
      <w:start w:val="1"/>
      <w:numFmt w:val="bullet"/>
      <w:lvlText w:val="-"/>
      <w:lvlJc w:val="left"/>
      <w:pPr>
        <w:ind w:left="720" w:hanging="360"/>
      </w:pPr>
      <w:rPr>
        <w:rFonts w:ascii="Courier New" w:hAnsi="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5546EA1"/>
    <w:multiLevelType w:val="hybridMultilevel"/>
    <w:tmpl w:val="A8380B6A"/>
    <w:lvl w:ilvl="0" w:tplc="9452A9F8">
      <w:start w:val="1"/>
      <w:numFmt w:val="bullet"/>
      <w:lvlText w:val="-"/>
      <w:lvlJc w:val="left"/>
      <w:pPr>
        <w:ind w:left="720" w:hanging="360"/>
      </w:pPr>
      <w:rPr>
        <w:rFonts w:ascii="Courier New" w:hAnsi="Courier New" w:hint="default"/>
        <w:b w:val="0"/>
        <w:sz w:val="22"/>
        <w:szCs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307016"/>
    <w:multiLevelType w:val="hybridMultilevel"/>
    <w:tmpl w:val="ADEE2580"/>
    <w:lvl w:ilvl="0" w:tplc="9452A9F8">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8761DDD"/>
    <w:multiLevelType w:val="hybridMultilevel"/>
    <w:tmpl w:val="E048C290"/>
    <w:lvl w:ilvl="0" w:tplc="9452A9F8">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32166A2"/>
    <w:multiLevelType w:val="hybridMultilevel"/>
    <w:tmpl w:val="278CA58E"/>
    <w:lvl w:ilvl="0" w:tplc="080C000F">
      <w:start w:val="1"/>
      <w:numFmt w:val="decimal"/>
      <w:lvlText w:val="%1."/>
      <w:lvlJc w:val="left"/>
      <w:pPr>
        <w:ind w:left="1428" w:hanging="360"/>
      </w:pPr>
    </w:lvl>
    <w:lvl w:ilvl="1" w:tplc="080C0019">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1" w15:restartNumberingAfterBreak="0">
    <w:nsid w:val="2F84242D"/>
    <w:multiLevelType w:val="hybridMultilevel"/>
    <w:tmpl w:val="FDF08CAC"/>
    <w:lvl w:ilvl="0" w:tplc="87228246">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F2E15DD"/>
    <w:multiLevelType w:val="hybridMultilevel"/>
    <w:tmpl w:val="E1BA62C8"/>
    <w:lvl w:ilvl="0" w:tplc="9452A9F8">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487326D"/>
    <w:multiLevelType w:val="hybridMultilevel"/>
    <w:tmpl w:val="5ECA0382"/>
    <w:lvl w:ilvl="0" w:tplc="9452A9F8">
      <w:start w:val="1"/>
      <w:numFmt w:val="bullet"/>
      <w:lvlText w:val="-"/>
      <w:lvlJc w:val="left"/>
      <w:pPr>
        <w:ind w:left="720" w:hanging="360"/>
      </w:pPr>
      <w:rPr>
        <w:rFonts w:ascii="Courier New" w:hAnsi="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57F599E"/>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9F1A78"/>
    <w:multiLevelType w:val="hybridMultilevel"/>
    <w:tmpl w:val="23E0B836"/>
    <w:lvl w:ilvl="0" w:tplc="9452A9F8">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6A622D0"/>
    <w:multiLevelType w:val="hybridMultilevel"/>
    <w:tmpl w:val="75C69DC4"/>
    <w:lvl w:ilvl="0" w:tplc="9452A9F8">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8FA74B9"/>
    <w:multiLevelType w:val="hybridMultilevel"/>
    <w:tmpl w:val="3BFC9DF0"/>
    <w:lvl w:ilvl="0" w:tplc="97C837C2">
      <w:numFmt w:val="bullet"/>
      <w:lvlText w:val="-"/>
      <w:lvlJc w:val="left"/>
      <w:pPr>
        <w:ind w:left="720" w:hanging="360"/>
      </w:pPr>
      <w:rPr>
        <w:rFonts w:ascii="Calibri Light" w:eastAsiaTheme="majorEastAsia" w:hAnsi="Calibri Light" w:cs="Calibri Light"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9BB3636"/>
    <w:multiLevelType w:val="hybridMultilevel"/>
    <w:tmpl w:val="D4C04438"/>
    <w:lvl w:ilvl="0" w:tplc="9452A9F8">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BA75CE3"/>
    <w:multiLevelType w:val="hybridMultilevel"/>
    <w:tmpl w:val="74A20E84"/>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2F23962"/>
    <w:multiLevelType w:val="hybridMultilevel"/>
    <w:tmpl w:val="24A2AE70"/>
    <w:lvl w:ilvl="0" w:tplc="9452A9F8">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2C25039"/>
    <w:multiLevelType w:val="multilevel"/>
    <w:tmpl w:val="99DC01FA"/>
    <w:lvl w:ilvl="0">
      <w:start w:val="1"/>
      <w:numFmt w:val="upperRoman"/>
      <w:lvlText w:val="%1."/>
      <w:lvlJc w:val="righ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8B0B52"/>
    <w:multiLevelType w:val="hybridMultilevel"/>
    <w:tmpl w:val="FEFA5138"/>
    <w:lvl w:ilvl="0" w:tplc="9452A9F8">
      <w:start w:val="1"/>
      <w:numFmt w:val="bullet"/>
      <w:lvlText w:val="-"/>
      <w:lvlJc w:val="left"/>
      <w:pPr>
        <w:ind w:left="1068" w:hanging="360"/>
      </w:pPr>
      <w:rPr>
        <w:rFonts w:ascii="Courier New" w:hAnsi="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14"/>
  </w:num>
  <w:num w:numId="2">
    <w:abstractNumId w:val="17"/>
  </w:num>
  <w:num w:numId="3">
    <w:abstractNumId w:val="15"/>
  </w:num>
  <w:num w:numId="4">
    <w:abstractNumId w:val="18"/>
  </w:num>
  <w:num w:numId="5">
    <w:abstractNumId w:val="5"/>
  </w:num>
  <w:num w:numId="6">
    <w:abstractNumId w:val="21"/>
  </w:num>
  <w:num w:numId="7">
    <w:abstractNumId w:val="2"/>
  </w:num>
  <w:num w:numId="8">
    <w:abstractNumId w:val="12"/>
  </w:num>
  <w:num w:numId="9">
    <w:abstractNumId w:val="8"/>
  </w:num>
  <w:num w:numId="10">
    <w:abstractNumId w:val="9"/>
  </w:num>
  <w:num w:numId="11">
    <w:abstractNumId w:val="16"/>
  </w:num>
  <w:num w:numId="12">
    <w:abstractNumId w:val="10"/>
  </w:num>
  <w:num w:numId="13">
    <w:abstractNumId w:val="19"/>
  </w:num>
  <w:num w:numId="14">
    <w:abstractNumId w:val="13"/>
  </w:num>
  <w:num w:numId="15">
    <w:abstractNumId w:val="11"/>
  </w:num>
  <w:num w:numId="16">
    <w:abstractNumId w:val="1"/>
  </w:num>
  <w:num w:numId="17">
    <w:abstractNumId w:val="20"/>
  </w:num>
  <w:num w:numId="18">
    <w:abstractNumId w:val="6"/>
  </w:num>
  <w:num w:numId="19">
    <w:abstractNumId w:val="7"/>
  </w:num>
  <w:num w:numId="20">
    <w:abstractNumId w:val="3"/>
  </w:num>
  <w:num w:numId="21">
    <w:abstractNumId w:val="0"/>
  </w:num>
  <w:num w:numId="22">
    <w:abstractNumId w:val="4"/>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D8"/>
    <w:rsid w:val="00003210"/>
    <w:rsid w:val="0000468F"/>
    <w:rsid w:val="000051B2"/>
    <w:rsid w:val="000104F3"/>
    <w:rsid w:val="000107D6"/>
    <w:rsid w:val="00010DDC"/>
    <w:rsid w:val="00011A90"/>
    <w:rsid w:val="000125AF"/>
    <w:rsid w:val="00012DF0"/>
    <w:rsid w:val="000139B5"/>
    <w:rsid w:val="00014530"/>
    <w:rsid w:val="00014DB8"/>
    <w:rsid w:val="000162B6"/>
    <w:rsid w:val="00020003"/>
    <w:rsid w:val="00020EA6"/>
    <w:rsid w:val="0002163E"/>
    <w:rsid w:val="00024AB5"/>
    <w:rsid w:val="000272A4"/>
    <w:rsid w:val="00032767"/>
    <w:rsid w:val="00032AB1"/>
    <w:rsid w:val="00032C7B"/>
    <w:rsid w:val="000364A9"/>
    <w:rsid w:val="00036675"/>
    <w:rsid w:val="00037AE8"/>
    <w:rsid w:val="00041C84"/>
    <w:rsid w:val="00041DFC"/>
    <w:rsid w:val="00041F2F"/>
    <w:rsid w:val="00044032"/>
    <w:rsid w:val="00045685"/>
    <w:rsid w:val="0005015D"/>
    <w:rsid w:val="00052569"/>
    <w:rsid w:val="000528FA"/>
    <w:rsid w:val="00053736"/>
    <w:rsid w:val="00053AAD"/>
    <w:rsid w:val="00054A75"/>
    <w:rsid w:val="00055307"/>
    <w:rsid w:val="00055A30"/>
    <w:rsid w:val="00057FDC"/>
    <w:rsid w:val="00063FD3"/>
    <w:rsid w:val="000648A3"/>
    <w:rsid w:val="00065213"/>
    <w:rsid w:val="00065BBB"/>
    <w:rsid w:val="00071196"/>
    <w:rsid w:val="00072B24"/>
    <w:rsid w:val="00074CB8"/>
    <w:rsid w:val="00074F57"/>
    <w:rsid w:val="00075334"/>
    <w:rsid w:val="00075852"/>
    <w:rsid w:val="00075992"/>
    <w:rsid w:val="0007688F"/>
    <w:rsid w:val="00077C5D"/>
    <w:rsid w:val="0008087B"/>
    <w:rsid w:val="00081A4F"/>
    <w:rsid w:val="00081B11"/>
    <w:rsid w:val="00081F7A"/>
    <w:rsid w:val="000835E3"/>
    <w:rsid w:val="000903C1"/>
    <w:rsid w:val="00092256"/>
    <w:rsid w:val="00095AC7"/>
    <w:rsid w:val="00096944"/>
    <w:rsid w:val="00096B20"/>
    <w:rsid w:val="00097190"/>
    <w:rsid w:val="000A2782"/>
    <w:rsid w:val="000A7903"/>
    <w:rsid w:val="000B0950"/>
    <w:rsid w:val="000B489D"/>
    <w:rsid w:val="000B5B51"/>
    <w:rsid w:val="000B6C6B"/>
    <w:rsid w:val="000B7B53"/>
    <w:rsid w:val="000C0484"/>
    <w:rsid w:val="000C2737"/>
    <w:rsid w:val="000C4450"/>
    <w:rsid w:val="000C71D3"/>
    <w:rsid w:val="000D0061"/>
    <w:rsid w:val="000D0F56"/>
    <w:rsid w:val="000D101E"/>
    <w:rsid w:val="000D1297"/>
    <w:rsid w:val="000D22D7"/>
    <w:rsid w:val="000D2B6B"/>
    <w:rsid w:val="000D407D"/>
    <w:rsid w:val="000D421E"/>
    <w:rsid w:val="000D4C18"/>
    <w:rsid w:val="000D57E8"/>
    <w:rsid w:val="000D66D3"/>
    <w:rsid w:val="000D67D3"/>
    <w:rsid w:val="000E1000"/>
    <w:rsid w:val="000E14E0"/>
    <w:rsid w:val="000E1E06"/>
    <w:rsid w:val="000E24E6"/>
    <w:rsid w:val="000E3200"/>
    <w:rsid w:val="000E3F96"/>
    <w:rsid w:val="000E4AD2"/>
    <w:rsid w:val="000E5827"/>
    <w:rsid w:val="000F0AF5"/>
    <w:rsid w:val="000F1322"/>
    <w:rsid w:val="000F1E61"/>
    <w:rsid w:val="000F29F7"/>
    <w:rsid w:val="000F4498"/>
    <w:rsid w:val="000F4B47"/>
    <w:rsid w:val="00101442"/>
    <w:rsid w:val="00104E9A"/>
    <w:rsid w:val="00110D4F"/>
    <w:rsid w:val="00114169"/>
    <w:rsid w:val="001156CA"/>
    <w:rsid w:val="001219B5"/>
    <w:rsid w:val="001229BC"/>
    <w:rsid w:val="00122A03"/>
    <w:rsid w:val="00122EDE"/>
    <w:rsid w:val="00122EE9"/>
    <w:rsid w:val="00123FCB"/>
    <w:rsid w:val="00124749"/>
    <w:rsid w:val="00126F69"/>
    <w:rsid w:val="00127732"/>
    <w:rsid w:val="00130AAF"/>
    <w:rsid w:val="0013639E"/>
    <w:rsid w:val="001369E1"/>
    <w:rsid w:val="00140684"/>
    <w:rsid w:val="00142867"/>
    <w:rsid w:val="00142EE9"/>
    <w:rsid w:val="00145CDC"/>
    <w:rsid w:val="00146A61"/>
    <w:rsid w:val="00155787"/>
    <w:rsid w:val="00155E13"/>
    <w:rsid w:val="0015637A"/>
    <w:rsid w:val="00160AE8"/>
    <w:rsid w:val="00163A16"/>
    <w:rsid w:val="00164A9C"/>
    <w:rsid w:val="00164C7C"/>
    <w:rsid w:val="001666CE"/>
    <w:rsid w:val="00171BA8"/>
    <w:rsid w:val="00172CD3"/>
    <w:rsid w:val="00174CD2"/>
    <w:rsid w:val="001754D1"/>
    <w:rsid w:val="00182F5B"/>
    <w:rsid w:val="001835F6"/>
    <w:rsid w:val="00183B35"/>
    <w:rsid w:val="0018469F"/>
    <w:rsid w:val="00185D6C"/>
    <w:rsid w:val="00190495"/>
    <w:rsid w:val="00196963"/>
    <w:rsid w:val="00196A66"/>
    <w:rsid w:val="001A07AD"/>
    <w:rsid w:val="001A0CB5"/>
    <w:rsid w:val="001A0F87"/>
    <w:rsid w:val="001A1074"/>
    <w:rsid w:val="001A28A2"/>
    <w:rsid w:val="001A2AEA"/>
    <w:rsid w:val="001A2FFF"/>
    <w:rsid w:val="001A35B1"/>
    <w:rsid w:val="001A5CB8"/>
    <w:rsid w:val="001B23CC"/>
    <w:rsid w:val="001B29A8"/>
    <w:rsid w:val="001B488F"/>
    <w:rsid w:val="001B4BC4"/>
    <w:rsid w:val="001C1620"/>
    <w:rsid w:val="001C27D3"/>
    <w:rsid w:val="001C29EE"/>
    <w:rsid w:val="001C3B97"/>
    <w:rsid w:val="001D2121"/>
    <w:rsid w:val="001D3794"/>
    <w:rsid w:val="001D41D7"/>
    <w:rsid w:val="001D4E74"/>
    <w:rsid w:val="001D53DD"/>
    <w:rsid w:val="001D569A"/>
    <w:rsid w:val="001D74B1"/>
    <w:rsid w:val="001E017B"/>
    <w:rsid w:val="001E16DC"/>
    <w:rsid w:val="001E566F"/>
    <w:rsid w:val="001E6101"/>
    <w:rsid w:val="001E6CE8"/>
    <w:rsid w:val="001E6F90"/>
    <w:rsid w:val="001E774E"/>
    <w:rsid w:val="001F0272"/>
    <w:rsid w:val="001F2622"/>
    <w:rsid w:val="001F41A5"/>
    <w:rsid w:val="001F41E2"/>
    <w:rsid w:val="001F4201"/>
    <w:rsid w:val="001F7639"/>
    <w:rsid w:val="00200120"/>
    <w:rsid w:val="002015B0"/>
    <w:rsid w:val="002036F9"/>
    <w:rsid w:val="00206087"/>
    <w:rsid w:val="002101C0"/>
    <w:rsid w:val="002125EA"/>
    <w:rsid w:val="002126DE"/>
    <w:rsid w:val="00212A95"/>
    <w:rsid w:val="00212DC4"/>
    <w:rsid w:val="002135ED"/>
    <w:rsid w:val="00213D8E"/>
    <w:rsid w:val="00213E9D"/>
    <w:rsid w:val="00215055"/>
    <w:rsid w:val="002221B9"/>
    <w:rsid w:val="00222344"/>
    <w:rsid w:val="00222E71"/>
    <w:rsid w:val="002232A8"/>
    <w:rsid w:val="00226AD5"/>
    <w:rsid w:val="0023060B"/>
    <w:rsid w:val="00230888"/>
    <w:rsid w:val="00230FCF"/>
    <w:rsid w:val="002318B3"/>
    <w:rsid w:val="00232294"/>
    <w:rsid w:val="00233B29"/>
    <w:rsid w:val="00234966"/>
    <w:rsid w:val="002358A1"/>
    <w:rsid w:val="00240A0F"/>
    <w:rsid w:val="00240D9B"/>
    <w:rsid w:val="00241851"/>
    <w:rsid w:val="00241F4B"/>
    <w:rsid w:val="00242867"/>
    <w:rsid w:val="0024342B"/>
    <w:rsid w:val="00244647"/>
    <w:rsid w:val="0024670F"/>
    <w:rsid w:val="00247607"/>
    <w:rsid w:val="002503E9"/>
    <w:rsid w:val="002507A6"/>
    <w:rsid w:val="00252B7B"/>
    <w:rsid w:val="002555C8"/>
    <w:rsid w:val="00260297"/>
    <w:rsid w:val="00260309"/>
    <w:rsid w:val="002605EB"/>
    <w:rsid w:val="00261A52"/>
    <w:rsid w:val="00263CC4"/>
    <w:rsid w:val="002677E5"/>
    <w:rsid w:val="00270058"/>
    <w:rsid w:val="00271C4D"/>
    <w:rsid w:val="00273630"/>
    <w:rsid w:val="00273780"/>
    <w:rsid w:val="0027487A"/>
    <w:rsid w:val="00275A03"/>
    <w:rsid w:val="002763C4"/>
    <w:rsid w:val="00277A15"/>
    <w:rsid w:val="00277D32"/>
    <w:rsid w:val="00292BEA"/>
    <w:rsid w:val="00292EF7"/>
    <w:rsid w:val="00293BD0"/>
    <w:rsid w:val="00293CA4"/>
    <w:rsid w:val="0029451A"/>
    <w:rsid w:val="002968E5"/>
    <w:rsid w:val="0029746E"/>
    <w:rsid w:val="002A0D51"/>
    <w:rsid w:val="002A1BD8"/>
    <w:rsid w:val="002A1CE0"/>
    <w:rsid w:val="002A2F8C"/>
    <w:rsid w:val="002A40F2"/>
    <w:rsid w:val="002A4492"/>
    <w:rsid w:val="002A5E24"/>
    <w:rsid w:val="002A63FD"/>
    <w:rsid w:val="002C06CB"/>
    <w:rsid w:val="002C0928"/>
    <w:rsid w:val="002C30E7"/>
    <w:rsid w:val="002C3727"/>
    <w:rsid w:val="002C37A1"/>
    <w:rsid w:val="002C5816"/>
    <w:rsid w:val="002C701F"/>
    <w:rsid w:val="002C724A"/>
    <w:rsid w:val="002D0D47"/>
    <w:rsid w:val="002D40A4"/>
    <w:rsid w:val="002D5861"/>
    <w:rsid w:val="002E2C1D"/>
    <w:rsid w:val="002E3DD3"/>
    <w:rsid w:val="002F0876"/>
    <w:rsid w:val="002F0A60"/>
    <w:rsid w:val="002F0B86"/>
    <w:rsid w:val="002F6358"/>
    <w:rsid w:val="002F76CA"/>
    <w:rsid w:val="002F782F"/>
    <w:rsid w:val="00302919"/>
    <w:rsid w:val="00304300"/>
    <w:rsid w:val="00304357"/>
    <w:rsid w:val="00304BB9"/>
    <w:rsid w:val="00306417"/>
    <w:rsid w:val="0031087E"/>
    <w:rsid w:val="00311D2E"/>
    <w:rsid w:val="00311DBC"/>
    <w:rsid w:val="003129AD"/>
    <w:rsid w:val="00314A20"/>
    <w:rsid w:val="00314AD6"/>
    <w:rsid w:val="00314DDC"/>
    <w:rsid w:val="0031511A"/>
    <w:rsid w:val="00315CA4"/>
    <w:rsid w:val="003160C9"/>
    <w:rsid w:val="00317494"/>
    <w:rsid w:val="00323DA9"/>
    <w:rsid w:val="0032684F"/>
    <w:rsid w:val="00326F3A"/>
    <w:rsid w:val="00331DF6"/>
    <w:rsid w:val="00332656"/>
    <w:rsid w:val="0033414E"/>
    <w:rsid w:val="0033436E"/>
    <w:rsid w:val="00336E21"/>
    <w:rsid w:val="00343CA5"/>
    <w:rsid w:val="003463FA"/>
    <w:rsid w:val="00351A48"/>
    <w:rsid w:val="00353502"/>
    <w:rsid w:val="003554C6"/>
    <w:rsid w:val="00355F3B"/>
    <w:rsid w:val="0036366A"/>
    <w:rsid w:val="003647BC"/>
    <w:rsid w:val="00367246"/>
    <w:rsid w:val="003678C5"/>
    <w:rsid w:val="00373217"/>
    <w:rsid w:val="003735E5"/>
    <w:rsid w:val="003735FF"/>
    <w:rsid w:val="00383646"/>
    <w:rsid w:val="00383781"/>
    <w:rsid w:val="00386708"/>
    <w:rsid w:val="00387002"/>
    <w:rsid w:val="003870B3"/>
    <w:rsid w:val="003906E5"/>
    <w:rsid w:val="003914C9"/>
    <w:rsid w:val="00391E62"/>
    <w:rsid w:val="00392B36"/>
    <w:rsid w:val="00393E82"/>
    <w:rsid w:val="00395E30"/>
    <w:rsid w:val="00396133"/>
    <w:rsid w:val="003A05FD"/>
    <w:rsid w:val="003A10A7"/>
    <w:rsid w:val="003A26CA"/>
    <w:rsid w:val="003A2D2A"/>
    <w:rsid w:val="003A3959"/>
    <w:rsid w:val="003A43F2"/>
    <w:rsid w:val="003A492E"/>
    <w:rsid w:val="003B0E9E"/>
    <w:rsid w:val="003B1032"/>
    <w:rsid w:val="003B1B99"/>
    <w:rsid w:val="003B2296"/>
    <w:rsid w:val="003B2942"/>
    <w:rsid w:val="003B2AF8"/>
    <w:rsid w:val="003B3FEE"/>
    <w:rsid w:val="003C06B5"/>
    <w:rsid w:val="003C0758"/>
    <w:rsid w:val="003C61A7"/>
    <w:rsid w:val="003D1E79"/>
    <w:rsid w:val="003D4975"/>
    <w:rsid w:val="003D49D9"/>
    <w:rsid w:val="003D4F0F"/>
    <w:rsid w:val="003D5BCC"/>
    <w:rsid w:val="003D65DB"/>
    <w:rsid w:val="003D710E"/>
    <w:rsid w:val="003D7883"/>
    <w:rsid w:val="003E20A1"/>
    <w:rsid w:val="003E298C"/>
    <w:rsid w:val="003E37DA"/>
    <w:rsid w:val="003E4154"/>
    <w:rsid w:val="003E6339"/>
    <w:rsid w:val="003F133E"/>
    <w:rsid w:val="003F2AB2"/>
    <w:rsid w:val="003F47AB"/>
    <w:rsid w:val="003F70EA"/>
    <w:rsid w:val="003F7BA0"/>
    <w:rsid w:val="004009AD"/>
    <w:rsid w:val="004010DF"/>
    <w:rsid w:val="00402FA9"/>
    <w:rsid w:val="00403752"/>
    <w:rsid w:val="00405112"/>
    <w:rsid w:val="0041550E"/>
    <w:rsid w:val="0041650F"/>
    <w:rsid w:val="0041698A"/>
    <w:rsid w:val="00416B4E"/>
    <w:rsid w:val="00425986"/>
    <w:rsid w:val="004326DB"/>
    <w:rsid w:val="00432F49"/>
    <w:rsid w:val="00434846"/>
    <w:rsid w:val="0043490C"/>
    <w:rsid w:val="00434F0D"/>
    <w:rsid w:val="00437328"/>
    <w:rsid w:val="00437A58"/>
    <w:rsid w:val="0044101F"/>
    <w:rsid w:val="004505CE"/>
    <w:rsid w:val="00451E28"/>
    <w:rsid w:val="00453A95"/>
    <w:rsid w:val="00453E8A"/>
    <w:rsid w:val="00454B6F"/>
    <w:rsid w:val="0045616E"/>
    <w:rsid w:val="004604D4"/>
    <w:rsid w:val="00460508"/>
    <w:rsid w:val="00463D07"/>
    <w:rsid w:val="00465FC3"/>
    <w:rsid w:val="0047282D"/>
    <w:rsid w:val="0047307A"/>
    <w:rsid w:val="004746EE"/>
    <w:rsid w:val="00480CB7"/>
    <w:rsid w:val="00481DA6"/>
    <w:rsid w:val="00482446"/>
    <w:rsid w:val="004839DB"/>
    <w:rsid w:val="00484D30"/>
    <w:rsid w:val="00485FF7"/>
    <w:rsid w:val="00496410"/>
    <w:rsid w:val="004973FD"/>
    <w:rsid w:val="004A0BCA"/>
    <w:rsid w:val="004A0EAE"/>
    <w:rsid w:val="004A17FA"/>
    <w:rsid w:val="004A260D"/>
    <w:rsid w:val="004A6A19"/>
    <w:rsid w:val="004B031A"/>
    <w:rsid w:val="004B05F4"/>
    <w:rsid w:val="004B0C1A"/>
    <w:rsid w:val="004B208F"/>
    <w:rsid w:val="004B2C92"/>
    <w:rsid w:val="004B3D63"/>
    <w:rsid w:val="004B5BC8"/>
    <w:rsid w:val="004C08CF"/>
    <w:rsid w:val="004C21B8"/>
    <w:rsid w:val="004C26DC"/>
    <w:rsid w:val="004C2E10"/>
    <w:rsid w:val="004C436C"/>
    <w:rsid w:val="004C6133"/>
    <w:rsid w:val="004D08C0"/>
    <w:rsid w:val="004D2E93"/>
    <w:rsid w:val="004D382C"/>
    <w:rsid w:val="004D6802"/>
    <w:rsid w:val="004D768F"/>
    <w:rsid w:val="004D79E6"/>
    <w:rsid w:val="004E4CC8"/>
    <w:rsid w:val="004E5EFD"/>
    <w:rsid w:val="004E5FA6"/>
    <w:rsid w:val="004E7680"/>
    <w:rsid w:val="004F7375"/>
    <w:rsid w:val="004F76F6"/>
    <w:rsid w:val="00500816"/>
    <w:rsid w:val="0050203D"/>
    <w:rsid w:val="00507A74"/>
    <w:rsid w:val="00507ABE"/>
    <w:rsid w:val="00507BC7"/>
    <w:rsid w:val="00513D68"/>
    <w:rsid w:val="005160D0"/>
    <w:rsid w:val="00516C15"/>
    <w:rsid w:val="005200D9"/>
    <w:rsid w:val="005204DD"/>
    <w:rsid w:val="005205AA"/>
    <w:rsid w:val="00522915"/>
    <w:rsid w:val="00522F0B"/>
    <w:rsid w:val="00522F33"/>
    <w:rsid w:val="00524B53"/>
    <w:rsid w:val="00531E62"/>
    <w:rsid w:val="0053321A"/>
    <w:rsid w:val="00533316"/>
    <w:rsid w:val="0053445D"/>
    <w:rsid w:val="00534A03"/>
    <w:rsid w:val="00534BF1"/>
    <w:rsid w:val="00534E53"/>
    <w:rsid w:val="00535485"/>
    <w:rsid w:val="00536937"/>
    <w:rsid w:val="0053707D"/>
    <w:rsid w:val="00541831"/>
    <w:rsid w:val="00546FC7"/>
    <w:rsid w:val="00553721"/>
    <w:rsid w:val="00554A7B"/>
    <w:rsid w:val="005556D4"/>
    <w:rsid w:val="005605F4"/>
    <w:rsid w:val="00560E59"/>
    <w:rsid w:val="0056298D"/>
    <w:rsid w:val="0056355A"/>
    <w:rsid w:val="00566A14"/>
    <w:rsid w:val="00570990"/>
    <w:rsid w:val="00571ED0"/>
    <w:rsid w:val="0057277B"/>
    <w:rsid w:val="00574FFD"/>
    <w:rsid w:val="00575580"/>
    <w:rsid w:val="00576067"/>
    <w:rsid w:val="00577D24"/>
    <w:rsid w:val="0058027B"/>
    <w:rsid w:val="005805DC"/>
    <w:rsid w:val="00581314"/>
    <w:rsid w:val="00582413"/>
    <w:rsid w:val="00586073"/>
    <w:rsid w:val="0058730F"/>
    <w:rsid w:val="00587D20"/>
    <w:rsid w:val="00590B93"/>
    <w:rsid w:val="00592293"/>
    <w:rsid w:val="0059474F"/>
    <w:rsid w:val="00597C46"/>
    <w:rsid w:val="005A056A"/>
    <w:rsid w:val="005A0934"/>
    <w:rsid w:val="005A2A7A"/>
    <w:rsid w:val="005A2B91"/>
    <w:rsid w:val="005A6193"/>
    <w:rsid w:val="005B2B33"/>
    <w:rsid w:val="005B4310"/>
    <w:rsid w:val="005B6CFE"/>
    <w:rsid w:val="005C0999"/>
    <w:rsid w:val="005C0B4B"/>
    <w:rsid w:val="005C1832"/>
    <w:rsid w:val="005C4371"/>
    <w:rsid w:val="005C4A7C"/>
    <w:rsid w:val="005C76C2"/>
    <w:rsid w:val="005D0D1A"/>
    <w:rsid w:val="005D12A3"/>
    <w:rsid w:val="005D210B"/>
    <w:rsid w:val="005D4F97"/>
    <w:rsid w:val="005E2456"/>
    <w:rsid w:val="005E5600"/>
    <w:rsid w:val="005E5C5F"/>
    <w:rsid w:val="005F009D"/>
    <w:rsid w:val="005F3A0E"/>
    <w:rsid w:val="005F5273"/>
    <w:rsid w:val="005F59EE"/>
    <w:rsid w:val="005F72F2"/>
    <w:rsid w:val="005F7F29"/>
    <w:rsid w:val="006004C7"/>
    <w:rsid w:val="00600816"/>
    <w:rsid w:val="00600BF0"/>
    <w:rsid w:val="00603758"/>
    <w:rsid w:val="00603E26"/>
    <w:rsid w:val="006067EB"/>
    <w:rsid w:val="00611AC5"/>
    <w:rsid w:val="00612107"/>
    <w:rsid w:val="00614461"/>
    <w:rsid w:val="0061503F"/>
    <w:rsid w:val="00615D87"/>
    <w:rsid w:val="006162EA"/>
    <w:rsid w:val="0061744B"/>
    <w:rsid w:val="006210B3"/>
    <w:rsid w:val="00622CE1"/>
    <w:rsid w:val="00624A79"/>
    <w:rsid w:val="006251DA"/>
    <w:rsid w:val="006275B8"/>
    <w:rsid w:val="006308DA"/>
    <w:rsid w:val="00632810"/>
    <w:rsid w:val="00634808"/>
    <w:rsid w:val="00635278"/>
    <w:rsid w:val="00642B43"/>
    <w:rsid w:val="00642E68"/>
    <w:rsid w:val="0064410E"/>
    <w:rsid w:val="00644D4B"/>
    <w:rsid w:val="00645606"/>
    <w:rsid w:val="00650543"/>
    <w:rsid w:val="006519C0"/>
    <w:rsid w:val="00652A7A"/>
    <w:rsid w:val="00652AAF"/>
    <w:rsid w:val="00653509"/>
    <w:rsid w:val="006539B8"/>
    <w:rsid w:val="006613C0"/>
    <w:rsid w:val="00663CA8"/>
    <w:rsid w:val="006645BD"/>
    <w:rsid w:val="00664AF0"/>
    <w:rsid w:val="00666254"/>
    <w:rsid w:val="006664F5"/>
    <w:rsid w:val="00674992"/>
    <w:rsid w:val="00674FBB"/>
    <w:rsid w:val="00675114"/>
    <w:rsid w:val="00675D67"/>
    <w:rsid w:val="00680B5A"/>
    <w:rsid w:val="0068435A"/>
    <w:rsid w:val="006845F8"/>
    <w:rsid w:val="0068520A"/>
    <w:rsid w:val="0068650F"/>
    <w:rsid w:val="00686B20"/>
    <w:rsid w:val="00686E62"/>
    <w:rsid w:val="006879B2"/>
    <w:rsid w:val="00687DB5"/>
    <w:rsid w:val="0069040C"/>
    <w:rsid w:val="00690A5F"/>
    <w:rsid w:val="006934C8"/>
    <w:rsid w:val="00693DF6"/>
    <w:rsid w:val="00696741"/>
    <w:rsid w:val="00696B09"/>
    <w:rsid w:val="006A03F4"/>
    <w:rsid w:val="006A0936"/>
    <w:rsid w:val="006A2CB6"/>
    <w:rsid w:val="006A5430"/>
    <w:rsid w:val="006A596B"/>
    <w:rsid w:val="006A68BF"/>
    <w:rsid w:val="006B074C"/>
    <w:rsid w:val="006B16C2"/>
    <w:rsid w:val="006B300B"/>
    <w:rsid w:val="006B32D6"/>
    <w:rsid w:val="006B4F65"/>
    <w:rsid w:val="006B7CAE"/>
    <w:rsid w:val="006C03E4"/>
    <w:rsid w:val="006C4F2E"/>
    <w:rsid w:val="006C5690"/>
    <w:rsid w:val="006C7BA5"/>
    <w:rsid w:val="006D088F"/>
    <w:rsid w:val="006D2D8B"/>
    <w:rsid w:val="006D2DAB"/>
    <w:rsid w:val="006D2EC1"/>
    <w:rsid w:val="006D32CF"/>
    <w:rsid w:val="006D3E67"/>
    <w:rsid w:val="006E4008"/>
    <w:rsid w:val="006E74A3"/>
    <w:rsid w:val="006E7CA5"/>
    <w:rsid w:val="006E7FCE"/>
    <w:rsid w:val="006F0BF7"/>
    <w:rsid w:val="006F1A78"/>
    <w:rsid w:val="006F2764"/>
    <w:rsid w:val="006F2C3B"/>
    <w:rsid w:val="006F3C26"/>
    <w:rsid w:val="006F59B0"/>
    <w:rsid w:val="006F6B70"/>
    <w:rsid w:val="00701AA6"/>
    <w:rsid w:val="007042E4"/>
    <w:rsid w:val="00706CA4"/>
    <w:rsid w:val="007075B5"/>
    <w:rsid w:val="007124F7"/>
    <w:rsid w:val="00712959"/>
    <w:rsid w:val="00712AB1"/>
    <w:rsid w:val="007142CB"/>
    <w:rsid w:val="00714B3D"/>
    <w:rsid w:val="007163E0"/>
    <w:rsid w:val="00720910"/>
    <w:rsid w:val="0072236C"/>
    <w:rsid w:val="00724D99"/>
    <w:rsid w:val="00726C0E"/>
    <w:rsid w:val="00730339"/>
    <w:rsid w:val="007337D6"/>
    <w:rsid w:val="00733961"/>
    <w:rsid w:val="00733C3B"/>
    <w:rsid w:val="00735D97"/>
    <w:rsid w:val="00736811"/>
    <w:rsid w:val="00737288"/>
    <w:rsid w:val="00737FA0"/>
    <w:rsid w:val="00740983"/>
    <w:rsid w:val="007422EB"/>
    <w:rsid w:val="007454E1"/>
    <w:rsid w:val="007554FE"/>
    <w:rsid w:val="00757BA4"/>
    <w:rsid w:val="0076191D"/>
    <w:rsid w:val="00761E18"/>
    <w:rsid w:val="00762491"/>
    <w:rsid w:val="0076262D"/>
    <w:rsid w:val="00764517"/>
    <w:rsid w:val="0077014C"/>
    <w:rsid w:val="0077075E"/>
    <w:rsid w:val="00770C78"/>
    <w:rsid w:val="00770C89"/>
    <w:rsid w:val="00771966"/>
    <w:rsid w:val="00771D2B"/>
    <w:rsid w:val="00772268"/>
    <w:rsid w:val="00772CA0"/>
    <w:rsid w:val="00774482"/>
    <w:rsid w:val="00774C61"/>
    <w:rsid w:val="00780935"/>
    <w:rsid w:val="00783998"/>
    <w:rsid w:val="00783D5D"/>
    <w:rsid w:val="007914D3"/>
    <w:rsid w:val="007938FF"/>
    <w:rsid w:val="00795823"/>
    <w:rsid w:val="007958FC"/>
    <w:rsid w:val="007A2499"/>
    <w:rsid w:val="007A2FBC"/>
    <w:rsid w:val="007A6B04"/>
    <w:rsid w:val="007A6EC2"/>
    <w:rsid w:val="007A70BD"/>
    <w:rsid w:val="007B0332"/>
    <w:rsid w:val="007B1608"/>
    <w:rsid w:val="007B2F6E"/>
    <w:rsid w:val="007B6689"/>
    <w:rsid w:val="007C0955"/>
    <w:rsid w:val="007C189A"/>
    <w:rsid w:val="007C3FAD"/>
    <w:rsid w:val="007C46A8"/>
    <w:rsid w:val="007C51B9"/>
    <w:rsid w:val="007C79D0"/>
    <w:rsid w:val="007C7A2D"/>
    <w:rsid w:val="007D2352"/>
    <w:rsid w:val="007D283C"/>
    <w:rsid w:val="007D2CC4"/>
    <w:rsid w:val="007D2ED8"/>
    <w:rsid w:val="007D4A52"/>
    <w:rsid w:val="007D59AC"/>
    <w:rsid w:val="007D5FFD"/>
    <w:rsid w:val="007D6AA8"/>
    <w:rsid w:val="007D73E2"/>
    <w:rsid w:val="007E1B0A"/>
    <w:rsid w:val="007E1E6C"/>
    <w:rsid w:val="007E54AF"/>
    <w:rsid w:val="007E54F7"/>
    <w:rsid w:val="007E5649"/>
    <w:rsid w:val="007E6350"/>
    <w:rsid w:val="007E65E9"/>
    <w:rsid w:val="007E7640"/>
    <w:rsid w:val="007F0A31"/>
    <w:rsid w:val="007F5752"/>
    <w:rsid w:val="007F5A25"/>
    <w:rsid w:val="007F6F69"/>
    <w:rsid w:val="007F7F54"/>
    <w:rsid w:val="008012E9"/>
    <w:rsid w:val="00802178"/>
    <w:rsid w:val="00803851"/>
    <w:rsid w:val="00804E66"/>
    <w:rsid w:val="0080550B"/>
    <w:rsid w:val="0080579F"/>
    <w:rsid w:val="008058BC"/>
    <w:rsid w:val="0080706A"/>
    <w:rsid w:val="00807448"/>
    <w:rsid w:val="008108A2"/>
    <w:rsid w:val="00815E4F"/>
    <w:rsid w:val="0081685D"/>
    <w:rsid w:val="00816B24"/>
    <w:rsid w:val="00820386"/>
    <w:rsid w:val="008209B1"/>
    <w:rsid w:val="00822FEA"/>
    <w:rsid w:val="008231FD"/>
    <w:rsid w:val="00823A88"/>
    <w:rsid w:val="008240E0"/>
    <w:rsid w:val="00825CB6"/>
    <w:rsid w:val="008307A3"/>
    <w:rsid w:val="00830AF8"/>
    <w:rsid w:val="00832536"/>
    <w:rsid w:val="00837C87"/>
    <w:rsid w:val="00837CB2"/>
    <w:rsid w:val="00842835"/>
    <w:rsid w:val="00842E3E"/>
    <w:rsid w:val="00843320"/>
    <w:rsid w:val="00844E99"/>
    <w:rsid w:val="00847A72"/>
    <w:rsid w:val="00850A52"/>
    <w:rsid w:val="00850BD7"/>
    <w:rsid w:val="0085147F"/>
    <w:rsid w:val="008518EA"/>
    <w:rsid w:val="0085430E"/>
    <w:rsid w:val="008558B5"/>
    <w:rsid w:val="008567A8"/>
    <w:rsid w:val="00857B01"/>
    <w:rsid w:val="00860A98"/>
    <w:rsid w:val="00862578"/>
    <w:rsid w:val="00862593"/>
    <w:rsid w:val="00863ABA"/>
    <w:rsid w:val="00863EA2"/>
    <w:rsid w:val="008659E1"/>
    <w:rsid w:val="00866C16"/>
    <w:rsid w:val="00875A4A"/>
    <w:rsid w:val="00876C8D"/>
    <w:rsid w:val="00877B1F"/>
    <w:rsid w:val="00883896"/>
    <w:rsid w:val="008838B2"/>
    <w:rsid w:val="00887F65"/>
    <w:rsid w:val="00890D09"/>
    <w:rsid w:val="00893890"/>
    <w:rsid w:val="00894020"/>
    <w:rsid w:val="0089514C"/>
    <w:rsid w:val="008A32A4"/>
    <w:rsid w:val="008A4E1B"/>
    <w:rsid w:val="008A5FC2"/>
    <w:rsid w:val="008B0562"/>
    <w:rsid w:val="008B0AA8"/>
    <w:rsid w:val="008B1033"/>
    <w:rsid w:val="008B15DF"/>
    <w:rsid w:val="008B2035"/>
    <w:rsid w:val="008B20E7"/>
    <w:rsid w:val="008B2F3F"/>
    <w:rsid w:val="008B3E1B"/>
    <w:rsid w:val="008B3FF1"/>
    <w:rsid w:val="008C035F"/>
    <w:rsid w:val="008C0E11"/>
    <w:rsid w:val="008C1944"/>
    <w:rsid w:val="008C2303"/>
    <w:rsid w:val="008C2C7C"/>
    <w:rsid w:val="008C4623"/>
    <w:rsid w:val="008C475A"/>
    <w:rsid w:val="008C65B6"/>
    <w:rsid w:val="008C74CB"/>
    <w:rsid w:val="008C754F"/>
    <w:rsid w:val="008D3315"/>
    <w:rsid w:val="008D629F"/>
    <w:rsid w:val="008E0DE6"/>
    <w:rsid w:val="008E33E1"/>
    <w:rsid w:val="008E3471"/>
    <w:rsid w:val="008E39CE"/>
    <w:rsid w:val="008E5121"/>
    <w:rsid w:val="008E5D4F"/>
    <w:rsid w:val="008E7715"/>
    <w:rsid w:val="008E7D0E"/>
    <w:rsid w:val="008F13D0"/>
    <w:rsid w:val="008F375F"/>
    <w:rsid w:val="008F3A0E"/>
    <w:rsid w:val="008F48BD"/>
    <w:rsid w:val="008F6D85"/>
    <w:rsid w:val="0090003C"/>
    <w:rsid w:val="00905038"/>
    <w:rsid w:val="0091001F"/>
    <w:rsid w:val="0091087B"/>
    <w:rsid w:val="009111F1"/>
    <w:rsid w:val="009113D5"/>
    <w:rsid w:val="009114BB"/>
    <w:rsid w:val="00911EE4"/>
    <w:rsid w:val="00913A3A"/>
    <w:rsid w:val="00914A3F"/>
    <w:rsid w:val="009170D3"/>
    <w:rsid w:val="00917D02"/>
    <w:rsid w:val="009216CA"/>
    <w:rsid w:val="0092301D"/>
    <w:rsid w:val="0092469D"/>
    <w:rsid w:val="00927B39"/>
    <w:rsid w:val="00931621"/>
    <w:rsid w:val="00932230"/>
    <w:rsid w:val="00932F25"/>
    <w:rsid w:val="00932F6B"/>
    <w:rsid w:val="009343F6"/>
    <w:rsid w:val="00934C63"/>
    <w:rsid w:val="009352EA"/>
    <w:rsid w:val="009376E0"/>
    <w:rsid w:val="00940641"/>
    <w:rsid w:val="00942EC6"/>
    <w:rsid w:val="009446B5"/>
    <w:rsid w:val="00944F24"/>
    <w:rsid w:val="00946552"/>
    <w:rsid w:val="00946910"/>
    <w:rsid w:val="009472CF"/>
    <w:rsid w:val="00950F2F"/>
    <w:rsid w:val="0095140E"/>
    <w:rsid w:val="009518D3"/>
    <w:rsid w:val="00952917"/>
    <w:rsid w:val="00952EB4"/>
    <w:rsid w:val="00954F8D"/>
    <w:rsid w:val="0095582A"/>
    <w:rsid w:val="0095622C"/>
    <w:rsid w:val="00957DEF"/>
    <w:rsid w:val="00961F96"/>
    <w:rsid w:val="00962402"/>
    <w:rsid w:val="009662C3"/>
    <w:rsid w:val="0097019E"/>
    <w:rsid w:val="00973283"/>
    <w:rsid w:val="00973A78"/>
    <w:rsid w:val="00973FDB"/>
    <w:rsid w:val="0098143D"/>
    <w:rsid w:val="00982838"/>
    <w:rsid w:val="00984322"/>
    <w:rsid w:val="0098595E"/>
    <w:rsid w:val="009912AD"/>
    <w:rsid w:val="009912DA"/>
    <w:rsid w:val="00996388"/>
    <w:rsid w:val="009A0658"/>
    <w:rsid w:val="009A0A41"/>
    <w:rsid w:val="009A0A4A"/>
    <w:rsid w:val="009A0D8B"/>
    <w:rsid w:val="009A121E"/>
    <w:rsid w:val="009A452A"/>
    <w:rsid w:val="009A76F8"/>
    <w:rsid w:val="009A7869"/>
    <w:rsid w:val="009B5BE9"/>
    <w:rsid w:val="009B68F3"/>
    <w:rsid w:val="009C0AB3"/>
    <w:rsid w:val="009C1E02"/>
    <w:rsid w:val="009C3E25"/>
    <w:rsid w:val="009C65F2"/>
    <w:rsid w:val="009C74C1"/>
    <w:rsid w:val="009C7D26"/>
    <w:rsid w:val="009D08DB"/>
    <w:rsid w:val="009D493F"/>
    <w:rsid w:val="009D59B9"/>
    <w:rsid w:val="009D716D"/>
    <w:rsid w:val="009E152B"/>
    <w:rsid w:val="009E4110"/>
    <w:rsid w:val="009E5456"/>
    <w:rsid w:val="009E562C"/>
    <w:rsid w:val="009E6BDF"/>
    <w:rsid w:val="009E6FA8"/>
    <w:rsid w:val="009F018E"/>
    <w:rsid w:val="009F137C"/>
    <w:rsid w:val="009F1C60"/>
    <w:rsid w:val="009F2AF0"/>
    <w:rsid w:val="009F7288"/>
    <w:rsid w:val="009F7F92"/>
    <w:rsid w:val="00A016C8"/>
    <w:rsid w:val="00A01744"/>
    <w:rsid w:val="00A033D8"/>
    <w:rsid w:val="00A05A48"/>
    <w:rsid w:val="00A076AB"/>
    <w:rsid w:val="00A10282"/>
    <w:rsid w:val="00A13739"/>
    <w:rsid w:val="00A14F77"/>
    <w:rsid w:val="00A1671A"/>
    <w:rsid w:val="00A24B9D"/>
    <w:rsid w:val="00A26CD6"/>
    <w:rsid w:val="00A2779F"/>
    <w:rsid w:val="00A31F4F"/>
    <w:rsid w:val="00A33521"/>
    <w:rsid w:val="00A347A0"/>
    <w:rsid w:val="00A355CA"/>
    <w:rsid w:val="00A35D95"/>
    <w:rsid w:val="00A36A4F"/>
    <w:rsid w:val="00A40428"/>
    <w:rsid w:val="00A408CE"/>
    <w:rsid w:val="00A41032"/>
    <w:rsid w:val="00A41B75"/>
    <w:rsid w:val="00A41EB9"/>
    <w:rsid w:val="00A422E9"/>
    <w:rsid w:val="00A43958"/>
    <w:rsid w:val="00A4398C"/>
    <w:rsid w:val="00A450B1"/>
    <w:rsid w:val="00A46315"/>
    <w:rsid w:val="00A47A61"/>
    <w:rsid w:val="00A5076B"/>
    <w:rsid w:val="00A52B5D"/>
    <w:rsid w:val="00A56EF1"/>
    <w:rsid w:val="00A5780F"/>
    <w:rsid w:val="00A5794B"/>
    <w:rsid w:val="00A612E4"/>
    <w:rsid w:val="00A62E51"/>
    <w:rsid w:val="00A63421"/>
    <w:rsid w:val="00A63BF7"/>
    <w:rsid w:val="00A66BFD"/>
    <w:rsid w:val="00A67E38"/>
    <w:rsid w:val="00A71D6F"/>
    <w:rsid w:val="00A7305F"/>
    <w:rsid w:val="00A73F05"/>
    <w:rsid w:val="00A81DE2"/>
    <w:rsid w:val="00A82E9F"/>
    <w:rsid w:val="00A951B0"/>
    <w:rsid w:val="00AA2E0F"/>
    <w:rsid w:val="00AA5EC8"/>
    <w:rsid w:val="00AA6300"/>
    <w:rsid w:val="00AA6B27"/>
    <w:rsid w:val="00AB4071"/>
    <w:rsid w:val="00AB5823"/>
    <w:rsid w:val="00AB6CEB"/>
    <w:rsid w:val="00AB7071"/>
    <w:rsid w:val="00AB7117"/>
    <w:rsid w:val="00AB7255"/>
    <w:rsid w:val="00AC2775"/>
    <w:rsid w:val="00AC6BFF"/>
    <w:rsid w:val="00AC7C04"/>
    <w:rsid w:val="00AD37D8"/>
    <w:rsid w:val="00AD436D"/>
    <w:rsid w:val="00AD52E3"/>
    <w:rsid w:val="00AD6B95"/>
    <w:rsid w:val="00AD7340"/>
    <w:rsid w:val="00AE111B"/>
    <w:rsid w:val="00AE35AE"/>
    <w:rsid w:val="00AE4185"/>
    <w:rsid w:val="00AE50BA"/>
    <w:rsid w:val="00AE77C9"/>
    <w:rsid w:val="00AF0103"/>
    <w:rsid w:val="00AF3AD6"/>
    <w:rsid w:val="00AF3F08"/>
    <w:rsid w:val="00AF46A0"/>
    <w:rsid w:val="00AF580C"/>
    <w:rsid w:val="00AF633E"/>
    <w:rsid w:val="00AF7505"/>
    <w:rsid w:val="00B0010B"/>
    <w:rsid w:val="00B03828"/>
    <w:rsid w:val="00B05D48"/>
    <w:rsid w:val="00B135F3"/>
    <w:rsid w:val="00B20049"/>
    <w:rsid w:val="00B218E3"/>
    <w:rsid w:val="00B22526"/>
    <w:rsid w:val="00B22B4B"/>
    <w:rsid w:val="00B31049"/>
    <w:rsid w:val="00B31CA9"/>
    <w:rsid w:val="00B33603"/>
    <w:rsid w:val="00B33FB8"/>
    <w:rsid w:val="00B35A60"/>
    <w:rsid w:val="00B35E26"/>
    <w:rsid w:val="00B4050D"/>
    <w:rsid w:val="00B4089A"/>
    <w:rsid w:val="00B40E04"/>
    <w:rsid w:val="00B41E0C"/>
    <w:rsid w:val="00B455D7"/>
    <w:rsid w:val="00B458ED"/>
    <w:rsid w:val="00B45A49"/>
    <w:rsid w:val="00B46581"/>
    <w:rsid w:val="00B46CD7"/>
    <w:rsid w:val="00B47C60"/>
    <w:rsid w:val="00B47E73"/>
    <w:rsid w:val="00B505E2"/>
    <w:rsid w:val="00B51D88"/>
    <w:rsid w:val="00B60AB6"/>
    <w:rsid w:val="00B6111A"/>
    <w:rsid w:val="00B61DB1"/>
    <w:rsid w:val="00B61EDD"/>
    <w:rsid w:val="00B61F44"/>
    <w:rsid w:val="00B63EA1"/>
    <w:rsid w:val="00B652B7"/>
    <w:rsid w:val="00B65593"/>
    <w:rsid w:val="00B65CB1"/>
    <w:rsid w:val="00B66266"/>
    <w:rsid w:val="00B67D06"/>
    <w:rsid w:val="00B718C1"/>
    <w:rsid w:val="00B75BF0"/>
    <w:rsid w:val="00B771A6"/>
    <w:rsid w:val="00B77A5A"/>
    <w:rsid w:val="00B77E25"/>
    <w:rsid w:val="00B86BC3"/>
    <w:rsid w:val="00B91510"/>
    <w:rsid w:val="00B93612"/>
    <w:rsid w:val="00B946AA"/>
    <w:rsid w:val="00B95641"/>
    <w:rsid w:val="00B95949"/>
    <w:rsid w:val="00BA04B3"/>
    <w:rsid w:val="00BA0695"/>
    <w:rsid w:val="00BA0ED3"/>
    <w:rsid w:val="00BA21DB"/>
    <w:rsid w:val="00BA22FF"/>
    <w:rsid w:val="00BA62A0"/>
    <w:rsid w:val="00BA6E39"/>
    <w:rsid w:val="00BA7565"/>
    <w:rsid w:val="00BB0EC1"/>
    <w:rsid w:val="00BB0F77"/>
    <w:rsid w:val="00BB0FF9"/>
    <w:rsid w:val="00BB37C3"/>
    <w:rsid w:val="00BB47C3"/>
    <w:rsid w:val="00BB5286"/>
    <w:rsid w:val="00BB6E17"/>
    <w:rsid w:val="00BB70F2"/>
    <w:rsid w:val="00BB74BB"/>
    <w:rsid w:val="00BB7EAD"/>
    <w:rsid w:val="00BC1C5F"/>
    <w:rsid w:val="00BC3A20"/>
    <w:rsid w:val="00BC3C9C"/>
    <w:rsid w:val="00BC4807"/>
    <w:rsid w:val="00BD0150"/>
    <w:rsid w:val="00BD4FDA"/>
    <w:rsid w:val="00BD61A8"/>
    <w:rsid w:val="00BD63D1"/>
    <w:rsid w:val="00BD7811"/>
    <w:rsid w:val="00BE259D"/>
    <w:rsid w:val="00BE4400"/>
    <w:rsid w:val="00BE53F4"/>
    <w:rsid w:val="00BE5FE7"/>
    <w:rsid w:val="00BF0B93"/>
    <w:rsid w:val="00BF3409"/>
    <w:rsid w:val="00BF3818"/>
    <w:rsid w:val="00BF562B"/>
    <w:rsid w:val="00BF5B80"/>
    <w:rsid w:val="00BF6E9F"/>
    <w:rsid w:val="00C02AAC"/>
    <w:rsid w:val="00C03ADD"/>
    <w:rsid w:val="00C06232"/>
    <w:rsid w:val="00C10D19"/>
    <w:rsid w:val="00C10ED6"/>
    <w:rsid w:val="00C10FEA"/>
    <w:rsid w:val="00C12BDF"/>
    <w:rsid w:val="00C14587"/>
    <w:rsid w:val="00C146DA"/>
    <w:rsid w:val="00C166A6"/>
    <w:rsid w:val="00C200A9"/>
    <w:rsid w:val="00C2169D"/>
    <w:rsid w:val="00C21F9D"/>
    <w:rsid w:val="00C222FB"/>
    <w:rsid w:val="00C22583"/>
    <w:rsid w:val="00C22609"/>
    <w:rsid w:val="00C23D1F"/>
    <w:rsid w:val="00C245D0"/>
    <w:rsid w:val="00C3174C"/>
    <w:rsid w:val="00C31861"/>
    <w:rsid w:val="00C32148"/>
    <w:rsid w:val="00C3281C"/>
    <w:rsid w:val="00C33144"/>
    <w:rsid w:val="00C335FE"/>
    <w:rsid w:val="00C33B16"/>
    <w:rsid w:val="00C344C0"/>
    <w:rsid w:val="00C3468E"/>
    <w:rsid w:val="00C34E4A"/>
    <w:rsid w:val="00C35FD0"/>
    <w:rsid w:val="00C424E8"/>
    <w:rsid w:val="00C47235"/>
    <w:rsid w:val="00C476C4"/>
    <w:rsid w:val="00C47928"/>
    <w:rsid w:val="00C5083C"/>
    <w:rsid w:val="00C50B7A"/>
    <w:rsid w:val="00C51A3B"/>
    <w:rsid w:val="00C53656"/>
    <w:rsid w:val="00C55982"/>
    <w:rsid w:val="00C604A7"/>
    <w:rsid w:val="00C60831"/>
    <w:rsid w:val="00C6098B"/>
    <w:rsid w:val="00C60A89"/>
    <w:rsid w:val="00C63F20"/>
    <w:rsid w:val="00C65408"/>
    <w:rsid w:val="00C659AE"/>
    <w:rsid w:val="00C66694"/>
    <w:rsid w:val="00C70814"/>
    <w:rsid w:val="00C72A37"/>
    <w:rsid w:val="00C745ED"/>
    <w:rsid w:val="00C7504F"/>
    <w:rsid w:val="00C806B1"/>
    <w:rsid w:val="00C826D7"/>
    <w:rsid w:val="00C82F5E"/>
    <w:rsid w:val="00C921A7"/>
    <w:rsid w:val="00C92634"/>
    <w:rsid w:val="00C9433B"/>
    <w:rsid w:val="00C95A2D"/>
    <w:rsid w:val="00CA02D9"/>
    <w:rsid w:val="00CA23D4"/>
    <w:rsid w:val="00CA43AF"/>
    <w:rsid w:val="00CA58E8"/>
    <w:rsid w:val="00CB1E26"/>
    <w:rsid w:val="00CB3A94"/>
    <w:rsid w:val="00CB3B80"/>
    <w:rsid w:val="00CB4210"/>
    <w:rsid w:val="00CB4E9E"/>
    <w:rsid w:val="00CB59B5"/>
    <w:rsid w:val="00CB5A03"/>
    <w:rsid w:val="00CB68BF"/>
    <w:rsid w:val="00CB6999"/>
    <w:rsid w:val="00CC0DD5"/>
    <w:rsid w:val="00CC3747"/>
    <w:rsid w:val="00CC4578"/>
    <w:rsid w:val="00CC7C63"/>
    <w:rsid w:val="00CC7FC5"/>
    <w:rsid w:val="00CD0C2A"/>
    <w:rsid w:val="00CD2369"/>
    <w:rsid w:val="00CE2373"/>
    <w:rsid w:val="00CE27FC"/>
    <w:rsid w:val="00CE2E6A"/>
    <w:rsid w:val="00CE3CFB"/>
    <w:rsid w:val="00CE4C99"/>
    <w:rsid w:val="00CE5659"/>
    <w:rsid w:val="00CF030F"/>
    <w:rsid w:val="00CF1135"/>
    <w:rsid w:val="00CF65D2"/>
    <w:rsid w:val="00CF7BFC"/>
    <w:rsid w:val="00D0123A"/>
    <w:rsid w:val="00D01FD8"/>
    <w:rsid w:val="00D02165"/>
    <w:rsid w:val="00D024D8"/>
    <w:rsid w:val="00D02D74"/>
    <w:rsid w:val="00D0409D"/>
    <w:rsid w:val="00D047BD"/>
    <w:rsid w:val="00D04965"/>
    <w:rsid w:val="00D04F3E"/>
    <w:rsid w:val="00D1185D"/>
    <w:rsid w:val="00D11AD9"/>
    <w:rsid w:val="00D162A6"/>
    <w:rsid w:val="00D1690F"/>
    <w:rsid w:val="00D175CD"/>
    <w:rsid w:val="00D2040E"/>
    <w:rsid w:val="00D2449B"/>
    <w:rsid w:val="00D245C9"/>
    <w:rsid w:val="00D24A93"/>
    <w:rsid w:val="00D252F2"/>
    <w:rsid w:val="00D25603"/>
    <w:rsid w:val="00D2614E"/>
    <w:rsid w:val="00D27592"/>
    <w:rsid w:val="00D333F5"/>
    <w:rsid w:val="00D350DF"/>
    <w:rsid w:val="00D35355"/>
    <w:rsid w:val="00D35B93"/>
    <w:rsid w:val="00D404B2"/>
    <w:rsid w:val="00D4398A"/>
    <w:rsid w:val="00D4616F"/>
    <w:rsid w:val="00D46D9C"/>
    <w:rsid w:val="00D471CE"/>
    <w:rsid w:val="00D52E25"/>
    <w:rsid w:val="00D62C37"/>
    <w:rsid w:val="00D6384F"/>
    <w:rsid w:val="00D63EAF"/>
    <w:rsid w:val="00D6715D"/>
    <w:rsid w:val="00D674C6"/>
    <w:rsid w:val="00D6790F"/>
    <w:rsid w:val="00D70301"/>
    <w:rsid w:val="00D7070F"/>
    <w:rsid w:val="00D70C1F"/>
    <w:rsid w:val="00D732AF"/>
    <w:rsid w:val="00D750BB"/>
    <w:rsid w:val="00D759AB"/>
    <w:rsid w:val="00D84A7A"/>
    <w:rsid w:val="00D87F79"/>
    <w:rsid w:val="00D906FE"/>
    <w:rsid w:val="00D91103"/>
    <w:rsid w:val="00D914B6"/>
    <w:rsid w:val="00D9172C"/>
    <w:rsid w:val="00D92BF1"/>
    <w:rsid w:val="00D937B6"/>
    <w:rsid w:val="00D9558B"/>
    <w:rsid w:val="00DA01C5"/>
    <w:rsid w:val="00DA4F1B"/>
    <w:rsid w:val="00DA5298"/>
    <w:rsid w:val="00DB0338"/>
    <w:rsid w:val="00DB2561"/>
    <w:rsid w:val="00DB40EB"/>
    <w:rsid w:val="00DB411B"/>
    <w:rsid w:val="00DB6758"/>
    <w:rsid w:val="00DB6894"/>
    <w:rsid w:val="00DB7734"/>
    <w:rsid w:val="00DC0C5E"/>
    <w:rsid w:val="00DC0E70"/>
    <w:rsid w:val="00DC2E42"/>
    <w:rsid w:val="00DC57E9"/>
    <w:rsid w:val="00DC7107"/>
    <w:rsid w:val="00DD1D48"/>
    <w:rsid w:val="00DD396D"/>
    <w:rsid w:val="00DD403C"/>
    <w:rsid w:val="00DD6547"/>
    <w:rsid w:val="00DD6BB9"/>
    <w:rsid w:val="00DD7280"/>
    <w:rsid w:val="00DD7ED7"/>
    <w:rsid w:val="00DD7F67"/>
    <w:rsid w:val="00DE16D2"/>
    <w:rsid w:val="00DE21AA"/>
    <w:rsid w:val="00DE453E"/>
    <w:rsid w:val="00DE4771"/>
    <w:rsid w:val="00DE7E0C"/>
    <w:rsid w:val="00DF213E"/>
    <w:rsid w:val="00DF357C"/>
    <w:rsid w:val="00DF3B4D"/>
    <w:rsid w:val="00DF4A26"/>
    <w:rsid w:val="00DF56B5"/>
    <w:rsid w:val="00DF735F"/>
    <w:rsid w:val="00DF7396"/>
    <w:rsid w:val="00DF76C6"/>
    <w:rsid w:val="00E014FD"/>
    <w:rsid w:val="00E03859"/>
    <w:rsid w:val="00E03DC6"/>
    <w:rsid w:val="00E040F3"/>
    <w:rsid w:val="00E04BF9"/>
    <w:rsid w:val="00E05639"/>
    <w:rsid w:val="00E06A3C"/>
    <w:rsid w:val="00E11442"/>
    <w:rsid w:val="00E114DD"/>
    <w:rsid w:val="00E11C66"/>
    <w:rsid w:val="00E1342E"/>
    <w:rsid w:val="00E13C94"/>
    <w:rsid w:val="00E14FA8"/>
    <w:rsid w:val="00E1634A"/>
    <w:rsid w:val="00E1749E"/>
    <w:rsid w:val="00E2381C"/>
    <w:rsid w:val="00E25C99"/>
    <w:rsid w:val="00E26DE6"/>
    <w:rsid w:val="00E30360"/>
    <w:rsid w:val="00E307D0"/>
    <w:rsid w:val="00E3146B"/>
    <w:rsid w:val="00E31F3D"/>
    <w:rsid w:val="00E33450"/>
    <w:rsid w:val="00E33474"/>
    <w:rsid w:val="00E335BA"/>
    <w:rsid w:val="00E339A4"/>
    <w:rsid w:val="00E33E0C"/>
    <w:rsid w:val="00E35A7D"/>
    <w:rsid w:val="00E36CEF"/>
    <w:rsid w:val="00E37397"/>
    <w:rsid w:val="00E440FD"/>
    <w:rsid w:val="00E46DE2"/>
    <w:rsid w:val="00E47CD9"/>
    <w:rsid w:val="00E50194"/>
    <w:rsid w:val="00E505A5"/>
    <w:rsid w:val="00E5092D"/>
    <w:rsid w:val="00E51543"/>
    <w:rsid w:val="00E53342"/>
    <w:rsid w:val="00E603DE"/>
    <w:rsid w:val="00E632FA"/>
    <w:rsid w:val="00E63454"/>
    <w:rsid w:val="00E648D6"/>
    <w:rsid w:val="00E64BC5"/>
    <w:rsid w:val="00E65F17"/>
    <w:rsid w:val="00E71250"/>
    <w:rsid w:val="00E7289D"/>
    <w:rsid w:val="00E76863"/>
    <w:rsid w:val="00E76D6A"/>
    <w:rsid w:val="00E76E43"/>
    <w:rsid w:val="00E7711C"/>
    <w:rsid w:val="00E77CA7"/>
    <w:rsid w:val="00E8339C"/>
    <w:rsid w:val="00E905F8"/>
    <w:rsid w:val="00E92BD5"/>
    <w:rsid w:val="00E9758F"/>
    <w:rsid w:val="00E97598"/>
    <w:rsid w:val="00E9778B"/>
    <w:rsid w:val="00EA2125"/>
    <w:rsid w:val="00EA3387"/>
    <w:rsid w:val="00EA43BD"/>
    <w:rsid w:val="00EA451A"/>
    <w:rsid w:val="00EA4FBE"/>
    <w:rsid w:val="00EA5A27"/>
    <w:rsid w:val="00EB0B88"/>
    <w:rsid w:val="00EB0F99"/>
    <w:rsid w:val="00EB1B42"/>
    <w:rsid w:val="00EB31F9"/>
    <w:rsid w:val="00EB42AC"/>
    <w:rsid w:val="00EB445A"/>
    <w:rsid w:val="00EB4677"/>
    <w:rsid w:val="00EB5B24"/>
    <w:rsid w:val="00EB61BC"/>
    <w:rsid w:val="00EC082B"/>
    <w:rsid w:val="00EC3C57"/>
    <w:rsid w:val="00EC4658"/>
    <w:rsid w:val="00EC4766"/>
    <w:rsid w:val="00EC5DCE"/>
    <w:rsid w:val="00EC6359"/>
    <w:rsid w:val="00ED1A02"/>
    <w:rsid w:val="00ED261C"/>
    <w:rsid w:val="00ED70E4"/>
    <w:rsid w:val="00EE0FE4"/>
    <w:rsid w:val="00EE195A"/>
    <w:rsid w:val="00EE272D"/>
    <w:rsid w:val="00EF2418"/>
    <w:rsid w:val="00EF47E7"/>
    <w:rsid w:val="00EF7525"/>
    <w:rsid w:val="00F018AA"/>
    <w:rsid w:val="00F027A3"/>
    <w:rsid w:val="00F03600"/>
    <w:rsid w:val="00F06AD4"/>
    <w:rsid w:val="00F07200"/>
    <w:rsid w:val="00F10220"/>
    <w:rsid w:val="00F13252"/>
    <w:rsid w:val="00F1600B"/>
    <w:rsid w:val="00F16065"/>
    <w:rsid w:val="00F16645"/>
    <w:rsid w:val="00F16A20"/>
    <w:rsid w:val="00F21029"/>
    <w:rsid w:val="00F21551"/>
    <w:rsid w:val="00F23B3C"/>
    <w:rsid w:val="00F263A1"/>
    <w:rsid w:val="00F26C8D"/>
    <w:rsid w:val="00F31041"/>
    <w:rsid w:val="00F339F5"/>
    <w:rsid w:val="00F34BDC"/>
    <w:rsid w:val="00F354E2"/>
    <w:rsid w:val="00F43D62"/>
    <w:rsid w:val="00F46EC0"/>
    <w:rsid w:val="00F46F7E"/>
    <w:rsid w:val="00F47244"/>
    <w:rsid w:val="00F52E8D"/>
    <w:rsid w:val="00F5401B"/>
    <w:rsid w:val="00F578D0"/>
    <w:rsid w:val="00F62B85"/>
    <w:rsid w:val="00F63E0A"/>
    <w:rsid w:val="00F66393"/>
    <w:rsid w:val="00F66B2B"/>
    <w:rsid w:val="00F67E7C"/>
    <w:rsid w:val="00F7076A"/>
    <w:rsid w:val="00F7129B"/>
    <w:rsid w:val="00F7613D"/>
    <w:rsid w:val="00F76C43"/>
    <w:rsid w:val="00F778DC"/>
    <w:rsid w:val="00F842B4"/>
    <w:rsid w:val="00F843B0"/>
    <w:rsid w:val="00F90415"/>
    <w:rsid w:val="00F92CC4"/>
    <w:rsid w:val="00FA0948"/>
    <w:rsid w:val="00FA24EE"/>
    <w:rsid w:val="00FA482C"/>
    <w:rsid w:val="00FA4C05"/>
    <w:rsid w:val="00FB0F59"/>
    <w:rsid w:val="00FB1B16"/>
    <w:rsid w:val="00FB310C"/>
    <w:rsid w:val="00FC1EC2"/>
    <w:rsid w:val="00FC20CE"/>
    <w:rsid w:val="00FC3497"/>
    <w:rsid w:val="00FC5E5E"/>
    <w:rsid w:val="00FC60E7"/>
    <w:rsid w:val="00FD0711"/>
    <w:rsid w:val="00FD0973"/>
    <w:rsid w:val="00FD1AD0"/>
    <w:rsid w:val="00FD2C6C"/>
    <w:rsid w:val="00FD3677"/>
    <w:rsid w:val="00FD77D6"/>
    <w:rsid w:val="00FE0A1C"/>
    <w:rsid w:val="00FE47D6"/>
    <w:rsid w:val="00FE6FC5"/>
    <w:rsid w:val="00FE7BD9"/>
    <w:rsid w:val="00FF20F3"/>
    <w:rsid w:val="00FF366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231C8B9"/>
  <w15:chartTrackingRefBased/>
  <w15:docId w15:val="{08F42923-8954-4965-8EE2-D469AE6E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342E"/>
    <w:pPr>
      <w:spacing w:line="360" w:lineRule="auto"/>
      <w:jc w:val="both"/>
    </w:pPr>
    <w:rPr>
      <w:rFonts w:ascii="Times New Roman" w:hAnsi="Times New Roman"/>
    </w:rPr>
  </w:style>
  <w:style w:type="paragraph" w:styleId="Titre1">
    <w:name w:val="heading 1"/>
    <w:basedOn w:val="Normal"/>
    <w:next w:val="Normal"/>
    <w:link w:val="Titre1Car"/>
    <w:uiPriority w:val="9"/>
    <w:qFormat/>
    <w:rsid w:val="00F7129B"/>
    <w:pPr>
      <w:keepNext/>
      <w:keepLines/>
      <w:spacing w:before="240" w:after="0"/>
      <w:outlineLvl w:val="0"/>
    </w:pPr>
    <w:rPr>
      <w:rFonts w:eastAsiaTheme="majorEastAsia" w:cstheme="majorBidi"/>
      <w:color w:val="2F5496" w:themeColor="accent1" w:themeShade="BF"/>
      <w:sz w:val="32"/>
      <w:szCs w:val="32"/>
    </w:rPr>
  </w:style>
  <w:style w:type="paragraph" w:styleId="Titre2">
    <w:name w:val="heading 2"/>
    <w:basedOn w:val="Normal"/>
    <w:next w:val="Normal"/>
    <w:link w:val="Titre2Car"/>
    <w:uiPriority w:val="9"/>
    <w:unhideWhenUsed/>
    <w:qFormat/>
    <w:rsid w:val="00F7129B"/>
    <w:pPr>
      <w:keepNext/>
      <w:keepLines/>
      <w:spacing w:before="40" w:after="0"/>
      <w:outlineLvl w:val="1"/>
    </w:pPr>
    <w:rPr>
      <w:rFonts w:eastAsiaTheme="majorEastAsia" w:cstheme="majorBidi"/>
      <w:color w:val="2F5496" w:themeColor="accent1" w:themeShade="BF"/>
      <w:sz w:val="26"/>
      <w:szCs w:val="26"/>
    </w:rPr>
  </w:style>
  <w:style w:type="paragraph" w:styleId="Titre3">
    <w:name w:val="heading 3"/>
    <w:basedOn w:val="Normal"/>
    <w:next w:val="Normal"/>
    <w:link w:val="Titre3Car"/>
    <w:uiPriority w:val="9"/>
    <w:unhideWhenUsed/>
    <w:qFormat/>
    <w:rsid w:val="00304BB9"/>
    <w:pPr>
      <w:keepNext/>
      <w:keepLines/>
      <w:spacing w:before="40" w:after="0"/>
      <w:outlineLvl w:val="2"/>
    </w:pPr>
    <w:rPr>
      <w:rFonts w:eastAsiaTheme="majorEastAsia" w:cstheme="majorBidi"/>
      <w:color w:val="1F3763" w:themeColor="accent1" w:themeShade="7F"/>
      <w:sz w:val="24"/>
      <w:szCs w:val="24"/>
    </w:rPr>
  </w:style>
  <w:style w:type="paragraph" w:styleId="Titre4">
    <w:name w:val="heading 4"/>
    <w:basedOn w:val="Normal"/>
    <w:next w:val="Normal"/>
    <w:link w:val="Titre4Car"/>
    <w:uiPriority w:val="9"/>
    <w:unhideWhenUsed/>
    <w:qFormat/>
    <w:rsid w:val="00844E99"/>
    <w:pPr>
      <w:keepNext/>
      <w:keepLines/>
      <w:spacing w:before="40" w:after="0"/>
      <w:outlineLvl w:val="3"/>
    </w:pPr>
    <w:rPr>
      <w:rFonts w:eastAsiaTheme="majorEastAsia" w:cstheme="majorBidi"/>
      <w:i/>
      <w:iCs/>
      <w:color w:val="2F5496"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E0FE4"/>
    <w:rPr>
      <w:color w:val="0563C1" w:themeColor="hyperlink"/>
      <w:u w:val="single"/>
    </w:rPr>
  </w:style>
  <w:style w:type="character" w:styleId="Mentionnonrsolue">
    <w:name w:val="Unresolved Mention"/>
    <w:basedOn w:val="Policepardfaut"/>
    <w:uiPriority w:val="99"/>
    <w:semiHidden/>
    <w:unhideWhenUsed/>
    <w:rsid w:val="00EE0FE4"/>
    <w:rPr>
      <w:color w:val="605E5C"/>
      <w:shd w:val="clear" w:color="auto" w:fill="E1DFDD"/>
    </w:rPr>
  </w:style>
  <w:style w:type="paragraph" w:customStyle="1" w:styleId="texte">
    <w:name w:val="texte"/>
    <w:basedOn w:val="Normal"/>
    <w:rsid w:val="00EE0FE4"/>
    <w:pPr>
      <w:spacing w:before="100" w:beforeAutospacing="1" w:after="100" w:afterAutospacing="1" w:line="240" w:lineRule="auto"/>
    </w:pPr>
    <w:rPr>
      <w:rFonts w:eastAsia="Times New Roman" w:cs="Times New Roman"/>
      <w:szCs w:val="24"/>
      <w:lang w:eastAsia="fr-BE"/>
    </w:rPr>
  </w:style>
  <w:style w:type="character" w:customStyle="1" w:styleId="num">
    <w:name w:val="num"/>
    <w:basedOn w:val="Policepardfaut"/>
    <w:rsid w:val="00EE0FE4"/>
  </w:style>
  <w:style w:type="character" w:customStyle="1" w:styleId="paranumber">
    <w:name w:val="paranumber"/>
    <w:basedOn w:val="Policepardfaut"/>
    <w:rsid w:val="00EE0FE4"/>
  </w:style>
  <w:style w:type="character" w:customStyle="1" w:styleId="marquage">
    <w:name w:val="marquage"/>
    <w:basedOn w:val="Policepardfaut"/>
    <w:rsid w:val="00F16645"/>
  </w:style>
  <w:style w:type="character" w:styleId="Accentuation">
    <w:name w:val="Emphasis"/>
    <w:basedOn w:val="Policepardfaut"/>
    <w:uiPriority w:val="20"/>
    <w:qFormat/>
    <w:rsid w:val="00F16645"/>
    <w:rPr>
      <w:i/>
      <w:iCs/>
    </w:rPr>
  </w:style>
  <w:style w:type="character" w:customStyle="1" w:styleId="Titre1Car">
    <w:name w:val="Titre 1 Car"/>
    <w:basedOn w:val="Policepardfaut"/>
    <w:link w:val="Titre1"/>
    <w:uiPriority w:val="9"/>
    <w:rsid w:val="00F7129B"/>
    <w:rPr>
      <w:rFonts w:ascii="Times New Roman" w:eastAsiaTheme="majorEastAsia" w:hAnsi="Times New Roman" w:cstheme="majorBidi"/>
      <w:color w:val="2F5496" w:themeColor="accent1" w:themeShade="BF"/>
      <w:sz w:val="32"/>
      <w:szCs w:val="32"/>
    </w:rPr>
  </w:style>
  <w:style w:type="character" w:customStyle="1" w:styleId="Titre2Car">
    <w:name w:val="Titre 2 Car"/>
    <w:basedOn w:val="Policepardfaut"/>
    <w:link w:val="Titre2"/>
    <w:uiPriority w:val="9"/>
    <w:rsid w:val="00F7129B"/>
    <w:rPr>
      <w:rFonts w:ascii="Times New Roman" w:eastAsiaTheme="majorEastAsia" w:hAnsi="Times New Roman" w:cstheme="majorBidi"/>
      <w:color w:val="2F5496" w:themeColor="accent1" w:themeShade="BF"/>
      <w:sz w:val="26"/>
      <w:szCs w:val="26"/>
    </w:rPr>
  </w:style>
  <w:style w:type="paragraph" w:styleId="Paragraphedeliste">
    <w:name w:val="List Paragraph"/>
    <w:basedOn w:val="Normal"/>
    <w:uiPriority w:val="34"/>
    <w:qFormat/>
    <w:rsid w:val="00163A16"/>
    <w:pPr>
      <w:ind w:left="720"/>
      <w:contextualSpacing/>
    </w:pPr>
  </w:style>
  <w:style w:type="character" w:customStyle="1" w:styleId="Titre3Car">
    <w:name w:val="Titre 3 Car"/>
    <w:basedOn w:val="Policepardfaut"/>
    <w:link w:val="Titre3"/>
    <w:uiPriority w:val="9"/>
    <w:rsid w:val="00304BB9"/>
    <w:rPr>
      <w:rFonts w:ascii="Times New Roman" w:eastAsiaTheme="majorEastAsia" w:hAnsi="Times New Roman" w:cstheme="majorBidi"/>
      <w:color w:val="1F3763" w:themeColor="accent1" w:themeShade="7F"/>
      <w:sz w:val="24"/>
      <w:szCs w:val="24"/>
    </w:rPr>
  </w:style>
  <w:style w:type="character" w:styleId="Lienhypertextesuivivisit">
    <w:name w:val="FollowedHyperlink"/>
    <w:basedOn w:val="Policepardfaut"/>
    <w:uiPriority w:val="99"/>
    <w:semiHidden/>
    <w:unhideWhenUsed/>
    <w:rsid w:val="00B718C1"/>
    <w:rPr>
      <w:color w:val="954F72" w:themeColor="followedHyperlink"/>
      <w:u w:val="single"/>
    </w:rPr>
  </w:style>
  <w:style w:type="character" w:customStyle="1" w:styleId="no">
    <w:name w:val="no"/>
    <w:basedOn w:val="Policepardfaut"/>
    <w:rsid w:val="008E33E1"/>
  </w:style>
  <w:style w:type="paragraph" w:customStyle="1" w:styleId="para">
    <w:name w:val="para"/>
    <w:basedOn w:val="Normal"/>
    <w:rsid w:val="008E33E1"/>
    <w:pPr>
      <w:spacing w:before="100" w:beforeAutospacing="1" w:after="100" w:afterAutospacing="1" w:line="240" w:lineRule="auto"/>
      <w:jc w:val="left"/>
    </w:pPr>
    <w:rPr>
      <w:rFonts w:eastAsia="Times New Roman" w:cs="Times New Roman"/>
      <w:szCs w:val="24"/>
      <w:lang w:eastAsia="fr-BE"/>
    </w:rPr>
  </w:style>
  <w:style w:type="paragraph" w:styleId="Notedebasdepage">
    <w:name w:val="footnote text"/>
    <w:basedOn w:val="Normal"/>
    <w:link w:val="NotedebasdepageCar"/>
    <w:uiPriority w:val="99"/>
    <w:unhideWhenUsed/>
    <w:rsid w:val="00614461"/>
    <w:pPr>
      <w:spacing w:after="0" w:line="240" w:lineRule="auto"/>
    </w:pPr>
    <w:rPr>
      <w:sz w:val="20"/>
      <w:szCs w:val="20"/>
    </w:rPr>
  </w:style>
  <w:style w:type="character" w:customStyle="1" w:styleId="NotedebasdepageCar">
    <w:name w:val="Note de bas de page Car"/>
    <w:basedOn w:val="Policepardfaut"/>
    <w:link w:val="Notedebasdepage"/>
    <w:uiPriority w:val="99"/>
    <w:rsid w:val="00614461"/>
    <w:rPr>
      <w:rFonts w:ascii="Times New Roman" w:hAnsi="Times New Roman"/>
      <w:sz w:val="20"/>
      <w:szCs w:val="20"/>
    </w:rPr>
  </w:style>
  <w:style w:type="character" w:styleId="Appelnotedebasdep">
    <w:name w:val="footnote reference"/>
    <w:basedOn w:val="Policepardfaut"/>
    <w:uiPriority w:val="99"/>
    <w:unhideWhenUsed/>
    <w:rsid w:val="00614461"/>
    <w:rPr>
      <w:vertAlign w:val="superscript"/>
    </w:rPr>
  </w:style>
  <w:style w:type="character" w:styleId="Marquedecommentaire">
    <w:name w:val="annotation reference"/>
    <w:basedOn w:val="Policepardfaut"/>
    <w:uiPriority w:val="99"/>
    <w:semiHidden/>
    <w:unhideWhenUsed/>
    <w:rsid w:val="00575580"/>
    <w:rPr>
      <w:sz w:val="16"/>
      <w:szCs w:val="16"/>
    </w:rPr>
  </w:style>
  <w:style w:type="paragraph" w:styleId="Commentaire">
    <w:name w:val="annotation text"/>
    <w:basedOn w:val="Normal"/>
    <w:link w:val="CommentaireCar"/>
    <w:uiPriority w:val="99"/>
    <w:semiHidden/>
    <w:unhideWhenUsed/>
    <w:rsid w:val="00575580"/>
    <w:pPr>
      <w:spacing w:line="240" w:lineRule="auto"/>
    </w:pPr>
    <w:rPr>
      <w:sz w:val="20"/>
      <w:szCs w:val="20"/>
    </w:rPr>
  </w:style>
  <w:style w:type="character" w:customStyle="1" w:styleId="CommentaireCar">
    <w:name w:val="Commentaire Car"/>
    <w:basedOn w:val="Policepardfaut"/>
    <w:link w:val="Commentaire"/>
    <w:uiPriority w:val="99"/>
    <w:semiHidden/>
    <w:rsid w:val="00575580"/>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575580"/>
    <w:rPr>
      <w:b/>
      <w:bCs/>
    </w:rPr>
  </w:style>
  <w:style w:type="character" w:customStyle="1" w:styleId="ObjetducommentaireCar">
    <w:name w:val="Objet du commentaire Car"/>
    <w:basedOn w:val="CommentaireCar"/>
    <w:link w:val="Objetducommentaire"/>
    <w:uiPriority w:val="99"/>
    <w:semiHidden/>
    <w:rsid w:val="00575580"/>
    <w:rPr>
      <w:rFonts w:ascii="Times New Roman" w:hAnsi="Times New Roman"/>
      <w:b/>
      <w:bCs/>
      <w:sz w:val="20"/>
      <w:szCs w:val="20"/>
    </w:rPr>
  </w:style>
  <w:style w:type="paragraph" w:styleId="Textedebulles">
    <w:name w:val="Balloon Text"/>
    <w:basedOn w:val="Normal"/>
    <w:link w:val="TextedebullesCar"/>
    <w:uiPriority w:val="99"/>
    <w:semiHidden/>
    <w:unhideWhenUsed/>
    <w:rsid w:val="0057558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75580"/>
    <w:rPr>
      <w:rFonts w:ascii="Segoe UI" w:hAnsi="Segoe UI" w:cs="Segoe UI"/>
      <w:sz w:val="18"/>
      <w:szCs w:val="18"/>
    </w:rPr>
  </w:style>
  <w:style w:type="paragraph" w:customStyle="1" w:styleId="Default">
    <w:name w:val="Default"/>
    <w:rsid w:val="00774482"/>
    <w:pPr>
      <w:autoSpaceDE w:val="0"/>
      <w:autoSpaceDN w:val="0"/>
      <w:adjustRightInd w:val="0"/>
      <w:spacing w:after="0" w:line="240" w:lineRule="auto"/>
    </w:pPr>
    <w:rPr>
      <w:rFonts w:ascii="Code" w:hAnsi="Code" w:cs="Code"/>
      <w:color w:val="000000"/>
      <w:sz w:val="24"/>
      <w:szCs w:val="24"/>
    </w:rPr>
  </w:style>
  <w:style w:type="character" w:customStyle="1" w:styleId="nlmstring-name">
    <w:name w:val="nlm_string-name"/>
    <w:basedOn w:val="Policepardfaut"/>
    <w:rsid w:val="00FA24EE"/>
  </w:style>
  <w:style w:type="paragraph" w:customStyle="1" w:styleId="citation">
    <w:name w:val="citation"/>
    <w:basedOn w:val="Normal"/>
    <w:rsid w:val="004D79E6"/>
    <w:pPr>
      <w:spacing w:before="100" w:beforeAutospacing="1" w:after="100" w:afterAutospacing="1" w:line="240" w:lineRule="auto"/>
      <w:jc w:val="left"/>
    </w:pPr>
    <w:rPr>
      <w:rFonts w:eastAsia="Times New Roman" w:cs="Times New Roman"/>
      <w:szCs w:val="24"/>
      <w:lang w:eastAsia="fr-BE"/>
    </w:rPr>
  </w:style>
  <w:style w:type="character" w:customStyle="1" w:styleId="uppercase">
    <w:name w:val="uppercase"/>
    <w:basedOn w:val="Policepardfaut"/>
    <w:rsid w:val="00804E66"/>
  </w:style>
  <w:style w:type="character" w:styleId="lev">
    <w:name w:val="Strong"/>
    <w:basedOn w:val="Policepardfaut"/>
    <w:uiPriority w:val="22"/>
    <w:qFormat/>
    <w:rsid w:val="000E1E06"/>
    <w:rPr>
      <w:b/>
      <w:bCs/>
    </w:rPr>
  </w:style>
  <w:style w:type="paragraph" w:styleId="NormalWeb">
    <w:name w:val="Normal (Web)"/>
    <w:basedOn w:val="Normal"/>
    <w:uiPriority w:val="99"/>
    <w:unhideWhenUsed/>
    <w:rsid w:val="00973FDB"/>
    <w:pPr>
      <w:spacing w:before="100" w:beforeAutospacing="1" w:after="100" w:afterAutospacing="1" w:line="240" w:lineRule="auto"/>
      <w:jc w:val="left"/>
    </w:pPr>
    <w:rPr>
      <w:rFonts w:eastAsia="Times New Roman" w:cs="Times New Roman"/>
      <w:szCs w:val="24"/>
      <w:lang w:eastAsia="fr-BE"/>
    </w:rPr>
  </w:style>
  <w:style w:type="paragraph" w:customStyle="1" w:styleId="rteindent1">
    <w:name w:val="rteindent1"/>
    <w:basedOn w:val="Normal"/>
    <w:rsid w:val="00432F49"/>
    <w:pPr>
      <w:spacing w:before="100" w:beforeAutospacing="1" w:after="100" w:afterAutospacing="1" w:line="240" w:lineRule="auto"/>
      <w:jc w:val="left"/>
    </w:pPr>
    <w:rPr>
      <w:rFonts w:eastAsia="Times New Roman" w:cs="Times New Roman"/>
      <w:szCs w:val="24"/>
      <w:lang w:eastAsia="fr-BE"/>
    </w:rPr>
  </w:style>
  <w:style w:type="character" w:customStyle="1" w:styleId="a-size-extra-large">
    <w:name w:val="a-size-extra-large"/>
    <w:basedOn w:val="Policepardfaut"/>
    <w:rsid w:val="00696B09"/>
  </w:style>
  <w:style w:type="character" w:customStyle="1" w:styleId="a-size-large">
    <w:name w:val="a-size-large"/>
    <w:basedOn w:val="Policepardfaut"/>
    <w:rsid w:val="00696B09"/>
  </w:style>
  <w:style w:type="paragraph" w:styleId="En-tte">
    <w:name w:val="header"/>
    <w:basedOn w:val="Normal"/>
    <w:link w:val="En-tteCar"/>
    <w:uiPriority w:val="99"/>
    <w:unhideWhenUsed/>
    <w:rsid w:val="003735FF"/>
    <w:pPr>
      <w:tabs>
        <w:tab w:val="center" w:pos="4536"/>
        <w:tab w:val="right" w:pos="9072"/>
      </w:tabs>
      <w:spacing w:after="0" w:line="240" w:lineRule="auto"/>
    </w:pPr>
  </w:style>
  <w:style w:type="character" w:customStyle="1" w:styleId="En-tteCar">
    <w:name w:val="En-tête Car"/>
    <w:basedOn w:val="Policepardfaut"/>
    <w:link w:val="En-tte"/>
    <w:uiPriority w:val="99"/>
    <w:rsid w:val="003735FF"/>
    <w:rPr>
      <w:rFonts w:ascii="Times New Roman" w:hAnsi="Times New Roman"/>
      <w:sz w:val="24"/>
    </w:rPr>
  </w:style>
  <w:style w:type="paragraph" w:styleId="Pieddepage">
    <w:name w:val="footer"/>
    <w:basedOn w:val="Normal"/>
    <w:link w:val="PieddepageCar"/>
    <w:uiPriority w:val="99"/>
    <w:unhideWhenUsed/>
    <w:rsid w:val="003735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35FF"/>
    <w:rPr>
      <w:rFonts w:ascii="Times New Roman" w:hAnsi="Times New Roman"/>
      <w:sz w:val="24"/>
    </w:rPr>
  </w:style>
  <w:style w:type="paragraph" w:styleId="En-ttedetabledesmatires">
    <w:name w:val="TOC Heading"/>
    <w:basedOn w:val="Titre1"/>
    <w:next w:val="Normal"/>
    <w:uiPriority w:val="39"/>
    <w:unhideWhenUsed/>
    <w:qFormat/>
    <w:rsid w:val="00DC0E70"/>
    <w:pPr>
      <w:spacing w:line="259" w:lineRule="auto"/>
      <w:jc w:val="left"/>
      <w:outlineLvl w:val="9"/>
    </w:pPr>
    <w:rPr>
      <w:lang w:eastAsia="fr-BE"/>
    </w:rPr>
  </w:style>
  <w:style w:type="paragraph" w:styleId="TM1">
    <w:name w:val="toc 1"/>
    <w:basedOn w:val="Normal"/>
    <w:next w:val="Normal"/>
    <w:autoRedefine/>
    <w:uiPriority w:val="39"/>
    <w:unhideWhenUsed/>
    <w:rsid w:val="00DC0E70"/>
    <w:pPr>
      <w:spacing w:after="100"/>
    </w:pPr>
  </w:style>
  <w:style w:type="paragraph" w:styleId="TM2">
    <w:name w:val="toc 2"/>
    <w:basedOn w:val="Normal"/>
    <w:next w:val="Normal"/>
    <w:autoRedefine/>
    <w:uiPriority w:val="39"/>
    <w:unhideWhenUsed/>
    <w:rsid w:val="00DC0E70"/>
    <w:pPr>
      <w:spacing w:after="100"/>
      <w:ind w:left="240"/>
    </w:pPr>
  </w:style>
  <w:style w:type="paragraph" w:styleId="TM3">
    <w:name w:val="toc 3"/>
    <w:basedOn w:val="Normal"/>
    <w:next w:val="Normal"/>
    <w:autoRedefine/>
    <w:uiPriority w:val="39"/>
    <w:unhideWhenUsed/>
    <w:rsid w:val="00DC0E70"/>
    <w:pPr>
      <w:spacing w:after="100"/>
      <w:ind w:left="480"/>
    </w:pPr>
  </w:style>
  <w:style w:type="table" w:styleId="Grilledutableau">
    <w:name w:val="Table Grid"/>
    <w:basedOn w:val="TableauNormal"/>
    <w:uiPriority w:val="39"/>
    <w:rsid w:val="00C5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D024D8"/>
    <w:pPr>
      <w:numPr>
        <w:ilvl w:val="1"/>
      </w:numPr>
    </w:pPr>
    <w:rPr>
      <w:rFonts w:asciiTheme="minorHAnsi" w:eastAsiaTheme="minorEastAsia" w:hAnsiTheme="minorHAnsi"/>
      <w:color w:val="5A5A5A" w:themeColor="text1" w:themeTint="A5"/>
      <w:spacing w:val="15"/>
    </w:rPr>
  </w:style>
  <w:style w:type="character" w:customStyle="1" w:styleId="Sous-titreCar">
    <w:name w:val="Sous-titre Car"/>
    <w:basedOn w:val="Policepardfaut"/>
    <w:link w:val="Sous-titre"/>
    <w:uiPriority w:val="11"/>
    <w:rsid w:val="00D024D8"/>
    <w:rPr>
      <w:rFonts w:eastAsiaTheme="minorEastAsia"/>
      <w:color w:val="5A5A5A" w:themeColor="text1" w:themeTint="A5"/>
      <w:spacing w:val="15"/>
    </w:rPr>
  </w:style>
  <w:style w:type="paragraph" w:styleId="Sansinterligne">
    <w:name w:val="No Spacing"/>
    <w:uiPriority w:val="1"/>
    <w:qFormat/>
    <w:rsid w:val="001D4E74"/>
    <w:pPr>
      <w:spacing w:after="0" w:line="240" w:lineRule="auto"/>
      <w:jc w:val="both"/>
    </w:pPr>
    <w:rPr>
      <w:rFonts w:ascii="Times New Roman" w:hAnsi="Times New Roman"/>
    </w:rPr>
  </w:style>
  <w:style w:type="character" w:customStyle="1" w:styleId="lettrine">
    <w:name w:val="lettrine"/>
    <w:basedOn w:val="Policepardfaut"/>
    <w:rsid w:val="009B5BE9"/>
  </w:style>
  <w:style w:type="paragraph" w:customStyle="1" w:styleId="titre-article">
    <w:name w:val="titre-article"/>
    <w:basedOn w:val="Normal"/>
    <w:rsid w:val="000D101E"/>
    <w:pPr>
      <w:spacing w:before="100" w:beforeAutospacing="1" w:after="100" w:afterAutospacing="1" w:line="240" w:lineRule="auto"/>
      <w:jc w:val="left"/>
    </w:pPr>
    <w:rPr>
      <w:rFonts w:eastAsia="Times New Roman" w:cs="Times New Roman"/>
      <w:sz w:val="24"/>
      <w:szCs w:val="24"/>
      <w:lang w:eastAsia="fr-BE"/>
    </w:rPr>
  </w:style>
  <w:style w:type="character" w:customStyle="1" w:styleId="Titre4Car">
    <w:name w:val="Titre 4 Car"/>
    <w:basedOn w:val="Policepardfaut"/>
    <w:link w:val="Titre4"/>
    <w:uiPriority w:val="9"/>
    <w:rsid w:val="00844E99"/>
    <w:rPr>
      <w:rFonts w:ascii="Times New Roman" w:eastAsiaTheme="majorEastAsia" w:hAnsi="Times New Roman" w:cstheme="majorBidi"/>
      <w:i/>
      <w:iCs/>
      <w:color w:val="2F5496" w:themeColor="accent1" w:themeShade="BF"/>
    </w:rPr>
  </w:style>
  <w:style w:type="paragraph" w:customStyle="1" w:styleId="refbiblio">
    <w:name w:val="refbiblio"/>
    <w:basedOn w:val="Normal"/>
    <w:rsid w:val="009518D3"/>
    <w:pPr>
      <w:spacing w:before="100" w:beforeAutospacing="1" w:after="100" w:afterAutospacing="1" w:line="240" w:lineRule="auto"/>
      <w:jc w:val="left"/>
    </w:pPr>
    <w:rPr>
      <w:rFonts w:eastAsia="Times New Roman" w:cs="Times New Roman"/>
      <w:sz w:val="24"/>
      <w:szCs w:val="24"/>
      <w:lang w:eastAsia="fr-BE"/>
    </w:rPr>
  </w:style>
  <w:style w:type="paragraph" w:customStyle="1" w:styleId="nova-legacy-e-listitem">
    <w:name w:val="nova-legacy-e-list__item"/>
    <w:basedOn w:val="Normal"/>
    <w:rsid w:val="009E562C"/>
    <w:pPr>
      <w:spacing w:before="100" w:beforeAutospacing="1" w:after="100" w:afterAutospacing="1" w:line="240" w:lineRule="auto"/>
      <w:jc w:val="left"/>
    </w:pPr>
    <w:rPr>
      <w:rFonts w:eastAsia="Times New Roman" w:cs="Times New Roman"/>
      <w:sz w:val="24"/>
      <w:szCs w:val="24"/>
      <w:lang w:eastAsia="fr-BE"/>
    </w:rPr>
  </w:style>
  <w:style w:type="character" w:customStyle="1" w:styleId="familyname">
    <w:name w:val="familyname"/>
    <w:basedOn w:val="Policepardfaut"/>
    <w:rsid w:val="008B2035"/>
  </w:style>
  <w:style w:type="character" w:customStyle="1" w:styleId="authors">
    <w:name w:val="authors"/>
    <w:basedOn w:val="Policepardfaut"/>
    <w:rsid w:val="00331DF6"/>
  </w:style>
  <w:style w:type="character" w:customStyle="1" w:styleId="Date1">
    <w:name w:val="Date1"/>
    <w:basedOn w:val="Policepardfaut"/>
    <w:rsid w:val="00331DF6"/>
  </w:style>
  <w:style w:type="character" w:customStyle="1" w:styleId="arttitle">
    <w:name w:val="art_title"/>
    <w:basedOn w:val="Policepardfaut"/>
    <w:rsid w:val="00331DF6"/>
  </w:style>
  <w:style w:type="character" w:customStyle="1" w:styleId="serialtitle">
    <w:name w:val="serial_title"/>
    <w:basedOn w:val="Policepardfaut"/>
    <w:rsid w:val="00331DF6"/>
  </w:style>
  <w:style w:type="character" w:customStyle="1" w:styleId="volumeissue">
    <w:name w:val="volume_issue"/>
    <w:basedOn w:val="Policepardfaut"/>
    <w:rsid w:val="00331DF6"/>
  </w:style>
  <w:style w:type="character" w:customStyle="1" w:styleId="pagerange">
    <w:name w:val="page_range"/>
    <w:basedOn w:val="Policepardfaut"/>
    <w:rsid w:val="00331DF6"/>
  </w:style>
  <w:style w:type="character" w:customStyle="1" w:styleId="doilink">
    <w:name w:val="doi_link"/>
    <w:basedOn w:val="Policepardfaut"/>
    <w:rsid w:val="00331DF6"/>
  </w:style>
  <w:style w:type="paragraph" w:customStyle="1" w:styleId="doi">
    <w:name w:val="doi"/>
    <w:basedOn w:val="Normal"/>
    <w:rsid w:val="00D35B93"/>
    <w:pPr>
      <w:spacing w:before="100" w:beforeAutospacing="1" w:after="100" w:afterAutospacing="1" w:line="240" w:lineRule="auto"/>
      <w:jc w:val="left"/>
    </w:pPr>
    <w:rPr>
      <w:rFonts w:eastAsia="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04837">
      <w:bodyDiv w:val="1"/>
      <w:marLeft w:val="0"/>
      <w:marRight w:val="0"/>
      <w:marTop w:val="0"/>
      <w:marBottom w:val="0"/>
      <w:divBdr>
        <w:top w:val="none" w:sz="0" w:space="0" w:color="auto"/>
        <w:left w:val="none" w:sz="0" w:space="0" w:color="auto"/>
        <w:bottom w:val="none" w:sz="0" w:space="0" w:color="auto"/>
        <w:right w:val="none" w:sz="0" w:space="0" w:color="auto"/>
      </w:divBdr>
    </w:div>
    <w:div w:id="199898179">
      <w:bodyDiv w:val="1"/>
      <w:marLeft w:val="0"/>
      <w:marRight w:val="0"/>
      <w:marTop w:val="0"/>
      <w:marBottom w:val="0"/>
      <w:divBdr>
        <w:top w:val="none" w:sz="0" w:space="0" w:color="auto"/>
        <w:left w:val="none" w:sz="0" w:space="0" w:color="auto"/>
        <w:bottom w:val="none" w:sz="0" w:space="0" w:color="auto"/>
        <w:right w:val="none" w:sz="0" w:space="0" w:color="auto"/>
      </w:divBdr>
    </w:div>
    <w:div w:id="232930070">
      <w:bodyDiv w:val="1"/>
      <w:marLeft w:val="0"/>
      <w:marRight w:val="0"/>
      <w:marTop w:val="0"/>
      <w:marBottom w:val="0"/>
      <w:divBdr>
        <w:top w:val="none" w:sz="0" w:space="0" w:color="auto"/>
        <w:left w:val="none" w:sz="0" w:space="0" w:color="auto"/>
        <w:bottom w:val="none" w:sz="0" w:space="0" w:color="auto"/>
        <w:right w:val="none" w:sz="0" w:space="0" w:color="auto"/>
      </w:divBdr>
      <w:divsChild>
        <w:div w:id="117183946">
          <w:marLeft w:val="0"/>
          <w:marRight w:val="0"/>
          <w:marTop w:val="0"/>
          <w:marBottom w:val="0"/>
          <w:divBdr>
            <w:top w:val="none" w:sz="0" w:space="0" w:color="auto"/>
            <w:left w:val="none" w:sz="0" w:space="0" w:color="auto"/>
            <w:bottom w:val="none" w:sz="0" w:space="0" w:color="auto"/>
            <w:right w:val="none" w:sz="0" w:space="0" w:color="auto"/>
          </w:divBdr>
        </w:div>
        <w:div w:id="2029216867">
          <w:marLeft w:val="0"/>
          <w:marRight w:val="0"/>
          <w:marTop w:val="0"/>
          <w:marBottom w:val="0"/>
          <w:divBdr>
            <w:top w:val="none" w:sz="0" w:space="0" w:color="auto"/>
            <w:left w:val="none" w:sz="0" w:space="0" w:color="auto"/>
            <w:bottom w:val="none" w:sz="0" w:space="0" w:color="auto"/>
            <w:right w:val="none" w:sz="0" w:space="0" w:color="auto"/>
          </w:divBdr>
        </w:div>
        <w:div w:id="1497453539">
          <w:marLeft w:val="0"/>
          <w:marRight w:val="0"/>
          <w:marTop w:val="0"/>
          <w:marBottom w:val="0"/>
          <w:divBdr>
            <w:top w:val="none" w:sz="0" w:space="0" w:color="auto"/>
            <w:left w:val="none" w:sz="0" w:space="0" w:color="auto"/>
            <w:bottom w:val="none" w:sz="0" w:space="0" w:color="auto"/>
            <w:right w:val="none" w:sz="0" w:space="0" w:color="auto"/>
          </w:divBdr>
        </w:div>
        <w:div w:id="1512142909">
          <w:marLeft w:val="0"/>
          <w:marRight w:val="0"/>
          <w:marTop w:val="0"/>
          <w:marBottom w:val="0"/>
          <w:divBdr>
            <w:top w:val="none" w:sz="0" w:space="0" w:color="auto"/>
            <w:left w:val="none" w:sz="0" w:space="0" w:color="auto"/>
            <w:bottom w:val="none" w:sz="0" w:space="0" w:color="auto"/>
            <w:right w:val="none" w:sz="0" w:space="0" w:color="auto"/>
          </w:divBdr>
        </w:div>
        <w:div w:id="1827936264">
          <w:marLeft w:val="0"/>
          <w:marRight w:val="0"/>
          <w:marTop w:val="0"/>
          <w:marBottom w:val="0"/>
          <w:divBdr>
            <w:top w:val="none" w:sz="0" w:space="0" w:color="auto"/>
            <w:left w:val="none" w:sz="0" w:space="0" w:color="auto"/>
            <w:bottom w:val="none" w:sz="0" w:space="0" w:color="auto"/>
            <w:right w:val="none" w:sz="0" w:space="0" w:color="auto"/>
          </w:divBdr>
        </w:div>
        <w:div w:id="131096208">
          <w:marLeft w:val="0"/>
          <w:marRight w:val="0"/>
          <w:marTop w:val="0"/>
          <w:marBottom w:val="0"/>
          <w:divBdr>
            <w:top w:val="none" w:sz="0" w:space="0" w:color="auto"/>
            <w:left w:val="none" w:sz="0" w:space="0" w:color="auto"/>
            <w:bottom w:val="none" w:sz="0" w:space="0" w:color="auto"/>
            <w:right w:val="none" w:sz="0" w:space="0" w:color="auto"/>
          </w:divBdr>
        </w:div>
        <w:div w:id="1871330856">
          <w:marLeft w:val="0"/>
          <w:marRight w:val="0"/>
          <w:marTop w:val="0"/>
          <w:marBottom w:val="0"/>
          <w:divBdr>
            <w:top w:val="none" w:sz="0" w:space="0" w:color="auto"/>
            <w:left w:val="none" w:sz="0" w:space="0" w:color="auto"/>
            <w:bottom w:val="none" w:sz="0" w:space="0" w:color="auto"/>
            <w:right w:val="none" w:sz="0" w:space="0" w:color="auto"/>
          </w:divBdr>
        </w:div>
        <w:div w:id="812868482">
          <w:marLeft w:val="0"/>
          <w:marRight w:val="0"/>
          <w:marTop w:val="0"/>
          <w:marBottom w:val="0"/>
          <w:divBdr>
            <w:top w:val="none" w:sz="0" w:space="0" w:color="auto"/>
            <w:left w:val="none" w:sz="0" w:space="0" w:color="auto"/>
            <w:bottom w:val="none" w:sz="0" w:space="0" w:color="auto"/>
            <w:right w:val="none" w:sz="0" w:space="0" w:color="auto"/>
          </w:divBdr>
        </w:div>
        <w:div w:id="528228259">
          <w:marLeft w:val="0"/>
          <w:marRight w:val="0"/>
          <w:marTop w:val="0"/>
          <w:marBottom w:val="0"/>
          <w:divBdr>
            <w:top w:val="none" w:sz="0" w:space="0" w:color="auto"/>
            <w:left w:val="none" w:sz="0" w:space="0" w:color="auto"/>
            <w:bottom w:val="none" w:sz="0" w:space="0" w:color="auto"/>
            <w:right w:val="none" w:sz="0" w:space="0" w:color="auto"/>
          </w:divBdr>
        </w:div>
        <w:div w:id="937640760">
          <w:marLeft w:val="0"/>
          <w:marRight w:val="0"/>
          <w:marTop w:val="0"/>
          <w:marBottom w:val="0"/>
          <w:divBdr>
            <w:top w:val="none" w:sz="0" w:space="0" w:color="auto"/>
            <w:left w:val="none" w:sz="0" w:space="0" w:color="auto"/>
            <w:bottom w:val="none" w:sz="0" w:space="0" w:color="auto"/>
            <w:right w:val="none" w:sz="0" w:space="0" w:color="auto"/>
          </w:divBdr>
        </w:div>
        <w:div w:id="1413621750">
          <w:marLeft w:val="0"/>
          <w:marRight w:val="0"/>
          <w:marTop w:val="0"/>
          <w:marBottom w:val="0"/>
          <w:divBdr>
            <w:top w:val="none" w:sz="0" w:space="0" w:color="auto"/>
            <w:left w:val="none" w:sz="0" w:space="0" w:color="auto"/>
            <w:bottom w:val="none" w:sz="0" w:space="0" w:color="auto"/>
            <w:right w:val="none" w:sz="0" w:space="0" w:color="auto"/>
          </w:divBdr>
        </w:div>
        <w:div w:id="157038551">
          <w:marLeft w:val="0"/>
          <w:marRight w:val="0"/>
          <w:marTop w:val="0"/>
          <w:marBottom w:val="0"/>
          <w:divBdr>
            <w:top w:val="none" w:sz="0" w:space="0" w:color="auto"/>
            <w:left w:val="none" w:sz="0" w:space="0" w:color="auto"/>
            <w:bottom w:val="none" w:sz="0" w:space="0" w:color="auto"/>
            <w:right w:val="none" w:sz="0" w:space="0" w:color="auto"/>
          </w:divBdr>
        </w:div>
        <w:div w:id="1363476773">
          <w:marLeft w:val="0"/>
          <w:marRight w:val="0"/>
          <w:marTop w:val="0"/>
          <w:marBottom w:val="0"/>
          <w:divBdr>
            <w:top w:val="none" w:sz="0" w:space="0" w:color="auto"/>
            <w:left w:val="none" w:sz="0" w:space="0" w:color="auto"/>
            <w:bottom w:val="none" w:sz="0" w:space="0" w:color="auto"/>
            <w:right w:val="none" w:sz="0" w:space="0" w:color="auto"/>
          </w:divBdr>
        </w:div>
        <w:div w:id="1700008087">
          <w:marLeft w:val="0"/>
          <w:marRight w:val="0"/>
          <w:marTop w:val="0"/>
          <w:marBottom w:val="0"/>
          <w:divBdr>
            <w:top w:val="none" w:sz="0" w:space="0" w:color="auto"/>
            <w:left w:val="none" w:sz="0" w:space="0" w:color="auto"/>
            <w:bottom w:val="none" w:sz="0" w:space="0" w:color="auto"/>
            <w:right w:val="none" w:sz="0" w:space="0" w:color="auto"/>
          </w:divBdr>
        </w:div>
        <w:div w:id="1818260582">
          <w:marLeft w:val="0"/>
          <w:marRight w:val="0"/>
          <w:marTop w:val="0"/>
          <w:marBottom w:val="0"/>
          <w:divBdr>
            <w:top w:val="none" w:sz="0" w:space="0" w:color="auto"/>
            <w:left w:val="none" w:sz="0" w:space="0" w:color="auto"/>
            <w:bottom w:val="none" w:sz="0" w:space="0" w:color="auto"/>
            <w:right w:val="none" w:sz="0" w:space="0" w:color="auto"/>
          </w:divBdr>
        </w:div>
        <w:div w:id="355621589">
          <w:marLeft w:val="0"/>
          <w:marRight w:val="0"/>
          <w:marTop w:val="0"/>
          <w:marBottom w:val="0"/>
          <w:divBdr>
            <w:top w:val="none" w:sz="0" w:space="0" w:color="auto"/>
            <w:left w:val="none" w:sz="0" w:space="0" w:color="auto"/>
            <w:bottom w:val="none" w:sz="0" w:space="0" w:color="auto"/>
            <w:right w:val="none" w:sz="0" w:space="0" w:color="auto"/>
          </w:divBdr>
        </w:div>
        <w:div w:id="1001659534">
          <w:marLeft w:val="0"/>
          <w:marRight w:val="0"/>
          <w:marTop w:val="0"/>
          <w:marBottom w:val="0"/>
          <w:divBdr>
            <w:top w:val="none" w:sz="0" w:space="0" w:color="auto"/>
            <w:left w:val="none" w:sz="0" w:space="0" w:color="auto"/>
            <w:bottom w:val="none" w:sz="0" w:space="0" w:color="auto"/>
            <w:right w:val="none" w:sz="0" w:space="0" w:color="auto"/>
          </w:divBdr>
        </w:div>
        <w:div w:id="228805182">
          <w:marLeft w:val="0"/>
          <w:marRight w:val="0"/>
          <w:marTop w:val="0"/>
          <w:marBottom w:val="0"/>
          <w:divBdr>
            <w:top w:val="none" w:sz="0" w:space="0" w:color="auto"/>
            <w:left w:val="none" w:sz="0" w:space="0" w:color="auto"/>
            <w:bottom w:val="none" w:sz="0" w:space="0" w:color="auto"/>
            <w:right w:val="none" w:sz="0" w:space="0" w:color="auto"/>
          </w:divBdr>
        </w:div>
        <w:div w:id="1000541402">
          <w:marLeft w:val="0"/>
          <w:marRight w:val="0"/>
          <w:marTop w:val="0"/>
          <w:marBottom w:val="0"/>
          <w:divBdr>
            <w:top w:val="none" w:sz="0" w:space="0" w:color="auto"/>
            <w:left w:val="none" w:sz="0" w:space="0" w:color="auto"/>
            <w:bottom w:val="none" w:sz="0" w:space="0" w:color="auto"/>
            <w:right w:val="none" w:sz="0" w:space="0" w:color="auto"/>
          </w:divBdr>
        </w:div>
        <w:div w:id="354697683">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533035434">
          <w:marLeft w:val="0"/>
          <w:marRight w:val="0"/>
          <w:marTop w:val="0"/>
          <w:marBottom w:val="0"/>
          <w:divBdr>
            <w:top w:val="none" w:sz="0" w:space="0" w:color="auto"/>
            <w:left w:val="none" w:sz="0" w:space="0" w:color="auto"/>
            <w:bottom w:val="none" w:sz="0" w:space="0" w:color="auto"/>
            <w:right w:val="none" w:sz="0" w:space="0" w:color="auto"/>
          </w:divBdr>
        </w:div>
        <w:div w:id="735713187">
          <w:marLeft w:val="0"/>
          <w:marRight w:val="0"/>
          <w:marTop w:val="0"/>
          <w:marBottom w:val="0"/>
          <w:divBdr>
            <w:top w:val="none" w:sz="0" w:space="0" w:color="auto"/>
            <w:left w:val="none" w:sz="0" w:space="0" w:color="auto"/>
            <w:bottom w:val="none" w:sz="0" w:space="0" w:color="auto"/>
            <w:right w:val="none" w:sz="0" w:space="0" w:color="auto"/>
          </w:divBdr>
        </w:div>
        <w:div w:id="1453983288">
          <w:marLeft w:val="0"/>
          <w:marRight w:val="0"/>
          <w:marTop w:val="0"/>
          <w:marBottom w:val="0"/>
          <w:divBdr>
            <w:top w:val="none" w:sz="0" w:space="0" w:color="auto"/>
            <w:left w:val="none" w:sz="0" w:space="0" w:color="auto"/>
            <w:bottom w:val="none" w:sz="0" w:space="0" w:color="auto"/>
            <w:right w:val="none" w:sz="0" w:space="0" w:color="auto"/>
          </w:divBdr>
        </w:div>
        <w:div w:id="430666673">
          <w:marLeft w:val="0"/>
          <w:marRight w:val="0"/>
          <w:marTop w:val="0"/>
          <w:marBottom w:val="0"/>
          <w:divBdr>
            <w:top w:val="none" w:sz="0" w:space="0" w:color="auto"/>
            <w:left w:val="none" w:sz="0" w:space="0" w:color="auto"/>
            <w:bottom w:val="none" w:sz="0" w:space="0" w:color="auto"/>
            <w:right w:val="none" w:sz="0" w:space="0" w:color="auto"/>
          </w:divBdr>
        </w:div>
        <w:div w:id="1857579748">
          <w:marLeft w:val="0"/>
          <w:marRight w:val="0"/>
          <w:marTop w:val="0"/>
          <w:marBottom w:val="0"/>
          <w:divBdr>
            <w:top w:val="none" w:sz="0" w:space="0" w:color="auto"/>
            <w:left w:val="none" w:sz="0" w:space="0" w:color="auto"/>
            <w:bottom w:val="none" w:sz="0" w:space="0" w:color="auto"/>
            <w:right w:val="none" w:sz="0" w:space="0" w:color="auto"/>
          </w:divBdr>
        </w:div>
        <w:div w:id="1638293065">
          <w:marLeft w:val="0"/>
          <w:marRight w:val="0"/>
          <w:marTop w:val="0"/>
          <w:marBottom w:val="0"/>
          <w:divBdr>
            <w:top w:val="none" w:sz="0" w:space="0" w:color="auto"/>
            <w:left w:val="none" w:sz="0" w:space="0" w:color="auto"/>
            <w:bottom w:val="none" w:sz="0" w:space="0" w:color="auto"/>
            <w:right w:val="none" w:sz="0" w:space="0" w:color="auto"/>
          </w:divBdr>
        </w:div>
        <w:div w:id="1163426570">
          <w:marLeft w:val="0"/>
          <w:marRight w:val="0"/>
          <w:marTop w:val="0"/>
          <w:marBottom w:val="0"/>
          <w:divBdr>
            <w:top w:val="none" w:sz="0" w:space="0" w:color="auto"/>
            <w:left w:val="none" w:sz="0" w:space="0" w:color="auto"/>
            <w:bottom w:val="none" w:sz="0" w:space="0" w:color="auto"/>
            <w:right w:val="none" w:sz="0" w:space="0" w:color="auto"/>
          </w:divBdr>
        </w:div>
        <w:div w:id="1463960862">
          <w:marLeft w:val="0"/>
          <w:marRight w:val="0"/>
          <w:marTop w:val="0"/>
          <w:marBottom w:val="0"/>
          <w:divBdr>
            <w:top w:val="none" w:sz="0" w:space="0" w:color="auto"/>
            <w:left w:val="none" w:sz="0" w:space="0" w:color="auto"/>
            <w:bottom w:val="none" w:sz="0" w:space="0" w:color="auto"/>
            <w:right w:val="none" w:sz="0" w:space="0" w:color="auto"/>
          </w:divBdr>
        </w:div>
        <w:div w:id="537472317">
          <w:marLeft w:val="0"/>
          <w:marRight w:val="0"/>
          <w:marTop w:val="0"/>
          <w:marBottom w:val="0"/>
          <w:divBdr>
            <w:top w:val="none" w:sz="0" w:space="0" w:color="auto"/>
            <w:left w:val="none" w:sz="0" w:space="0" w:color="auto"/>
            <w:bottom w:val="none" w:sz="0" w:space="0" w:color="auto"/>
            <w:right w:val="none" w:sz="0" w:space="0" w:color="auto"/>
          </w:divBdr>
        </w:div>
        <w:div w:id="115107859">
          <w:marLeft w:val="0"/>
          <w:marRight w:val="0"/>
          <w:marTop w:val="0"/>
          <w:marBottom w:val="0"/>
          <w:divBdr>
            <w:top w:val="none" w:sz="0" w:space="0" w:color="auto"/>
            <w:left w:val="none" w:sz="0" w:space="0" w:color="auto"/>
            <w:bottom w:val="none" w:sz="0" w:space="0" w:color="auto"/>
            <w:right w:val="none" w:sz="0" w:space="0" w:color="auto"/>
          </w:divBdr>
        </w:div>
        <w:div w:id="1070076573">
          <w:marLeft w:val="0"/>
          <w:marRight w:val="0"/>
          <w:marTop w:val="0"/>
          <w:marBottom w:val="0"/>
          <w:divBdr>
            <w:top w:val="none" w:sz="0" w:space="0" w:color="auto"/>
            <w:left w:val="none" w:sz="0" w:space="0" w:color="auto"/>
            <w:bottom w:val="none" w:sz="0" w:space="0" w:color="auto"/>
            <w:right w:val="none" w:sz="0" w:space="0" w:color="auto"/>
          </w:divBdr>
        </w:div>
        <w:div w:id="744038606">
          <w:marLeft w:val="0"/>
          <w:marRight w:val="0"/>
          <w:marTop w:val="0"/>
          <w:marBottom w:val="0"/>
          <w:divBdr>
            <w:top w:val="none" w:sz="0" w:space="0" w:color="auto"/>
            <w:left w:val="none" w:sz="0" w:space="0" w:color="auto"/>
            <w:bottom w:val="none" w:sz="0" w:space="0" w:color="auto"/>
            <w:right w:val="none" w:sz="0" w:space="0" w:color="auto"/>
          </w:divBdr>
        </w:div>
        <w:div w:id="133567338">
          <w:marLeft w:val="0"/>
          <w:marRight w:val="0"/>
          <w:marTop w:val="0"/>
          <w:marBottom w:val="0"/>
          <w:divBdr>
            <w:top w:val="none" w:sz="0" w:space="0" w:color="auto"/>
            <w:left w:val="none" w:sz="0" w:space="0" w:color="auto"/>
            <w:bottom w:val="none" w:sz="0" w:space="0" w:color="auto"/>
            <w:right w:val="none" w:sz="0" w:space="0" w:color="auto"/>
          </w:divBdr>
        </w:div>
        <w:div w:id="1758284381">
          <w:marLeft w:val="0"/>
          <w:marRight w:val="0"/>
          <w:marTop w:val="0"/>
          <w:marBottom w:val="0"/>
          <w:divBdr>
            <w:top w:val="none" w:sz="0" w:space="0" w:color="auto"/>
            <w:left w:val="none" w:sz="0" w:space="0" w:color="auto"/>
            <w:bottom w:val="none" w:sz="0" w:space="0" w:color="auto"/>
            <w:right w:val="none" w:sz="0" w:space="0" w:color="auto"/>
          </w:divBdr>
        </w:div>
        <w:div w:id="2115175395">
          <w:marLeft w:val="0"/>
          <w:marRight w:val="0"/>
          <w:marTop w:val="0"/>
          <w:marBottom w:val="0"/>
          <w:divBdr>
            <w:top w:val="none" w:sz="0" w:space="0" w:color="auto"/>
            <w:left w:val="none" w:sz="0" w:space="0" w:color="auto"/>
            <w:bottom w:val="none" w:sz="0" w:space="0" w:color="auto"/>
            <w:right w:val="none" w:sz="0" w:space="0" w:color="auto"/>
          </w:divBdr>
        </w:div>
        <w:div w:id="653487172">
          <w:marLeft w:val="0"/>
          <w:marRight w:val="0"/>
          <w:marTop w:val="0"/>
          <w:marBottom w:val="0"/>
          <w:divBdr>
            <w:top w:val="none" w:sz="0" w:space="0" w:color="auto"/>
            <w:left w:val="none" w:sz="0" w:space="0" w:color="auto"/>
            <w:bottom w:val="none" w:sz="0" w:space="0" w:color="auto"/>
            <w:right w:val="none" w:sz="0" w:space="0" w:color="auto"/>
          </w:divBdr>
        </w:div>
        <w:div w:id="343867526">
          <w:marLeft w:val="0"/>
          <w:marRight w:val="0"/>
          <w:marTop w:val="0"/>
          <w:marBottom w:val="0"/>
          <w:divBdr>
            <w:top w:val="none" w:sz="0" w:space="0" w:color="auto"/>
            <w:left w:val="none" w:sz="0" w:space="0" w:color="auto"/>
            <w:bottom w:val="none" w:sz="0" w:space="0" w:color="auto"/>
            <w:right w:val="none" w:sz="0" w:space="0" w:color="auto"/>
          </w:divBdr>
        </w:div>
        <w:div w:id="656962135">
          <w:marLeft w:val="0"/>
          <w:marRight w:val="0"/>
          <w:marTop w:val="0"/>
          <w:marBottom w:val="0"/>
          <w:divBdr>
            <w:top w:val="none" w:sz="0" w:space="0" w:color="auto"/>
            <w:left w:val="none" w:sz="0" w:space="0" w:color="auto"/>
            <w:bottom w:val="none" w:sz="0" w:space="0" w:color="auto"/>
            <w:right w:val="none" w:sz="0" w:space="0" w:color="auto"/>
          </w:divBdr>
        </w:div>
        <w:div w:id="721367880">
          <w:marLeft w:val="0"/>
          <w:marRight w:val="0"/>
          <w:marTop w:val="0"/>
          <w:marBottom w:val="0"/>
          <w:divBdr>
            <w:top w:val="none" w:sz="0" w:space="0" w:color="auto"/>
            <w:left w:val="none" w:sz="0" w:space="0" w:color="auto"/>
            <w:bottom w:val="none" w:sz="0" w:space="0" w:color="auto"/>
            <w:right w:val="none" w:sz="0" w:space="0" w:color="auto"/>
          </w:divBdr>
        </w:div>
        <w:div w:id="1675762631">
          <w:marLeft w:val="0"/>
          <w:marRight w:val="0"/>
          <w:marTop w:val="0"/>
          <w:marBottom w:val="0"/>
          <w:divBdr>
            <w:top w:val="none" w:sz="0" w:space="0" w:color="auto"/>
            <w:left w:val="none" w:sz="0" w:space="0" w:color="auto"/>
            <w:bottom w:val="none" w:sz="0" w:space="0" w:color="auto"/>
            <w:right w:val="none" w:sz="0" w:space="0" w:color="auto"/>
          </w:divBdr>
        </w:div>
        <w:div w:id="607735342">
          <w:marLeft w:val="0"/>
          <w:marRight w:val="0"/>
          <w:marTop w:val="0"/>
          <w:marBottom w:val="0"/>
          <w:divBdr>
            <w:top w:val="none" w:sz="0" w:space="0" w:color="auto"/>
            <w:left w:val="none" w:sz="0" w:space="0" w:color="auto"/>
            <w:bottom w:val="none" w:sz="0" w:space="0" w:color="auto"/>
            <w:right w:val="none" w:sz="0" w:space="0" w:color="auto"/>
          </w:divBdr>
        </w:div>
        <w:div w:id="1496802765">
          <w:marLeft w:val="0"/>
          <w:marRight w:val="0"/>
          <w:marTop w:val="0"/>
          <w:marBottom w:val="0"/>
          <w:divBdr>
            <w:top w:val="none" w:sz="0" w:space="0" w:color="auto"/>
            <w:left w:val="none" w:sz="0" w:space="0" w:color="auto"/>
            <w:bottom w:val="none" w:sz="0" w:space="0" w:color="auto"/>
            <w:right w:val="none" w:sz="0" w:space="0" w:color="auto"/>
          </w:divBdr>
        </w:div>
        <w:div w:id="364721948">
          <w:marLeft w:val="0"/>
          <w:marRight w:val="0"/>
          <w:marTop w:val="0"/>
          <w:marBottom w:val="0"/>
          <w:divBdr>
            <w:top w:val="none" w:sz="0" w:space="0" w:color="auto"/>
            <w:left w:val="none" w:sz="0" w:space="0" w:color="auto"/>
            <w:bottom w:val="none" w:sz="0" w:space="0" w:color="auto"/>
            <w:right w:val="none" w:sz="0" w:space="0" w:color="auto"/>
          </w:divBdr>
        </w:div>
        <w:div w:id="1346129803">
          <w:marLeft w:val="0"/>
          <w:marRight w:val="0"/>
          <w:marTop w:val="0"/>
          <w:marBottom w:val="0"/>
          <w:divBdr>
            <w:top w:val="none" w:sz="0" w:space="0" w:color="auto"/>
            <w:left w:val="none" w:sz="0" w:space="0" w:color="auto"/>
            <w:bottom w:val="none" w:sz="0" w:space="0" w:color="auto"/>
            <w:right w:val="none" w:sz="0" w:space="0" w:color="auto"/>
          </w:divBdr>
        </w:div>
        <w:div w:id="888804732">
          <w:marLeft w:val="0"/>
          <w:marRight w:val="0"/>
          <w:marTop w:val="0"/>
          <w:marBottom w:val="0"/>
          <w:divBdr>
            <w:top w:val="none" w:sz="0" w:space="0" w:color="auto"/>
            <w:left w:val="none" w:sz="0" w:space="0" w:color="auto"/>
            <w:bottom w:val="none" w:sz="0" w:space="0" w:color="auto"/>
            <w:right w:val="none" w:sz="0" w:space="0" w:color="auto"/>
          </w:divBdr>
        </w:div>
        <w:div w:id="922760449">
          <w:marLeft w:val="0"/>
          <w:marRight w:val="0"/>
          <w:marTop w:val="0"/>
          <w:marBottom w:val="0"/>
          <w:divBdr>
            <w:top w:val="none" w:sz="0" w:space="0" w:color="auto"/>
            <w:left w:val="none" w:sz="0" w:space="0" w:color="auto"/>
            <w:bottom w:val="none" w:sz="0" w:space="0" w:color="auto"/>
            <w:right w:val="none" w:sz="0" w:space="0" w:color="auto"/>
          </w:divBdr>
        </w:div>
        <w:div w:id="2007708157">
          <w:marLeft w:val="0"/>
          <w:marRight w:val="0"/>
          <w:marTop w:val="0"/>
          <w:marBottom w:val="0"/>
          <w:divBdr>
            <w:top w:val="none" w:sz="0" w:space="0" w:color="auto"/>
            <w:left w:val="none" w:sz="0" w:space="0" w:color="auto"/>
            <w:bottom w:val="none" w:sz="0" w:space="0" w:color="auto"/>
            <w:right w:val="none" w:sz="0" w:space="0" w:color="auto"/>
          </w:divBdr>
        </w:div>
        <w:div w:id="1381325001">
          <w:marLeft w:val="0"/>
          <w:marRight w:val="0"/>
          <w:marTop w:val="0"/>
          <w:marBottom w:val="0"/>
          <w:divBdr>
            <w:top w:val="none" w:sz="0" w:space="0" w:color="auto"/>
            <w:left w:val="none" w:sz="0" w:space="0" w:color="auto"/>
            <w:bottom w:val="none" w:sz="0" w:space="0" w:color="auto"/>
            <w:right w:val="none" w:sz="0" w:space="0" w:color="auto"/>
          </w:divBdr>
        </w:div>
        <w:div w:id="1274559137">
          <w:marLeft w:val="0"/>
          <w:marRight w:val="0"/>
          <w:marTop w:val="0"/>
          <w:marBottom w:val="0"/>
          <w:divBdr>
            <w:top w:val="none" w:sz="0" w:space="0" w:color="auto"/>
            <w:left w:val="none" w:sz="0" w:space="0" w:color="auto"/>
            <w:bottom w:val="none" w:sz="0" w:space="0" w:color="auto"/>
            <w:right w:val="none" w:sz="0" w:space="0" w:color="auto"/>
          </w:divBdr>
        </w:div>
        <w:div w:id="1341158185">
          <w:marLeft w:val="0"/>
          <w:marRight w:val="0"/>
          <w:marTop w:val="0"/>
          <w:marBottom w:val="0"/>
          <w:divBdr>
            <w:top w:val="none" w:sz="0" w:space="0" w:color="auto"/>
            <w:left w:val="none" w:sz="0" w:space="0" w:color="auto"/>
            <w:bottom w:val="none" w:sz="0" w:space="0" w:color="auto"/>
            <w:right w:val="none" w:sz="0" w:space="0" w:color="auto"/>
          </w:divBdr>
        </w:div>
        <w:div w:id="622081226">
          <w:marLeft w:val="0"/>
          <w:marRight w:val="0"/>
          <w:marTop w:val="0"/>
          <w:marBottom w:val="0"/>
          <w:divBdr>
            <w:top w:val="none" w:sz="0" w:space="0" w:color="auto"/>
            <w:left w:val="none" w:sz="0" w:space="0" w:color="auto"/>
            <w:bottom w:val="none" w:sz="0" w:space="0" w:color="auto"/>
            <w:right w:val="none" w:sz="0" w:space="0" w:color="auto"/>
          </w:divBdr>
        </w:div>
        <w:div w:id="1257128328">
          <w:marLeft w:val="0"/>
          <w:marRight w:val="0"/>
          <w:marTop w:val="0"/>
          <w:marBottom w:val="0"/>
          <w:divBdr>
            <w:top w:val="none" w:sz="0" w:space="0" w:color="auto"/>
            <w:left w:val="none" w:sz="0" w:space="0" w:color="auto"/>
            <w:bottom w:val="none" w:sz="0" w:space="0" w:color="auto"/>
            <w:right w:val="none" w:sz="0" w:space="0" w:color="auto"/>
          </w:divBdr>
        </w:div>
        <w:div w:id="418719743">
          <w:marLeft w:val="0"/>
          <w:marRight w:val="0"/>
          <w:marTop w:val="0"/>
          <w:marBottom w:val="0"/>
          <w:divBdr>
            <w:top w:val="none" w:sz="0" w:space="0" w:color="auto"/>
            <w:left w:val="none" w:sz="0" w:space="0" w:color="auto"/>
            <w:bottom w:val="none" w:sz="0" w:space="0" w:color="auto"/>
            <w:right w:val="none" w:sz="0" w:space="0" w:color="auto"/>
          </w:divBdr>
        </w:div>
        <w:div w:id="1974863247">
          <w:marLeft w:val="0"/>
          <w:marRight w:val="0"/>
          <w:marTop w:val="0"/>
          <w:marBottom w:val="0"/>
          <w:divBdr>
            <w:top w:val="none" w:sz="0" w:space="0" w:color="auto"/>
            <w:left w:val="none" w:sz="0" w:space="0" w:color="auto"/>
            <w:bottom w:val="none" w:sz="0" w:space="0" w:color="auto"/>
            <w:right w:val="none" w:sz="0" w:space="0" w:color="auto"/>
          </w:divBdr>
        </w:div>
        <w:div w:id="1524829489">
          <w:marLeft w:val="0"/>
          <w:marRight w:val="0"/>
          <w:marTop w:val="0"/>
          <w:marBottom w:val="0"/>
          <w:divBdr>
            <w:top w:val="none" w:sz="0" w:space="0" w:color="auto"/>
            <w:left w:val="none" w:sz="0" w:space="0" w:color="auto"/>
            <w:bottom w:val="none" w:sz="0" w:space="0" w:color="auto"/>
            <w:right w:val="none" w:sz="0" w:space="0" w:color="auto"/>
          </w:divBdr>
        </w:div>
        <w:div w:id="173960853">
          <w:marLeft w:val="0"/>
          <w:marRight w:val="0"/>
          <w:marTop w:val="0"/>
          <w:marBottom w:val="0"/>
          <w:divBdr>
            <w:top w:val="none" w:sz="0" w:space="0" w:color="auto"/>
            <w:left w:val="none" w:sz="0" w:space="0" w:color="auto"/>
            <w:bottom w:val="none" w:sz="0" w:space="0" w:color="auto"/>
            <w:right w:val="none" w:sz="0" w:space="0" w:color="auto"/>
          </w:divBdr>
        </w:div>
        <w:div w:id="1930919919">
          <w:marLeft w:val="0"/>
          <w:marRight w:val="0"/>
          <w:marTop w:val="0"/>
          <w:marBottom w:val="0"/>
          <w:divBdr>
            <w:top w:val="none" w:sz="0" w:space="0" w:color="auto"/>
            <w:left w:val="none" w:sz="0" w:space="0" w:color="auto"/>
            <w:bottom w:val="none" w:sz="0" w:space="0" w:color="auto"/>
            <w:right w:val="none" w:sz="0" w:space="0" w:color="auto"/>
          </w:divBdr>
        </w:div>
        <w:div w:id="819351399">
          <w:marLeft w:val="0"/>
          <w:marRight w:val="0"/>
          <w:marTop w:val="0"/>
          <w:marBottom w:val="0"/>
          <w:divBdr>
            <w:top w:val="none" w:sz="0" w:space="0" w:color="auto"/>
            <w:left w:val="none" w:sz="0" w:space="0" w:color="auto"/>
            <w:bottom w:val="none" w:sz="0" w:space="0" w:color="auto"/>
            <w:right w:val="none" w:sz="0" w:space="0" w:color="auto"/>
          </w:divBdr>
        </w:div>
        <w:div w:id="1052458111">
          <w:marLeft w:val="0"/>
          <w:marRight w:val="0"/>
          <w:marTop w:val="0"/>
          <w:marBottom w:val="0"/>
          <w:divBdr>
            <w:top w:val="none" w:sz="0" w:space="0" w:color="auto"/>
            <w:left w:val="none" w:sz="0" w:space="0" w:color="auto"/>
            <w:bottom w:val="none" w:sz="0" w:space="0" w:color="auto"/>
            <w:right w:val="none" w:sz="0" w:space="0" w:color="auto"/>
          </w:divBdr>
        </w:div>
        <w:div w:id="1719628366">
          <w:marLeft w:val="0"/>
          <w:marRight w:val="0"/>
          <w:marTop w:val="0"/>
          <w:marBottom w:val="0"/>
          <w:divBdr>
            <w:top w:val="none" w:sz="0" w:space="0" w:color="auto"/>
            <w:left w:val="none" w:sz="0" w:space="0" w:color="auto"/>
            <w:bottom w:val="none" w:sz="0" w:space="0" w:color="auto"/>
            <w:right w:val="none" w:sz="0" w:space="0" w:color="auto"/>
          </w:divBdr>
        </w:div>
        <w:div w:id="1151601724">
          <w:marLeft w:val="0"/>
          <w:marRight w:val="0"/>
          <w:marTop w:val="0"/>
          <w:marBottom w:val="0"/>
          <w:divBdr>
            <w:top w:val="none" w:sz="0" w:space="0" w:color="auto"/>
            <w:left w:val="none" w:sz="0" w:space="0" w:color="auto"/>
            <w:bottom w:val="none" w:sz="0" w:space="0" w:color="auto"/>
            <w:right w:val="none" w:sz="0" w:space="0" w:color="auto"/>
          </w:divBdr>
        </w:div>
        <w:div w:id="1866941241">
          <w:marLeft w:val="0"/>
          <w:marRight w:val="0"/>
          <w:marTop w:val="0"/>
          <w:marBottom w:val="0"/>
          <w:divBdr>
            <w:top w:val="none" w:sz="0" w:space="0" w:color="auto"/>
            <w:left w:val="none" w:sz="0" w:space="0" w:color="auto"/>
            <w:bottom w:val="none" w:sz="0" w:space="0" w:color="auto"/>
            <w:right w:val="none" w:sz="0" w:space="0" w:color="auto"/>
          </w:divBdr>
        </w:div>
        <w:div w:id="129368522">
          <w:marLeft w:val="0"/>
          <w:marRight w:val="0"/>
          <w:marTop w:val="0"/>
          <w:marBottom w:val="0"/>
          <w:divBdr>
            <w:top w:val="none" w:sz="0" w:space="0" w:color="auto"/>
            <w:left w:val="none" w:sz="0" w:space="0" w:color="auto"/>
            <w:bottom w:val="none" w:sz="0" w:space="0" w:color="auto"/>
            <w:right w:val="none" w:sz="0" w:space="0" w:color="auto"/>
          </w:divBdr>
        </w:div>
        <w:div w:id="515384966">
          <w:marLeft w:val="0"/>
          <w:marRight w:val="0"/>
          <w:marTop w:val="0"/>
          <w:marBottom w:val="0"/>
          <w:divBdr>
            <w:top w:val="none" w:sz="0" w:space="0" w:color="auto"/>
            <w:left w:val="none" w:sz="0" w:space="0" w:color="auto"/>
            <w:bottom w:val="none" w:sz="0" w:space="0" w:color="auto"/>
            <w:right w:val="none" w:sz="0" w:space="0" w:color="auto"/>
          </w:divBdr>
        </w:div>
        <w:div w:id="139466333">
          <w:marLeft w:val="0"/>
          <w:marRight w:val="0"/>
          <w:marTop w:val="0"/>
          <w:marBottom w:val="0"/>
          <w:divBdr>
            <w:top w:val="none" w:sz="0" w:space="0" w:color="auto"/>
            <w:left w:val="none" w:sz="0" w:space="0" w:color="auto"/>
            <w:bottom w:val="none" w:sz="0" w:space="0" w:color="auto"/>
            <w:right w:val="none" w:sz="0" w:space="0" w:color="auto"/>
          </w:divBdr>
        </w:div>
        <w:div w:id="1823036689">
          <w:marLeft w:val="0"/>
          <w:marRight w:val="0"/>
          <w:marTop w:val="0"/>
          <w:marBottom w:val="0"/>
          <w:divBdr>
            <w:top w:val="none" w:sz="0" w:space="0" w:color="auto"/>
            <w:left w:val="none" w:sz="0" w:space="0" w:color="auto"/>
            <w:bottom w:val="none" w:sz="0" w:space="0" w:color="auto"/>
            <w:right w:val="none" w:sz="0" w:space="0" w:color="auto"/>
          </w:divBdr>
        </w:div>
        <w:div w:id="411200717">
          <w:marLeft w:val="0"/>
          <w:marRight w:val="0"/>
          <w:marTop w:val="0"/>
          <w:marBottom w:val="0"/>
          <w:divBdr>
            <w:top w:val="none" w:sz="0" w:space="0" w:color="auto"/>
            <w:left w:val="none" w:sz="0" w:space="0" w:color="auto"/>
            <w:bottom w:val="none" w:sz="0" w:space="0" w:color="auto"/>
            <w:right w:val="none" w:sz="0" w:space="0" w:color="auto"/>
          </w:divBdr>
        </w:div>
        <w:div w:id="286862616">
          <w:marLeft w:val="0"/>
          <w:marRight w:val="0"/>
          <w:marTop w:val="0"/>
          <w:marBottom w:val="0"/>
          <w:divBdr>
            <w:top w:val="none" w:sz="0" w:space="0" w:color="auto"/>
            <w:left w:val="none" w:sz="0" w:space="0" w:color="auto"/>
            <w:bottom w:val="none" w:sz="0" w:space="0" w:color="auto"/>
            <w:right w:val="none" w:sz="0" w:space="0" w:color="auto"/>
          </w:divBdr>
        </w:div>
        <w:div w:id="104276306">
          <w:marLeft w:val="0"/>
          <w:marRight w:val="0"/>
          <w:marTop w:val="0"/>
          <w:marBottom w:val="0"/>
          <w:divBdr>
            <w:top w:val="none" w:sz="0" w:space="0" w:color="auto"/>
            <w:left w:val="none" w:sz="0" w:space="0" w:color="auto"/>
            <w:bottom w:val="none" w:sz="0" w:space="0" w:color="auto"/>
            <w:right w:val="none" w:sz="0" w:space="0" w:color="auto"/>
          </w:divBdr>
        </w:div>
        <w:div w:id="1175069235">
          <w:marLeft w:val="0"/>
          <w:marRight w:val="0"/>
          <w:marTop w:val="0"/>
          <w:marBottom w:val="0"/>
          <w:divBdr>
            <w:top w:val="none" w:sz="0" w:space="0" w:color="auto"/>
            <w:left w:val="none" w:sz="0" w:space="0" w:color="auto"/>
            <w:bottom w:val="none" w:sz="0" w:space="0" w:color="auto"/>
            <w:right w:val="none" w:sz="0" w:space="0" w:color="auto"/>
          </w:divBdr>
        </w:div>
        <w:div w:id="267349023">
          <w:marLeft w:val="0"/>
          <w:marRight w:val="0"/>
          <w:marTop w:val="0"/>
          <w:marBottom w:val="0"/>
          <w:divBdr>
            <w:top w:val="none" w:sz="0" w:space="0" w:color="auto"/>
            <w:left w:val="none" w:sz="0" w:space="0" w:color="auto"/>
            <w:bottom w:val="none" w:sz="0" w:space="0" w:color="auto"/>
            <w:right w:val="none" w:sz="0" w:space="0" w:color="auto"/>
          </w:divBdr>
        </w:div>
        <w:div w:id="339896040">
          <w:marLeft w:val="0"/>
          <w:marRight w:val="0"/>
          <w:marTop w:val="0"/>
          <w:marBottom w:val="0"/>
          <w:divBdr>
            <w:top w:val="none" w:sz="0" w:space="0" w:color="auto"/>
            <w:left w:val="none" w:sz="0" w:space="0" w:color="auto"/>
            <w:bottom w:val="none" w:sz="0" w:space="0" w:color="auto"/>
            <w:right w:val="none" w:sz="0" w:space="0" w:color="auto"/>
          </w:divBdr>
        </w:div>
        <w:div w:id="22945600">
          <w:marLeft w:val="0"/>
          <w:marRight w:val="0"/>
          <w:marTop w:val="0"/>
          <w:marBottom w:val="0"/>
          <w:divBdr>
            <w:top w:val="none" w:sz="0" w:space="0" w:color="auto"/>
            <w:left w:val="none" w:sz="0" w:space="0" w:color="auto"/>
            <w:bottom w:val="none" w:sz="0" w:space="0" w:color="auto"/>
            <w:right w:val="none" w:sz="0" w:space="0" w:color="auto"/>
          </w:divBdr>
        </w:div>
        <w:div w:id="1865441147">
          <w:marLeft w:val="0"/>
          <w:marRight w:val="0"/>
          <w:marTop w:val="0"/>
          <w:marBottom w:val="0"/>
          <w:divBdr>
            <w:top w:val="none" w:sz="0" w:space="0" w:color="auto"/>
            <w:left w:val="none" w:sz="0" w:space="0" w:color="auto"/>
            <w:bottom w:val="none" w:sz="0" w:space="0" w:color="auto"/>
            <w:right w:val="none" w:sz="0" w:space="0" w:color="auto"/>
          </w:divBdr>
        </w:div>
        <w:div w:id="430126054">
          <w:marLeft w:val="0"/>
          <w:marRight w:val="0"/>
          <w:marTop w:val="0"/>
          <w:marBottom w:val="0"/>
          <w:divBdr>
            <w:top w:val="none" w:sz="0" w:space="0" w:color="auto"/>
            <w:left w:val="none" w:sz="0" w:space="0" w:color="auto"/>
            <w:bottom w:val="none" w:sz="0" w:space="0" w:color="auto"/>
            <w:right w:val="none" w:sz="0" w:space="0" w:color="auto"/>
          </w:divBdr>
        </w:div>
        <w:div w:id="514542363">
          <w:marLeft w:val="0"/>
          <w:marRight w:val="0"/>
          <w:marTop w:val="0"/>
          <w:marBottom w:val="0"/>
          <w:divBdr>
            <w:top w:val="none" w:sz="0" w:space="0" w:color="auto"/>
            <w:left w:val="none" w:sz="0" w:space="0" w:color="auto"/>
            <w:bottom w:val="none" w:sz="0" w:space="0" w:color="auto"/>
            <w:right w:val="none" w:sz="0" w:space="0" w:color="auto"/>
          </w:divBdr>
        </w:div>
        <w:div w:id="1764380560">
          <w:marLeft w:val="0"/>
          <w:marRight w:val="0"/>
          <w:marTop w:val="0"/>
          <w:marBottom w:val="0"/>
          <w:divBdr>
            <w:top w:val="none" w:sz="0" w:space="0" w:color="auto"/>
            <w:left w:val="none" w:sz="0" w:space="0" w:color="auto"/>
            <w:bottom w:val="none" w:sz="0" w:space="0" w:color="auto"/>
            <w:right w:val="none" w:sz="0" w:space="0" w:color="auto"/>
          </w:divBdr>
        </w:div>
        <w:div w:id="1875459999">
          <w:marLeft w:val="0"/>
          <w:marRight w:val="0"/>
          <w:marTop w:val="0"/>
          <w:marBottom w:val="0"/>
          <w:divBdr>
            <w:top w:val="none" w:sz="0" w:space="0" w:color="auto"/>
            <w:left w:val="none" w:sz="0" w:space="0" w:color="auto"/>
            <w:bottom w:val="none" w:sz="0" w:space="0" w:color="auto"/>
            <w:right w:val="none" w:sz="0" w:space="0" w:color="auto"/>
          </w:divBdr>
        </w:div>
        <w:div w:id="1094975694">
          <w:marLeft w:val="0"/>
          <w:marRight w:val="0"/>
          <w:marTop w:val="0"/>
          <w:marBottom w:val="0"/>
          <w:divBdr>
            <w:top w:val="none" w:sz="0" w:space="0" w:color="auto"/>
            <w:left w:val="none" w:sz="0" w:space="0" w:color="auto"/>
            <w:bottom w:val="none" w:sz="0" w:space="0" w:color="auto"/>
            <w:right w:val="none" w:sz="0" w:space="0" w:color="auto"/>
          </w:divBdr>
        </w:div>
        <w:div w:id="1624649668">
          <w:marLeft w:val="0"/>
          <w:marRight w:val="0"/>
          <w:marTop w:val="0"/>
          <w:marBottom w:val="0"/>
          <w:divBdr>
            <w:top w:val="none" w:sz="0" w:space="0" w:color="auto"/>
            <w:left w:val="none" w:sz="0" w:space="0" w:color="auto"/>
            <w:bottom w:val="none" w:sz="0" w:space="0" w:color="auto"/>
            <w:right w:val="none" w:sz="0" w:space="0" w:color="auto"/>
          </w:divBdr>
        </w:div>
        <w:div w:id="285043004">
          <w:marLeft w:val="0"/>
          <w:marRight w:val="0"/>
          <w:marTop w:val="0"/>
          <w:marBottom w:val="0"/>
          <w:divBdr>
            <w:top w:val="none" w:sz="0" w:space="0" w:color="auto"/>
            <w:left w:val="none" w:sz="0" w:space="0" w:color="auto"/>
            <w:bottom w:val="none" w:sz="0" w:space="0" w:color="auto"/>
            <w:right w:val="none" w:sz="0" w:space="0" w:color="auto"/>
          </w:divBdr>
        </w:div>
        <w:div w:id="1374959384">
          <w:marLeft w:val="0"/>
          <w:marRight w:val="0"/>
          <w:marTop w:val="0"/>
          <w:marBottom w:val="0"/>
          <w:divBdr>
            <w:top w:val="none" w:sz="0" w:space="0" w:color="auto"/>
            <w:left w:val="none" w:sz="0" w:space="0" w:color="auto"/>
            <w:bottom w:val="none" w:sz="0" w:space="0" w:color="auto"/>
            <w:right w:val="none" w:sz="0" w:space="0" w:color="auto"/>
          </w:divBdr>
        </w:div>
        <w:div w:id="895430983">
          <w:marLeft w:val="0"/>
          <w:marRight w:val="0"/>
          <w:marTop w:val="0"/>
          <w:marBottom w:val="0"/>
          <w:divBdr>
            <w:top w:val="none" w:sz="0" w:space="0" w:color="auto"/>
            <w:left w:val="none" w:sz="0" w:space="0" w:color="auto"/>
            <w:bottom w:val="none" w:sz="0" w:space="0" w:color="auto"/>
            <w:right w:val="none" w:sz="0" w:space="0" w:color="auto"/>
          </w:divBdr>
        </w:div>
        <w:div w:id="162553885">
          <w:marLeft w:val="0"/>
          <w:marRight w:val="0"/>
          <w:marTop w:val="0"/>
          <w:marBottom w:val="0"/>
          <w:divBdr>
            <w:top w:val="none" w:sz="0" w:space="0" w:color="auto"/>
            <w:left w:val="none" w:sz="0" w:space="0" w:color="auto"/>
            <w:bottom w:val="none" w:sz="0" w:space="0" w:color="auto"/>
            <w:right w:val="none" w:sz="0" w:space="0" w:color="auto"/>
          </w:divBdr>
        </w:div>
        <w:div w:id="1429275157">
          <w:marLeft w:val="0"/>
          <w:marRight w:val="0"/>
          <w:marTop w:val="0"/>
          <w:marBottom w:val="0"/>
          <w:divBdr>
            <w:top w:val="none" w:sz="0" w:space="0" w:color="auto"/>
            <w:left w:val="none" w:sz="0" w:space="0" w:color="auto"/>
            <w:bottom w:val="none" w:sz="0" w:space="0" w:color="auto"/>
            <w:right w:val="none" w:sz="0" w:space="0" w:color="auto"/>
          </w:divBdr>
        </w:div>
        <w:div w:id="1430005169">
          <w:marLeft w:val="0"/>
          <w:marRight w:val="0"/>
          <w:marTop w:val="0"/>
          <w:marBottom w:val="0"/>
          <w:divBdr>
            <w:top w:val="none" w:sz="0" w:space="0" w:color="auto"/>
            <w:left w:val="none" w:sz="0" w:space="0" w:color="auto"/>
            <w:bottom w:val="none" w:sz="0" w:space="0" w:color="auto"/>
            <w:right w:val="none" w:sz="0" w:space="0" w:color="auto"/>
          </w:divBdr>
        </w:div>
        <w:div w:id="86775355">
          <w:marLeft w:val="0"/>
          <w:marRight w:val="0"/>
          <w:marTop w:val="0"/>
          <w:marBottom w:val="0"/>
          <w:divBdr>
            <w:top w:val="none" w:sz="0" w:space="0" w:color="auto"/>
            <w:left w:val="none" w:sz="0" w:space="0" w:color="auto"/>
            <w:bottom w:val="none" w:sz="0" w:space="0" w:color="auto"/>
            <w:right w:val="none" w:sz="0" w:space="0" w:color="auto"/>
          </w:divBdr>
        </w:div>
        <w:div w:id="1438283930">
          <w:marLeft w:val="0"/>
          <w:marRight w:val="0"/>
          <w:marTop w:val="0"/>
          <w:marBottom w:val="0"/>
          <w:divBdr>
            <w:top w:val="none" w:sz="0" w:space="0" w:color="auto"/>
            <w:left w:val="none" w:sz="0" w:space="0" w:color="auto"/>
            <w:bottom w:val="none" w:sz="0" w:space="0" w:color="auto"/>
            <w:right w:val="none" w:sz="0" w:space="0" w:color="auto"/>
          </w:divBdr>
        </w:div>
        <w:div w:id="1272778681">
          <w:marLeft w:val="0"/>
          <w:marRight w:val="0"/>
          <w:marTop w:val="0"/>
          <w:marBottom w:val="0"/>
          <w:divBdr>
            <w:top w:val="none" w:sz="0" w:space="0" w:color="auto"/>
            <w:left w:val="none" w:sz="0" w:space="0" w:color="auto"/>
            <w:bottom w:val="none" w:sz="0" w:space="0" w:color="auto"/>
            <w:right w:val="none" w:sz="0" w:space="0" w:color="auto"/>
          </w:divBdr>
        </w:div>
        <w:div w:id="854925854">
          <w:marLeft w:val="0"/>
          <w:marRight w:val="0"/>
          <w:marTop w:val="0"/>
          <w:marBottom w:val="0"/>
          <w:divBdr>
            <w:top w:val="none" w:sz="0" w:space="0" w:color="auto"/>
            <w:left w:val="none" w:sz="0" w:space="0" w:color="auto"/>
            <w:bottom w:val="none" w:sz="0" w:space="0" w:color="auto"/>
            <w:right w:val="none" w:sz="0" w:space="0" w:color="auto"/>
          </w:divBdr>
        </w:div>
        <w:div w:id="1638336625">
          <w:marLeft w:val="0"/>
          <w:marRight w:val="0"/>
          <w:marTop w:val="0"/>
          <w:marBottom w:val="0"/>
          <w:divBdr>
            <w:top w:val="none" w:sz="0" w:space="0" w:color="auto"/>
            <w:left w:val="none" w:sz="0" w:space="0" w:color="auto"/>
            <w:bottom w:val="none" w:sz="0" w:space="0" w:color="auto"/>
            <w:right w:val="none" w:sz="0" w:space="0" w:color="auto"/>
          </w:divBdr>
        </w:div>
        <w:div w:id="1703704987">
          <w:marLeft w:val="0"/>
          <w:marRight w:val="0"/>
          <w:marTop w:val="0"/>
          <w:marBottom w:val="0"/>
          <w:divBdr>
            <w:top w:val="none" w:sz="0" w:space="0" w:color="auto"/>
            <w:left w:val="none" w:sz="0" w:space="0" w:color="auto"/>
            <w:bottom w:val="none" w:sz="0" w:space="0" w:color="auto"/>
            <w:right w:val="none" w:sz="0" w:space="0" w:color="auto"/>
          </w:divBdr>
        </w:div>
        <w:div w:id="1766150360">
          <w:marLeft w:val="0"/>
          <w:marRight w:val="0"/>
          <w:marTop w:val="0"/>
          <w:marBottom w:val="0"/>
          <w:divBdr>
            <w:top w:val="none" w:sz="0" w:space="0" w:color="auto"/>
            <w:left w:val="none" w:sz="0" w:space="0" w:color="auto"/>
            <w:bottom w:val="none" w:sz="0" w:space="0" w:color="auto"/>
            <w:right w:val="none" w:sz="0" w:space="0" w:color="auto"/>
          </w:divBdr>
        </w:div>
        <w:div w:id="217476925">
          <w:marLeft w:val="0"/>
          <w:marRight w:val="0"/>
          <w:marTop w:val="0"/>
          <w:marBottom w:val="0"/>
          <w:divBdr>
            <w:top w:val="none" w:sz="0" w:space="0" w:color="auto"/>
            <w:left w:val="none" w:sz="0" w:space="0" w:color="auto"/>
            <w:bottom w:val="none" w:sz="0" w:space="0" w:color="auto"/>
            <w:right w:val="none" w:sz="0" w:space="0" w:color="auto"/>
          </w:divBdr>
        </w:div>
        <w:div w:id="581764580">
          <w:marLeft w:val="0"/>
          <w:marRight w:val="0"/>
          <w:marTop w:val="0"/>
          <w:marBottom w:val="0"/>
          <w:divBdr>
            <w:top w:val="none" w:sz="0" w:space="0" w:color="auto"/>
            <w:left w:val="none" w:sz="0" w:space="0" w:color="auto"/>
            <w:bottom w:val="none" w:sz="0" w:space="0" w:color="auto"/>
            <w:right w:val="none" w:sz="0" w:space="0" w:color="auto"/>
          </w:divBdr>
        </w:div>
        <w:div w:id="2079739365">
          <w:marLeft w:val="0"/>
          <w:marRight w:val="0"/>
          <w:marTop w:val="0"/>
          <w:marBottom w:val="0"/>
          <w:divBdr>
            <w:top w:val="none" w:sz="0" w:space="0" w:color="auto"/>
            <w:left w:val="none" w:sz="0" w:space="0" w:color="auto"/>
            <w:bottom w:val="none" w:sz="0" w:space="0" w:color="auto"/>
            <w:right w:val="none" w:sz="0" w:space="0" w:color="auto"/>
          </w:divBdr>
        </w:div>
        <w:div w:id="1595895019">
          <w:marLeft w:val="0"/>
          <w:marRight w:val="0"/>
          <w:marTop w:val="0"/>
          <w:marBottom w:val="0"/>
          <w:divBdr>
            <w:top w:val="none" w:sz="0" w:space="0" w:color="auto"/>
            <w:left w:val="none" w:sz="0" w:space="0" w:color="auto"/>
            <w:bottom w:val="none" w:sz="0" w:space="0" w:color="auto"/>
            <w:right w:val="none" w:sz="0" w:space="0" w:color="auto"/>
          </w:divBdr>
        </w:div>
        <w:div w:id="322851853">
          <w:marLeft w:val="0"/>
          <w:marRight w:val="0"/>
          <w:marTop w:val="0"/>
          <w:marBottom w:val="0"/>
          <w:divBdr>
            <w:top w:val="none" w:sz="0" w:space="0" w:color="auto"/>
            <w:left w:val="none" w:sz="0" w:space="0" w:color="auto"/>
            <w:bottom w:val="none" w:sz="0" w:space="0" w:color="auto"/>
            <w:right w:val="none" w:sz="0" w:space="0" w:color="auto"/>
          </w:divBdr>
        </w:div>
      </w:divsChild>
    </w:div>
    <w:div w:id="233662338">
      <w:bodyDiv w:val="1"/>
      <w:marLeft w:val="0"/>
      <w:marRight w:val="0"/>
      <w:marTop w:val="0"/>
      <w:marBottom w:val="0"/>
      <w:divBdr>
        <w:top w:val="none" w:sz="0" w:space="0" w:color="auto"/>
        <w:left w:val="none" w:sz="0" w:space="0" w:color="auto"/>
        <w:bottom w:val="none" w:sz="0" w:space="0" w:color="auto"/>
        <w:right w:val="none" w:sz="0" w:space="0" w:color="auto"/>
      </w:divBdr>
    </w:div>
    <w:div w:id="276180971">
      <w:bodyDiv w:val="1"/>
      <w:marLeft w:val="0"/>
      <w:marRight w:val="0"/>
      <w:marTop w:val="0"/>
      <w:marBottom w:val="0"/>
      <w:divBdr>
        <w:top w:val="none" w:sz="0" w:space="0" w:color="auto"/>
        <w:left w:val="none" w:sz="0" w:space="0" w:color="auto"/>
        <w:bottom w:val="none" w:sz="0" w:space="0" w:color="auto"/>
        <w:right w:val="none" w:sz="0" w:space="0" w:color="auto"/>
      </w:divBdr>
    </w:div>
    <w:div w:id="306595698">
      <w:bodyDiv w:val="1"/>
      <w:marLeft w:val="0"/>
      <w:marRight w:val="0"/>
      <w:marTop w:val="0"/>
      <w:marBottom w:val="0"/>
      <w:divBdr>
        <w:top w:val="none" w:sz="0" w:space="0" w:color="auto"/>
        <w:left w:val="none" w:sz="0" w:space="0" w:color="auto"/>
        <w:bottom w:val="none" w:sz="0" w:space="0" w:color="auto"/>
        <w:right w:val="none" w:sz="0" w:space="0" w:color="auto"/>
      </w:divBdr>
    </w:div>
    <w:div w:id="311566254">
      <w:bodyDiv w:val="1"/>
      <w:marLeft w:val="0"/>
      <w:marRight w:val="0"/>
      <w:marTop w:val="0"/>
      <w:marBottom w:val="0"/>
      <w:divBdr>
        <w:top w:val="none" w:sz="0" w:space="0" w:color="auto"/>
        <w:left w:val="none" w:sz="0" w:space="0" w:color="auto"/>
        <w:bottom w:val="none" w:sz="0" w:space="0" w:color="auto"/>
        <w:right w:val="none" w:sz="0" w:space="0" w:color="auto"/>
      </w:divBdr>
    </w:div>
    <w:div w:id="316959522">
      <w:bodyDiv w:val="1"/>
      <w:marLeft w:val="0"/>
      <w:marRight w:val="0"/>
      <w:marTop w:val="0"/>
      <w:marBottom w:val="0"/>
      <w:divBdr>
        <w:top w:val="none" w:sz="0" w:space="0" w:color="auto"/>
        <w:left w:val="none" w:sz="0" w:space="0" w:color="auto"/>
        <w:bottom w:val="none" w:sz="0" w:space="0" w:color="auto"/>
        <w:right w:val="none" w:sz="0" w:space="0" w:color="auto"/>
      </w:divBdr>
      <w:divsChild>
        <w:div w:id="1353415554">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73226030">
              <w:marLeft w:val="0"/>
              <w:marRight w:val="0"/>
              <w:marTop w:val="0"/>
              <w:marBottom w:val="0"/>
              <w:divBdr>
                <w:top w:val="none" w:sz="0" w:space="0" w:color="auto"/>
                <w:left w:val="none" w:sz="0" w:space="0" w:color="auto"/>
                <w:bottom w:val="none" w:sz="0" w:space="0" w:color="auto"/>
                <w:right w:val="none" w:sz="0" w:space="0" w:color="auto"/>
              </w:divBdr>
            </w:div>
          </w:divsChild>
        </w:div>
        <w:div w:id="468792074">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13847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60867">
      <w:bodyDiv w:val="1"/>
      <w:marLeft w:val="0"/>
      <w:marRight w:val="0"/>
      <w:marTop w:val="0"/>
      <w:marBottom w:val="0"/>
      <w:divBdr>
        <w:top w:val="none" w:sz="0" w:space="0" w:color="auto"/>
        <w:left w:val="none" w:sz="0" w:space="0" w:color="auto"/>
        <w:bottom w:val="none" w:sz="0" w:space="0" w:color="auto"/>
        <w:right w:val="none" w:sz="0" w:space="0" w:color="auto"/>
      </w:divBdr>
    </w:div>
    <w:div w:id="361715289">
      <w:bodyDiv w:val="1"/>
      <w:marLeft w:val="0"/>
      <w:marRight w:val="0"/>
      <w:marTop w:val="0"/>
      <w:marBottom w:val="0"/>
      <w:divBdr>
        <w:top w:val="none" w:sz="0" w:space="0" w:color="auto"/>
        <w:left w:val="none" w:sz="0" w:space="0" w:color="auto"/>
        <w:bottom w:val="none" w:sz="0" w:space="0" w:color="auto"/>
        <w:right w:val="none" w:sz="0" w:space="0" w:color="auto"/>
      </w:divBdr>
    </w:div>
    <w:div w:id="518858678">
      <w:bodyDiv w:val="1"/>
      <w:marLeft w:val="0"/>
      <w:marRight w:val="0"/>
      <w:marTop w:val="0"/>
      <w:marBottom w:val="0"/>
      <w:divBdr>
        <w:top w:val="none" w:sz="0" w:space="0" w:color="auto"/>
        <w:left w:val="none" w:sz="0" w:space="0" w:color="auto"/>
        <w:bottom w:val="none" w:sz="0" w:space="0" w:color="auto"/>
        <w:right w:val="none" w:sz="0" w:space="0" w:color="auto"/>
      </w:divBdr>
    </w:div>
    <w:div w:id="530650516">
      <w:bodyDiv w:val="1"/>
      <w:marLeft w:val="0"/>
      <w:marRight w:val="0"/>
      <w:marTop w:val="0"/>
      <w:marBottom w:val="0"/>
      <w:divBdr>
        <w:top w:val="none" w:sz="0" w:space="0" w:color="auto"/>
        <w:left w:val="none" w:sz="0" w:space="0" w:color="auto"/>
        <w:bottom w:val="none" w:sz="0" w:space="0" w:color="auto"/>
        <w:right w:val="none" w:sz="0" w:space="0" w:color="auto"/>
      </w:divBdr>
    </w:div>
    <w:div w:id="572935034">
      <w:bodyDiv w:val="1"/>
      <w:marLeft w:val="0"/>
      <w:marRight w:val="0"/>
      <w:marTop w:val="0"/>
      <w:marBottom w:val="0"/>
      <w:divBdr>
        <w:top w:val="none" w:sz="0" w:space="0" w:color="auto"/>
        <w:left w:val="none" w:sz="0" w:space="0" w:color="auto"/>
        <w:bottom w:val="none" w:sz="0" w:space="0" w:color="auto"/>
        <w:right w:val="none" w:sz="0" w:space="0" w:color="auto"/>
      </w:divBdr>
    </w:div>
    <w:div w:id="764113000">
      <w:bodyDiv w:val="1"/>
      <w:marLeft w:val="0"/>
      <w:marRight w:val="0"/>
      <w:marTop w:val="0"/>
      <w:marBottom w:val="0"/>
      <w:divBdr>
        <w:top w:val="none" w:sz="0" w:space="0" w:color="auto"/>
        <w:left w:val="none" w:sz="0" w:space="0" w:color="auto"/>
        <w:bottom w:val="none" w:sz="0" w:space="0" w:color="auto"/>
        <w:right w:val="none" w:sz="0" w:space="0" w:color="auto"/>
      </w:divBdr>
    </w:div>
    <w:div w:id="827860832">
      <w:bodyDiv w:val="1"/>
      <w:marLeft w:val="0"/>
      <w:marRight w:val="0"/>
      <w:marTop w:val="0"/>
      <w:marBottom w:val="0"/>
      <w:divBdr>
        <w:top w:val="none" w:sz="0" w:space="0" w:color="auto"/>
        <w:left w:val="none" w:sz="0" w:space="0" w:color="auto"/>
        <w:bottom w:val="none" w:sz="0" w:space="0" w:color="auto"/>
        <w:right w:val="none" w:sz="0" w:space="0" w:color="auto"/>
      </w:divBdr>
    </w:div>
    <w:div w:id="901329893">
      <w:bodyDiv w:val="1"/>
      <w:marLeft w:val="0"/>
      <w:marRight w:val="0"/>
      <w:marTop w:val="0"/>
      <w:marBottom w:val="0"/>
      <w:divBdr>
        <w:top w:val="none" w:sz="0" w:space="0" w:color="auto"/>
        <w:left w:val="none" w:sz="0" w:space="0" w:color="auto"/>
        <w:bottom w:val="none" w:sz="0" w:space="0" w:color="auto"/>
        <w:right w:val="none" w:sz="0" w:space="0" w:color="auto"/>
      </w:divBdr>
    </w:div>
    <w:div w:id="903224812">
      <w:bodyDiv w:val="1"/>
      <w:marLeft w:val="0"/>
      <w:marRight w:val="0"/>
      <w:marTop w:val="0"/>
      <w:marBottom w:val="0"/>
      <w:divBdr>
        <w:top w:val="none" w:sz="0" w:space="0" w:color="auto"/>
        <w:left w:val="none" w:sz="0" w:space="0" w:color="auto"/>
        <w:bottom w:val="none" w:sz="0" w:space="0" w:color="auto"/>
        <w:right w:val="none" w:sz="0" w:space="0" w:color="auto"/>
      </w:divBdr>
    </w:div>
    <w:div w:id="934022996">
      <w:bodyDiv w:val="1"/>
      <w:marLeft w:val="0"/>
      <w:marRight w:val="0"/>
      <w:marTop w:val="0"/>
      <w:marBottom w:val="0"/>
      <w:divBdr>
        <w:top w:val="none" w:sz="0" w:space="0" w:color="auto"/>
        <w:left w:val="none" w:sz="0" w:space="0" w:color="auto"/>
        <w:bottom w:val="none" w:sz="0" w:space="0" w:color="auto"/>
        <w:right w:val="none" w:sz="0" w:space="0" w:color="auto"/>
      </w:divBdr>
    </w:div>
    <w:div w:id="1022781452">
      <w:bodyDiv w:val="1"/>
      <w:marLeft w:val="0"/>
      <w:marRight w:val="0"/>
      <w:marTop w:val="0"/>
      <w:marBottom w:val="0"/>
      <w:divBdr>
        <w:top w:val="none" w:sz="0" w:space="0" w:color="auto"/>
        <w:left w:val="none" w:sz="0" w:space="0" w:color="auto"/>
        <w:bottom w:val="none" w:sz="0" w:space="0" w:color="auto"/>
        <w:right w:val="none" w:sz="0" w:space="0" w:color="auto"/>
      </w:divBdr>
    </w:div>
    <w:div w:id="1043139869">
      <w:bodyDiv w:val="1"/>
      <w:marLeft w:val="0"/>
      <w:marRight w:val="0"/>
      <w:marTop w:val="0"/>
      <w:marBottom w:val="0"/>
      <w:divBdr>
        <w:top w:val="none" w:sz="0" w:space="0" w:color="auto"/>
        <w:left w:val="none" w:sz="0" w:space="0" w:color="auto"/>
        <w:bottom w:val="none" w:sz="0" w:space="0" w:color="auto"/>
        <w:right w:val="none" w:sz="0" w:space="0" w:color="auto"/>
      </w:divBdr>
    </w:div>
    <w:div w:id="1065757292">
      <w:bodyDiv w:val="1"/>
      <w:marLeft w:val="0"/>
      <w:marRight w:val="0"/>
      <w:marTop w:val="0"/>
      <w:marBottom w:val="0"/>
      <w:divBdr>
        <w:top w:val="none" w:sz="0" w:space="0" w:color="auto"/>
        <w:left w:val="none" w:sz="0" w:space="0" w:color="auto"/>
        <w:bottom w:val="none" w:sz="0" w:space="0" w:color="auto"/>
        <w:right w:val="none" w:sz="0" w:space="0" w:color="auto"/>
      </w:divBdr>
    </w:div>
    <w:div w:id="1096487597">
      <w:bodyDiv w:val="1"/>
      <w:marLeft w:val="0"/>
      <w:marRight w:val="0"/>
      <w:marTop w:val="0"/>
      <w:marBottom w:val="0"/>
      <w:divBdr>
        <w:top w:val="none" w:sz="0" w:space="0" w:color="auto"/>
        <w:left w:val="none" w:sz="0" w:space="0" w:color="auto"/>
        <w:bottom w:val="none" w:sz="0" w:space="0" w:color="auto"/>
        <w:right w:val="none" w:sz="0" w:space="0" w:color="auto"/>
      </w:divBdr>
    </w:div>
    <w:div w:id="1127236390">
      <w:bodyDiv w:val="1"/>
      <w:marLeft w:val="0"/>
      <w:marRight w:val="0"/>
      <w:marTop w:val="0"/>
      <w:marBottom w:val="0"/>
      <w:divBdr>
        <w:top w:val="none" w:sz="0" w:space="0" w:color="auto"/>
        <w:left w:val="none" w:sz="0" w:space="0" w:color="auto"/>
        <w:bottom w:val="none" w:sz="0" w:space="0" w:color="auto"/>
        <w:right w:val="none" w:sz="0" w:space="0" w:color="auto"/>
      </w:divBdr>
    </w:div>
    <w:div w:id="1135366202">
      <w:bodyDiv w:val="1"/>
      <w:marLeft w:val="0"/>
      <w:marRight w:val="0"/>
      <w:marTop w:val="0"/>
      <w:marBottom w:val="0"/>
      <w:divBdr>
        <w:top w:val="none" w:sz="0" w:space="0" w:color="auto"/>
        <w:left w:val="none" w:sz="0" w:space="0" w:color="auto"/>
        <w:bottom w:val="none" w:sz="0" w:space="0" w:color="auto"/>
        <w:right w:val="none" w:sz="0" w:space="0" w:color="auto"/>
      </w:divBdr>
      <w:divsChild>
        <w:div w:id="47073327">
          <w:blockQuote w:val="1"/>
          <w:marLeft w:val="0"/>
          <w:marRight w:val="0"/>
          <w:marTop w:val="0"/>
          <w:marBottom w:val="405"/>
          <w:divBdr>
            <w:top w:val="none" w:sz="0" w:space="0" w:color="auto"/>
            <w:left w:val="single" w:sz="36" w:space="13" w:color="E5E5E5"/>
            <w:bottom w:val="none" w:sz="0" w:space="0" w:color="auto"/>
            <w:right w:val="none" w:sz="0" w:space="0" w:color="auto"/>
          </w:divBdr>
          <w:divsChild>
            <w:div w:id="2373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1550">
      <w:bodyDiv w:val="1"/>
      <w:marLeft w:val="0"/>
      <w:marRight w:val="0"/>
      <w:marTop w:val="0"/>
      <w:marBottom w:val="0"/>
      <w:divBdr>
        <w:top w:val="none" w:sz="0" w:space="0" w:color="auto"/>
        <w:left w:val="none" w:sz="0" w:space="0" w:color="auto"/>
        <w:bottom w:val="none" w:sz="0" w:space="0" w:color="auto"/>
        <w:right w:val="none" w:sz="0" w:space="0" w:color="auto"/>
      </w:divBdr>
      <w:divsChild>
        <w:div w:id="5949392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20243898">
      <w:bodyDiv w:val="1"/>
      <w:marLeft w:val="0"/>
      <w:marRight w:val="0"/>
      <w:marTop w:val="0"/>
      <w:marBottom w:val="0"/>
      <w:divBdr>
        <w:top w:val="none" w:sz="0" w:space="0" w:color="auto"/>
        <w:left w:val="none" w:sz="0" w:space="0" w:color="auto"/>
        <w:bottom w:val="none" w:sz="0" w:space="0" w:color="auto"/>
        <w:right w:val="none" w:sz="0" w:space="0" w:color="auto"/>
      </w:divBdr>
      <w:divsChild>
        <w:div w:id="886572105">
          <w:blockQuote w:val="1"/>
          <w:marLeft w:val="0"/>
          <w:marRight w:val="0"/>
          <w:marTop w:val="0"/>
          <w:marBottom w:val="0"/>
          <w:divBdr>
            <w:top w:val="none" w:sz="0" w:space="0" w:color="auto"/>
            <w:left w:val="none" w:sz="0" w:space="0" w:color="auto"/>
            <w:bottom w:val="none" w:sz="0" w:space="0" w:color="auto"/>
            <w:right w:val="none" w:sz="0" w:space="0" w:color="auto"/>
          </w:divBdr>
          <w:divsChild>
            <w:div w:id="1497380075">
              <w:marLeft w:val="0"/>
              <w:marRight w:val="0"/>
              <w:marTop w:val="0"/>
              <w:marBottom w:val="0"/>
              <w:divBdr>
                <w:top w:val="none" w:sz="0" w:space="0" w:color="auto"/>
                <w:left w:val="none" w:sz="0" w:space="0" w:color="auto"/>
                <w:bottom w:val="none" w:sz="0" w:space="0" w:color="auto"/>
                <w:right w:val="none" w:sz="0" w:space="0" w:color="auto"/>
              </w:divBdr>
            </w:div>
          </w:divsChild>
        </w:div>
        <w:div w:id="16870970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26379420">
      <w:bodyDiv w:val="1"/>
      <w:marLeft w:val="0"/>
      <w:marRight w:val="0"/>
      <w:marTop w:val="0"/>
      <w:marBottom w:val="0"/>
      <w:divBdr>
        <w:top w:val="none" w:sz="0" w:space="0" w:color="auto"/>
        <w:left w:val="none" w:sz="0" w:space="0" w:color="auto"/>
        <w:bottom w:val="none" w:sz="0" w:space="0" w:color="auto"/>
        <w:right w:val="none" w:sz="0" w:space="0" w:color="auto"/>
      </w:divBdr>
    </w:div>
    <w:div w:id="1237210003">
      <w:bodyDiv w:val="1"/>
      <w:marLeft w:val="0"/>
      <w:marRight w:val="0"/>
      <w:marTop w:val="0"/>
      <w:marBottom w:val="0"/>
      <w:divBdr>
        <w:top w:val="none" w:sz="0" w:space="0" w:color="auto"/>
        <w:left w:val="none" w:sz="0" w:space="0" w:color="auto"/>
        <w:bottom w:val="none" w:sz="0" w:space="0" w:color="auto"/>
        <w:right w:val="none" w:sz="0" w:space="0" w:color="auto"/>
      </w:divBdr>
    </w:div>
    <w:div w:id="1242250972">
      <w:bodyDiv w:val="1"/>
      <w:marLeft w:val="0"/>
      <w:marRight w:val="0"/>
      <w:marTop w:val="0"/>
      <w:marBottom w:val="0"/>
      <w:divBdr>
        <w:top w:val="none" w:sz="0" w:space="0" w:color="auto"/>
        <w:left w:val="none" w:sz="0" w:space="0" w:color="auto"/>
        <w:bottom w:val="none" w:sz="0" w:space="0" w:color="auto"/>
        <w:right w:val="none" w:sz="0" w:space="0" w:color="auto"/>
      </w:divBdr>
    </w:div>
    <w:div w:id="1273899218">
      <w:bodyDiv w:val="1"/>
      <w:marLeft w:val="0"/>
      <w:marRight w:val="0"/>
      <w:marTop w:val="0"/>
      <w:marBottom w:val="0"/>
      <w:divBdr>
        <w:top w:val="none" w:sz="0" w:space="0" w:color="auto"/>
        <w:left w:val="none" w:sz="0" w:space="0" w:color="auto"/>
        <w:bottom w:val="none" w:sz="0" w:space="0" w:color="auto"/>
        <w:right w:val="none" w:sz="0" w:space="0" w:color="auto"/>
      </w:divBdr>
    </w:div>
    <w:div w:id="1398936171">
      <w:bodyDiv w:val="1"/>
      <w:marLeft w:val="0"/>
      <w:marRight w:val="0"/>
      <w:marTop w:val="0"/>
      <w:marBottom w:val="0"/>
      <w:divBdr>
        <w:top w:val="none" w:sz="0" w:space="0" w:color="auto"/>
        <w:left w:val="none" w:sz="0" w:space="0" w:color="auto"/>
        <w:bottom w:val="none" w:sz="0" w:space="0" w:color="auto"/>
        <w:right w:val="none" w:sz="0" w:space="0" w:color="auto"/>
      </w:divBdr>
    </w:div>
    <w:div w:id="1445922066">
      <w:bodyDiv w:val="1"/>
      <w:marLeft w:val="0"/>
      <w:marRight w:val="0"/>
      <w:marTop w:val="0"/>
      <w:marBottom w:val="0"/>
      <w:divBdr>
        <w:top w:val="none" w:sz="0" w:space="0" w:color="auto"/>
        <w:left w:val="none" w:sz="0" w:space="0" w:color="auto"/>
        <w:bottom w:val="none" w:sz="0" w:space="0" w:color="auto"/>
        <w:right w:val="none" w:sz="0" w:space="0" w:color="auto"/>
      </w:divBdr>
    </w:div>
    <w:div w:id="1491946405">
      <w:bodyDiv w:val="1"/>
      <w:marLeft w:val="0"/>
      <w:marRight w:val="0"/>
      <w:marTop w:val="0"/>
      <w:marBottom w:val="0"/>
      <w:divBdr>
        <w:top w:val="none" w:sz="0" w:space="0" w:color="auto"/>
        <w:left w:val="none" w:sz="0" w:space="0" w:color="auto"/>
        <w:bottom w:val="none" w:sz="0" w:space="0" w:color="auto"/>
        <w:right w:val="none" w:sz="0" w:space="0" w:color="auto"/>
      </w:divBdr>
      <w:divsChild>
        <w:div w:id="266892185">
          <w:marLeft w:val="360"/>
          <w:marRight w:val="0"/>
          <w:marTop w:val="0"/>
          <w:marBottom w:val="0"/>
          <w:divBdr>
            <w:top w:val="none" w:sz="0" w:space="0" w:color="auto"/>
            <w:left w:val="none" w:sz="0" w:space="0" w:color="auto"/>
            <w:bottom w:val="none" w:sz="0" w:space="0" w:color="auto"/>
            <w:right w:val="none" w:sz="0" w:space="0" w:color="auto"/>
          </w:divBdr>
        </w:div>
      </w:divsChild>
    </w:div>
    <w:div w:id="1604221081">
      <w:bodyDiv w:val="1"/>
      <w:marLeft w:val="0"/>
      <w:marRight w:val="0"/>
      <w:marTop w:val="0"/>
      <w:marBottom w:val="0"/>
      <w:divBdr>
        <w:top w:val="none" w:sz="0" w:space="0" w:color="auto"/>
        <w:left w:val="none" w:sz="0" w:space="0" w:color="auto"/>
        <w:bottom w:val="none" w:sz="0" w:space="0" w:color="auto"/>
        <w:right w:val="none" w:sz="0" w:space="0" w:color="auto"/>
      </w:divBdr>
    </w:div>
    <w:div w:id="1611233940">
      <w:bodyDiv w:val="1"/>
      <w:marLeft w:val="0"/>
      <w:marRight w:val="0"/>
      <w:marTop w:val="0"/>
      <w:marBottom w:val="0"/>
      <w:divBdr>
        <w:top w:val="none" w:sz="0" w:space="0" w:color="auto"/>
        <w:left w:val="none" w:sz="0" w:space="0" w:color="auto"/>
        <w:bottom w:val="none" w:sz="0" w:space="0" w:color="auto"/>
        <w:right w:val="none" w:sz="0" w:space="0" w:color="auto"/>
      </w:divBdr>
    </w:div>
    <w:div w:id="1626814228">
      <w:bodyDiv w:val="1"/>
      <w:marLeft w:val="0"/>
      <w:marRight w:val="0"/>
      <w:marTop w:val="0"/>
      <w:marBottom w:val="0"/>
      <w:divBdr>
        <w:top w:val="none" w:sz="0" w:space="0" w:color="auto"/>
        <w:left w:val="none" w:sz="0" w:space="0" w:color="auto"/>
        <w:bottom w:val="none" w:sz="0" w:space="0" w:color="auto"/>
        <w:right w:val="none" w:sz="0" w:space="0" w:color="auto"/>
      </w:divBdr>
    </w:div>
    <w:div w:id="1681008629">
      <w:bodyDiv w:val="1"/>
      <w:marLeft w:val="0"/>
      <w:marRight w:val="0"/>
      <w:marTop w:val="0"/>
      <w:marBottom w:val="0"/>
      <w:divBdr>
        <w:top w:val="none" w:sz="0" w:space="0" w:color="auto"/>
        <w:left w:val="none" w:sz="0" w:space="0" w:color="auto"/>
        <w:bottom w:val="none" w:sz="0" w:space="0" w:color="auto"/>
        <w:right w:val="none" w:sz="0" w:space="0" w:color="auto"/>
      </w:divBdr>
    </w:div>
    <w:div w:id="1702822726">
      <w:bodyDiv w:val="1"/>
      <w:marLeft w:val="0"/>
      <w:marRight w:val="0"/>
      <w:marTop w:val="0"/>
      <w:marBottom w:val="0"/>
      <w:divBdr>
        <w:top w:val="none" w:sz="0" w:space="0" w:color="auto"/>
        <w:left w:val="none" w:sz="0" w:space="0" w:color="auto"/>
        <w:bottom w:val="none" w:sz="0" w:space="0" w:color="auto"/>
        <w:right w:val="none" w:sz="0" w:space="0" w:color="auto"/>
      </w:divBdr>
    </w:div>
    <w:div w:id="1703551669">
      <w:bodyDiv w:val="1"/>
      <w:marLeft w:val="0"/>
      <w:marRight w:val="0"/>
      <w:marTop w:val="0"/>
      <w:marBottom w:val="0"/>
      <w:divBdr>
        <w:top w:val="none" w:sz="0" w:space="0" w:color="auto"/>
        <w:left w:val="none" w:sz="0" w:space="0" w:color="auto"/>
        <w:bottom w:val="none" w:sz="0" w:space="0" w:color="auto"/>
        <w:right w:val="none" w:sz="0" w:space="0" w:color="auto"/>
      </w:divBdr>
    </w:div>
    <w:div w:id="1745451526">
      <w:bodyDiv w:val="1"/>
      <w:marLeft w:val="0"/>
      <w:marRight w:val="0"/>
      <w:marTop w:val="0"/>
      <w:marBottom w:val="0"/>
      <w:divBdr>
        <w:top w:val="none" w:sz="0" w:space="0" w:color="auto"/>
        <w:left w:val="none" w:sz="0" w:space="0" w:color="auto"/>
        <w:bottom w:val="none" w:sz="0" w:space="0" w:color="auto"/>
        <w:right w:val="none" w:sz="0" w:space="0" w:color="auto"/>
      </w:divBdr>
    </w:div>
    <w:div w:id="1761098792">
      <w:bodyDiv w:val="1"/>
      <w:marLeft w:val="0"/>
      <w:marRight w:val="0"/>
      <w:marTop w:val="0"/>
      <w:marBottom w:val="0"/>
      <w:divBdr>
        <w:top w:val="none" w:sz="0" w:space="0" w:color="auto"/>
        <w:left w:val="none" w:sz="0" w:space="0" w:color="auto"/>
        <w:bottom w:val="none" w:sz="0" w:space="0" w:color="auto"/>
        <w:right w:val="none" w:sz="0" w:space="0" w:color="auto"/>
      </w:divBdr>
    </w:div>
    <w:div w:id="1808816276">
      <w:bodyDiv w:val="1"/>
      <w:marLeft w:val="0"/>
      <w:marRight w:val="0"/>
      <w:marTop w:val="0"/>
      <w:marBottom w:val="0"/>
      <w:divBdr>
        <w:top w:val="none" w:sz="0" w:space="0" w:color="auto"/>
        <w:left w:val="none" w:sz="0" w:space="0" w:color="auto"/>
        <w:bottom w:val="none" w:sz="0" w:space="0" w:color="auto"/>
        <w:right w:val="none" w:sz="0" w:space="0" w:color="auto"/>
      </w:divBdr>
    </w:div>
    <w:div w:id="1908570112">
      <w:bodyDiv w:val="1"/>
      <w:marLeft w:val="0"/>
      <w:marRight w:val="0"/>
      <w:marTop w:val="0"/>
      <w:marBottom w:val="0"/>
      <w:divBdr>
        <w:top w:val="none" w:sz="0" w:space="0" w:color="auto"/>
        <w:left w:val="none" w:sz="0" w:space="0" w:color="auto"/>
        <w:bottom w:val="none" w:sz="0" w:space="0" w:color="auto"/>
        <w:right w:val="none" w:sz="0" w:space="0" w:color="auto"/>
      </w:divBdr>
      <w:divsChild>
        <w:div w:id="2105299985">
          <w:marLeft w:val="600"/>
          <w:marRight w:val="0"/>
          <w:marTop w:val="0"/>
          <w:marBottom w:val="0"/>
          <w:divBdr>
            <w:top w:val="none" w:sz="0" w:space="0" w:color="auto"/>
            <w:left w:val="none" w:sz="0" w:space="0" w:color="auto"/>
            <w:bottom w:val="none" w:sz="0" w:space="0" w:color="auto"/>
            <w:right w:val="none" w:sz="0" w:space="0" w:color="auto"/>
          </w:divBdr>
        </w:div>
        <w:div w:id="1008481577">
          <w:marLeft w:val="600"/>
          <w:marRight w:val="0"/>
          <w:marTop w:val="0"/>
          <w:marBottom w:val="0"/>
          <w:divBdr>
            <w:top w:val="none" w:sz="0" w:space="0" w:color="auto"/>
            <w:left w:val="none" w:sz="0" w:space="0" w:color="auto"/>
            <w:bottom w:val="none" w:sz="0" w:space="0" w:color="auto"/>
            <w:right w:val="none" w:sz="0" w:space="0" w:color="auto"/>
          </w:divBdr>
        </w:div>
      </w:divsChild>
    </w:div>
    <w:div w:id="1993869079">
      <w:bodyDiv w:val="1"/>
      <w:marLeft w:val="0"/>
      <w:marRight w:val="0"/>
      <w:marTop w:val="0"/>
      <w:marBottom w:val="0"/>
      <w:divBdr>
        <w:top w:val="none" w:sz="0" w:space="0" w:color="auto"/>
        <w:left w:val="none" w:sz="0" w:space="0" w:color="auto"/>
        <w:bottom w:val="none" w:sz="0" w:space="0" w:color="auto"/>
        <w:right w:val="none" w:sz="0" w:space="0" w:color="auto"/>
      </w:divBdr>
    </w:div>
    <w:div w:id="2042586200">
      <w:bodyDiv w:val="1"/>
      <w:marLeft w:val="0"/>
      <w:marRight w:val="0"/>
      <w:marTop w:val="0"/>
      <w:marBottom w:val="0"/>
      <w:divBdr>
        <w:top w:val="none" w:sz="0" w:space="0" w:color="auto"/>
        <w:left w:val="none" w:sz="0" w:space="0" w:color="auto"/>
        <w:bottom w:val="none" w:sz="0" w:space="0" w:color="auto"/>
        <w:right w:val="none" w:sz="0" w:space="0" w:color="auto"/>
      </w:divBdr>
      <w:divsChild>
        <w:div w:id="145828613">
          <w:marLeft w:val="0"/>
          <w:marRight w:val="0"/>
          <w:marTop w:val="0"/>
          <w:marBottom w:val="0"/>
          <w:divBdr>
            <w:top w:val="none" w:sz="0" w:space="0" w:color="auto"/>
            <w:left w:val="none" w:sz="0" w:space="0" w:color="auto"/>
            <w:bottom w:val="none" w:sz="0" w:space="0" w:color="auto"/>
            <w:right w:val="none" w:sz="0" w:space="0" w:color="auto"/>
          </w:divBdr>
        </w:div>
        <w:div w:id="72355232">
          <w:marLeft w:val="0"/>
          <w:marRight w:val="0"/>
          <w:marTop w:val="0"/>
          <w:marBottom w:val="0"/>
          <w:divBdr>
            <w:top w:val="none" w:sz="0" w:space="0" w:color="auto"/>
            <w:left w:val="none" w:sz="0" w:space="0" w:color="auto"/>
            <w:bottom w:val="none" w:sz="0" w:space="0" w:color="auto"/>
            <w:right w:val="none" w:sz="0" w:space="0" w:color="auto"/>
          </w:divBdr>
        </w:div>
        <w:div w:id="737753142">
          <w:marLeft w:val="0"/>
          <w:marRight w:val="0"/>
          <w:marTop w:val="0"/>
          <w:marBottom w:val="0"/>
          <w:divBdr>
            <w:top w:val="none" w:sz="0" w:space="0" w:color="auto"/>
            <w:left w:val="none" w:sz="0" w:space="0" w:color="auto"/>
            <w:bottom w:val="none" w:sz="0" w:space="0" w:color="auto"/>
            <w:right w:val="none" w:sz="0" w:space="0" w:color="auto"/>
          </w:divBdr>
        </w:div>
        <w:div w:id="176845761">
          <w:marLeft w:val="0"/>
          <w:marRight w:val="0"/>
          <w:marTop w:val="0"/>
          <w:marBottom w:val="0"/>
          <w:divBdr>
            <w:top w:val="none" w:sz="0" w:space="0" w:color="auto"/>
            <w:left w:val="none" w:sz="0" w:space="0" w:color="auto"/>
            <w:bottom w:val="none" w:sz="0" w:space="0" w:color="auto"/>
            <w:right w:val="none" w:sz="0" w:space="0" w:color="auto"/>
          </w:divBdr>
        </w:div>
        <w:div w:id="1671790168">
          <w:marLeft w:val="0"/>
          <w:marRight w:val="0"/>
          <w:marTop w:val="0"/>
          <w:marBottom w:val="0"/>
          <w:divBdr>
            <w:top w:val="none" w:sz="0" w:space="0" w:color="auto"/>
            <w:left w:val="none" w:sz="0" w:space="0" w:color="auto"/>
            <w:bottom w:val="none" w:sz="0" w:space="0" w:color="auto"/>
            <w:right w:val="none" w:sz="0" w:space="0" w:color="auto"/>
          </w:divBdr>
        </w:div>
        <w:div w:id="430206864">
          <w:marLeft w:val="0"/>
          <w:marRight w:val="0"/>
          <w:marTop w:val="0"/>
          <w:marBottom w:val="0"/>
          <w:divBdr>
            <w:top w:val="none" w:sz="0" w:space="0" w:color="auto"/>
            <w:left w:val="none" w:sz="0" w:space="0" w:color="auto"/>
            <w:bottom w:val="none" w:sz="0" w:space="0" w:color="auto"/>
            <w:right w:val="none" w:sz="0" w:space="0" w:color="auto"/>
          </w:divBdr>
        </w:div>
        <w:div w:id="33315995">
          <w:marLeft w:val="0"/>
          <w:marRight w:val="0"/>
          <w:marTop w:val="0"/>
          <w:marBottom w:val="0"/>
          <w:divBdr>
            <w:top w:val="none" w:sz="0" w:space="0" w:color="auto"/>
            <w:left w:val="none" w:sz="0" w:space="0" w:color="auto"/>
            <w:bottom w:val="none" w:sz="0" w:space="0" w:color="auto"/>
            <w:right w:val="none" w:sz="0" w:space="0" w:color="auto"/>
          </w:divBdr>
        </w:div>
        <w:div w:id="1530870056">
          <w:marLeft w:val="0"/>
          <w:marRight w:val="0"/>
          <w:marTop w:val="0"/>
          <w:marBottom w:val="0"/>
          <w:divBdr>
            <w:top w:val="none" w:sz="0" w:space="0" w:color="auto"/>
            <w:left w:val="none" w:sz="0" w:space="0" w:color="auto"/>
            <w:bottom w:val="none" w:sz="0" w:space="0" w:color="auto"/>
            <w:right w:val="none" w:sz="0" w:space="0" w:color="auto"/>
          </w:divBdr>
        </w:div>
        <w:div w:id="1187866968">
          <w:marLeft w:val="0"/>
          <w:marRight w:val="0"/>
          <w:marTop w:val="0"/>
          <w:marBottom w:val="0"/>
          <w:divBdr>
            <w:top w:val="none" w:sz="0" w:space="0" w:color="auto"/>
            <w:left w:val="none" w:sz="0" w:space="0" w:color="auto"/>
            <w:bottom w:val="none" w:sz="0" w:space="0" w:color="auto"/>
            <w:right w:val="none" w:sz="0" w:space="0" w:color="auto"/>
          </w:divBdr>
        </w:div>
        <w:div w:id="56242561">
          <w:marLeft w:val="0"/>
          <w:marRight w:val="0"/>
          <w:marTop w:val="0"/>
          <w:marBottom w:val="0"/>
          <w:divBdr>
            <w:top w:val="none" w:sz="0" w:space="0" w:color="auto"/>
            <w:left w:val="none" w:sz="0" w:space="0" w:color="auto"/>
            <w:bottom w:val="none" w:sz="0" w:space="0" w:color="auto"/>
            <w:right w:val="none" w:sz="0" w:space="0" w:color="auto"/>
          </w:divBdr>
        </w:div>
        <w:div w:id="885457730">
          <w:marLeft w:val="0"/>
          <w:marRight w:val="0"/>
          <w:marTop w:val="0"/>
          <w:marBottom w:val="0"/>
          <w:divBdr>
            <w:top w:val="none" w:sz="0" w:space="0" w:color="auto"/>
            <w:left w:val="none" w:sz="0" w:space="0" w:color="auto"/>
            <w:bottom w:val="none" w:sz="0" w:space="0" w:color="auto"/>
            <w:right w:val="none" w:sz="0" w:space="0" w:color="auto"/>
          </w:divBdr>
        </w:div>
        <w:div w:id="122113781">
          <w:marLeft w:val="0"/>
          <w:marRight w:val="0"/>
          <w:marTop w:val="0"/>
          <w:marBottom w:val="0"/>
          <w:divBdr>
            <w:top w:val="none" w:sz="0" w:space="0" w:color="auto"/>
            <w:left w:val="none" w:sz="0" w:space="0" w:color="auto"/>
            <w:bottom w:val="none" w:sz="0" w:space="0" w:color="auto"/>
            <w:right w:val="none" w:sz="0" w:space="0" w:color="auto"/>
          </w:divBdr>
        </w:div>
        <w:div w:id="988052094">
          <w:marLeft w:val="0"/>
          <w:marRight w:val="0"/>
          <w:marTop w:val="0"/>
          <w:marBottom w:val="0"/>
          <w:divBdr>
            <w:top w:val="none" w:sz="0" w:space="0" w:color="auto"/>
            <w:left w:val="none" w:sz="0" w:space="0" w:color="auto"/>
            <w:bottom w:val="none" w:sz="0" w:space="0" w:color="auto"/>
            <w:right w:val="none" w:sz="0" w:space="0" w:color="auto"/>
          </w:divBdr>
        </w:div>
        <w:div w:id="1368528620">
          <w:marLeft w:val="0"/>
          <w:marRight w:val="0"/>
          <w:marTop w:val="0"/>
          <w:marBottom w:val="0"/>
          <w:divBdr>
            <w:top w:val="none" w:sz="0" w:space="0" w:color="auto"/>
            <w:left w:val="none" w:sz="0" w:space="0" w:color="auto"/>
            <w:bottom w:val="none" w:sz="0" w:space="0" w:color="auto"/>
            <w:right w:val="none" w:sz="0" w:space="0" w:color="auto"/>
          </w:divBdr>
        </w:div>
        <w:div w:id="1703945426">
          <w:marLeft w:val="0"/>
          <w:marRight w:val="0"/>
          <w:marTop w:val="0"/>
          <w:marBottom w:val="0"/>
          <w:divBdr>
            <w:top w:val="none" w:sz="0" w:space="0" w:color="auto"/>
            <w:left w:val="none" w:sz="0" w:space="0" w:color="auto"/>
            <w:bottom w:val="none" w:sz="0" w:space="0" w:color="auto"/>
            <w:right w:val="none" w:sz="0" w:space="0" w:color="auto"/>
          </w:divBdr>
        </w:div>
        <w:div w:id="384138946">
          <w:marLeft w:val="0"/>
          <w:marRight w:val="0"/>
          <w:marTop w:val="0"/>
          <w:marBottom w:val="0"/>
          <w:divBdr>
            <w:top w:val="none" w:sz="0" w:space="0" w:color="auto"/>
            <w:left w:val="none" w:sz="0" w:space="0" w:color="auto"/>
            <w:bottom w:val="none" w:sz="0" w:space="0" w:color="auto"/>
            <w:right w:val="none" w:sz="0" w:space="0" w:color="auto"/>
          </w:divBdr>
        </w:div>
        <w:div w:id="1941452087">
          <w:marLeft w:val="0"/>
          <w:marRight w:val="0"/>
          <w:marTop w:val="0"/>
          <w:marBottom w:val="0"/>
          <w:divBdr>
            <w:top w:val="none" w:sz="0" w:space="0" w:color="auto"/>
            <w:left w:val="none" w:sz="0" w:space="0" w:color="auto"/>
            <w:bottom w:val="none" w:sz="0" w:space="0" w:color="auto"/>
            <w:right w:val="none" w:sz="0" w:space="0" w:color="auto"/>
          </w:divBdr>
        </w:div>
        <w:div w:id="289283308">
          <w:marLeft w:val="0"/>
          <w:marRight w:val="0"/>
          <w:marTop w:val="0"/>
          <w:marBottom w:val="0"/>
          <w:divBdr>
            <w:top w:val="none" w:sz="0" w:space="0" w:color="auto"/>
            <w:left w:val="none" w:sz="0" w:space="0" w:color="auto"/>
            <w:bottom w:val="none" w:sz="0" w:space="0" w:color="auto"/>
            <w:right w:val="none" w:sz="0" w:space="0" w:color="auto"/>
          </w:divBdr>
        </w:div>
        <w:div w:id="383409976">
          <w:marLeft w:val="0"/>
          <w:marRight w:val="0"/>
          <w:marTop w:val="0"/>
          <w:marBottom w:val="0"/>
          <w:divBdr>
            <w:top w:val="none" w:sz="0" w:space="0" w:color="auto"/>
            <w:left w:val="none" w:sz="0" w:space="0" w:color="auto"/>
            <w:bottom w:val="none" w:sz="0" w:space="0" w:color="auto"/>
            <w:right w:val="none" w:sz="0" w:space="0" w:color="auto"/>
          </w:divBdr>
        </w:div>
      </w:divsChild>
    </w:div>
    <w:div w:id="213420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ru-home.ulb.be/reports/state_of_the_arts.pdf" TargetMode="External"/><Relationship Id="rId18" Type="http://schemas.openxmlformats.org/officeDocument/2006/relationships/hyperlink" Target="http://www.theses.fr/029531918" TargetMode="External"/><Relationship Id="rId26" Type="http://schemas.openxmlformats.org/officeDocument/2006/relationships/hyperlink" Target="https://www.cairn.info/revue-societes-contemporaines-1998-1-page-73.htm" TargetMode="External"/><Relationship Id="rId39" Type="http://schemas.openxmlformats.org/officeDocument/2006/relationships/hyperlink" Target="https://www.cairn.info/revue-deviance-et-societe-2013-1-page-51.htm" TargetMode="External"/><Relationship Id="rId21" Type="http://schemas.openxmlformats.org/officeDocument/2006/relationships/hyperlink" Target="https://bru-home.ulb.be/wordpress/fr/rapports/" TargetMode="External"/><Relationship Id="rId34" Type="http://schemas.openxmlformats.org/officeDocument/2006/relationships/hyperlink" Target="https://www.jstor.org/stable/3322464" TargetMode="External"/><Relationship Id="rId42" Type="http://schemas.openxmlformats.org/officeDocument/2006/relationships/hyperlink" Target="https://www.cairn.info/revue-geneses-2000-4-page-85.htm" TargetMode="External"/><Relationship Id="rId47" Type="http://schemas.openxmlformats.org/officeDocument/2006/relationships/hyperlink" Target="http://ville.montreal.qc.ca/pls/portal/docs/PAGE/ARROND_MHM_FR/MEDIA/DOCUMENTS/RAPPORT-LESSARD-S%C9N%C9CAL-HAMEL-FINAL25-4.PDF" TargetMode="External"/><Relationship Id="rId50" Type="http://schemas.openxmlformats.org/officeDocument/2006/relationships/hyperlink" Target="http://www.feantsa.org/en/report/2017/03/21/the-secondoverview-of-housingexclusion-in-europe-2017?bcParent=27"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cairn.info/les-ficelles-du-metier--9782707133700.htm" TargetMode="External"/><Relationship Id="rId25" Type="http://schemas.openxmlformats.org/officeDocument/2006/relationships/hyperlink" Target="https://www.jstor.org/stable/40690643" TargetMode="External"/><Relationship Id="rId33" Type="http://schemas.openxmlformats.org/officeDocument/2006/relationships/hyperlink" Target="https://www.cairn.info/l-interactionnisme-symbolique--9782130732679.htm" TargetMode="External"/><Relationship Id="rId38" Type="http://schemas.openxmlformats.org/officeDocument/2006/relationships/hyperlink" Target="https://doi.org/10.4000/sdt.38811" TargetMode="External"/><Relationship Id="rId46" Type="http://schemas.openxmlformats.org/officeDocument/2006/relationships/hyperlink" Target="https://urbanisme.irisnet.be/accord-du-gouvernement" TargetMode="External"/><Relationship Id="rId2" Type="http://schemas.openxmlformats.org/officeDocument/2006/relationships/numbering" Target="numbering.xml"/><Relationship Id="rId16" Type="http://schemas.openxmlformats.org/officeDocument/2006/relationships/hyperlink" Target="https://www.cairn.info/outsiders--9782864249184.htm" TargetMode="External"/><Relationship Id="rId20" Type="http://schemas.openxmlformats.org/officeDocument/2006/relationships/hyperlink" Target="https://www.tandfonline.com/doi/full/10.1080/02673037.2017.1344957?scroll=top&amp;needAccess=true" TargetMode="External"/><Relationship Id="rId29" Type="http://schemas.openxmlformats.org/officeDocument/2006/relationships/hyperlink" Target="https://www.cairn.info/--9782130574057-page-44.htm" TargetMode="External"/><Relationship Id="rId41" Type="http://schemas.openxmlformats.org/officeDocument/2006/relationships/hyperlink" Target="https://www.cairn.info/revue-ethnologie-francaise-2017-1-page-141.htm" TargetMode="External"/><Relationship Id="rId54" Type="http://schemas.openxmlformats.org/officeDocument/2006/relationships/hyperlink" Target="https://medium.com/rbdh/les-expulsions-locatives-9730b1357ee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cairn.info/revue-politix-2008-2-page-149.htm" TargetMode="External"/><Relationship Id="rId32" Type="http://schemas.openxmlformats.org/officeDocument/2006/relationships/hyperlink" Target="https://www.persee.fr/doc/dreso_0769-3362_1996_num_32_1_1355" TargetMode="External"/><Relationship Id="rId37" Type="http://schemas.openxmlformats.org/officeDocument/2006/relationships/hyperlink" Target="https://www.cairn.info/revue-geneses-2011-3-page-69.htm" TargetMode="External"/><Relationship Id="rId40" Type="http://schemas.openxmlformats.org/officeDocument/2006/relationships/hyperlink" Target="https://www.cairn.info/revue-les-etudes-sociales-2016-2-page-231.htm" TargetMode="External"/><Relationship Id="rId45" Type="http://schemas.openxmlformats.org/officeDocument/2006/relationships/hyperlink" Target="https://journals.openedition.org/lectures/1532" TargetMode="External"/><Relationship Id="rId53" Type="http://schemas.openxmlformats.org/officeDocument/2006/relationships/hyperlink" Target="https://fr.calameo.com/read/00656291032236276ab41" TargetMode="External"/><Relationship Id="rId5" Type="http://schemas.openxmlformats.org/officeDocument/2006/relationships/webSettings" Target="webSettings.xml"/><Relationship Id="rId15" Type="http://schemas.openxmlformats.org/officeDocument/2006/relationships/hyperlink" Target="https://www.cairn.info/--9782130608738-page-223.htm" TargetMode="External"/><Relationship Id="rId23" Type="http://schemas.openxmlformats.org/officeDocument/2006/relationships/hyperlink" Target="https://www.erudit.org/fr/revues/philoso/1998-v25-n2-philoso1807/027489ar/" TargetMode="External"/><Relationship Id="rId28" Type="http://schemas.openxmlformats.org/officeDocument/2006/relationships/hyperlink" Target="http://journals.openedition.org/sociologies/3459" TargetMode="External"/><Relationship Id="rId36" Type="http://schemas.openxmlformats.org/officeDocument/2006/relationships/hyperlink" Target="https://www.cairn.info/revue-societes-contemporaines-2009-4-page-95.htm" TargetMode="External"/><Relationship Id="rId49" Type="http://schemas.openxmlformats.org/officeDocument/2006/relationships/hyperlink" Target="https://www.feantsa.org/download/feantsa_handbook_fr_final-24902801537180740072.pdf" TargetMode="External"/><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persee.fr/web/revues/home/prescript/article/arss_0335-5322_1986_num_62_1_2317" TargetMode="External"/><Relationship Id="rId31" Type="http://schemas.openxmlformats.org/officeDocument/2006/relationships/hyperlink" Target="https://books.openedition.org/ined/17385?lang=fr" TargetMode="External"/><Relationship Id="rId44" Type="http://schemas.openxmlformats.org/officeDocument/2006/relationships/hyperlink" Target="https://www.cairn.info/--9782130608318-page-399.htm" TargetMode="External"/><Relationship Id="rId52" Type="http://schemas.openxmlformats.org/officeDocument/2006/relationships/hyperlink" Target="https://www.luttepauvrete.be/publications/RGP95.pdf" TargetMode="External"/><Relationship Id="rId4" Type="http://schemas.openxmlformats.org/officeDocument/2006/relationships/settings" Target="settings.xml"/><Relationship Id="rId9" Type="http://schemas.openxmlformats.org/officeDocument/2006/relationships/hyperlink" Target="http://www.ulb.be/fr/region-de-bruxelles-capitale/anticipate-projet-de-recherche-bru-home" TargetMode="External"/><Relationship Id="rId14" Type="http://schemas.openxmlformats.org/officeDocument/2006/relationships/image" Target="media/image4.png"/><Relationship Id="rId22" Type="http://schemas.openxmlformats.org/officeDocument/2006/relationships/hyperlink" Target="https://bru-home.ulb.be/reports/bh_rapport_quanti.pdf" TargetMode="External"/><Relationship Id="rId27" Type="http://schemas.openxmlformats.org/officeDocument/2006/relationships/hyperlink" Target="https://halshs.archives-ouvertes.fr/halshs-00464322" TargetMode="External"/><Relationship Id="rId30" Type="http://schemas.openxmlformats.org/officeDocument/2006/relationships/hyperlink" Target="https://www.cairn.info/revue-francaise-de-science-politique-2001-1-page-199.htm" TargetMode="External"/><Relationship Id="rId35" Type="http://schemas.openxmlformats.org/officeDocument/2006/relationships/hyperlink" Target="https://www.persee.fr/doc/rfsoc_0035-2969_1990_num_31_1_1077" TargetMode="External"/><Relationship Id="rId43" Type="http://schemas.openxmlformats.org/officeDocument/2006/relationships/hyperlink" Target="https://www.cairn.info/revue-geneses-2006-4-page-126.htm" TargetMode="External"/><Relationship Id="rId48" Type="http://schemas.openxmlformats.org/officeDocument/2006/relationships/hyperlink" Target="https://www.ccc-ggc.brussels/sites/default/files/documents/graphics/rapport-pauvrete/regards-croises_2019_fr.pdf"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fondation-abbe-pierre.fr/sites/default/files/synthese_vr.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bru-home.ulb.be/reports/bh_rapport_quanti.pdf" TargetMode="External"/><Relationship Id="rId3" Type="http://schemas.openxmlformats.org/officeDocument/2006/relationships/hyperlink" Target="https://fr.wikipedia.org/wiki/Plan_d%C3%A9partemental_d%27action_pour_le_logement_des_personnes_d%C3%A9favoris%C3%A9es" TargetMode="External"/><Relationship Id="rId7" Type="http://schemas.openxmlformats.org/officeDocument/2006/relationships/hyperlink" Target="http://ville.montreal.qc.ca/pls/portal/docs/PAGE/ARROND_MHM_FR/MEDIA/DOCUMENTS/RAPPORT-LESSARD-S%C9N%C9CAL-HAMEL-FINAL25-4.PDF" TargetMode="External"/><Relationship Id="rId2" Type="http://schemas.openxmlformats.org/officeDocument/2006/relationships/hyperlink" Target="https://fr.wikipedia.org/wiki/Droit_au_logement" TargetMode="External"/><Relationship Id="rId1" Type="http://schemas.openxmlformats.org/officeDocument/2006/relationships/hyperlink" Target="https://fr.wikipedia.org/wiki/Loi_fran%C3%A7aise" TargetMode="External"/><Relationship Id="rId6" Type="http://schemas.openxmlformats.org/officeDocument/2006/relationships/hyperlink" Target="https://rwdh.be/lutte-contre-les-evictions-et-expulsions/" TargetMode="External"/><Relationship Id="rId5" Type="http://schemas.openxmlformats.org/officeDocument/2006/relationships/hyperlink" Target="https://evictions.study/maps.html" TargetMode="External"/><Relationship Id="rId4" Type="http://schemas.openxmlformats.org/officeDocument/2006/relationships/hyperlink" Target="https://www.legifrance.gouv.fr/jorf/id/JORFTEXT000000159413" TargetMode="External"/><Relationship Id="rId9" Type="http://schemas.openxmlformats.org/officeDocument/2006/relationships/hyperlink" Target="https://www.ejustice.just.fgov.be/cgi_loi/loi_a1.pl?DETAIL=1967101002%2FF&amp;caller=list&amp;row_id=1&amp;numero=4&amp;rech=13&amp;cn=1967101002&amp;table_name=LOI&amp;nm=1967101053&amp;la=F&amp;dt=CODE+JUDICIAIRE&amp;language=fr&amp;fr=f&amp;choix1=ET&amp;choix2=ET&amp;fromtab=loi_all&amp;trier=promulgation&amp;chercher=t&amp;sql=dt+contains++%27CODE%27%26+%27JUDICIAIRE%27and+actif+%3D+%27Y%27&amp;tri=dd+AS+RANK+&amp;imgcn.x=35&amp;imgcn.y=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010C7-1B9B-440A-B154-A48F17B9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58</Pages>
  <Words>27615</Words>
  <Characters>153540</Characters>
  <Application>Microsoft Office Word</Application>
  <DocSecurity>0</DocSecurity>
  <Lines>4265</Lines>
  <Paragraphs>4644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Noémie Emmanuel</dc:creator>
  <cp:keywords/>
  <dc:description/>
  <cp:lastModifiedBy>Noémie Emmanuel</cp:lastModifiedBy>
  <cp:revision>6</cp:revision>
  <cp:lastPrinted>2022-11-24T09:57:00Z</cp:lastPrinted>
  <dcterms:created xsi:type="dcterms:W3CDTF">2023-12-05T15:42:00Z</dcterms:created>
  <dcterms:modified xsi:type="dcterms:W3CDTF">2023-12-05T15:47:00Z</dcterms:modified>
</cp:coreProperties>
</file>