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14FC" w:rsidRDefault="007A6E6B" w:rsidP="00B514FC">
      <w:pPr>
        <w:spacing w:after="200" w:line="276" w:lineRule="auto"/>
        <w:rPr>
          <w:sz w:val="24"/>
          <w:lang w:val="en-US"/>
        </w:rPr>
      </w:pPr>
      <w:r w:rsidRPr="007A6E6B">
        <w:rPr>
          <w:sz w:val="28"/>
          <w:lang w:val="en-US"/>
        </w:rPr>
        <w:t xml:space="preserve">Does CRPS impair </w:t>
      </w:r>
      <w:proofErr w:type="spellStart"/>
      <w:r w:rsidRPr="007A6E6B">
        <w:rPr>
          <w:sz w:val="28"/>
          <w:lang w:val="en-US"/>
        </w:rPr>
        <w:t>visuo</w:t>
      </w:r>
      <w:proofErr w:type="spellEnd"/>
      <w:r w:rsidRPr="007A6E6B">
        <w:rPr>
          <w:sz w:val="28"/>
          <w:lang w:val="en-US"/>
        </w:rPr>
        <w:t xml:space="preserve">-motor coordination in </w:t>
      </w:r>
      <w:proofErr w:type="spellStart"/>
      <w:r w:rsidRPr="007A6E6B">
        <w:rPr>
          <w:sz w:val="28"/>
          <w:lang w:val="en-US"/>
        </w:rPr>
        <w:t>peripersonal</w:t>
      </w:r>
      <w:proofErr w:type="spellEnd"/>
      <w:r w:rsidRPr="007A6E6B">
        <w:rPr>
          <w:sz w:val="28"/>
          <w:lang w:val="en-US"/>
        </w:rPr>
        <w:t xml:space="preserve"> space?</w:t>
      </w:r>
    </w:p>
    <w:p w:rsidR="00B514FC" w:rsidRPr="00B514FC" w:rsidRDefault="00B514FC" w:rsidP="00B514FC">
      <w:pPr>
        <w:spacing w:after="200" w:line="276" w:lineRule="auto"/>
        <w:rPr>
          <w:sz w:val="24"/>
          <w:lang w:val="en-US"/>
        </w:rPr>
      </w:pPr>
    </w:p>
    <w:p w:rsidR="00B514FC" w:rsidRDefault="00B514FC" w:rsidP="00B514FC">
      <w:pPr>
        <w:rPr>
          <w:rFonts w:cs="ArialMT"/>
          <w:sz w:val="24"/>
          <w:lang w:val="fr-BE"/>
        </w:rPr>
      </w:pPr>
      <w:r w:rsidRPr="00B514FC">
        <w:rPr>
          <w:sz w:val="24"/>
          <w:lang w:val="fr-BE"/>
        </w:rPr>
        <w:t>C. Verfaille</w:t>
      </w:r>
      <w:r w:rsidRPr="00B514FC">
        <w:rPr>
          <w:rFonts w:cs="ArialMT"/>
          <w:sz w:val="24"/>
          <w:vertAlign w:val="superscript"/>
          <w:lang w:val="fr-BE"/>
        </w:rPr>
        <w:t>1</w:t>
      </w:r>
      <w:r w:rsidRPr="00B514FC">
        <w:rPr>
          <w:sz w:val="24"/>
          <w:lang w:val="fr-BE"/>
        </w:rPr>
        <w:t>, D. Cordova</w:t>
      </w:r>
      <w:r w:rsidRPr="00B514FC">
        <w:rPr>
          <w:rFonts w:cs="ArialMT"/>
          <w:sz w:val="24"/>
          <w:vertAlign w:val="superscript"/>
          <w:lang w:val="fr-BE"/>
        </w:rPr>
        <w:t>1</w:t>
      </w:r>
      <w:r w:rsidRPr="00B514FC">
        <w:rPr>
          <w:sz w:val="24"/>
          <w:lang w:val="fr-BE"/>
        </w:rPr>
        <w:t>, L. Filbrich</w:t>
      </w:r>
      <w:r w:rsidRPr="00B514FC">
        <w:rPr>
          <w:rFonts w:cs="ArialMT"/>
          <w:sz w:val="24"/>
          <w:vertAlign w:val="superscript"/>
          <w:lang w:val="fr-BE"/>
        </w:rPr>
        <w:t>1</w:t>
      </w:r>
      <w:r w:rsidRPr="00B514FC">
        <w:rPr>
          <w:sz w:val="24"/>
          <w:lang w:val="fr-BE"/>
        </w:rPr>
        <w:t>,</w:t>
      </w:r>
      <w:r w:rsidRPr="00B514FC">
        <w:rPr>
          <w:rFonts w:cs="ArialMT"/>
          <w:sz w:val="24"/>
          <w:lang w:val="fr-BE"/>
        </w:rPr>
        <w:t xml:space="preserve"> </w:t>
      </w:r>
      <w:r w:rsidRPr="00B514FC">
        <w:rPr>
          <w:rFonts w:cs="ArialMT"/>
          <w:sz w:val="24"/>
          <w:lang w:val="fr-BE"/>
        </w:rPr>
        <w:t>O. Barbier</w:t>
      </w:r>
      <w:r w:rsidRPr="00B514FC">
        <w:rPr>
          <w:rFonts w:cs="ArialMT"/>
          <w:sz w:val="24"/>
          <w:vertAlign w:val="superscript"/>
          <w:lang w:val="fr-BE"/>
        </w:rPr>
        <w:t>2</w:t>
      </w:r>
      <w:r w:rsidRPr="00B514FC">
        <w:rPr>
          <w:rFonts w:cs="ArialMT"/>
          <w:sz w:val="24"/>
          <w:lang w:val="fr-BE"/>
        </w:rPr>
        <w:t>, X. Libouton</w:t>
      </w:r>
      <w:r w:rsidRPr="00B514FC">
        <w:rPr>
          <w:rFonts w:cs="ArialMT"/>
          <w:sz w:val="24"/>
          <w:vertAlign w:val="superscript"/>
          <w:lang w:val="fr-BE"/>
        </w:rPr>
        <w:t>2</w:t>
      </w:r>
      <w:r w:rsidRPr="00B514FC">
        <w:rPr>
          <w:rFonts w:cs="ArialMT"/>
          <w:sz w:val="24"/>
          <w:lang w:val="fr-BE"/>
        </w:rPr>
        <w:t>, V. Fraselle</w:t>
      </w:r>
      <w:r w:rsidRPr="00B514FC">
        <w:rPr>
          <w:rFonts w:cs="ArialMT"/>
          <w:sz w:val="24"/>
          <w:vertAlign w:val="superscript"/>
          <w:lang w:val="fr-BE"/>
        </w:rPr>
        <w:t>2</w:t>
      </w:r>
      <w:r w:rsidRPr="00B514FC">
        <w:rPr>
          <w:rFonts w:cs="ArialMT"/>
          <w:sz w:val="24"/>
          <w:lang w:val="fr-BE"/>
        </w:rPr>
        <w:t xml:space="preserve">, D. Mouraux³, A. </w:t>
      </w:r>
      <w:proofErr w:type="gramStart"/>
      <w:r w:rsidRPr="00B514FC">
        <w:rPr>
          <w:rFonts w:cs="ArialMT"/>
          <w:sz w:val="24"/>
          <w:lang w:val="fr-BE"/>
        </w:rPr>
        <w:t>Berquin</w:t>
      </w:r>
      <w:r w:rsidRPr="00B514FC">
        <w:rPr>
          <w:rFonts w:cs="ArialMT"/>
          <w:sz w:val="24"/>
          <w:vertAlign w:val="superscript"/>
          <w:lang w:val="fr-BE"/>
        </w:rPr>
        <w:t>2</w:t>
      </w:r>
      <w:r w:rsidRPr="00B514FC">
        <w:rPr>
          <w:rFonts w:cs="ArialMT"/>
          <w:sz w:val="24"/>
          <w:lang w:val="fr-BE"/>
        </w:rPr>
        <w:t xml:space="preserve"> ,</w:t>
      </w:r>
      <w:proofErr w:type="gramEnd"/>
      <w:r w:rsidRPr="00B514FC">
        <w:rPr>
          <w:rFonts w:cs="ArialMT"/>
          <w:sz w:val="24"/>
          <w:lang w:val="fr-BE"/>
        </w:rPr>
        <w:t xml:space="preserve"> V. Legrain</w:t>
      </w:r>
      <w:r w:rsidRPr="00B514FC">
        <w:rPr>
          <w:rFonts w:cs="ArialMT"/>
          <w:sz w:val="24"/>
          <w:vertAlign w:val="superscript"/>
          <w:lang w:val="fr-BE"/>
        </w:rPr>
        <w:t>1</w:t>
      </w:r>
      <w:r w:rsidRPr="00B514FC">
        <w:rPr>
          <w:rFonts w:cs="ArialMT"/>
          <w:sz w:val="24"/>
          <w:lang w:val="fr-BE"/>
        </w:rPr>
        <w:t xml:space="preserve"> </w:t>
      </w:r>
    </w:p>
    <w:p w:rsidR="00B514FC" w:rsidRPr="00B514FC" w:rsidRDefault="00B514FC" w:rsidP="00B514FC">
      <w:pPr>
        <w:rPr>
          <w:rFonts w:cs="ArialMT"/>
          <w:sz w:val="24"/>
          <w:lang w:val="fr-BE"/>
        </w:rPr>
      </w:pPr>
    </w:p>
    <w:p w:rsidR="00B514FC" w:rsidRPr="00B514FC" w:rsidRDefault="00B514FC" w:rsidP="00B514FC">
      <w:pPr>
        <w:rPr>
          <w:rFonts w:cs="ArialMT"/>
          <w:i/>
          <w:sz w:val="24"/>
          <w:lang w:val="fr-BE"/>
        </w:rPr>
      </w:pPr>
      <w:r w:rsidRPr="00B514FC">
        <w:rPr>
          <w:rFonts w:cs="ArialMT"/>
          <w:sz w:val="24"/>
          <w:vertAlign w:val="superscript"/>
          <w:lang w:val="fr-BE"/>
        </w:rPr>
        <w:t xml:space="preserve">1 </w:t>
      </w:r>
      <w:r w:rsidRPr="00B514FC">
        <w:rPr>
          <w:rFonts w:cs="ArialMT"/>
          <w:i/>
          <w:sz w:val="24"/>
          <w:lang w:val="fr-BE"/>
        </w:rPr>
        <w:t xml:space="preserve">Institute of Neuroscience, Université catholique de Louvain, </w:t>
      </w:r>
      <w:proofErr w:type="spellStart"/>
      <w:r w:rsidRPr="00B514FC">
        <w:rPr>
          <w:rFonts w:cs="ArialMT"/>
          <w:i/>
          <w:sz w:val="24"/>
          <w:lang w:val="fr-BE"/>
        </w:rPr>
        <w:t>Belgium</w:t>
      </w:r>
      <w:proofErr w:type="spellEnd"/>
    </w:p>
    <w:p w:rsidR="00B514FC" w:rsidRPr="00B514FC" w:rsidRDefault="00B514FC" w:rsidP="00B514FC">
      <w:pPr>
        <w:rPr>
          <w:rFonts w:cs="ArialMT"/>
          <w:i/>
          <w:sz w:val="24"/>
          <w:lang w:val="en-US"/>
        </w:rPr>
      </w:pPr>
      <w:r w:rsidRPr="00B514FC">
        <w:rPr>
          <w:rFonts w:cs="ArialMT"/>
          <w:i/>
          <w:sz w:val="24"/>
          <w:lang w:val="en-US"/>
        </w:rPr>
        <w:t>²</w:t>
      </w:r>
      <w:r w:rsidRPr="00B514FC">
        <w:rPr>
          <w:rFonts w:cs="ArialMT"/>
          <w:sz w:val="24"/>
          <w:lang w:val="en-US"/>
        </w:rPr>
        <w:t xml:space="preserve"> </w:t>
      </w:r>
      <w:r w:rsidRPr="00B514FC">
        <w:rPr>
          <w:rFonts w:cs="ArialMT"/>
          <w:i/>
          <w:sz w:val="24"/>
          <w:lang w:val="en-US"/>
        </w:rPr>
        <w:t>University Hospital Saint Luc, Belgium</w:t>
      </w:r>
    </w:p>
    <w:p w:rsidR="00B514FC" w:rsidRPr="00B514FC" w:rsidRDefault="00B514FC" w:rsidP="00B514FC">
      <w:pPr>
        <w:rPr>
          <w:rFonts w:cs="ArialMT"/>
          <w:sz w:val="24"/>
          <w:lang w:val="en-US"/>
        </w:rPr>
      </w:pPr>
      <w:r w:rsidRPr="00B514FC">
        <w:rPr>
          <w:rFonts w:cs="ArialMT"/>
          <w:sz w:val="24"/>
          <w:lang w:val="en-US"/>
        </w:rPr>
        <w:t xml:space="preserve">³ </w:t>
      </w:r>
      <w:r w:rsidRPr="00B514FC">
        <w:rPr>
          <w:rFonts w:cs="ArialMT"/>
          <w:i/>
          <w:sz w:val="24"/>
          <w:lang w:val="en-US"/>
        </w:rPr>
        <w:t xml:space="preserve">University Hospital </w:t>
      </w:r>
      <w:proofErr w:type="spellStart"/>
      <w:r w:rsidRPr="00B514FC">
        <w:rPr>
          <w:rFonts w:cs="ArialMT"/>
          <w:i/>
          <w:sz w:val="24"/>
          <w:lang w:val="en-US"/>
        </w:rPr>
        <w:t>Erasme</w:t>
      </w:r>
      <w:proofErr w:type="spellEnd"/>
      <w:r w:rsidRPr="00B514FC">
        <w:rPr>
          <w:rFonts w:cs="ArialMT"/>
          <w:i/>
          <w:sz w:val="24"/>
          <w:lang w:val="en-US"/>
        </w:rPr>
        <w:t>, Belgium</w:t>
      </w:r>
    </w:p>
    <w:p w:rsidR="00B514FC" w:rsidRPr="00B514FC" w:rsidRDefault="00B514FC" w:rsidP="00B514FC">
      <w:pPr>
        <w:spacing w:after="200" w:line="276" w:lineRule="auto"/>
        <w:rPr>
          <w:sz w:val="24"/>
          <w:lang w:val="en-US"/>
        </w:rPr>
      </w:pPr>
    </w:p>
    <w:p w:rsidR="00B514FC" w:rsidRPr="00B514FC" w:rsidRDefault="00B514FC" w:rsidP="00B514FC">
      <w:pPr>
        <w:spacing w:after="200" w:line="276" w:lineRule="auto"/>
        <w:jc w:val="both"/>
        <w:rPr>
          <w:sz w:val="24"/>
          <w:lang w:val="en-US"/>
        </w:rPr>
      </w:pPr>
      <w:r w:rsidRPr="00B514FC">
        <w:rPr>
          <w:sz w:val="24"/>
          <w:lang w:val="en-US"/>
        </w:rPr>
        <w:t>Complex Regional Pain Syndrome (CRPS) is not only characterized by sensory, motor and vegetative symptoms, but also by cognitive changes in term</w:t>
      </w:r>
      <w:r w:rsidR="001B0086">
        <w:rPr>
          <w:sz w:val="24"/>
          <w:lang w:val="en-US"/>
        </w:rPr>
        <w:t>s</w:t>
      </w:r>
      <w:r w:rsidRPr="00B514FC">
        <w:rPr>
          <w:sz w:val="24"/>
          <w:lang w:val="en-US"/>
        </w:rPr>
        <w:t xml:space="preserve"> of body perception and representation (</w:t>
      </w:r>
      <w:proofErr w:type="spellStart"/>
      <w:r w:rsidRPr="00B514FC">
        <w:rPr>
          <w:sz w:val="24"/>
          <w:lang w:val="en-US"/>
        </w:rPr>
        <w:t>Legrain</w:t>
      </w:r>
      <w:proofErr w:type="spellEnd"/>
      <w:r w:rsidRPr="00B514FC">
        <w:rPr>
          <w:sz w:val="24"/>
          <w:lang w:val="en-US"/>
        </w:rPr>
        <w:t xml:space="preserve"> et al., 2012). However, CRPS patients’ performance at standard neglect tests is inconsistent (Kolb et al., 2012) and so far, we cannot conclude that these cognitive changes extend to stimuli presented in the</w:t>
      </w:r>
      <w:r w:rsidR="001B0086">
        <w:rPr>
          <w:sz w:val="24"/>
          <w:lang w:val="en-US"/>
        </w:rPr>
        <w:t xml:space="preserve"> </w:t>
      </w:r>
      <w:r w:rsidRPr="00B514FC">
        <w:rPr>
          <w:sz w:val="24"/>
          <w:lang w:val="en-US"/>
        </w:rPr>
        <w:t>space</w:t>
      </w:r>
      <w:r w:rsidR="001B0086">
        <w:rPr>
          <w:sz w:val="24"/>
          <w:lang w:val="en-US"/>
        </w:rPr>
        <w:t xml:space="preserve"> outside the body (i.e. </w:t>
      </w:r>
      <w:proofErr w:type="spellStart"/>
      <w:r w:rsidR="001B0086">
        <w:rPr>
          <w:sz w:val="24"/>
          <w:lang w:val="en-US"/>
        </w:rPr>
        <w:t>peripersonal</w:t>
      </w:r>
      <w:proofErr w:type="spellEnd"/>
      <w:r w:rsidR="001B0086">
        <w:rPr>
          <w:sz w:val="24"/>
          <w:lang w:val="en-US"/>
        </w:rPr>
        <w:t>)</w:t>
      </w:r>
      <w:r w:rsidRPr="00B514FC">
        <w:rPr>
          <w:sz w:val="24"/>
          <w:lang w:val="en-US"/>
        </w:rPr>
        <w:t>. Therefore, we used a line bisection task in a virtual reality environment in order to</w:t>
      </w:r>
      <w:r w:rsidR="00323228">
        <w:rPr>
          <w:sz w:val="24"/>
          <w:lang w:val="en-US"/>
        </w:rPr>
        <w:t xml:space="preserve"> </w:t>
      </w:r>
      <w:r w:rsidR="001B0086">
        <w:rPr>
          <w:sz w:val="24"/>
          <w:lang w:val="en-US"/>
        </w:rPr>
        <w:t xml:space="preserve">test whether </w:t>
      </w:r>
      <w:r w:rsidR="00323228">
        <w:rPr>
          <w:sz w:val="24"/>
          <w:lang w:val="en-US"/>
        </w:rPr>
        <w:t>u</w:t>
      </w:r>
      <w:r w:rsidR="001B0086">
        <w:rPr>
          <w:sz w:val="24"/>
          <w:lang w:val="en-US"/>
        </w:rPr>
        <w:t>pper-limb patients present an impaired</w:t>
      </w:r>
      <w:r w:rsidR="00323228">
        <w:rPr>
          <w:sz w:val="24"/>
          <w:lang w:val="en-US"/>
        </w:rPr>
        <w:t xml:space="preserve"> perception and exploration of the </w:t>
      </w:r>
      <w:proofErr w:type="spellStart"/>
      <w:r w:rsidR="00323228">
        <w:rPr>
          <w:sz w:val="24"/>
          <w:lang w:val="en-US"/>
        </w:rPr>
        <w:t>peripersonal</w:t>
      </w:r>
      <w:proofErr w:type="spellEnd"/>
      <w:r w:rsidR="00323228">
        <w:rPr>
          <w:sz w:val="24"/>
          <w:lang w:val="en-US"/>
        </w:rPr>
        <w:t xml:space="preserve"> space around the affected hand</w:t>
      </w:r>
      <w:r w:rsidRPr="00B514FC">
        <w:rPr>
          <w:sz w:val="24"/>
          <w:lang w:val="en-US"/>
        </w:rPr>
        <w:t xml:space="preserve">. We hypothesized that </w:t>
      </w:r>
      <w:r w:rsidR="00323228">
        <w:rPr>
          <w:sz w:val="24"/>
          <w:lang w:val="en-US"/>
        </w:rPr>
        <w:t xml:space="preserve">these impairments </w:t>
      </w:r>
      <w:r w:rsidRPr="00B514FC">
        <w:rPr>
          <w:sz w:val="24"/>
          <w:lang w:val="en-US"/>
        </w:rPr>
        <w:t xml:space="preserve">would also be mediated by the vision of the affected hand and the feeling of where this hand is located (proprioception). </w:t>
      </w:r>
      <w:r w:rsidR="00323228">
        <w:rPr>
          <w:sz w:val="24"/>
          <w:lang w:val="en-US"/>
        </w:rPr>
        <w:t>To test these hypothese</w:t>
      </w:r>
      <w:r w:rsidRPr="00B514FC">
        <w:rPr>
          <w:sz w:val="24"/>
          <w:lang w:val="en-US"/>
        </w:rPr>
        <w:t xml:space="preserve">s, CRPS participants were asked to move a robotic handle with their unaffected hand in order to bisect the middle of lines projected on </w:t>
      </w:r>
      <w:r w:rsidR="00323228">
        <w:rPr>
          <w:sz w:val="24"/>
          <w:lang w:val="en-US"/>
        </w:rPr>
        <w:t xml:space="preserve">different positions on </w:t>
      </w:r>
      <w:r w:rsidRPr="00B514FC">
        <w:rPr>
          <w:sz w:val="24"/>
          <w:lang w:val="en-US"/>
        </w:rPr>
        <w:t>a horizontal semi-reflective mirror screen. Throughout the different testing conditions, they were asked to perform the task either in</w:t>
      </w:r>
      <w:r w:rsidR="00323228">
        <w:rPr>
          <w:sz w:val="24"/>
          <w:lang w:val="en-US"/>
        </w:rPr>
        <w:t xml:space="preserve"> the workspace corresponding to their affected </w:t>
      </w:r>
      <w:r w:rsidRPr="00B514FC">
        <w:rPr>
          <w:sz w:val="24"/>
          <w:lang w:val="en-US"/>
        </w:rPr>
        <w:t>or unaffected body side, to put their affected hand inside o</w:t>
      </w:r>
      <w:r w:rsidR="00323228">
        <w:rPr>
          <w:sz w:val="24"/>
          <w:lang w:val="en-US"/>
        </w:rPr>
        <w:t>r outside the workspace and</w:t>
      </w:r>
      <w:r w:rsidRPr="00B514FC">
        <w:rPr>
          <w:sz w:val="24"/>
          <w:lang w:val="en-US"/>
        </w:rPr>
        <w:t xml:space="preserve"> </w:t>
      </w:r>
      <w:r w:rsidR="00323228">
        <w:rPr>
          <w:sz w:val="24"/>
          <w:lang w:val="en-US"/>
        </w:rPr>
        <w:t>to perform the task either while seeing or not their hands</w:t>
      </w:r>
      <w:r w:rsidRPr="00B514FC">
        <w:rPr>
          <w:sz w:val="24"/>
          <w:lang w:val="en-US"/>
        </w:rPr>
        <w:t xml:space="preserve">. Results showed that CRPS patients had a general bisecting bias towards the left side of space. This bias was more important when lines were projected further from the starting point in the unaffected body side. </w:t>
      </w:r>
    </w:p>
    <w:p w:rsidR="00B514FC" w:rsidRPr="00B514FC" w:rsidRDefault="00B514FC" w:rsidP="00B514FC">
      <w:pPr>
        <w:spacing w:after="200" w:line="276" w:lineRule="auto"/>
        <w:rPr>
          <w:color w:val="2E74B5" w:themeColor="accent1" w:themeShade="BF"/>
          <w:sz w:val="24"/>
          <w:lang w:val="en-US"/>
        </w:rPr>
      </w:pPr>
    </w:p>
    <w:p w:rsidR="00B514FC" w:rsidRPr="00B514FC" w:rsidRDefault="00B514FC" w:rsidP="00B514FC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rial"/>
          <w:b/>
          <w:i/>
          <w:sz w:val="24"/>
          <w:lang w:val="en-US"/>
        </w:rPr>
      </w:pPr>
      <w:r w:rsidRPr="00B514FC">
        <w:rPr>
          <w:rFonts w:asciiTheme="majorHAnsi" w:hAnsiTheme="majorHAnsi"/>
          <w:b/>
          <w:i/>
          <w:sz w:val="24"/>
          <w:lang w:val="en-US"/>
        </w:rPr>
        <w:t xml:space="preserve">Funded by the </w:t>
      </w:r>
      <w:r w:rsidRPr="00B514FC">
        <w:rPr>
          <w:rFonts w:asciiTheme="majorHAnsi" w:hAnsiTheme="majorHAnsi" w:cs="Arial"/>
          <w:b/>
          <w:i/>
          <w:sz w:val="24"/>
          <w:lang w:val="en-US"/>
        </w:rPr>
        <w:t xml:space="preserve">Fund for Scientific Research of the French-speaking Community of Belgium (F.R.S.-FNRS). </w:t>
      </w:r>
    </w:p>
    <w:p w:rsidR="00834A7A" w:rsidRPr="00B514FC" w:rsidRDefault="00323228">
      <w:pPr>
        <w:rPr>
          <w:sz w:val="24"/>
          <w:lang w:val="en-US"/>
        </w:rPr>
      </w:pPr>
      <w:bookmarkStart w:id="0" w:name="_GoBack"/>
      <w:bookmarkEnd w:id="0"/>
    </w:p>
    <w:sectPr w:rsidR="00834A7A" w:rsidRPr="00B51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4FC"/>
    <w:rsid w:val="001B0086"/>
    <w:rsid w:val="00323228"/>
    <w:rsid w:val="003C1D7A"/>
    <w:rsid w:val="007A6E6B"/>
    <w:rsid w:val="00B514FC"/>
    <w:rsid w:val="00DA1AB0"/>
    <w:rsid w:val="00DB7C44"/>
    <w:rsid w:val="00F91D46"/>
    <w:rsid w:val="00F97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4CCE99-B03D-4F9A-847B-CB6270AB5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7A6E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A6E6B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306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1990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Verfaille</dc:creator>
  <cp:keywords/>
  <dc:description/>
  <cp:lastModifiedBy>Charlotte Verfaille</cp:lastModifiedBy>
  <cp:revision>2</cp:revision>
  <cp:lastPrinted>2016-07-29T14:29:00Z</cp:lastPrinted>
  <dcterms:created xsi:type="dcterms:W3CDTF">2016-07-29T13:30:00Z</dcterms:created>
  <dcterms:modified xsi:type="dcterms:W3CDTF">2016-07-29T15:10:00Z</dcterms:modified>
</cp:coreProperties>
</file>