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CC01E" w14:textId="77777777" w:rsidR="007742CC" w:rsidRPr="00CF39F6" w:rsidRDefault="007742CC" w:rsidP="007742CC">
      <w:pPr>
        <w:spacing w:line="480" w:lineRule="auto"/>
        <w:jc w:val="center"/>
        <w:rPr>
          <w:b/>
          <w:color w:val="000000" w:themeColor="text1"/>
        </w:rPr>
      </w:pPr>
      <w:r w:rsidRPr="00CF39F6">
        <w:rPr>
          <w:b/>
          <w:color w:val="000000" w:themeColor="text1"/>
        </w:rPr>
        <w:t>Investigating the supply chain agility – innovation link:</w:t>
      </w:r>
    </w:p>
    <w:p w14:paraId="147321E2" w14:textId="77777777" w:rsidR="007742CC" w:rsidRPr="00CF39F6" w:rsidRDefault="007742CC" w:rsidP="007742CC">
      <w:pPr>
        <w:spacing w:line="480" w:lineRule="auto"/>
        <w:jc w:val="center"/>
        <w:rPr>
          <w:b/>
          <w:color w:val="000000" w:themeColor="text1"/>
        </w:rPr>
      </w:pPr>
      <w:r w:rsidRPr="00CF39F6">
        <w:rPr>
          <w:b/>
          <w:color w:val="000000" w:themeColor="text1"/>
        </w:rPr>
        <w:t xml:space="preserve">The role of </w:t>
      </w:r>
      <w:r>
        <w:rPr>
          <w:b/>
          <w:color w:val="000000" w:themeColor="text1"/>
        </w:rPr>
        <w:t>organizational</w:t>
      </w:r>
      <w:r w:rsidRPr="00CF39F6">
        <w:rPr>
          <w:b/>
          <w:color w:val="000000" w:themeColor="text1"/>
        </w:rPr>
        <w:t xml:space="preserve"> context</w:t>
      </w:r>
    </w:p>
    <w:p w14:paraId="1FE78C8E" w14:textId="77777777" w:rsidR="007742CC" w:rsidRDefault="007742CC" w:rsidP="007742CC">
      <w:pPr>
        <w:spacing w:line="480" w:lineRule="auto"/>
        <w:rPr>
          <w:b/>
          <w:color w:val="000000" w:themeColor="text1"/>
        </w:rPr>
      </w:pPr>
    </w:p>
    <w:p w14:paraId="1107F8EF" w14:textId="391C4A64" w:rsidR="007742CC" w:rsidRPr="004A2CAB" w:rsidRDefault="007742CC" w:rsidP="007742CC">
      <w:pPr>
        <w:spacing w:line="480" w:lineRule="auto"/>
        <w:jc w:val="both"/>
        <w:rPr>
          <w:color w:val="000000" w:themeColor="text1"/>
        </w:rPr>
      </w:pPr>
      <w:r w:rsidRPr="004A2CAB">
        <w:rPr>
          <w:b/>
          <w:color w:val="000000" w:themeColor="text1"/>
        </w:rPr>
        <w:t>Abstract</w:t>
      </w:r>
      <w:r>
        <w:rPr>
          <w:b/>
          <w:color w:val="000000" w:themeColor="text1"/>
        </w:rPr>
        <w:t xml:space="preserve"> – </w:t>
      </w:r>
      <w:r w:rsidRPr="00A270D2">
        <w:rPr>
          <w:bCs/>
          <w:color w:val="FF0000"/>
        </w:rPr>
        <w:t xml:space="preserve">Previous </w:t>
      </w:r>
      <w:r>
        <w:rPr>
          <w:color w:val="000000" w:themeColor="text1"/>
        </w:rPr>
        <w:t>l</w:t>
      </w:r>
      <w:r w:rsidRPr="004A2CAB">
        <w:rPr>
          <w:color w:val="000000" w:themeColor="text1"/>
        </w:rPr>
        <w:t xml:space="preserve">iterature provides ample analyses of the antecedents of </w:t>
      </w:r>
      <w:r w:rsidRPr="00C94EA3">
        <w:rPr>
          <w:i/>
          <w:iCs/>
          <w:color w:val="000000" w:themeColor="text1"/>
        </w:rPr>
        <w:t>supply chain agility</w:t>
      </w:r>
      <w:r w:rsidRPr="004A2CAB">
        <w:rPr>
          <w:color w:val="000000" w:themeColor="text1"/>
        </w:rPr>
        <w:t xml:space="preserve">, but the organizational </w:t>
      </w:r>
      <w:r w:rsidRPr="00656B2F">
        <w:rPr>
          <w:i/>
          <w:iCs/>
          <w:color w:val="000000" w:themeColor="text1"/>
        </w:rPr>
        <w:t>context</w:t>
      </w:r>
      <w:r w:rsidRPr="004A2CAB">
        <w:rPr>
          <w:color w:val="000000" w:themeColor="text1"/>
        </w:rPr>
        <w:t xml:space="preserve"> </w:t>
      </w:r>
      <w:r w:rsidR="00456843">
        <w:rPr>
          <w:color w:val="000000" w:themeColor="text1"/>
        </w:rPr>
        <w:t>has generally been</w:t>
      </w:r>
      <w:r w:rsidR="00917B5D">
        <w:rPr>
          <w:color w:val="000000" w:themeColor="text1"/>
        </w:rPr>
        <w:t xml:space="preserve"> </w:t>
      </w:r>
      <w:r w:rsidRPr="004A2CAB">
        <w:rPr>
          <w:color w:val="000000" w:themeColor="text1"/>
        </w:rPr>
        <w:t>neglected. Setting up the right organizational context is important for dynamic capabilities such as supply chain agility</w:t>
      </w:r>
      <w:r>
        <w:rPr>
          <w:color w:val="000000" w:themeColor="text1"/>
        </w:rPr>
        <w:t>,</w:t>
      </w:r>
      <w:r w:rsidRPr="004A2CAB">
        <w:rPr>
          <w:color w:val="000000" w:themeColor="text1"/>
        </w:rPr>
        <w:t xml:space="preserve"> especially in turbulent times. In this research, we study organizational context from two aspects as antecedents of supply chain agility, i.e.</w:t>
      </w:r>
      <w:r w:rsidRPr="00FA7C19">
        <w:rPr>
          <w:color w:val="FF0000"/>
        </w:rPr>
        <w:t>,</w:t>
      </w:r>
      <w:r w:rsidRPr="004A2CAB">
        <w:rPr>
          <w:color w:val="000000" w:themeColor="text1"/>
        </w:rPr>
        <w:t xml:space="preserve"> a firm’s </w:t>
      </w:r>
      <w:r w:rsidRPr="00656B2F">
        <w:rPr>
          <w:i/>
          <w:iCs/>
          <w:color w:val="000000" w:themeColor="text1"/>
        </w:rPr>
        <w:t>performance orientation context</w:t>
      </w:r>
      <w:r w:rsidRPr="004A2CAB">
        <w:rPr>
          <w:color w:val="000000" w:themeColor="text1"/>
        </w:rPr>
        <w:t xml:space="preserve"> and its </w:t>
      </w:r>
      <w:r w:rsidRPr="00656B2F">
        <w:rPr>
          <w:i/>
          <w:iCs/>
          <w:color w:val="000000" w:themeColor="text1"/>
        </w:rPr>
        <w:t>social orientation context</w:t>
      </w:r>
      <w:r w:rsidRPr="004A2CAB">
        <w:rPr>
          <w:color w:val="000000" w:themeColor="text1"/>
        </w:rPr>
        <w:t xml:space="preserve">. In addition, we investigate the so far overlooked effect of supply chain agility on </w:t>
      </w:r>
      <w:r w:rsidRPr="007578E6">
        <w:rPr>
          <w:i/>
          <w:iCs/>
          <w:color w:val="000000" w:themeColor="text1"/>
        </w:rPr>
        <w:t>innovation</w:t>
      </w:r>
      <w:r w:rsidRPr="004A2CAB">
        <w:rPr>
          <w:color w:val="000000" w:themeColor="text1"/>
        </w:rPr>
        <w:t xml:space="preserve"> performance, as we believe that supply chain agility not only helps prevent and repair short-term damage but also spurs innovation in the </w:t>
      </w:r>
      <w:r>
        <w:rPr>
          <w:color w:val="000000" w:themeColor="text1"/>
        </w:rPr>
        <w:t>long</w:t>
      </w:r>
      <w:r w:rsidRPr="004A2CAB">
        <w:rPr>
          <w:color w:val="000000" w:themeColor="text1"/>
        </w:rPr>
        <w:t xml:space="preserve"> run. </w:t>
      </w:r>
      <w:r>
        <w:rPr>
          <w:color w:val="000000" w:themeColor="text1"/>
        </w:rPr>
        <w:t xml:space="preserve">We also consider the moderating role of the organization’s </w:t>
      </w:r>
      <w:r w:rsidRPr="00AB6FB8">
        <w:rPr>
          <w:i/>
          <w:iCs/>
          <w:color w:val="000000" w:themeColor="text1"/>
        </w:rPr>
        <w:t>complementarity</w:t>
      </w:r>
      <w:r>
        <w:rPr>
          <w:color w:val="000000" w:themeColor="text1"/>
        </w:rPr>
        <w:t xml:space="preserve"> with its key suppliers in this relationship. </w:t>
      </w:r>
      <w:r w:rsidR="002D53ED">
        <w:rPr>
          <w:color w:val="000000" w:themeColor="text1"/>
        </w:rPr>
        <w:t>We build</w:t>
      </w:r>
      <w:r w:rsidRPr="004A2CAB">
        <w:rPr>
          <w:color w:val="000000" w:themeColor="text1"/>
        </w:rPr>
        <w:t xml:space="preserve"> our hypotheses</w:t>
      </w:r>
      <w:r w:rsidR="002D53ED">
        <w:rPr>
          <w:color w:val="000000" w:themeColor="text1"/>
        </w:rPr>
        <w:t xml:space="preserve"> based on the </w:t>
      </w:r>
      <w:r w:rsidRPr="004A2CAB">
        <w:t>dynamic capabilit</w:t>
      </w:r>
      <w:r w:rsidR="002D53ED">
        <w:t>ies</w:t>
      </w:r>
      <w:r w:rsidRPr="004A2CAB">
        <w:t xml:space="preserve"> view and refer to the literature on organizational context, </w:t>
      </w:r>
      <w:r w:rsidRPr="004A2CAB">
        <w:rPr>
          <w:color w:val="000000" w:themeColor="text1"/>
        </w:rPr>
        <w:t>supply chain agility</w:t>
      </w:r>
      <w:r w:rsidRPr="004A2CAB">
        <w:t>, and innovation.</w:t>
      </w:r>
      <w:r w:rsidRPr="004A2CAB">
        <w:rPr>
          <w:color w:val="000000" w:themeColor="text1"/>
        </w:rPr>
        <w:t xml:space="preserve"> Structural equation modeling is applied to examine the proposed research hypotheses using time-lagged and multi-respondent survey data gathered from Pakistan’s manufacturing sector. </w:t>
      </w:r>
    </w:p>
    <w:p w14:paraId="79E59807" w14:textId="4E25BCD8" w:rsidR="007742CC" w:rsidRDefault="007742CC" w:rsidP="007742CC">
      <w:pPr>
        <w:spacing w:line="480" w:lineRule="auto"/>
      </w:pPr>
      <w:r w:rsidRPr="00CF39F6">
        <w:rPr>
          <w:b/>
          <w:color w:val="000000" w:themeColor="text1"/>
        </w:rPr>
        <w:t xml:space="preserve">Keywords: </w:t>
      </w:r>
      <w:r w:rsidRPr="00CF39F6">
        <w:rPr>
          <w:bCs/>
          <w:color w:val="000000" w:themeColor="text1"/>
        </w:rPr>
        <w:t xml:space="preserve">Supply chain agility, innovation, organizational context, </w:t>
      </w:r>
      <w:r w:rsidRPr="00CF39F6">
        <w:t>social orientation,</w:t>
      </w:r>
      <w:r w:rsidR="002742D4">
        <w:t xml:space="preserve"> </w:t>
      </w:r>
      <w:r w:rsidRPr="00CF39F6">
        <w:t>performance orientation,</w:t>
      </w:r>
      <w:r w:rsidRPr="00CF39F6">
        <w:rPr>
          <w:bCs/>
          <w:color w:val="000000" w:themeColor="text1"/>
        </w:rPr>
        <w:t xml:space="preserve"> complementarity, </w:t>
      </w:r>
      <w:r w:rsidRPr="00CF39F6">
        <w:t>dynamic capabilities</w:t>
      </w:r>
      <w:r>
        <w:t>.</w:t>
      </w:r>
      <w:r w:rsidRPr="00CF39F6">
        <w:t xml:space="preserve"> </w:t>
      </w:r>
    </w:p>
    <w:p w14:paraId="78062F03" w14:textId="77777777" w:rsidR="007742CC" w:rsidRPr="00CF39F6" w:rsidRDefault="007742CC" w:rsidP="007742CC">
      <w:pPr>
        <w:spacing w:line="480" w:lineRule="auto"/>
        <w:rPr>
          <w:bCs/>
          <w:color w:val="000000" w:themeColor="text1"/>
        </w:rPr>
      </w:pPr>
    </w:p>
    <w:p w14:paraId="20468AA4" w14:textId="77777777" w:rsidR="007742CC" w:rsidRDefault="007742CC" w:rsidP="007742CC">
      <w:pPr>
        <w:spacing w:after="160" w:line="259" w:lineRule="auto"/>
        <w:rPr>
          <w:rFonts w:eastAsiaTheme="minorHAnsi"/>
          <w:b/>
          <w:color w:val="000000" w:themeColor="text1"/>
          <w:lang w:eastAsia="en-US"/>
        </w:rPr>
      </w:pPr>
      <w:r>
        <w:rPr>
          <w:b/>
          <w:color w:val="000000" w:themeColor="text1"/>
        </w:rPr>
        <w:br w:type="page"/>
      </w:r>
    </w:p>
    <w:p w14:paraId="4D41757E" w14:textId="77777777" w:rsidR="007742CC" w:rsidRPr="00B45B30" w:rsidRDefault="007742CC" w:rsidP="007742CC">
      <w:pPr>
        <w:pStyle w:val="ListParagraph"/>
        <w:numPr>
          <w:ilvl w:val="0"/>
          <w:numId w:val="13"/>
        </w:numPr>
        <w:spacing w:line="480" w:lineRule="auto"/>
        <w:ind w:left="0" w:firstLine="426"/>
        <w:jc w:val="center"/>
        <w:rPr>
          <w:rFonts w:ascii="Times New Roman" w:hAnsi="Times New Roman" w:cs="Times New Roman"/>
          <w:b/>
          <w:color w:val="000000" w:themeColor="text1"/>
          <w:sz w:val="24"/>
          <w:szCs w:val="24"/>
        </w:rPr>
      </w:pPr>
      <w:r w:rsidRPr="00B45B30">
        <w:rPr>
          <w:rFonts w:ascii="Times New Roman" w:hAnsi="Times New Roman" w:cs="Times New Roman"/>
          <w:b/>
          <w:color w:val="000000" w:themeColor="text1"/>
          <w:sz w:val="24"/>
          <w:szCs w:val="24"/>
        </w:rPr>
        <w:lastRenderedPageBreak/>
        <w:t>INTRODUCTION</w:t>
      </w:r>
    </w:p>
    <w:p w14:paraId="63453A4A" w14:textId="77777777" w:rsidR="007742CC" w:rsidRPr="00CF39F6" w:rsidRDefault="007742CC" w:rsidP="007742CC">
      <w:pPr>
        <w:spacing w:line="480" w:lineRule="auto"/>
        <w:jc w:val="both"/>
        <w:rPr>
          <w:color w:val="000000" w:themeColor="text1"/>
        </w:rPr>
      </w:pPr>
      <w:r w:rsidRPr="00CF39F6">
        <w:rPr>
          <w:color w:val="000000" w:themeColor="text1"/>
        </w:rPr>
        <w:t>Modern business environments are characterized by turbulence, short product life cycles, diverse customer requirements, rapid technological advancements, and high demand and supply uncertainty</w:t>
      </w:r>
      <w:r>
        <w:rPr>
          <w:color w:val="000000" w:themeColor="text1"/>
        </w:rPr>
        <w:t xml:space="preserve"> </w:t>
      </w:r>
      <w:r>
        <w:rPr>
          <w:color w:val="000000" w:themeColor="text1"/>
        </w:rPr>
        <w:fldChar w:fldCharType="begin">
          <w:fldData xml:space="preserve">PEVuZE5vdGU+PENpdGU+PEF1dGhvcj5Ib2Vrc3RyYTwvQXV0aG9yPjxZZWFyPjIwMjM8L1llYXI+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</w:fldData>
        </w:fldChar>
      </w:r>
      <w:r>
        <w:rPr>
          <w:color w:val="000000" w:themeColor="text1"/>
        </w:rPr>
        <w:instrText xml:space="preserve"> ADDIN EN.CITE </w:instrText>
      </w:r>
      <w:r>
        <w:rPr>
          <w:color w:val="000000" w:themeColor="text1"/>
        </w:rPr>
        <w:fldChar w:fldCharType="begin">
          <w:fldData xml:space="preserve">PEVuZE5vdGU+PENpdGU+PEF1dGhvcj5Ib2Vrc3RyYTwvQXV0aG9yPjxZZWFyPjIwMjM8L1llYXI+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</w:fldData>
        </w:fldChar>
      </w:r>
      <w:r>
        <w:rPr>
          <w:color w:val="000000" w:themeColor="text1"/>
        </w:rPr>
        <w:instrText xml:space="preserve"> ADDIN EN.CITE.DATA </w:instrText>
      </w:r>
      <w:r>
        <w:rPr>
          <w:color w:val="000000" w:themeColor="text1"/>
        </w:rPr>
      </w:r>
      <w:r>
        <w:rPr>
          <w:color w:val="000000" w:themeColor="text1"/>
        </w:rPr>
        <w:fldChar w:fldCharType="end"/>
      </w:r>
      <w:r>
        <w:rPr>
          <w:color w:val="000000" w:themeColor="text1"/>
        </w:rPr>
      </w:r>
      <w:r>
        <w:rPr>
          <w:color w:val="000000" w:themeColor="text1"/>
        </w:rPr>
        <w:fldChar w:fldCharType="separate"/>
      </w:r>
      <w:r>
        <w:rPr>
          <w:noProof/>
          <w:color w:val="000000" w:themeColor="text1"/>
        </w:rPr>
        <w:t xml:space="preserve">(Braunscheidel &amp; Suresh, 2009; </w:t>
      </w:r>
      <w:r w:rsidRPr="00F5230A">
        <w:rPr>
          <w:noProof/>
          <w:color w:val="FF0000"/>
        </w:rPr>
        <w:t>Hoekstra &amp; Leeflang, 2023</w:t>
      </w:r>
      <w:r>
        <w:rPr>
          <w:noProof/>
          <w:color w:val="000000" w:themeColor="text1"/>
        </w:rPr>
        <w:t>; Zhu &amp; Gao, 2021)</w:t>
      </w:r>
      <w:r>
        <w:rPr>
          <w:color w:val="000000" w:themeColor="text1"/>
        </w:rPr>
        <w:fldChar w:fldCharType="end"/>
      </w:r>
      <w:r w:rsidRPr="000013B7">
        <w:rPr>
          <w:color w:val="000000" w:themeColor="text1"/>
        </w:rPr>
        <w:t xml:space="preserve">. </w:t>
      </w:r>
      <w:r w:rsidRPr="00CF39F6">
        <w:rPr>
          <w:color w:val="000000" w:themeColor="text1"/>
        </w:rPr>
        <w:t xml:space="preserve">Most notably, the </w:t>
      </w:r>
      <w:r>
        <w:rPr>
          <w:color w:val="000000" w:themeColor="text1"/>
        </w:rPr>
        <w:t>COVID-19</w:t>
      </w:r>
      <w:r w:rsidRPr="00CF39F6">
        <w:rPr>
          <w:color w:val="000000" w:themeColor="text1"/>
        </w:rPr>
        <w:t xml:space="preserve"> pandemic</w:t>
      </w:r>
      <w:r>
        <w:rPr>
          <w:color w:val="000000" w:themeColor="text1"/>
        </w:rPr>
        <w:t xml:space="preserve"> as well as the ongoing Russian invasion of Ukraine</w:t>
      </w:r>
      <w:r w:rsidRPr="00CF39F6">
        <w:rPr>
          <w:color w:val="000000" w:themeColor="text1"/>
        </w:rPr>
        <w:t xml:space="preserve"> ha</w:t>
      </w:r>
      <w:r w:rsidRPr="001C45F6">
        <w:rPr>
          <w:color w:val="FF0000"/>
        </w:rPr>
        <w:t>ve</w:t>
      </w:r>
      <w:r w:rsidRPr="00CF39F6">
        <w:rPr>
          <w:color w:val="000000" w:themeColor="text1"/>
        </w:rPr>
        <w:t xml:space="preserve"> put immense pressure on organizations of all sizes to adapt their business models to rapidly evolving novel operations and supply chain contexts</w:t>
      </w:r>
      <w:r>
        <w:rPr>
          <w:color w:val="000000" w:themeColor="text1"/>
        </w:rPr>
        <w:t xml:space="preserve">, </w:t>
      </w:r>
      <w:r w:rsidRPr="001C45F6">
        <w:rPr>
          <w:color w:val="FF0000"/>
        </w:rPr>
        <w:t>e.g.</w:t>
      </w:r>
      <w:r>
        <w:rPr>
          <w:color w:val="FF0000"/>
        </w:rPr>
        <w:t>,</w:t>
      </w:r>
      <w:r w:rsidRPr="001C45F6">
        <w:rPr>
          <w:color w:val="FF0000"/>
        </w:rPr>
        <w:t xml:space="preserve"> through ad-hoc supply chain</w:t>
      </w:r>
      <w:r>
        <w:rPr>
          <w:color w:val="FF0000"/>
        </w:rPr>
        <w:t xml:space="preserve">s </w:t>
      </w:r>
      <w:r>
        <w:rPr>
          <w:color w:val="FF0000"/>
        </w:rPr>
        <w:fldChar w:fldCharType="begin">
          <w:fldData xml:space="preserve">PEVuZE5vdGU+PENpdGU+PEF1dGhvcj5TY2hsZXBlcjwvQXV0aG9yPjxZZWFyPjIwMjE8L1llYXI+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</w:fldData>
        </w:fldChar>
      </w:r>
      <w:r>
        <w:rPr>
          <w:color w:val="FF0000"/>
        </w:rPr>
        <w:instrText xml:space="preserve"> ADDIN EN.CITE </w:instrText>
      </w:r>
      <w:r>
        <w:rPr>
          <w:color w:val="FF0000"/>
        </w:rPr>
        <w:fldChar w:fldCharType="begin">
          <w:fldData xml:space="preserve">PEVuZE5vdGU+PENpdGU+PEF1dGhvcj5TY2hsZXBlcjwvQXV0aG9yPjxZZWFyPjIwMjE8L1llYXI+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</w:fldData>
        </w:fldChar>
      </w:r>
      <w:r>
        <w:rPr>
          <w:color w:val="FF0000"/>
        </w:rPr>
        <w:instrText xml:space="preserve"> ADDIN EN.CITE.DATA </w:instrText>
      </w:r>
      <w:r>
        <w:rPr>
          <w:color w:val="FF0000"/>
        </w:rPr>
      </w:r>
      <w:r>
        <w:rPr>
          <w:color w:val="FF0000"/>
        </w:rPr>
        <w:fldChar w:fldCharType="end"/>
      </w:r>
      <w:r>
        <w:rPr>
          <w:color w:val="FF0000"/>
        </w:rPr>
      </w:r>
      <w:r>
        <w:rPr>
          <w:color w:val="FF0000"/>
        </w:rPr>
        <w:fldChar w:fldCharType="separate"/>
      </w:r>
      <w:r>
        <w:rPr>
          <w:noProof/>
          <w:color w:val="FF0000"/>
        </w:rPr>
        <w:t>(Müller et al., 2023; Schleper et al., 2021; Srai et al., 2023)</w:t>
      </w:r>
      <w:r>
        <w:rPr>
          <w:color w:val="FF0000"/>
        </w:rPr>
        <w:fldChar w:fldCharType="end"/>
      </w:r>
      <w:r>
        <w:rPr>
          <w:color w:val="000000" w:themeColor="text1"/>
        </w:rPr>
        <w:t xml:space="preserve">. </w:t>
      </w:r>
      <w:r w:rsidRPr="00096579">
        <w:rPr>
          <w:color w:val="FF0000"/>
        </w:rPr>
        <w:t xml:space="preserve">Rather than being a temporal change, this “need for speed” is expected to be a permanent feature of business environments </w:t>
      </w:r>
      <w:r w:rsidRPr="00E62004">
        <w:rPr>
          <w:color w:val="FF0000"/>
        </w:rPr>
        <w:t>in Europe and globally</w:t>
      </w:r>
      <w:r w:rsidRPr="00F516D4">
        <w:rPr>
          <w:color w:val="FF0000"/>
        </w:rPr>
        <w:t xml:space="preserve"> </w:t>
      </w:r>
      <w:r w:rsidRPr="00F516D4">
        <w:rPr>
          <w:color w:val="FF0000"/>
        </w:rPr>
        <w:fldChar w:fldCharType="begin"/>
      </w:r>
      <w:r w:rsidRPr="00F516D4">
        <w:rPr>
          <w:color w:val="FF0000"/>
        </w:rPr>
        <w:instrText xml:space="preserve"> ADDIN EN.CITE &lt;EndNote&gt;&lt;Cite&gt;&lt;Author&gt;Anker&lt;/Author&gt;&lt;Year&gt;2021&lt;/Year&gt;&lt;RecNum&gt;1778&lt;/RecNum&gt;&lt;DisplayText&gt;(Anker, 2021)&lt;/DisplayText&gt;&lt;record&gt;&lt;rec-number&gt;1778&lt;/rec-number&gt;&lt;foreign-keys&gt;&lt;key app="EN" db-id="0ewd29dz4ds0vmee9zpx5s9udxtatsf5ffpw" timestamp="1699598807"&gt;1778&lt;/key&gt;&lt;/foreign-keys&gt;&lt;ref-type name="Journal Article"&gt;17&lt;/ref-type&gt;&lt;contributors&gt;&lt;authors&gt;&lt;author&gt;Anker, Thomas Boysen&lt;/author&gt;&lt;/authors&gt;&lt;/contributors&gt;&lt;titles&gt;&lt;title&gt;At the boundary: Post-COVID agenda for business and management research in Europe and beyond&lt;/title&gt;&lt;secondary-title&gt;European Management Journal&lt;/secondary-title&gt;&lt;/titles&gt;&lt;periodical&gt;&lt;full-title&gt;European Management Journal&lt;/full-title&gt;&lt;/periodical&gt;&lt;pages&gt;171-178&lt;/pages&gt;&lt;volume&gt;39&lt;/volume&gt;&lt;number&gt;2&lt;/number&gt;&lt;keywords&gt;&lt;keyword&gt;COVID-19&lt;/keyword&gt;&lt;keyword&gt;Disruption&lt;/keyword&gt;&lt;keyword&gt;Boundary conditions&lt;/keyword&gt;&lt;keyword&gt;New normal&lt;/keyword&gt;&lt;keyword&gt;Business research&lt;/keyword&gt;&lt;/keywords&gt;&lt;dates&gt;&lt;year&gt;2021&lt;/year&gt;&lt;pub-dates&gt;&lt;date&gt;2021/04/01/&lt;/date&gt;&lt;/pub-dates&gt;&lt;/dates&gt;&lt;isbn&gt;0263-2373&lt;/isbn&gt;&lt;urls&gt;&lt;related-urls&gt;&lt;url&gt;https://www.sciencedirect.com/science/article/pii/S0263237321000037&lt;/url&gt;&lt;/related-urls&gt;&lt;/urls&gt;&lt;electronic-resource-num&gt;https://doi.org/10.1016/j.emj.2021.01.003&lt;/electronic-resource-num&gt;&lt;/record&gt;&lt;/Cite&gt;&lt;/EndNote&gt;</w:instrText>
      </w:r>
      <w:r w:rsidRPr="00F516D4">
        <w:rPr>
          <w:color w:val="FF0000"/>
        </w:rPr>
        <w:fldChar w:fldCharType="separate"/>
      </w:r>
      <w:r w:rsidRPr="00F516D4">
        <w:rPr>
          <w:noProof/>
          <w:color w:val="FF0000"/>
        </w:rPr>
        <w:t>(Anker, 2021)</w:t>
      </w:r>
      <w:r w:rsidRPr="00F516D4">
        <w:rPr>
          <w:color w:val="FF0000"/>
        </w:rPr>
        <w:fldChar w:fldCharType="end"/>
      </w:r>
      <w:r w:rsidRPr="00F516D4">
        <w:rPr>
          <w:color w:val="FF0000"/>
        </w:rPr>
        <w:t>.</w:t>
      </w:r>
      <w:r w:rsidRPr="00CF39F6">
        <w:rPr>
          <w:color w:val="000000" w:themeColor="text1"/>
        </w:rPr>
        <w:t xml:space="preserve"> </w:t>
      </w:r>
    </w:p>
    <w:p w14:paraId="71DA08B7" w14:textId="45F33BD2" w:rsidR="007742CC" w:rsidRPr="00CF39F6" w:rsidRDefault="007742CC" w:rsidP="007742CC">
      <w:pPr>
        <w:spacing w:line="480" w:lineRule="auto"/>
        <w:ind w:firstLine="426"/>
        <w:jc w:val="both"/>
        <w:rPr>
          <w:noProof/>
          <w:color w:val="000000" w:themeColor="text1"/>
        </w:rPr>
      </w:pPr>
      <w:r w:rsidRPr="00CF39F6">
        <w:rPr>
          <w:color w:val="000000" w:themeColor="text1"/>
        </w:rPr>
        <w:t>Supply chain agility (SCA) has emerged as a capability</w:t>
      </w:r>
      <w:r>
        <w:rPr>
          <w:color w:val="000000" w:themeColor="text1"/>
        </w:rPr>
        <w:t xml:space="preserve"> </w:t>
      </w:r>
      <w:r>
        <w:rPr>
          <w:color w:val="FF0000"/>
        </w:rPr>
        <w:t>that</w:t>
      </w:r>
      <w:r w:rsidRPr="00CF39F6">
        <w:rPr>
          <w:color w:val="000000" w:themeColor="text1"/>
        </w:rPr>
        <w:t xml:space="preserve"> successful firms employ to provide </w:t>
      </w:r>
      <w:r>
        <w:rPr>
          <w:color w:val="000000" w:themeColor="text1"/>
        </w:rPr>
        <w:t xml:space="preserve">an </w:t>
      </w:r>
      <w:r w:rsidRPr="00CF39F6">
        <w:rPr>
          <w:color w:val="000000" w:themeColor="text1"/>
        </w:rPr>
        <w:t>optimal response to such market conditions and hedge against supply chain disruptions in general</w:t>
      </w:r>
      <w:r>
        <w:rPr>
          <w:color w:val="000000" w:themeColor="text1"/>
        </w:rPr>
        <w:t xml:space="preserve"> </w:t>
      </w:r>
      <w:r w:rsidRPr="00016E0E">
        <w:rPr>
          <w:color w:val="000000" w:themeColor="text1"/>
        </w:rPr>
        <w:t>(Braunscheidel &amp; Suresh, 2009; Chowdhury et al., 2021).</w:t>
      </w:r>
      <w:r w:rsidRPr="000013B7">
        <w:rPr>
          <w:color w:val="000000" w:themeColor="text1"/>
        </w:rPr>
        <w:t xml:space="preserve"> </w:t>
      </w:r>
      <w:r w:rsidR="00637173">
        <w:rPr>
          <w:color w:val="000000" w:themeColor="text1"/>
        </w:rPr>
        <w:t xml:space="preserve">The </w:t>
      </w:r>
      <w:r w:rsidRPr="00CF39F6">
        <w:rPr>
          <w:color w:val="000000" w:themeColor="text1"/>
        </w:rPr>
        <w:t>SCA refers to the conditions under which and how well org</w:t>
      </w:r>
      <w:r>
        <w:rPr>
          <w:color w:val="000000" w:themeColor="text1"/>
        </w:rPr>
        <w:t>anizations and supply chains</w:t>
      </w:r>
      <w:r w:rsidRPr="00CF39F6">
        <w:rPr>
          <w:color w:val="000000" w:themeColor="text1"/>
        </w:rPr>
        <w:t xml:space="preserve"> respond to customer needs in unstable, ambiguous</w:t>
      </w:r>
      <w:r w:rsidR="00BA2604">
        <w:rPr>
          <w:color w:val="000000" w:themeColor="text1"/>
        </w:rPr>
        <w:t>,</w:t>
      </w:r>
      <w:r>
        <w:rPr>
          <w:color w:val="000000" w:themeColor="text1"/>
        </w:rPr>
        <w:t xml:space="preserve"> and</w:t>
      </w:r>
      <w:r w:rsidRPr="00CF39F6">
        <w:rPr>
          <w:color w:val="000000" w:themeColor="text1"/>
        </w:rPr>
        <w:t xml:space="preserve"> complex environments </w:t>
      </w:r>
      <w:r w:rsidR="00736D79">
        <w:rPr>
          <w:color w:val="000000" w:themeColor="text1"/>
        </w:rPr>
        <w:t>in addition to</w:t>
      </w:r>
      <w:r w:rsidRPr="00CF39F6">
        <w:rPr>
          <w:color w:val="000000" w:themeColor="text1"/>
        </w:rPr>
        <w:t xml:space="preserve"> shifts in supply and demand </w:t>
      </w:r>
      <w:r w:rsidRPr="00CF39F6">
        <w:rPr>
          <w:color w:val="000000" w:themeColor="text1"/>
        </w:rPr>
        <w:fldChar w:fldCharType="begin"/>
      </w:r>
      <w:r>
        <w:rPr>
          <w:color w:val="000000" w:themeColor="text1"/>
        </w:rPr>
        <w:instrText xml:space="preserve"> ADDIN EN.CITE &lt;EndNote&gt;&lt;Cite&gt;&lt;Author&gt;Jadoul&lt;/Author&gt;&lt;Year&gt;2020&lt;/Year&gt;&lt;RecNum&gt;1548&lt;/RecNum&gt;&lt;DisplayText&gt;(Jadoul et al., 2020)&lt;/DisplayText&gt;&lt;record&gt;&lt;rec-number&gt;1548&lt;/rec-number&gt;&lt;foreign-keys&gt;&lt;key app="EN" db-id="zw59vpadbtepfpef9t3pvzeot59fe2ptraw5" timestamp="0"&gt;1548&lt;/key&gt;&lt;/foreign-keys&gt;&lt;ref-type name="Electronic Article"&gt;43&lt;/ref-type&gt;&lt;contributors&gt;&lt;authors&gt;&lt;author&gt;Quentin Jadoul&lt;/author&gt;&lt;author&gt;André Nascimento&lt;/author&gt;&lt;author&gt;Olli Salo&lt;/author&gt;&lt;author&gt;Renato Willi &lt;/author&gt;&lt;/authors&gt;&lt;/contributors&gt;&lt;titles&gt;&lt;title&gt;Agility in the time of COVID-19: Changing your operating model in an age of turbulence&lt;/title&gt;&lt;secondary-title&gt;MicKinsey Insights on Organization&lt;/secondary-title&gt;&lt;tertiary-title&gt;mckinsey.com&lt;/tertiary-title&gt;&lt;/titles&gt;&lt;section&gt;18th Nov, 2020&lt;/section&gt;&lt;dates&gt;&lt;year&gt;2020&lt;/year&gt;&lt;pub-dates&gt;&lt;date&gt;10th March, 2021&lt;/date&gt;&lt;/pub-dates&gt;&lt;/dates&gt;&lt;publisher&gt;mckinsey.com&lt;/publisher&gt;&lt;urls&gt;&lt;related-urls&gt;&lt;url&gt;https://www.mckinsey.com/business-functions/organization/our-insights/agility-in-the-time-of-covid-19-changing-your-operating-model-in-an-age-of-turbulence&lt;/url&gt;&lt;/related-urls&gt;&lt;/urls&gt;&lt;/record&gt;&lt;/Cite&gt;&lt;/EndNote&gt;</w:instrText>
      </w:r>
      <w:r w:rsidRPr="00CF39F6">
        <w:rPr>
          <w:color w:val="000000" w:themeColor="text1"/>
        </w:rPr>
        <w:fldChar w:fldCharType="separate"/>
      </w:r>
      <w:r>
        <w:rPr>
          <w:noProof/>
          <w:color w:val="000000" w:themeColor="text1"/>
        </w:rPr>
        <w:t>(Jadoul et al., 2020)</w:t>
      </w:r>
      <w:r w:rsidRPr="00CF39F6">
        <w:rPr>
          <w:color w:val="000000" w:themeColor="text1"/>
        </w:rPr>
        <w:fldChar w:fldCharType="end"/>
      </w:r>
      <w:r w:rsidRPr="00CF39F6">
        <w:rPr>
          <w:color w:val="000000" w:themeColor="text1"/>
        </w:rPr>
        <w:t xml:space="preserve">. </w:t>
      </w:r>
      <w:r w:rsidRPr="00736D79">
        <w:rPr>
          <w:color w:val="FF0000"/>
        </w:rPr>
        <w:t xml:space="preserve">Consequently, developing SCA has become a necessity in modern supply chains and provides an important area of research </w:t>
      </w:r>
      <w:r w:rsidRPr="008F68BB">
        <w:rPr>
          <w:color w:val="FF0000"/>
        </w:rPr>
        <w:fldChar w:fldCharType="begin"/>
      </w:r>
      <w:r w:rsidRPr="008F68BB">
        <w:rPr>
          <w:color w:val="FF0000"/>
        </w:rPr>
        <w:instrText xml:space="preserve"> ADDIN EN.CITE &lt;EndNote&gt;&lt;Cite&gt;&lt;Author&gt;Alfalla-Luque&lt;/Author&gt;&lt;Year&gt;2023&lt;/Year&gt;&lt;RecNum&gt;1779&lt;/RecNum&gt;&lt;DisplayText&gt;(Alfalla-Luque et al., 2023)&lt;/DisplayText&gt;&lt;record&gt;&lt;rec-number&gt;1779&lt;/rec-number&gt;&lt;foreign-keys&gt;&lt;key app="EN" db-id="0ewd29dz4ds0vmee9zpx5s9udxtatsf5ffpw" timestamp="1699598953"&gt;1779&lt;/key&gt;&lt;/foreign-keys&gt;&lt;ref-type name="Journal Article"&gt;17&lt;/ref-type&gt;&lt;contributors&gt;&lt;authors&gt;&lt;author&gt;Alfalla-Luque, Rafaela&lt;/author&gt;&lt;author&gt;Luján García, Darkys E.&lt;/author&gt;&lt;author&gt;Marin-Garcia, Juan A.&lt;/author&gt;&lt;/authors&gt;&lt;/contributors&gt;&lt;titles&gt;&lt;title&gt;Supply chain agility and performance: evidence from a meta-analysis&lt;/title&gt;&lt;secondary-title&gt;International Journal of Operations &amp;amp; Production Management&lt;/secondary-title&gt;&lt;/titles&gt;&lt;periodical&gt;&lt;full-title&gt;International Journal of Operations &amp;amp; Production Management&lt;/full-title&gt;&lt;/periodical&gt;&lt;pages&gt;1587-1633&lt;/pages&gt;&lt;volume&gt;43&lt;/volume&gt;&lt;number&gt;10&lt;/number&gt;&lt;dates&gt;&lt;year&gt;2023&lt;/year&gt;&lt;/dates&gt;&lt;publisher&gt;Emerald Publishing Limited&lt;/publisher&gt;&lt;isbn&gt;0144-3577&lt;/isbn&gt;&lt;urls&gt;&lt;related-urls&gt;&lt;url&gt;https://doi.org/10.1108/IJOPM-05-2022-0316&lt;/url&gt;&lt;/related-urls&gt;&lt;/urls&gt;&lt;electronic-resource-num&gt;10.1108/IJOPM-05-2022-0316&lt;/electronic-resource-num&gt;&lt;access-date&gt;2023/11/10&lt;/access-date&gt;&lt;/record&gt;&lt;/Cite&gt;&lt;/EndNote&gt;</w:instrText>
      </w:r>
      <w:r w:rsidRPr="008F68BB">
        <w:rPr>
          <w:color w:val="FF0000"/>
        </w:rPr>
        <w:fldChar w:fldCharType="separate"/>
      </w:r>
      <w:r w:rsidRPr="008F68BB">
        <w:rPr>
          <w:noProof/>
          <w:color w:val="FF0000"/>
        </w:rPr>
        <w:t>(Alfalla-Luque et al., 2023)</w:t>
      </w:r>
      <w:r w:rsidRPr="008F68BB">
        <w:rPr>
          <w:color w:val="FF0000"/>
        </w:rPr>
        <w:fldChar w:fldCharType="end"/>
      </w:r>
      <w:r w:rsidRPr="00CF39F6">
        <w:rPr>
          <w:color w:val="000000" w:themeColor="text1"/>
        </w:rPr>
        <w:t xml:space="preserve">.   </w:t>
      </w:r>
    </w:p>
    <w:p w14:paraId="548D3A88" w14:textId="5C102838" w:rsidR="007742CC" w:rsidRPr="00CF39F6" w:rsidRDefault="007742CC" w:rsidP="007742CC">
      <w:pPr>
        <w:spacing w:line="480" w:lineRule="auto"/>
        <w:ind w:firstLine="426"/>
        <w:jc w:val="both"/>
        <w:rPr>
          <w:color w:val="000000" w:themeColor="text1"/>
        </w:rPr>
      </w:pPr>
      <w:r w:rsidRPr="00CF39F6">
        <w:rPr>
          <w:color w:val="000000" w:themeColor="text1"/>
        </w:rPr>
        <w:t>So far, a considerable body of knowledge investigates the antecedents of SCA, such as supply chain integration</w:t>
      </w:r>
      <w:r>
        <w:rPr>
          <w:color w:val="000000" w:themeColor="text1"/>
        </w:rPr>
        <w:t xml:space="preserve"> </w:t>
      </w:r>
      <w:r>
        <w:rPr>
          <w:color w:val="000000" w:themeColor="text1"/>
        </w:rPr>
        <w:fldChar w:fldCharType="begin"/>
      </w:r>
      <w:r>
        <w:rPr>
          <w:color w:val="000000" w:themeColor="text1"/>
        </w:rPr>
        <w:instrText xml:space="preserve"> ADDIN EN.CITE &lt;EndNote&gt;&lt;Cite&gt;&lt;Author&gt;Braunscheidel&lt;/Author&gt;&lt;Year&gt;2009&lt;/Year&gt;&lt;RecNum&gt;929&lt;/RecNum&gt;&lt;DisplayText&gt;(Braunscheidel &amp;amp; Suresh, 2009)&lt;/DisplayText&gt;&lt;record&gt;&lt;rec-number&gt;929&lt;/rec-number&gt;&lt;foreign-keys&gt;&lt;key app="EN" db-id="0ewd29dz4ds0vmee9zpx5s9udxtatsf5ffpw" timestamp="0"&gt;929&lt;/key&gt;&lt;/foreign-keys&gt;&lt;ref-type name="Journal Article"&gt;17&lt;/ref-type&gt;&lt;contributors&gt;&lt;authors&gt;&lt;author&gt;Braunscheidel, Michael J&lt;/author&gt;&lt;author&gt;Suresh, Nallan C&lt;/author&gt;&lt;/authors&gt;&lt;/contributors&gt;&lt;titles&gt;&lt;title&gt;The organizational antecedents of a firm’s supply chain agility for risk mitigation and response&lt;/title&gt;&lt;secondary-title&gt;Journal of Operations Management&lt;/secondary-title&gt;&lt;/titles&gt;&lt;periodical&gt;&lt;full-title&gt;Journal of Operations Management&lt;/full-title&gt;&lt;/periodical&gt;&lt;pages&gt;119-140&lt;/pages&gt;&lt;volume&gt;27&lt;/volume&gt;&lt;number&gt;2&lt;/number&gt;&lt;dates&gt;&lt;year&gt;2009&lt;/year&gt;&lt;/dates&gt;&lt;publisher&gt;Elsevier&lt;/publisher&gt;&lt;isbn&gt;0272-6963&lt;/isbn&gt;&lt;urls&gt;&lt;/urls&gt;&lt;/record&gt;&lt;/Cite&gt;&lt;/EndNote&gt;</w:instrText>
      </w:r>
      <w:r>
        <w:rPr>
          <w:color w:val="000000" w:themeColor="text1"/>
        </w:rPr>
        <w:fldChar w:fldCharType="separate"/>
      </w:r>
      <w:r>
        <w:rPr>
          <w:noProof/>
          <w:color w:val="000000" w:themeColor="text1"/>
        </w:rPr>
        <w:t>(Braunscheidel &amp; Suresh, 2009)</w:t>
      </w:r>
      <w:r>
        <w:rPr>
          <w:color w:val="000000" w:themeColor="text1"/>
        </w:rPr>
        <w:fldChar w:fldCharType="end"/>
      </w:r>
      <w:r w:rsidRPr="00CF39F6">
        <w:rPr>
          <w:color w:val="000000" w:themeColor="text1"/>
        </w:rPr>
        <w:t>, strategic orientation</w:t>
      </w:r>
      <w:r>
        <w:rPr>
          <w:color w:val="000000" w:themeColor="text1"/>
        </w:rPr>
        <w:t xml:space="preserve"> </w:t>
      </w:r>
      <w:r>
        <w:rPr>
          <w:color w:val="000000" w:themeColor="text1"/>
        </w:rPr>
        <w:fldChar w:fldCharType="begin"/>
      </w:r>
      <w:r>
        <w:rPr>
          <w:color w:val="000000" w:themeColor="text1"/>
        </w:rPr>
        <w:instrText xml:space="preserve"> ADDIN EN.CITE &lt;EndNote&gt;&lt;Cite&gt;&lt;Author&gt;Zhu&lt;/Author&gt;&lt;Year&gt;2021&lt;/Year&gt;&lt;RecNum&gt;1671&lt;/RecNum&gt;&lt;DisplayText&gt;(Zhu &amp;amp; Gao, 2021)&lt;/DisplayText&gt;&lt;record&gt;&lt;rec-number&gt;1671&lt;/rec-number&gt;&lt;foreign-keys&gt;&lt;key app="EN" db-id="0ewd29dz4ds0vmee9zpx5s9udxtatsf5ffpw" timestamp="1677566245"&gt;1671&lt;/key&gt;&lt;/foreign-keys&gt;&lt;ref-type name="Journal Article"&gt;17&lt;/ref-type&gt;&lt;contributors&gt;&lt;authors&gt;&lt;author&gt;Zhu, Man&lt;/author&gt;&lt;author&gt;Gao, Hongyan&lt;/author&gt;&lt;/authors&gt;&lt;/contributors&gt;&lt;titles&gt;&lt;title&gt;The antecedents of supply chain agility and their effect on business performance: an organizational strategy perspective&lt;/title&gt;&lt;secondary-title&gt;Operations Management Research&lt;/secondary-title&gt;&lt;/titles&gt;&lt;periodical&gt;&lt;full-title&gt;Operations Management Research&lt;/full-title&gt;&lt;/periodical&gt;&lt;pages&gt;166-176&lt;/pages&gt;&lt;volume&gt;14&lt;/volume&gt;&lt;dates&gt;&lt;year&gt;2021&lt;/year&gt;&lt;/dates&gt;&lt;isbn&gt;1936-9735&lt;/isbn&gt;&lt;urls&gt;&lt;/urls&gt;&lt;/record&gt;&lt;/Cite&gt;&lt;/EndNote&gt;</w:instrText>
      </w:r>
      <w:r>
        <w:rPr>
          <w:color w:val="000000" w:themeColor="text1"/>
        </w:rPr>
        <w:fldChar w:fldCharType="separate"/>
      </w:r>
      <w:r>
        <w:rPr>
          <w:noProof/>
          <w:color w:val="000000" w:themeColor="text1"/>
        </w:rPr>
        <w:t>(Zhu &amp; Gao, 2021)</w:t>
      </w:r>
      <w:r>
        <w:rPr>
          <w:color w:val="000000" w:themeColor="text1"/>
        </w:rPr>
        <w:fldChar w:fldCharType="end"/>
      </w:r>
      <w:r w:rsidRPr="00CF39F6">
        <w:rPr>
          <w:color w:val="000000" w:themeColor="text1"/>
        </w:rPr>
        <w:t xml:space="preserve">, supply chain flexibility </w:t>
      </w:r>
      <w:r w:rsidRPr="00CF39F6">
        <w:rPr>
          <w:color w:val="000000" w:themeColor="text1"/>
        </w:rPr>
        <w:fldChar w:fldCharType="begin"/>
      </w:r>
      <w:r>
        <w:rPr>
          <w:color w:val="000000" w:themeColor="text1"/>
        </w:rPr>
        <w:instrText xml:space="preserve"> ADDIN EN.CITE &lt;EndNote&gt;&lt;Cite&gt;&lt;Author&gt;Chiang&lt;/Author&gt;&lt;Year&gt;2012&lt;/Year&gt;&lt;RecNum&gt;113&lt;/RecNum&gt;&lt;DisplayText&gt;(Chiang et al., 2012)&lt;/DisplayText&gt;&lt;record&gt;&lt;rec-number&gt;113&lt;/rec-number&gt;&lt;foreign-keys&gt;&lt;key app="EN" db-id="0ewd29dz4ds0vmee9zpx5s9udxtatsf5ffpw" timestamp="0"&gt;113&lt;/key&gt;&lt;/foreign-keys&gt;&lt;ref-type name="Journal Article"&gt;17&lt;/ref-type&gt;&lt;contributors&gt;&lt;authors&gt;&lt;author&gt;Chiang, Chung-Yean&lt;/author&gt;&lt;author&gt;Kocabasoglu-Hillmer, Canan&lt;/author&gt;&lt;author&gt;Suresh, Nallan&lt;/author&gt;&lt;/authors&gt;&lt;/contributors&gt;&lt;titles&gt;&lt;title&gt;An empirical investigation of the impact of strategic sourcing and flexibility on firm&amp;apos;s supply chain agility&lt;/title&gt;&lt;secondary-title&gt;International Journal of Operations &amp;amp; Production Management&lt;/secondary-title&gt;&lt;/titles&gt;&lt;periodical&gt;&lt;full-title&gt;International Journal of Operations &amp;amp; Production Management&lt;/full-title&gt;&lt;/periodical&gt;&lt;pages&gt;49-78&lt;/pages&gt;&lt;volume&gt;32&lt;/volume&gt;&lt;number&gt;1&lt;/number&gt;&lt;dates&gt;&lt;year&gt;2012&lt;/year&gt;&lt;/dates&gt;&lt;publisher&gt;Emerald Group Publishing Limited&lt;/publisher&gt;&lt;isbn&gt;0144-3577&lt;/isbn&gt;&lt;urls&gt;&lt;/urls&gt;&lt;/record&gt;&lt;/Cite&gt;&lt;/EndNote&gt;</w:instrText>
      </w:r>
      <w:r w:rsidRPr="00CF39F6">
        <w:rPr>
          <w:color w:val="000000" w:themeColor="text1"/>
        </w:rPr>
        <w:fldChar w:fldCharType="separate"/>
      </w:r>
      <w:r>
        <w:rPr>
          <w:noProof/>
          <w:color w:val="000000" w:themeColor="text1"/>
        </w:rPr>
        <w:t>(Chiang et al., 2012)</w:t>
      </w:r>
      <w:r w:rsidRPr="00CF39F6">
        <w:rPr>
          <w:color w:val="000000" w:themeColor="text1"/>
        </w:rPr>
        <w:fldChar w:fldCharType="end"/>
      </w:r>
      <w:r w:rsidRPr="00CF39F6">
        <w:rPr>
          <w:color w:val="000000" w:themeColor="text1"/>
        </w:rPr>
        <w:t xml:space="preserve">, internal and external process connectivity </w:t>
      </w:r>
      <w:r w:rsidRPr="00CF39F6">
        <w:rPr>
          <w:color w:val="000000" w:themeColor="text1"/>
        </w:rPr>
        <w:fldChar w:fldCharType="begin"/>
      </w:r>
      <w:r>
        <w:rPr>
          <w:color w:val="000000" w:themeColor="text1"/>
        </w:rPr>
        <w:instrText xml:space="preserve"> ADDIN EN.CITE &lt;EndNote&gt;&lt;Cite&gt;&lt;Author&gt;Roscoe&lt;/Author&gt;&lt;Year&gt;2020&lt;/Year&gt;&lt;RecNum&gt;1540&lt;/RecNum&gt;&lt;DisplayText&gt;(Roscoe et al., 2020)&lt;/DisplayText&gt;&lt;record&gt;&lt;rec-number&gt;1540&lt;/rec-number&gt;&lt;foreign-keys&gt;&lt;key app="EN" db-id="zw59vpadbtepfpef9t3pvzeot59fe2ptraw5" timestamp="0"&gt;1540&lt;/key&gt;&lt;/foreign-keys&gt;&lt;ref-type name="Journal Article"&gt;17&lt;/ref-type&gt;&lt;contributors&gt;&lt;authors&gt;&lt;author&gt;Roscoe, Samuel&lt;/author&gt;&lt;author&gt;Eckstein, Dominik&lt;/author&gt;&lt;author&gt;Blome, Constantin&lt;/author&gt;&lt;author&gt;Goellner, Matthias&lt;/author&gt;&lt;/authors&gt;&lt;/contributors&gt;&lt;titles&gt;&lt;title&gt;Determining how internal and external process connectivity affect supply chain agility: a life-cycle theory perspective&lt;/title&gt;&lt;secondary-title&gt;Production Planning &amp;amp; Control&lt;/secondary-title&gt;&lt;/titles&gt;&lt;pages&gt;78-91&lt;/pages&gt;&lt;volume&gt;31&lt;/volume&gt;&lt;number&gt;1&lt;/number&gt;&lt;dates&gt;&lt;year&gt;2020&lt;/year&gt;&lt;/dates&gt;&lt;isbn&gt;0953-7287&lt;/isbn&gt;&lt;urls&gt;&lt;/urls&gt;&lt;/record&gt;&lt;/Cite&gt;&lt;/EndNote&gt;</w:instrText>
      </w:r>
      <w:r w:rsidRPr="00CF39F6">
        <w:rPr>
          <w:color w:val="000000" w:themeColor="text1"/>
        </w:rPr>
        <w:fldChar w:fldCharType="separate"/>
      </w:r>
      <w:r>
        <w:rPr>
          <w:noProof/>
          <w:color w:val="000000" w:themeColor="text1"/>
        </w:rPr>
        <w:t>(Roscoe et al., 2020)</w:t>
      </w:r>
      <w:r w:rsidRPr="00CF39F6">
        <w:rPr>
          <w:color w:val="000000" w:themeColor="text1"/>
        </w:rPr>
        <w:fldChar w:fldCharType="end"/>
      </w:r>
      <w:r w:rsidRPr="00CF39F6">
        <w:rPr>
          <w:color w:val="000000" w:themeColor="text1"/>
        </w:rPr>
        <w:t xml:space="preserve">, </w:t>
      </w:r>
      <w:r w:rsidRPr="00CF39F6">
        <w:t>behavioral elements</w:t>
      </w:r>
      <w:r>
        <w:t xml:space="preserve"> </w:t>
      </w:r>
      <w:r>
        <w:fldChar w:fldCharType="begin"/>
      </w:r>
      <w:r>
        <w:instrText xml:space="preserve"> ADDIN EN.CITE &lt;EndNote&gt;&lt;Cite&gt;&lt;Author&gt;Gligor&lt;/Author&gt;&lt;Year&gt;2012&lt;/Year&gt;&lt;RecNum&gt;372&lt;/RecNum&gt;&lt;DisplayText&gt;(Gligor &amp;amp; Holcomb, 2012)&lt;/DisplayText&gt;&lt;record&gt;&lt;rec-number&gt;372&lt;/rec-number&gt;&lt;foreign-keys&gt;&lt;key app="EN" db-id="0ewd29dz4ds0vmee9zpx5s9udxtatsf5ffpw" timestamp="0"&gt;372&lt;/key&gt;&lt;/foreign-keys&gt;&lt;ref-type name="Journal Article"&gt;17&lt;/ref-type&gt;&lt;contributors&gt;&lt;authors&gt;&lt;author&gt;Gligor, David M&lt;/author&gt;&lt;author&gt;Holcomb, Mary C&lt;/author&gt;&lt;/authors&gt;&lt;/contributors&gt;&lt;titles&gt;&lt;title&gt;Antecedents and consequences of supply chain agility: establishing the link to firm performance&lt;/title&gt;&lt;secondary-title&gt;Journal of Business Logistics&lt;/secondary-title&gt;&lt;/titles&gt;&lt;periodical&gt;&lt;full-title&gt;Journal of Business Logistics&lt;/full-title&gt;&lt;/periodical&gt;&lt;pages&gt;295-308&lt;/pages&gt;&lt;volume&gt;33&lt;/volume&gt;&lt;number&gt;4&lt;/number&gt;&lt;dates&gt;&lt;year&gt;2012&lt;/year&gt;&lt;/dates&gt;&lt;publisher&gt;Wiley Online Library&lt;/publisher&gt;&lt;isbn&gt;2158-1592&lt;/isbn&gt;&lt;urls&gt;&lt;/urls&gt;&lt;/record&gt;&lt;/Cite&gt;&lt;/EndNote&gt;</w:instrText>
      </w:r>
      <w:r>
        <w:fldChar w:fldCharType="separate"/>
      </w:r>
      <w:r>
        <w:rPr>
          <w:noProof/>
        </w:rPr>
        <w:t>(Gligor &amp; Holcomb, 2012)</w:t>
      </w:r>
      <w:r>
        <w:fldChar w:fldCharType="end"/>
      </w:r>
      <w:r w:rsidRPr="00CF39F6">
        <w:rPr>
          <w:color w:val="000000" w:themeColor="text1"/>
        </w:rPr>
        <w:t>,</w:t>
      </w:r>
      <w:r>
        <w:rPr>
          <w:color w:val="000000" w:themeColor="text1"/>
        </w:rPr>
        <w:t xml:space="preserve"> </w:t>
      </w:r>
      <w:r w:rsidRPr="00C409C7">
        <w:rPr>
          <w:color w:val="FF0000"/>
        </w:rPr>
        <w:t xml:space="preserve">social capital </w:t>
      </w:r>
      <w:r>
        <w:rPr>
          <w:color w:val="FF0000"/>
        </w:rPr>
        <w:fldChar w:fldCharType="begin"/>
      </w:r>
      <w:r>
        <w:rPr>
          <w:color w:val="FF0000"/>
        </w:rPr>
        <w:instrText xml:space="preserve"> ADDIN EN.CITE &lt;EndNote&gt;&lt;Cite&gt;&lt;Author&gt;Zhang&lt;/Author&gt;&lt;Year&gt;2023&lt;/Year&gt;&lt;RecNum&gt;1780&lt;/RecNum&gt;&lt;DisplayText&gt;(Zhang et al., 2023)&lt;/DisplayText&gt;&lt;record&gt;&lt;rec-number&gt;1780&lt;/rec-number&gt;&lt;foreign-keys&gt;&lt;key app="EN" db-id="0ewd29dz4ds0vmee9zpx5s9udxtatsf5ffpw" timestamp="1699599031"&gt;1780&lt;/key&gt;&lt;/foreign-keys&gt;&lt;ref-type name="Journal Article"&gt;17&lt;/ref-type&gt;&lt;contributors&gt;&lt;authors&gt;&lt;author&gt;Zhang, Liangqing&lt;/author&gt;&lt;author&gt;Pu, Xiaodie&lt;/author&gt;&lt;author&gt;Cai, Zhao&lt;/author&gt;&lt;author&gt;Liu, Hefu&lt;/author&gt;&lt;author&gt;Liang, Liang&lt;/author&gt;&lt;/authors&gt;&lt;/contributors&gt;&lt;titles&gt;&lt;title&gt;Uniting partners to cope with environmental uncertainty: Disentangling the role of social capital in developing supply chain agility&lt;/title&gt;&lt;secondary-title&gt;Journal of Purchasing and Supply Management&lt;/secondary-title&gt;&lt;/titles&gt;&lt;periodical&gt;&lt;full-title&gt;Journal of Purchasing and Supply Management&lt;/full-title&gt;&lt;/periodical&gt;&lt;pages&gt;100822&lt;/pages&gt;&lt;volume&gt;29&lt;/volume&gt;&lt;number&gt;2&lt;/number&gt;&lt;keywords&gt;&lt;keyword&gt;Social capital&lt;/keyword&gt;&lt;keyword&gt;Supply chain agility&lt;/keyword&gt;&lt;keyword&gt;Environmental uncertainty&lt;/keyword&gt;&lt;/keywords&gt;&lt;dates&gt;&lt;year&gt;2023&lt;/year&gt;&lt;pub-dates&gt;&lt;date&gt;2023/03/01/&lt;/date&gt;&lt;/pub-dates&gt;&lt;/dates&gt;&lt;isbn&gt;1478-4092&lt;/isbn&gt;&lt;urls&gt;&lt;related-urls&gt;&lt;url&gt;https://www.sciencedirect.com/science/article/pii/S1478409223000067&lt;/url&gt;&lt;/related-urls&gt;&lt;/urls&gt;&lt;electronic-resource-num&gt;https://doi.org/10.1016/j.pursup.2023.100822&lt;/electronic-resource-num&gt;&lt;/record&gt;&lt;/Cite&gt;&lt;/EndNote&gt;</w:instrText>
      </w:r>
      <w:r>
        <w:rPr>
          <w:color w:val="FF0000"/>
        </w:rPr>
        <w:fldChar w:fldCharType="separate"/>
      </w:r>
      <w:r>
        <w:rPr>
          <w:noProof/>
          <w:color w:val="FF0000"/>
        </w:rPr>
        <w:t>(Zhang et al., 2023)</w:t>
      </w:r>
      <w:r>
        <w:rPr>
          <w:color w:val="FF0000"/>
        </w:rPr>
        <w:fldChar w:fldCharType="end"/>
      </w:r>
      <w:r w:rsidRPr="00C409C7">
        <w:rPr>
          <w:color w:val="FF0000"/>
        </w:rPr>
        <w:t>,</w:t>
      </w:r>
      <w:r w:rsidRPr="00CF39F6">
        <w:rPr>
          <w:color w:val="000000" w:themeColor="text1"/>
        </w:rPr>
        <w:t xml:space="preserve"> </w:t>
      </w:r>
      <w:r>
        <w:rPr>
          <w:color w:val="000000" w:themeColor="text1"/>
        </w:rPr>
        <w:t>or</w:t>
      </w:r>
      <w:r w:rsidRPr="00CF39F6">
        <w:rPr>
          <w:color w:val="000000" w:themeColor="text1"/>
        </w:rPr>
        <w:t xml:space="preserve"> market sensing </w:t>
      </w:r>
      <w:r w:rsidRPr="00CF39F6">
        <w:rPr>
          <w:color w:val="000000" w:themeColor="text1"/>
        </w:rPr>
        <w:fldChar w:fldCharType="begin"/>
      </w:r>
      <w:r>
        <w:rPr>
          <w:color w:val="000000" w:themeColor="text1"/>
        </w:rPr>
        <w:instrText xml:space="preserve"> ADDIN EN.CITE &lt;EndNote&gt;&lt;Cite&gt;&lt;Author&gt;Aslam&lt;/Author&gt;&lt;Year&gt;2018&lt;/Year&gt;&lt;RecNum&gt;1281&lt;/RecNum&gt;&lt;DisplayText&gt;(Aslam et al., 2018)&lt;/DisplayText&gt;&lt;record&gt;&lt;rec-number&gt;1281&lt;/rec-number&gt;&lt;foreign-keys&gt;&lt;key app="EN" db-id="0ewd29dz4ds0vmee9zpx5s9udxtatsf5ffpw" timestamp="0"&gt;1281&lt;/key&gt;&lt;/foreign-keys&gt;&lt;ref-type name="Journal Article"&gt;17&lt;/ref-type&gt;&lt;contributors&gt;&lt;authors&gt;&lt;author&gt;Aslam, Haris&lt;/author&gt;&lt;author&gt;Blome, Constantin&lt;/author&gt;&lt;author&gt;Roscoe, Samuel&lt;/author&gt;&lt;author&gt;Azhar, Tashfeen M&lt;/author&gt;&lt;/authors&gt;&lt;/contributors&gt;&lt;titles&gt;&lt;title&gt;Dynamic supply chain capabilities: How market sensing, supply chain agility and adaptability affect supply chain ambidexterity&lt;/title&gt;&lt;secondary-title&gt;International Journal of Operations &amp;amp; Production Management&lt;/secondary-title&gt;&lt;/titles&gt;&lt;periodical&gt;&lt;full-title&gt;International Journal of Operations &amp;amp; Production Management&lt;/full-title&gt;&lt;/periodical&gt;&lt;pages&gt;2266-2285&lt;/pages&gt;&lt;volume&gt;38&lt;/volume&gt;&lt;number&gt;12&lt;/number&gt;&lt;dates&gt;&lt;year&gt;2018&lt;/year&gt;&lt;/dates&gt;&lt;isbn&gt;0144-3577&lt;/isbn&gt;&lt;urls&gt;&lt;/urls&gt;&lt;/record&gt;&lt;/Cite&gt;&lt;/EndNote&gt;</w:instrText>
      </w:r>
      <w:r w:rsidRPr="00CF39F6">
        <w:rPr>
          <w:color w:val="000000" w:themeColor="text1"/>
        </w:rPr>
        <w:fldChar w:fldCharType="separate"/>
      </w:r>
      <w:r>
        <w:rPr>
          <w:noProof/>
          <w:color w:val="000000" w:themeColor="text1"/>
        </w:rPr>
        <w:t>(Aslam et al., 2018)</w:t>
      </w:r>
      <w:r w:rsidRPr="00CF39F6">
        <w:rPr>
          <w:color w:val="000000" w:themeColor="text1"/>
        </w:rPr>
        <w:fldChar w:fldCharType="end"/>
      </w:r>
      <w:r w:rsidRPr="00CF39F6">
        <w:rPr>
          <w:color w:val="000000" w:themeColor="text1"/>
        </w:rPr>
        <w:t>. Hitherto</w:t>
      </w:r>
      <w:r>
        <w:rPr>
          <w:color w:val="000000" w:themeColor="text1"/>
        </w:rPr>
        <w:t>,</w:t>
      </w:r>
      <w:r w:rsidRPr="00CF39F6">
        <w:rPr>
          <w:color w:val="000000" w:themeColor="text1"/>
        </w:rPr>
        <w:t xml:space="preserve"> however, the role of organizational context, defined as “systems, processes, and beliefs that shape individual-level behaviors in an organization” </w:t>
      </w:r>
      <w:r>
        <w:rPr>
          <w:color w:val="000000" w:themeColor="text1"/>
        </w:rPr>
        <w:lastRenderedPageBreak/>
        <w:fldChar w:fldCharType="begin"/>
      </w:r>
      <w:r>
        <w:rPr>
          <w:color w:val="000000" w:themeColor="text1"/>
        </w:rPr>
        <w:instrText xml:space="preserve"> ADDIN EN.CITE &lt;EndNote&gt;&lt;Cite&gt;&lt;Author&gt;Gibson&lt;/Author&gt;&lt;Year&gt;2004&lt;/Year&gt;&lt;RecNum&gt;964&lt;/RecNum&gt;&lt;Suffix&gt;`, p. 212&lt;/Suffix&gt;&lt;DisplayText&gt;(Gibson &amp;amp; Birkinshaw, 2004, p. 212)&lt;/DisplayText&gt;&lt;record&gt;&lt;rec-number&gt;964&lt;/rec-number&gt;&lt;foreign-keys&gt;&lt;key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Pr>
          <w:color w:val="000000" w:themeColor="text1"/>
        </w:rPr>
        <w:fldChar w:fldCharType="separate"/>
      </w:r>
      <w:r>
        <w:rPr>
          <w:noProof/>
          <w:color w:val="000000" w:themeColor="text1"/>
        </w:rPr>
        <w:t>(Gibson &amp; Birkinshaw, 2004, p. 212)</w:t>
      </w:r>
      <w:r>
        <w:rPr>
          <w:color w:val="000000" w:themeColor="text1"/>
        </w:rPr>
        <w:fldChar w:fldCharType="end"/>
      </w:r>
      <w:r w:rsidRPr="002D6672">
        <w:rPr>
          <w:color w:val="000000" w:themeColor="text1"/>
        </w:rPr>
        <w:t xml:space="preserve"> </w:t>
      </w:r>
      <w:r w:rsidRPr="00CF39F6">
        <w:rPr>
          <w:color w:val="000000" w:themeColor="text1"/>
        </w:rPr>
        <w:t>has been overlooked as a potential</w:t>
      </w:r>
      <w:r w:rsidR="00BA7A09">
        <w:rPr>
          <w:color w:val="000000" w:themeColor="text1"/>
        </w:rPr>
        <w:t>ly</w:t>
      </w:r>
      <w:r w:rsidRPr="00CF39F6">
        <w:rPr>
          <w:color w:val="000000" w:themeColor="text1"/>
        </w:rPr>
        <w:t xml:space="preserve"> important antecedent of SCA. </w:t>
      </w:r>
    </w:p>
    <w:p w14:paraId="490B5C88" w14:textId="30D28C74" w:rsidR="007742CC" w:rsidRDefault="007742CC" w:rsidP="007742CC">
      <w:pPr>
        <w:spacing w:line="480" w:lineRule="auto"/>
        <w:ind w:firstLine="426"/>
        <w:jc w:val="both"/>
        <w:rPr>
          <w:color w:val="000000" w:themeColor="text1"/>
        </w:rPr>
      </w:pPr>
      <w:r>
        <w:rPr>
          <w:color w:val="000000" w:themeColor="text1"/>
        </w:rPr>
        <w:t xml:space="preserve">Previous studies have shown that the consideration of organizational context is imperative in understanding the capability development </w:t>
      </w:r>
      <w:r w:rsidRPr="00721BFD">
        <w:rPr>
          <w:color w:val="000000" w:themeColor="text1"/>
        </w:rPr>
        <w:t>process (Parmigiani &amp; Howard-Grenville, 2011; Pentland et al., 2012; Winter, 2012)</w:t>
      </w:r>
      <w:r w:rsidRPr="004524A7">
        <w:rPr>
          <w:color w:val="000000" w:themeColor="text1"/>
        </w:rPr>
        <w:t xml:space="preserve">. </w:t>
      </w:r>
      <w:r w:rsidRPr="00CF39F6">
        <w:rPr>
          <w:color w:val="000000" w:themeColor="text1"/>
        </w:rPr>
        <w:t>Given the role organizational context has played in previous research</w:t>
      </w:r>
      <w:r>
        <w:rPr>
          <w:color w:val="000000" w:themeColor="text1"/>
        </w:rPr>
        <w:t xml:space="preserve"> </w:t>
      </w:r>
      <w:r>
        <w:rPr>
          <w:color w:val="000000" w:themeColor="text1"/>
        </w:rPr>
        <w:fldChar w:fldCharType="begin"/>
      </w:r>
      <w:r>
        <w:rPr>
          <w:color w:val="000000" w:themeColor="text1"/>
        </w:rPr>
        <w:instrText xml:space="preserve"> ADDIN EN.CITE &lt;EndNote&gt;&lt;Cite&gt;&lt;Author&gt;Gibson&lt;/Author&gt;&lt;Year&gt;2004&lt;/Year&gt;&lt;RecNum&gt;964&lt;/RecNum&gt;&lt;DisplayText&gt;(Ghoshal &amp;amp; Bartlett, 1994; Gibson &amp;amp; Birkinshaw, 2004)&lt;/DisplayText&gt;&lt;record&gt;&lt;rec-number&gt;964&lt;/rec-number&gt;&lt;foreign-keys&gt;&lt;key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Cite&gt;&lt;Author&gt;Ghoshal&lt;/Author&gt;&lt;Year&gt;1994&lt;/Year&gt;&lt;RecNum&gt;1264&lt;/RecNum&gt;&lt;record&gt;&lt;rec-number&gt;1264&lt;/rec-number&gt;&lt;foreign-keys&gt;&lt;key app="EN" db-id="0ewd29dz4ds0vmee9zpx5s9udxtatsf5ffpw" timestamp="0"&gt;1264&lt;/key&gt;&lt;/foreign-keys&gt;&lt;ref-type name="Journal Article"&gt;17&lt;/ref-type&gt;&lt;contributors&gt;&lt;authors&gt;&lt;author&gt;Ghoshal, Sumantra&lt;/author&gt;&lt;author&gt;Bartlett, Christopher A&lt;/author&gt;&lt;/authors&gt;&lt;/contributors&gt;&lt;titles&gt;&lt;title&gt;Linking organizational context and managerial action: The dimensions of quality of management&lt;/title&gt;&lt;secondary-title&gt;Strategic management journal&lt;/secondary-title&gt;&lt;/titles&gt;&lt;periodical&gt;&lt;full-title&gt;Strategic Management Journal&lt;/full-title&gt;&lt;/periodical&gt;&lt;pages&gt;91-112&lt;/pages&gt;&lt;volume&gt;15&lt;/volume&gt;&lt;number&gt;S2&lt;/number&gt;&lt;dates&gt;&lt;year&gt;1994&lt;/year&gt;&lt;/dates&gt;&lt;isbn&gt;0143-2095&lt;/isbn&gt;&lt;urls&gt;&lt;/urls&gt;&lt;/record&gt;&lt;/Cite&gt;&lt;/EndNote&gt;</w:instrText>
      </w:r>
      <w:r>
        <w:rPr>
          <w:color w:val="000000" w:themeColor="text1"/>
        </w:rPr>
        <w:fldChar w:fldCharType="separate"/>
      </w:r>
      <w:r>
        <w:rPr>
          <w:noProof/>
          <w:color w:val="000000" w:themeColor="text1"/>
        </w:rPr>
        <w:t>(Ghoshal &amp; Bartlett, 1994; Gibson &amp; Birkinshaw, 2004)</w:t>
      </w:r>
      <w:r>
        <w:rPr>
          <w:color w:val="000000" w:themeColor="text1"/>
        </w:rPr>
        <w:fldChar w:fldCharType="end"/>
      </w:r>
      <w:r w:rsidRPr="002C604F">
        <w:rPr>
          <w:color w:val="000000" w:themeColor="text1"/>
        </w:rPr>
        <w:t xml:space="preserve">, </w:t>
      </w:r>
      <w:r w:rsidRPr="00CF39F6">
        <w:rPr>
          <w:color w:val="000000" w:themeColor="text1"/>
        </w:rPr>
        <w:t xml:space="preserve">we take this as an occasion for a more detailed investigation of its link to SCA. More precisely, we consider organizational context as composed of two strategic orientations: the performance orientation context </w:t>
      </w:r>
      <w:r w:rsidR="00BC11CC">
        <w:rPr>
          <w:color w:val="000000" w:themeColor="text1"/>
        </w:rPr>
        <w:t>and</w:t>
      </w:r>
      <w:r w:rsidRPr="00CF39F6">
        <w:rPr>
          <w:color w:val="000000" w:themeColor="text1"/>
        </w:rPr>
        <w:t xml:space="preserve"> the social orientation </w:t>
      </w:r>
      <w:r w:rsidRPr="001A5C9D">
        <w:rPr>
          <w:color w:val="000000" w:themeColor="text1"/>
        </w:rPr>
        <w:t>context</w:t>
      </w:r>
      <w:r w:rsidRPr="00CF39F6">
        <w:rPr>
          <w:color w:val="000000" w:themeColor="text1"/>
        </w:rPr>
        <w:t xml:space="preserve">. Previous research has highlighted the importance of evaluating the impact of different types of strategic orientations on SCA </w:t>
      </w:r>
      <w:r>
        <w:rPr>
          <w:color w:val="000000" w:themeColor="text1"/>
        </w:rPr>
        <w:t>(e.g.</w:t>
      </w:r>
      <w:r w:rsidRPr="00D731CC">
        <w:rPr>
          <w:color w:val="FF0000"/>
        </w:rPr>
        <w:t>,</w:t>
      </w:r>
      <w:r>
        <w:rPr>
          <w:color w:val="000000" w:themeColor="text1"/>
        </w:rPr>
        <w:t xml:space="preserve"> </w:t>
      </w:r>
      <w:r w:rsidRPr="00D731CC">
        <w:rPr>
          <w:color w:val="000000" w:themeColor="text1"/>
        </w:rPr>
        <w:t>Zhu &amp; Gao, 2021)</w:t>
      </w:r>
      <w:r>
        <w:rPr>
          <w:color w:val="000000" w:themeColor="text1"/>
        </w:rPr>
        <w:t xml:space="preserve"> </w:t>
      </w:r>
      <w:r w:rsidRPr="00CF39F6">
        <w:rPr>
          <w:color w:val="000000"/>
        </w:rPr>
        <w:t xml:space="preserve">and studies have </w:t>
      </w:r>
      <w:r w:rsidRPr="00CF39F6">
        <w:rPr>
          <w:color w:val="000000" w:themeColor="text1"/>
        </w:rPr>
        <w:t>shown that shaping organizational context is the prime contribution</w:t>
      </w:r>
      <w:r>
        <w:rPr>
          <w:color w:val="000000" w:themeColor="text1"/>
        </w:rPr>
        <w:t xml:space="preserve"> of </w:t>
      </w:r>
      <w:r w:rsidRPr="00CF39F6">
        <w:rPr>
          <w:color w:val="000000" w:themeColor="text1"/>
        </w:rPr>
        <w:t>a firm’s top management</w:t>
      </w:r>
      <w:r>
        <w:rPr>
          <w:color w:val="000000" w:themeColor="text1"/>
        </w:rPr>
        <w:t xml:space="preserve"> (e.g.</w:t>
      </w:r>
      <w:r w:rsidRPr="00FA7C19">
        <w:rPr>
          <w:color w:val="FF0000"/>
        </w:rPr>
        <w:t>,</w:t>
      </w:r>
      <w:r w:rsidRPr="00D731CC">
        <w:rPr>
          <w:color w:val="000000" w:themeColor="text1"/>
        </w:rPr>
        <w:t xml:space="preserve"> </w:t>
      </w:r>
      <w:r>
        <w:rPr>
          <w:color w:val="000000" w:themeColor="text1"/>
        </w:rPr>
        <w:t>H</w:t>
      </w:r>
      <w:r w:rsidRPr="00D731CC">
        <w:rPr>
          <w:color w:val="000000" w:themeColor="text1"/>
        </w:rPr>
        <w:t>u et al., 2012)</w:t>
      </w:r>
      <w:r>
        <w:rPr>
          <w:color w:val="000000" w:themeColor="text1"/>
        </w:rPr>
        <w:t xml:space="preserve">. The </w:t>
      </w:r>
      <w:r w:rsidRPr="00CF39F6">
        <w:rPr>
          <w:color w:val="000000" w:themeColor="text1"/>
        </w:rPr>
        <w:t>context</w:t>
      </w:r>
      <w:r>
        <w:rPr>
          <w:color w:val="000000" w:themeColor="text1"/>
        </w:rPr>
        <w:t>-action</w:t>
      </w:r>
      <w:r w:rsidRPr="00CF39F6">
        <w:rPr>
          <w:color w:val="000000" w:themeColor="text1"/>
        </w:rPr>
        <w:t xml:space="preserve"> </w:t>
      </w:r>
      <w:r>
        <w:rPr>
          <w:color w:val="000000" w:themeColor="text1"/>
        </w:rPr>
        <w:t>relationship</w:t>
      </w:r>
      <w:r w:rsidRPr="00CF39F6">
        <w:rPr>
          <w:color w:val="000000" w:themeColor="text1"/>
        </w:rPr>
        <w:t xml:space="preserve"> is at the heart of firms’ management processes</w:t>
      </w:r>
      <w:r>
        <w:rPr>
          <w:color w:val="000000" w:themeColor="text1"/>
        </w:rPr>
        <w:t xml:space="preserve"> </w:t>
      </w:r>
      <w:r>
        <w:rPr>
          <w:color w:val="000000" w:themeColor="text1"/>
        </w:rPr>
        <w:fldChar w:fldCharType="begin"/>
      </w:r>
      <w:r>
        <w:rPr>
          <w:color w:val="000000" w:themeColor="text1"/>
        </w:rPr>
        <w:instrText xml:space="preserve"> ADDIN EN.CITE &lt;EndNote&gt;&lt;Cite&gt;&lt;Author&gt;Ghoshal&lt;/Author&gt;&lt;Year&gt;1994&lt;/Year&gt;&lt;RecNum&gt;1264&lt;/RecNum&gt;&lt;DisplayText&gt;(Ghoshal &amp;amp; Bartlett, 1994)&lt;/DisplayText&gt;&lt;record&gt;&lt;rec-number&gt;1264&lt;/rec-number&gt;&lt;foreign-keys&gt;&lt;key app="EN" db-id="0ewd29dz4ds0vmee9zpx5s9udxtatsf5ffpw" timestamp="0"&gt;1264&lt;/key&gt;&lt;/foreign-keys&gt;&lt;ref-type name="Journal Article"&gt;17&lt;/ref-type&gt;&lt;contributors&gt;&lt;authors&gt;&lt;author&gt;Ghoshal, Sumantra&lt;/author&gt;&lt;author&gt;Bartlett, Christopher A&lt;/author&gt;&lt;/authors&gt;&lt;/contributors&gt;&lt;titles&gt;&lt;title&gt;Linking organizational context and managerial action: The dimensions of quality of management&lt;/title&gt;&lt;secondary-title&gt;Strategic management journal&lt;/secondary-title&gt;&lt;/titles&gt;&lt;periodical&gt;&lt;full-title&gt;Strategic Management Journal&lt;/full-title&gt;&lt;/periodical&gt;&lt;pages&gt;91-112&lt;/pages&gt;&lt;volume&gt;15&lt;/volume&gt;&lt;number&gt;S2&lt;/number&gt;&lt;dates&gt;&lt;year&gt;1994&lt;/year&gt;&lt;/dates&gt;&lt;isbn&gt;0143-2095&lt;/isbn&gt;&lt;urls&gt;&lt;/urls&gt;&lt;/record&gt;&lt;/Cite&gt;&lt;/EndNote&gt;</w:instrText>
      </w:r>
      <w:r>
        <w:rPr>
          <w:color w:val="000000" w:themeColor="text1"/>
        </w:rPr>
        <w:fldChar w:fldCharType="separate"/>
      </w:r>
      <w:r>
        <w:rPr>
          <w:noProof/>
          <w:color w:val="000000" w:themeColor="text1"/>
        </w:rPr>
        <w:t>(Ghoshal &amp; Bartlett, 1994)</w:t>
      </w:r>
      <w:r>
        <w:rPr>
          <w:color w:val="000000" w:themeColor="text1"/>
        </w:rPr>
        <w:fldChar w:fldCharType="end"/>
      </w:r>
      <w:r w:rsidRPr="00CF39F6">
        <w:rPr>
          <w:color w:val="000000" w:themeColor="text1"/>
        </w:rPr>
        <w:t xml:space="preserve">, which makes organizational context likely a key contributor to the development of firms’ routines </w:t>
      </w:r>
      <w:r>
        <w:rPr>
          <w:color w:val="000000" w:themeColor="text1"/>
        </w:rPr>
        <w:t>that</w:t>
      </w:r>
      <w:r w:rsidRPr="00CF39F6">
        <w:rPr>
          <w:color w:val="000000" w:themeColor="text1"/>
        </w:rPr>
        <w:t xml:space="preserve"> comprise SCA. </w:t>
      </w:r>
    </w:p>
    <w:p w14:paraId="53E9A12D" w14:textId="74871823" w:rsidR="007742CC" w:rsidRDefault="007742CC" w:rsidP="007742CC">
      <w:pPr>
        <w:spacing w:line="480" w:lineRule="auto"/>
        <w:ind w:firstLine="426"/>
        <w:jc w:val="both"/>
        <w:rPr>
          <w:color w:val="000000" w:themeColor="text1"/>
        </w:rPr>
      </w:pPr>
      <w:r w:rsidRPr="00C409C7">
        <w:rPr>
          <w:color w:val="FF0000"/>
        </w:rPr>
        <w:t>While p</w:t>
      </w:r>
      <w:r>
        <w:rPr>
          <w:color w:val="000000" w:themeColor="text1"/>
        </w:rPr>
        <w:t>revious research has focused on capabilities and practices that enable SCA</w:t>
      </w:r>
      <w:r w:rsidRPr="00C409C7">
        <w:rPr>
          <w:color w:val="FF0000"/>
        </w:rPr>
        <w:t>, we</w:t>
      </w:r>
      <w:r>
        <w:rPr>
          <w:color w:val="000000" w:themeColor="text1"/>
        </w:rPr>
        <w:t xml:space="preserve"> argue that organizational context matters in the successful development and deployment of SCA. Particularly in the modern unpredictable world</w:t>
      </w:r>
      <w:r w:rsidRPr="00C409C7">
        <w:rPr>
          <w:color w:val="FF0000"/>
        </w:rPr>
        <w:t>,</w:t>
      </w:r>
      <w:r>
        <w:rPr>
          <w:color w:val="000000" w:themeColor="text1"/>
        </w:rPr>
        <w:t xml:space="preserve"> </w:t>
      </w:r>
      <w:r w:rsidR="004364BA">
        <w:rPr>
          <w:color w:val="000000" w:themeColor="text1"/>
        </w:rPr>
        <w:t>an organization’s</w:t>
      </w:r>
      <w:r>
        <w:rPr>
          <w:color w:val="000000" w:themeColor="text1"/>
        </w:rPr>
        <w:t xml:space="preserve"> top management may not be able to identify the right activities but can provide the right organizational context in which the </w:t>
      </w:r>
      <w:r>
        <w:rPr>
          <w:i/>
          <w:color w:val="000000" w:themeColor="text1"/>
        </w:rPr>
        <w:t xml:space="preserve">right </w:t>
      </w:r>
      <w:r>
        <w:rPr>
          <w:color w:val="000000" w:themeColor="text1"/>
        </w:rPr>
        <w:t>routines can emerge</w:t>
      </w:r>
      <w:r w:rsidRPr="00C409C7">
        <w:rPr>
          <w:color w:val="FF0000"/>
        </w:rPr>
        <w:t>,</w:t>
      </w:r>
      <w:r>
        <w:rPr>
          <w:color w:val="000000" w:themeColor="text1"/>
        </w:rPr>
        <w:t xml:space="preserve"> that become the building blocks of SCA. This element is overlooked in supply chain research. </w:t>
      </w:r>
      <w:r w:rsidRPr="00CF39F6">
        <w:rPr>
          <w:color w:val="000000" w:themeColor="text1"/>
        </w:rPr>
        <w:t>Building on the</w:t>
      </w:r>
      <w:r>
        <w:rPr>
          <w:color w:val="000000" w:themeColor="text1"/>
        </w:rPr>
        <w:t>se</w:t>
      </w:r>
      <w:r w:rsidRPr="00CF39F6">
        <w:rPr>
          <w:color w:val="000000" w:themeColor="text1"/>
        </w:rPr>
        <w:t xml:space="preserve"> arguments</w:t>
      </w:r>
      <w:r>
        <w:rPr>
          <w:color w:val="000000" w:themeColor="text1"/>
        </w:rPr>
        <w:t xml:space="preserve">, </w:t>
      </w:r>
      <w:r w:rsidRPr="00CF39F6">
        <w:rPr>
          <w:color w:val="000000" w:themeColor="text1"/>
        </w:rPr>
        <w:t xml:space="preserve">we </w:t>
      </w:r>
      <w:r>
        <w:rPr>
          <w:color w:val="000000" w:themeColor="text1"/>
        </w:rPr>
        <w:t>suggest</w:t>
      </w:r>
      <w:r w:rsidRPr="00CF39F6">
        <w:rPr>
          <w:color w:val="000000" w:themeColor="text1"/>
        </w:rPr>
        <w:t xml:space="preserve"> that SCA is developed when firms’ top management provides a suitable context to nurture it</w:t>
      </w:r>
      <w:r>
        <w:rPr>
          <w:color w:val="000000" w:themeColor="text1"/>
        </w:rPr>
        <w:t xml:space="preserve"> </w:t>
      </w:r>
      <w:r>
        <w:rPr>
          <w:color w:val="000000" w:themeColor="text1"/>
        </w:rPr>
        <w:fldChar w:fldCharType="begin"/>
      </w:r>
      <w:r>
        <w:rPr>
          <w:color w:val="000000" w:themeColor="text1"/>
        </w:rPr>
        <w:instrText xml:space="preserve"> ADDIN EN.CITE &lt;EndNote&gt;&lt;Cite&gt;&lt;Author&gt;Ghoshal&lt;/Author&gt;&lt;Year&gt;1994&lt;/Year&gt;&lt;RecNum&gt;1264&lt;/RecNum&gt;&lt;DisplayText&gt;(Ghoshal &amp;amp; Bartlett, 1994; Gibson &amp;amp; Birkinshaw, 2004)&lt;/DisplayText&gt;&lt;record&gt;&lt;rec-number&gt;1264&lt;/rec-number&gt;&lt;foreign-keys&gt;&lt;key app="EN" db-id="0ewd29dz4ds0vmee9zpx5s9udxtatsf5ffpw" timestamp="0"&gt;1264&lt;/key&gt;&lt;/foreign-keys&gt;&lt;ref-type name="Journal Article"&gt;17&lt;/ref-type&gt;&lt;contributors&gt;&lt;authors&gt;&lt;author&gt;Ghoshal, Sumantra&lt;/author&gt;&lt;author&gt;Bartlett, Christopher A&lt;/author&gt;&lt;/authors&gt;&lt;/contributors&gt;&lt;titles&gt;&lt;title&gt;Linking organizational context and managerial action: The dimensions of quality of management&lt;/title&gt;&lt;secondary-title&gt;Strategic management journal&lt;/secondary-title&gt;&lt;/titles&gt;&lt;periodical&gt;&lt;full-title&gt;Strategic Management Journal&lt;/full-title&gt;&lt;/periodical&gt;&lt;pages&gt;91-112&lt;/pages&gt;&lt;volume&gt;15&lt;/volume&gt;&lt;number&gt;S2&lt;/number&gt;&lt;dates&gt;&lt;year&gt;1994&lt;/year&gt;&lt;/dates&gt;&lt;isbn&gt;0143-2095&lt;/isbn&gt;&lt;urls&gt;&lt;/urls&gt;&lt;/record&gt;&lt;/Cite&gt;&lt;Cite&gt;&lt;Author&gt;Gibson&lt;/Author&gt;&lt;Year&gt;2004&lt;/Year&gt;&lt;RecNum&gt;964&lt;/RecNum&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Pr>
          <w:color w:val="000000" w:themeColor="text1"/>
        </w:rPr>
        <w:fldChar w:fldCharType="separate"/>
      </w:r>
      <w:r>
        <w:rPr>
          <w:noProof/>
          <w:color w:val="000000" w:themeColor="text1"/>
        </w:rPr>
        <w:t>(Ghoshal &amp; Bartlett, 1994; Gibson &amp; Birkinshaw, 2004)</w:t>
      </w:r>
      <w:r>
        <w:rPr>
          <w:color w:val="000000" w:themeColor="text1"/>
        </w:rPr>
        <w:fldChar w:fldCharType="end"/>
      </w:r>
      <w:r w:rsidRPr="00CF39F6">
        <w:rPr>
          <w:color w:val="000000" w:themeColor="text1"/>
        </w:rPr>
        <w:t xml:space="preserve">. According to this perspective, superior performance is not only based on firms’ </w:t>
      </w:r>
      <w:r w:rsidRPr="00CF39F6">
        <w:rPr>
          <w:color w:val="000000" w:themeColor="text1"/>
        </w:rPr>
        <w:lastRenderedPageBreak/>
        <w:t>superior</w:t>
      </w:r>
      <w:r w:rsidRPr="001A5C9D">
        <w:rPr>
          <w:color w:val="000000" w:themeColor="text1"/>
          <w:lang w:val="en-GB"/>
        </w:rPr>
        <w:t xml:space="preserve"> form of</w:t>
      </w:r>
      <w:r w:rsidRPr="00CF39F6">
        <w:rPr>
          <w:color w:val="000000" w:themeColor="text1"/>
        </w:rPr>
        <w:t xml:space="preserve"> leadership</w:t>
      </w:r>
      <w:r w:rsidRPr="001A5C9D">
        <w:rPr>
          <w:color w:val="000000" w:themeColor="text1"/>
          <w:lang w:val="en-GB"/>
        </w:rPr>
        <w:t>,</w:t>
      </w:r>
      <w:r w:rsidRPr="00CF39F6">
        <w:rPr>
          <w:color w:val="000000" w:themeColor="text1"/>
        </w:rPr>
        <w:t xml:space="preserve"> formal </w:t>
      </w:r>
      <w:r w:rsidRPr="001A5C9D">
        <w:rPr>
          <w:color w:val="000000" w:themeColor="text1"/>
          <w:lang w:val="en-GB"/>
        </w:rPr>
        <w:t xml:space="preserve">organizational </w:t>
      </w:r>
      <w:r w:rsidRPr="00CF39F6">
        <w:rPr>
          <w:color w:val="000000" w:themeColor="text1"/>
        </w:rPr>
        <w:t>structure</w:t>
      </w:r>
      <w:r>
        <w:rPr>
          <w:color w:val="000000" w:themeColor="text1"/>
        </w:rPr>
        <w:t>,</w:t>
      </w:r>
      <w:r w:rsidRPr="001A5C9D">
        <w:rPr>
          <w:color w:val="000000" w:themeColor="text1"/>
          <w:lang w:val="en-GB"/>
        </w:rPr>
        <w:t xml:space="preserve"> or strong culture</w:t>
      </w:r>
      <w:r w:rsidRPr="00F95872">
        <w:rPr>
          <w:color w:val="FF0000"/>
          <w:lang w:val="en-GB"/>
        </w:rPr>
        <w:t>.</w:t>
      </w:r>
      <w:r w:rsidRPr="00CF39F6">
        <w:rPr>
          <w:color w:val="000000" w:themeColor="text1"/>
        </w:rPr>
        <w:t xml:space="preserve"> </w:t>
      </w:r>
      <w:r>
        <w:rPr>
          <w:color w:val="FF0000"/>
        </w:rPr>
        <w:t>I</w:t>
      </w:r>
      <w:r w:rsidRPr="00C409C7">
        <w:rPr>
          <w:color w:val="FF0000"/>
        </w:rPr>
        <w:t xml:space="preserve">t is </w:t>
      </w:r>
      <w:r w:rsidRPr="001A5C9D">
        <w:rPr>
          <w:color w:val="000000" w:themeColor="text1"/>
        </w:rPr>
        <w:t xml:space="preserve">also </w:t>
      </w:r>
      <w:r w:rsidRPr="00CF39F6">
        <w:rPr>
          <w:color w:val="000000" w:themeColor="text1"/>
        </w:rPr>
        <w:t>built upon carefully contrived processes that shape firms’ SCA</w:t>
      </w:r>
      <w:r>
        <w:rPr>
          <w:color w:val="000000" w:themeColor="text1"/>
        </w:rPr>
        <w:t xml:space="preserve"> </w:t>
      </w:r>
      <w:r>
        <w:rPr>
          <w:color w:val="000000" w:themeColor="text1"/>
        </w:rPr>
        <w:fldChar w:fldCharType="begin"/>
      </w:r>
      <w:r>
        <w:rPr>
          <w:color w:val="000000" w:themeColor="text1"/>
        </w:rPr>
        <w:instrText xml:space="preserve"> ADDIN EN.CITE &lt;EndNote&gt;&lt;Cite&gt;&lt;Author&gt;Gibson&lt;/Author&gt;&lt;Year&gt;2004&lt;/Year&gt;&lt;RecNum&gt;964&lt;/RecNum&gt;&lt;DisplayText&gt;(Gibson &amp;amp; Birkinshaw, 2004)&lt;/DisplayText&gt;&lt;record&gt;&lt;rec-number&gt;964&lt;/rec-number&gt;&lt;foreign-keys&gt;&lt;key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Pr>
          <w:color w:val="000000" w:themeColor="text1"/>
        </w:rPr>
        <w:fldChar w:fldCharType="separate"/>
      </w:r>
      <w:r>
        <w:rPr>
          <w:noProof/>
          <w:color w:val="000000" w:themeColor="text1"/>
        </w:rPr>
        <w:t>(Gibson &amp; Birkinshaw, 2004)</w:t>
      </w:r>
      <w:r>
        <w:rPr>
          <w:color w:val="000000" w:themeColor="text1"/>
        </w:rPr>
        <w:fldChar w:fldCharType="end"/>
      </w:r>
      <w:r>
        <w:rPr>
          <w:color w:val="000000" w:themeColor="text1"/>
        </w:rPr>
        <w:t>.</w:t>
      </w:r>
    </w:p>
    <w:p w14:paraId="44D91809" w14:textId="77777777" w:rsidR="007742CC" w:rsidRDefault="007742CC" w:rsidP="007742CC">
      <w:pPr>
        <w:spacing w:line="480" w:lineRule="auto"/>
        <w:ind w:firstLine="426"/>
        <w:jc w:val="both"/>
        <w:rPr>
          <w:color w:val="000000" w:themeColor="text1"/>
        </w:rPr>
      </w:pPr>
      <w:r w:rsidRPr="00743D95">
        <w:rPr>
          <w:color w:val="FF0000"/>
        </w:rPr>
        <w:t>The effect of SCA on firms’ operational and financial performance has been studied extensively</w:t>
      </w:r>
      <w:r>
        <w:rPr>
          <w:color w:val="000000" w:themeColor="text1"/>
        </w:rPr>
        <w:t xml:space="preserve"> </w:t>
      </w:r>
      <w:r w:rsidRPr="00441F2A">
        <w:rPr>
          <w:color w:val="FF0000"/>
        </w:rPr>
        <w:fldChar w:fldCharType="begin"/>
      </w:r>
      <w:r w:rsidRPr="00441F2A">
        <w:rPr>
          <w:color w:val="FF0000"/>
        </w:rPr>
        <w:instrText xml:space="preserve"> ADDIN EN.CITE &lt;EndNote&gt;&lt;Cite&gt;&lt;Author&gt;Alfalla-Luque&lt;/Author&gt;&lt;Year&gt;2023&lt;/Year&gt;&lt;RecNum&gt;1779&lt;/RecNum&gt;&lt;DisplayText&gt;(Alfalla-Luque et al., 2023)&lt;/DisplayText&gt;&lt;record&gt;&lt;rec-number&gt;1779&lt;/rec-number&gt;&lt;foreign-keys&gt;&lt;key app="EN" db-id="0ewd29dz4ds0vmee9zpx5s9udxtatsf5ffpw" timestamp="1699598953"&gt;1779&lt;/key&gt;&lt;/foreign-keys&gt;&lt;ref-type name="Journal Article"&gt;17&lt;/ref-type&gt;&lt;contributors&gt;&lt;authors&gt;&lt;author&gt;Alfalla-Luque, Rafaela&lt;/author&gt;&lt;author&gt;Luján García, Darkys E.&lt;/author&gt;&lt;author&gt;Marin-Garcia, Juan A.&lt;/author&gt;&lt;/authors&gt;&lt;/contributors&gt;&lt;titles&gt;&lt;title&gt;Supply chain agility and performance: evidence from a meta-analysis&lt;/title&gt;&lt;secondary-title&gt;International Journal of Operations &amp;amp; Production Management&lt;/secondary-title&gt;&lt;/titles&gt;&lt;periodical&gt;&lt;full-title&gt;International Journal of Operations &amp;amp; Production Management&lt;/full-title&gt;&lt;/periodical&gt;&lt;pages&gt;1587-1633&lt;/pages&gt;&lt;volume&gt;43&lt;/volume&gt;&lt;number&gt;10&lt;/number&gt;&lt;dates&gt;&lt;year&gt;2023&lt;/year&gt;&lt;/dates&gt;&lt;publisher&gt;Emerald Publishing Limited&lt;/publisher&gt;&lt;isbn&gt;0144-3577&lt;/isbn&gt;&lt;urls&gt;&lt;related-urls&gt;&lt;url&gt;https://doi.org/10.1108/IJOPM-05-2022-0316&lt;/url&gt;&lt;/related-urls&gt;&lt;/urls&gt;&lt;electronic-resource-num&gt;10.1108/IJOPM-05-2022-0316&lt;/electronic-resource-num&gt;&lt;access-date&gt;2023/11/10&lt;/access-date&gt;&lt;/record&gt;&lt;/Cite&gt;&lt;/EndNote&gt;</w:instrText>
      </w:r>
      <w:r w:rsidRPr="00441F2A">
        <w:rPr>
          <w:color w:val="FF0000"/>
        </w:rPr>
        <w:fldChar w:fldCharType="separate"/>
      </w:r>
      <w:r w:rsidRPr="00441F2A">
        <w:rPr>
          <w:noProof/>
          <w:color w:val="FF0000"/>
        </w:rPr>
        <w:t>(Alfalla-Luque et al., 2023)</w:t>
      </w:r>
      <w:r w:rsidRPr="00441F2A">
        <w:rPr>
          <w:color w:val="FF0000"/>
        </w:rPr>
        <w:fldChar w:fldCharType="end"/>
      </w:r>
      <w:r>
        <w:rPr>
          <w:color w:val="000000" w:themeColor="text1"/>
        </w:rPr>
        <w:t xml:space="preserve">, however, it is not known whether SCA also fosters firms’ innovation performance. </w:t>
      </w:r>
      <w:r w:rsidRPr="00F95872">
        <w:rPr>
          <w:color w:val="FF0000"/>
        </w:rPr>
        <w:t xml:space="preserve">For instance, Swafford et al. (2006) find that SCA impacts a firm’s ability to produce and deliver innovative products to its customers in a timely and cost-effective manner, </w:t>
      </w:r>
      <w:r>
        <w:rPr>
          <w:color w:val="FF0000"/>
        </w:rPr>
        <w:fldChar w:fldCharType="begin"/>
      </w:r>
      <w:r>
        <w:rPr>
          <w:color w:val="FF0000"/>
        </w:rPr>
        <w:instrText xml:space="preserve"> ADDIN EN.CITE &lt;EndNote&gt;&lt;Cite AuthorYear="1"&gt;&lt;Author&gt;Najar&lt;/Author&gt;&lt;Year&gt;2022&lt;/Year&gt;&lt;RecNum&gt;1781&lt;/RecNum&gt;&lt;DisplayText&gt;Najar (2022)&lt;/DisplayText&gt;&lt;record&gt;&lt;rec-number&gt;1781&lt;/rec-number&gt;&lt;foreign-keys&gt;&lt;key app="EN" db-id="0ewd29dz4ds0vmee9zpx5s9udxtatsf5ffpw" timestamp="1699599215"&gt;1781&lt;/key&gt;&lt;/foreign-keys&gt;&lt;ref-type name="Journal Article"&gt;17&lt;/ref-type&gt;&lt;contributors&gt;&lt;authors&gt;&lt;author&gt;Najar, Tharwa&lt;/author&gt;&lt;/authors&gt;&lt;/contributors&gt;&lt;titles&gt;&lt;title&gt;Lean-Agile supply chain innovation performance; the mediating role of dynamic capability, innovation capacity, and relational embeddednes&lt;/title&gt;&lt;secondary-title&gt;Supply Chain Forum: An International Journal&lt;/secondary-title&gt;&lt;/titles&gt;&lt;periodical&gt;&lt;full-title&gt;Supply Chain Forum: An International Journal&lt;/full-title&gt;&lt;/periodical&gt;&lt;pages&gt;285-306&lt;/pages&gt;&lt;volume&gt;23&lt;/volume&gt;&lt;number&gt;3&lt;/number&gt;&lt;dates&gt;&lt;year&gt;2022&lt;/year&gt;&lt;pub-dates&gt;&lt;date&gt;2022/07/03&lt;/date&gt;&lt;/pub-dates&gt;&lt;/dates&gt;&lt;publisher&gt;Taylor &amp;amp; Francis&lt;/publisher&gt;&lt;isbn&gt;1625-8312&lt;/isbn&gt;&lt;urls&gt;&lt;related-urls&gt;&lt;url&gt;https://doi.org/10.1080/16258312.2022.2031276&lt;/url&gt;&lt;/related-urls&gt;&lt;/urls&gt;&lt;electronic-resource-num&gt;10.1080/16258312.2022.2031276&lt;/electronic-resource-num&gt;&lt;/record&gt;&lt;/Cite&gt;&lt;/EndNote&gt;</w:instrText>
      </w:r>
      <w:r>
        <w:rPr>
          <w:color w:val="FF0000"/>
        </w:rPr>
        <w:fldChar w:fldCharType="separate"/>
      </w:r>
      <w:r>
        <w:rPr>
          <w:noProof/>
          <w:color w:val="FF0000"/>
        </w:rPr>
        <w:t>Najar (2022)</w:t>
      </w:r>
      <w:r>
        <w:rPr>
          <w:color w:val="FF0000"/>
        </w:rPr>
        <w:fldChar w:fldCharType="end"/>
      </w:r>
      <w:r w:rsidRPr="00F95872">
        <w:rPr>
          <w:color w:val="FF0000"/>
        </w:rPr>
        <w:t xml:space="preserve"> finds no positive effect of SCA on innovation performance</w:t>
      </w:r>
      <w:r>
        <w:rPr>
          <w:color w:val="000000" w:themeColor="text1"/>
        </w:rPr>
        <w:t xml:space="preserve">. </w:t>
      </w:r>
      <w:r w:rsidRPr="00494A21">
        <w:rPr>
          <w:color w:val="FF0000"/>
        </w:rPr>
        <w:t>Besides, p</w:t>
      </w:r>
      <w:r w:rsidRPr="00CF39F6">
        <w:rPr>
          <w:color w:val="000000" w:themeColor="text1"/>
        </w:rPr>
        <w:t xml:space="preserve">rior research has emphasized that to encounter market instability, firms </w:t>
      </w:r>
      <w:r w:rsidRPr="001A5C9D">
        <w:rPr>
          <w:color w:val="000000" w:themeColor="text1"/>
        </w:rPr>
        <w:t>should</w:t>
      </w:r>
      <w:r w:rsidRPr="00CF39F6">
        <w:rPr>
          <w:color w:val="000000" w:themeColor="text1"/>
        </w:rPr>
        <w:t xml:space="preserve"> invest in </w:t>
      </w:r>
      <w:r w:rsidRPr="001A5C9D">
        <w:rPr>
          <w:color w:val="000000" w:themeColor="text1"/>
        </w:rPr>
        <w:t xml:space="preserve">SCA </w:t>
      </w:r>
      <w:r w:rsidRPr="00CF39F6">
        <w:rPr>
          <w:color w:val="000000" w:themeColor="text1"/>
        </w:rPr>
        <w:t>on the premise that it offers a sizable opportunity to innovate</w:t>
      </w:r>
      <w:r>
        <w:rPr>
          <w:color w:val="000000" w:themeColor="text1"/>
        </w:rPr>
        <w:t xml:space="preserve"> </w:t>
      </w:r>
      <w:r>
        <w:rPr>
          <w:color w:val="000000" w:themeColor="text1"/>
        </w:rPr>
        <w:fldChar w:fldCharType="begin"/>
      </w:r>
      <w:r>
        <w:rPr>
          <w:color w:val="000000" w:themeColor="text1"/>
        </w:rPr>
        <w:instrText xml:space="preserve"> ADDIN EN.CITE &lt;EndNote&gt;&lt;Cite&gt;&lt;Author&gt;Ketchen Jr&lt;/Author&gt;&lt;Year&gt;2021&lt;/Year&gt;&lt;RecNum&gt;1683&lt;/RecNum&gt;&lt;DisplayText&gt;(Ketchen Jr &amp;amp; Craighead, 2021)&lt;/DisplayText&gt;&lt;record&gt;&lt;rec-number&gt;1683&lt;/rec-number&gt;&lt;foreign-keys&gt;&lt;key app="EN" db-id="0ewd29dz4ds0vmee9zpx5s9udxtatsf5ffpw" timestamp="1677668318"&gt;1683&lt;/key&gt;&lt;/foreign-keys&gt;&lt;ref-type name="Journal Article"&gt;17&lt;/ref-type&gt;&lt;contributors&gt;&lt;authors&gt;&lt;author&gt;Ketchen Jr, David J&lt;/author&gt;&lt;author&gt;Craighead, Christopher W&lt;/author&gt;&lt;/authors&gt;&lt;/contributors&gt;&lt;titles&gt;&lt;title&gt;Toward a theory of supply chain entrepreneurial embeddedness in disrupted and normal states&lt;/title&gt;&lt;secondary-title&gt;Journal of Supply Chain Management&lt;/secondary-title&gt;&lt;/titles&gt;&lt;periodical&gt;&lt;full-title&gt;Journal of Supply Chain Management&lt;/full-title&gt;&lt;/periodical&gt;&lt;pages&gt;50-57&lt;/pages&gt;&lt;volume&gt;57&lt;/volume&gt;&lt;number&gt;1&lt;/number&gt;&lt;dates&gt;&lt;year&gt;2021&lt;/year&gt;&lt;/dates&gt;&lt;isbn&gt;1523-2409&lt;/isbn&gt;&lt;urls&gt;&lt;/urls&gt;&lt;/record&gt;&lt;/Cite&gt;&lt;/EndNote&gt;</w:instrText>
      </w:r>
      <w:r>
        <w:rPr>
          <w:color w:val="000000" w:themeColor="text1"/>
        </w:rPr>
        <w:fldChar w:fldCharType="separate"/>
      </w:r>
      <w:r>
        <w:rPr>
          <w:noProof/>
          <w:color w:val="000000" w:themeColor="text1"/>
        </w:rPr>
        <w:t>(Ketchen Jr &amp; Craighead, 2021)</w:t>
      </w:r>
      <w:r>
        <w:rPr>
          <w:color w:val="000000" w:themeColor="text1"/>
        </w:rPr>
        <w:fldChar w:fldCharType="end"/>
      </w:r>
      <w:r w:rsidRPr="00CF39F6">
        <w:rPr>
          <w:color w:val="000000" w:themeColor="text1"/>
        </w:rPr>
        <w:t xml:space="preserve">. </w:t>
      </w:r>
      <w:r>
        <w:rPr>
          <w:color w:val="000000" w:themeColor="text1"/>
        </w:rPr>
        <w:t xml:space="preserve">Traditionally though, SCA is portrayed as a capability that helps repairing operational damage whereas supply chain adaptability is conceived as a capability that impacts adjustments to new markets </w:t>
      </w:r>
      <w:r>
        <w:rPr>
          <w:color w:val="000000" w:themeColor="text1"/>
        </w:rPr>
        <w:fldChar w:fldCharType="begin"/>
      </w:r>
      <w:r>
        <w:rPr>
          <w:color w:val="000000" w:themeColor="text1"/>
        </w:rPr>
        <w:instrText xml:space="preserve"> ADDIN EN.CITE &lt;EndNote&gt;&lt;Cite&gt;&lt;Author&gt;Aslam&lt;/Author&gt;&lt;Year&gt;2018&lt;/Year&gt;&lt;RecNum&gt;1281&lt;/RecNum&gt;&lt;DisplayText&gt;(Aslam et al., 2018; Gunasekaran et al., 2017)&lt;/DisplayText&gt;&lt;record&gt;&lt;rec-number&gt;1281&lt;/rec-number&gt;&lt;foreign-keys&gt;&lt;key app="EN" db-id="0ewd29dz4ds0vmee9zpx5s9udxtatsf5ffpw" timestamp="0"&gt;1281&lt;/key&gt;&lt;/foreign-keys&gt;&lt;ref-type name="Journal Article"&gt;17&lt;/ref-type&gt;&lt;contributors&gt;&lt;authors&gt;&lt;author&gt;Aslam, Haris&lt;/author&gt;&lt;author&gt;Blome, Constantin&lt;/author&gt;&lt;author&gt;Roscoe, Samuel&lt;/author&gt;&lt;author&gt;Azhar, Tashfeen M&lt;/author&gt;&lt;/authors&gt;&lt;/contributors&gt;&lt;titles&gt;&lt;title&gt;Dynamic supply chain capabilities: How market sensing, supply chain agility and adaptability affect supply chain ambidexterity&lt;/title&gt;&lt;secondary-title&gt;International Journal of Operations &amp;amp; Production Management&lt;/secondary-title&gt;&lt;/titles&gt;&lt;periodical&gt;&lt;full-title&gt;International Journal of Operations &amp;amp; Production Management&lt;/full-title&gt;&lt;/periodical&gt;&lt;pages&gt;2266-2285&lt;/pages&gt;&lt;volume&gt;38&lt;/volume&gt;&lt;number&gt;12&lt;/number&gt;&lt;dates&gt;&lt;year&gt;2018&lt;/year&gt;&lt;/dates&gt;&lt;isbn&gt;0144-3577&lt;/isbn&gt;&lt;urls&gt;&lt;/urls&gt;&lt;/record&gt;&lt;/Cite&gt;&lt;Cite&gt;&lt;Author&gt;Gunasekaran&lt;/Author&gt;&lt;Year&gt;2017&lt;/Year&gt;&lt;RecNum&gt;1648&lt;/RecNum&gt;&lt;record&gt;&lt;rec-number&gt;1648&lt;/rec-number&gt;&lt;foreign-keys&gt;&lt;key app="EN" db-id="zw59vpadbtepfpef9t3pvzeot59fe2ptraw5" timestamp="1668054101"&gt;1648&lt;/key&gt;&lt;/foreign-keys&gt;&lt;ref-type name="Journal Article"&gt;17&lt;/ref-type&gt;&lt;contributors&gt;&lt;authors&gt;&lt;author&gt;Gunasekaran, Angappa&lt;/author&gt;&lt;author&gt;Subramanian, Nachiappan&lt;/author&gt;&lt;author&gt;Papadopoulos, Thanos&lt;/author&gt;&lt;/authors&gt;&lt;/contributors&gt;&lt;titles&gt;&lt;title&gt;Information technology for competitive advantage within logistics and supply chains: A review&lt;/title&gt;&lt;secondary-title&gt; Transportation Research Part E: Logistics and Transportation Review&lt;/secondary-title&gt;&lt;/titles&gt;&lt;pages&gt;14-33&lt;/pages&gt;&lt;volume&gt;99&lt;/volume&gt;&lt;dates&gt;&lt;year&gt;2017&lt;/year&gt;&lt;/dates&gt;&lt;isbn&gt;1366-5545&lt;/isbn&gt;&lt;urls&gt;&lt;/urls&gt;&lt;/record&gt;&lt;/Cite&gt;&lt;/EndNote&gt;</w:instrText>
      </w:r>
      <w:r>
        <w:rPr>
          <w:color w:val="000000" w:themeColor="text1"/>
        </w:rPr>
        <w:fldChar w:fldCharType="separate"/>
      </w:r>
      <w:r>
        <w:rPr>
          <w:noProof/>
          <w:color w:val="000000" w:themeColor="text1"/>
        </w:rPr>
        <w:t>(Aslam et al., 2018; Gunasekaran et al., 2017)</w:t>
      </w:r>
      <w:r>
        <w:rPr>
          <w:color w:val="000000" w:themeColor="text1"/>
        </w:rPr>
        <w:fldChar w:fldCharType="end"/>
      </w:r>
      <w:r>
        <w:rPr>
          <w:color w:val="000000" w:themeColor="text1"/>
        </w:rPr>
        <w:t xml:space="preserve">. </w:t>
      </w:r>
      <w:r w:rsidRPr="00CF39F6">
        <w:rPr>
          <w:color w:val="000000" w:themeColor="text1"/>
        </w:rPr>
        <w:t xml:space="preserve">In this study, we </w:t>
      </w:r>
      <w:r>
        <w:rPr>
          <w:color w:val="000000" w:themeColor="text1"/>
        </w:rPr>
        <w:t>investigate whether</w:t>
      </w:r>
      <w:r w:rsidRPr="00CF39F6">
        <w:rPr>
          <w:color w:val="000000" w:themeColor="text1"/>
        </w:rPr>
        <w:t xml:space="preserve"> SCA </w:t>
      </w:r>
      <w:r>
        <w:rPr>
          <w:color w:val="000000" w:themeColor="text1"/>
        </w:rPr>
        <w:t>– despite its operational focus – serves</w:t>
      </w:r>
      <w:r w:rsidRPr="00CF39F6">
        <w:rPr>
          <w:color w:val="000000" w:themeColor="text1"/>
        </w:rPr>
        <w:t xml:space="preserve"> as a capability </w:t>
      </w:r>
      <w:r>
        <w:rPr>
          <w:color w:val="000000" w:themeColor="text1"/>
        </w:rPr>
        <w:t>that</w:t>
      </w:r>
      <w:r w:rsidRPr="00CF39F6">
        <w:rPr>
          <w:color w:val="000000" w:themeColor="text1"/>
        </w:rPr>
        <w:t xml:space="preserve"> leads to better innovation performance as it allows firms to adjust innovations to seize emergent opportunities </w:t>
      </w:r>
      <w:r w:rsidRPr="00CF39F6">
        <w:rPr>
          <w:color w:val="000000" w:themeColor="text1"/>
        </w:rPr>
        <w:fldChar w:fldCharType="begin"/>
      </w:r>
      <w:r>
        <w:rPr>
          <w:color w:val="000000" w:themeColor="text1"/>
        </w:rPr>
        <w:instrText xml:space="preserve"> ADDIN EN.CITE &lt;EndNote&gt;&lt;Cite&gt;&lt;Author&gt;Cai&lt;/Author&gt;&lt;Year&gt;2019&lt;/Year&gt;&lt;RecNum&gt;1543&lt;/RecNum&gt;&lt;DisplayText&gt;(Cai et al., 2019)&lt;/DisplayText&gt;&lt;record&gt;&lt;rec-number&gt;1543&lt;/rec-number&gt;&lt;foreign-keys&gt;&lt;key app="EN" db-id="zw59vpadbtepfpef9t3pvzeot59fe2ptraw5" timestamp="0"&gt;1543&lt;/key&gt;&lt;/foreign-keys&gt;&lt;ref-type name="Journal Article"&gt;17&lt;/ref-type&gt;&lt;contributors&gt;&lt;authors&gt;&lt;author&gt;Cai, Zhao&lt;/author&gt;&lt;author&gt;Liu, Hefu&lt;/author&gt;&lt;author&gt;Huang, Qian&lt;/author&gt;&lt;author&gt;Liang, Liang&lt;/author&gt;&lt;/authors&gt;&lt;/contributors&gt;&lt;titles&gt;&lt;title&gt;Developing organizational agility in product innovation: the roles of IT capability, KM capability, and innovative climate&lt;/title&gt;&lt;secondary-title&gt;R&amp;amp;D Management&lt;/secondary-title&gt;&lt;/titles&gt;&lt;pages&gt;421-438&lt;/pages&gt;&lt;volume&gt;49&lt;/volume&gt;&lt;number&gt;4&lt;/number&gt;&lt;dates&gt;&lt;year&gt;2019&lt;/year&gt;&lt;/dates&gt;&lt;isbn&gt;0033-6807&lt;/isbn&gt;&lt;urls&gt;&lt;/urls&gt;&lt;/record&gt;&lt;/Cite&gt;&lt;/EndNote&gt;</w:instrText>
      </w:r>
      <w:r w:rsidRPr="00CF39F6">
        <w:rPr>
          <w:color w:val="000000" w:themeColor="text1"/>
        </w:rPr>
        <w:fldChar w:fldCharType="separate"/>
      </w:r>
      <w:r>
        <w:rPr>
          <w:noProof/>
          <w:color w:val="000000" w:themeColor="text1"/>
        </w:rPr>
        <w:t>(Cai et al., 2019)</w:t>
      </w:r>
      <w:r w:rsidRPr="00CF39F6">
        <w:rPr>
          <w:color w:val="000000" w:themeColor="text1"/>
        </w:rPr>
        <w:fldChar w:fldCharType="end"/>
      </w:r>
      <w:r w:rsidRPr="00CF39F6">
        <w:rPr>
          <w:color w:val="000000" w:themeColor="text1"/>
        </w:rPr>
        <w:t xml:space="preserve">. </w:t>
      </w:r>
      <w:r>
        <w:rPr>
          <w:color w:val="000000" w:themeColor="text1"/>
        </w:rPr>
        <w:t xml:space="preserve">We therefore believe that we can identify further effects of SCA that have been overlooked in extant research that particularly matter for the long-term survival of firms, which is particularly influenced by the organizational context </w:t>
      </w:r>
      <w:r w:rsidRPr="00CF39F6">
        <w:rPr>
          <w:color w:val="000000" w:themeColor="text1"/>
        </w:rPr>
        <w:fldChar w:fldCharType="begin"/>
      </w:r>
      <w:r>
        <w:rPr>
          <w:color w:val="000000" w:themeColor="text1"/>
        </w:rPr>
        <w:instrText xml:space="preserve"> ADDIN EN.CITE &lt;EndNote&gt;&lt;Cite&gt;&lt;Author&gt;Teece&lt;/Author&gt;&lt;Year&gt;2016&lt;/Year&gt;&lt;RecNum&gt;115&lt;/RecNum&gt;&lt;DisplayText&gt;(Teece et al., 2016)&lt;/DisplayText&gt;&lt;record&gt;&lt;rec-number&gt;115&lt;/rec-number&gt;&lt;foreign-keys&gt;&lt;key app="EN" db-id="xxezpfvt29axrpetrsnv0tpmspdvstv25ewr"&gt;115&lt;/key&gt;&lt;/foreign-keys&gt;&lt;ref-type name="Journal Article"&gt;17&lt;/ref-type&gt;&lt;contributors&gt;&lt;authors&gt;&lt;author&gt;Teece, David&lt;/author&gt;&lt;author&gt;Peteraf, Margaret&lt;/author&gt;&lt;author&gt;Leih, Sohvi&lt;/author&gt;&lt;/authors&gt;&lt;/contributors&gt;&lt;titles&gt;&lt;title&gt;Dynamic Capabilities and Organizational Agility: Risk, Uncertainty, and Strategy in the Innovation Economy&lt;/title&gt;&lt;secondary-title&gt;California Management Review&lt;/secondary-title&gt;&lt;/titles&gt;&lt;periodical&gt;&lt;full-title&gt;California management review&lt;/full-title&gt;&lt;/periodical&gt;&lt;pages&gt;13-35&lt;/pages&gt;&lt;volume&gt;58&lt;/volume&gt;&lt;number&gt;4&lt;/number&gt;&lt;keywords&gt;&lt;keyword&gt;Competitive Advantage,Competitive Strategy,Strategic Management&lt;/keyword&gt;&lt;/keywords&gt;&lt;dates&gt;&lt;year&gt;2016&lt;/year&gt;&lt;/dates&gt;&lt;urls&gt;&lt;related-urls&gt;&lt;url&gt;https://journals.sagepub.com/doi/abs/10.1525/cmr.2016.58.4.13&lt;/url&gt;&lt;/related-urls&gt;&lt;/urls&gt;&lt;electronic-resource-num&gt;10.1525/cmr.2016.58.4.13&lt;/electronic-resource-num&gt;&lt;/record&gt;&lt;/Cite&gt;&lt;/EndNote&gt;</w:instrText>
      </w:r>
      <w:r w:rsidRPr="00CF39F6">
        <w:rPr>
          <w:color w:val="000000" w:themeColor="text1"/>
        </w:rPr>
        <w:fldChar w:fldCharType="separate"/>
      </w:r>
      <w:r>
        <w:rPr>
          <w:noProof/>
          <w:color w:val="000000" w:themeColor="text1"/>
        </w:rPr>
        <w:t>(Teece et al., 2016)</w:t>
      </w:r>
      <w:r w:rsidRPr="00CF39F6">
        <w:rPr>
          <w:color w:val="000000" w:themeColor="text1"/>
        </w:rPr>
        <w:fldChar w:fldCharType="end"/>
      </w:r>
      <w:r w:rsidRPr="00CF39F6">
        <w:rPr>
          <w:color w:val="000000" w:themeColor="text1"/>
        </w:rPr>
        <w:t>.</w:t>
      </w:r>
      <w:r>
        <w:rPr>
          <w:color w:val="000000" w:themeColor="text1"/>
        </w:rPr>
        <w:t xml:space="preserve"> </w:t>
      </w:r>
    </w:p>
    <w:p w14:paraId="577BDF32" w14:textId="77777777" w:rsidR="007742CC" w:rsidRPr="001A5C9D" w:rsidRDefault="007742CC" w:rsidP="007742CC">
      <w:pPr>
        <w:spacing w:line="480" w:lineRule="auto"/>
        <w:ind w:firstLine="426"/>
        <w:jc w:val="both"/>
        <w:rPr>
          <w:color w:val="000000" w:themeColor="text1"/>
        </w:rPr>
      </w:pPr>
      <w:r>
        <w:rPr>
          <w:color w:val="000000" w:themeColor="text1"/>
        </w:rPr>
        <w:t xml:space="preserve">Finally, as we only focused on the internal organizational context as an antecedent for SCA, we complement our internal view with an external view to understand under which conditions SCA might materialize in innovation for the focal firm. Prior studies have shown that the complementarity of supply partners is a key driver for performance </w:t>
      </w:r>
      <w:r>
        <w:rPr>
          <w:color w:val="000000" w:themeColor="text1"/>
        </w:rPr>
        <w:fldChar w:fldCharType="begin">
          <w:fldData xml:space="preserve">PEVuZE5vdGU+PENpdGU+PEF1dGhvcj5DaGV1bmc8L0F1dGhvcj48WWVhcj4yMDEwPC9ZZWFyPjxS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</w:fldData>
        </w:fldChar>
      </w:r>
      <w:r>
        <w:rPr>
          <w:color w:val="000000" w:themeColor="text1"/>
        </w:rPr>
        <w:instrText xml:space="preserve"> ADDIN EN.CITE </w:instrText>
      </w:r>
      <w:r>
        <w:rPr>
          <w:color w:val="000000" w:themeColor="text1"/>
        </w:rPr>
        <w:fldChar w:fldCharType="begin">
          <w:fldData xml:space="preserve">PEVuZE5vdGU+PENpdGU+PEF1dGhvcj5DaGV1bmc8L0F1dGhvcj48WWVhcj4yMDEwPC9ZZWFyPjxS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</w:fldData>
        </w:fldChar>
      </w:r>
      <w:r>
        <w:rPr>
          <w:color w:val="000000" w:themeColor="text1"/>
        </w:rPr>
        <w:instrText xml:space="preserve"> ADDIN EN.CITE.DATA </w:instrText>
      </w:r>
      <w:r>
        <w:rPr>
          <w:color w:val="000000" w:themeColor="text1"/>
        </w:rPr>
      </w:r>
      <w:r>
        <w:rPr>
          <w:color w:val="000000" w:themeColor="text1"/>
        </w:rPr>
        <w:fldChar w:fldCharType="end"/>
      </w:r>
      <w:r>
        <w:rPr>
          <w:color w:val="000000" w:themeColor="text1"/>
        </w:rPr>
      </w:r>
      <w:r>
        <w:rPr>
          <w:color w:val="000000" w:themeColor="text1"/>
        </w:rPr>
        <w:fldChar w:fldCharType="separate"/>
      </w:r>
      <w:r>
        <w:rPr>
          <w:noProof/>
          <w:color w:val="000000" w:themeColor="text1"/>
        </w:rPr>
        <w:t>(Cheung et al., 2010; Liao &amp; Li, 2019; Ndubisi et al., 2020)</w:t>
      </w:r>
      <w:r>
        <w:rPr>
          <w:color w:val="000000" w:themeColor="text1"/>
        </w:rPr>
        <w:fldChar w:fldCharType="end"/>
      </w:r>
      <w:r>
        <w:rPr>
          <w:color w:val="000000" w:themeColor="text1"/>
        </w:rPr>
        <w:t xml:space="preserve">, thus we further include an external factor that helps us to better </w:t>
      </w:r>
      <w:r>
        <w:rPr>
          <w:color w:val="000000" w:themeColor="text1"/>
        </w:rPr>
        <w:lastRenderedPageBreak/>
        <w:t xml:space="preserve">understand the interplay of internal and external contextual factors. </w:t>
      </w:r>
      <w:r w:rsidRPr="001A5C9D">
        <w:rPr>
          <w:color w:val="000000" w:themeColor="text1"/>
        </w:rPr>
        <w:t>Specifically, we seek to answer the following research questions:</w:t>
      </w:r>
    </w:p>
    <w:p w14:paraId="462E5768" w14:textId="77777777" w:rsidR="007742CC" w:rsidRPr="001A5C9D" w:rsidRDefault="007742CC" w:rsidP="007742CC">
      <w:pPr>
        <w:spacing w:before="100" w:beforeAutospacing="1" w:after="100" w:afterAutospacing="1" w:line="276" w:lineRule="auto"/>
        <w:ind w:left="1134" w:hanging="708"/>
        <w:rPr>
          <w:color w:val="000000" w:themeColor="text1"/>
        </w:rPr>
      </w:pPr>
      <w:r w:rsidRPr="00B15AA9">
        <w:rPr>
          <w:i/>
          <w:iCs/>
          <w:color w:val="000000" w:themeColor="text1"/>
        </w:rPr>
        <w:t>RQ1</w:t>
      </w:r>
      <w:r w:rsidRPr="001A5C9D">
        <w:rPr>
          <w:color w:val="000000" w:themeColor="text1"/>
        </w:rPr>
        <w:t xml:space="preserve">: </w:t>
      </w:r>
      <w:r>
        <w:rPr>
          <w:color w:val="000000" w:themeColor="text1"/>
        </w:rPr>
        <w:tab/>
      </w:r>
      <w:r w:rsidRPr="001A5C9D">
        <w:rPr>
          <w:color w:val="000000" w:themeColor="text1"/>
        </w:rPr>
        <w:t xml:space="preserve">What is the impact of organizational context on </w:t>
      </w:r>
      <w:r w:rsidRPr="00494A21">
        <w:rPr>
          <w:color w:val="FF0000"/>
        </w:rPr>
        <w:t>SCA</w:t>
      </w:r>
      <w:r w:rsidRPr="001A5C9D">
        <w:rPr>
          <w:color w:val="000000" w:themeColor="text1"/>
        </w:rPr>
        <w:t>?</w:t>
      </w:r>
    </w:p>
    <w:p w14:paraId="7ADC0D3D" w14:textId="77777777" w:rsidR="007742CC" w:rsidRPr="001A5C9D" w:rsidRDefault="007742CC" w:rsidP="007742CC">
      <w:pPr>
        <w:spacing w:before="100" w:beforeAutospacing="1" w:after="100" w:afterAutospacing="1" w:line="276" w:lineRule="auto"/>
        <w:ind w:left="1134" w:hanging="708"/>
        <w:rPr>
          <w:color w:val="000000" w:themeColor="text1"/>
        </w:rPr>
      </w:pPr>
      <w:r w:rsidRPr="00B15AA9">
        <w:rPr>
          <w:i/>
          <w:iCs/>
          <w:color w:val="000000" w:themeColor="text1"/>
        </w:rPr>
        <w:t>RQ2</w:t>
      </w:r>
      <w:r w:rsidRPr="001A5C9D">
        <w:rPr>
          <w:color w:val="000000" w:themeColor="text1"/>
        </w:rPr>
        <w:t xml:space="preserve">: </w:t>
      </w:r>
      <w:r>
        <w:rPr>
          <w:color w:val="000000" w:themeColor="text1"/>
        </w:rPr>
        <w:tab/>
      </w:r>
      <w:r w:rsidRPr="00494A21">
        <w:rPr>
          <w:color w:val="FF0000"/>
        </w:rPr>
        <w:t>What effect does SCA have on the relationship between organizational context and innovation performance?</w:t>
      </w:r>
    </w:p>
    <w:p w14:paraId="66F4E2E8" w14:textId="77777777" w:rsidR="007742CC" w:rsidRPr="001A5C9D" w:rsidRDefault="007742CC" w:rsidP="007742CC">
      <w:pPr>
        <w:spacing w:before="100" w:beforeAutospacing="1" w:after="100" w:afterAutospacing="1" w:line="276" w:lineRule="auto"/>
        <w:ind w:left="1134" w:hanging="708"/>
        <w:rPr>
          <w:color w:val="000000" w:themeColor="text1"/>
        </w:rPr>
      </w:pPr>
      <w:r w:rsidRPr="00B15AA9">
        <w:rPr>
          <w:i/>
          <w:iCs/>
          <w:color w:val="000000" w:themeColor="text1"/>
        </w:rPr>
        <w:t>RQ3</w:t>
      </w:r>
      <w:r w:rsidRPr="001A5C9D">
        <w:rPr>
          <w:color w:val="000000" w:themeColor="text1"/>
        </w:rPr>
        <w:t xml:space="preserve">: </w:t>
      </w:r>
      <w:r>
        <w:rPr>
          <w:color w:val="000000" w:themeColor="text1"/>
        </w:rPr>
        <w:tab/>
      </w:r>
      <w:r w:rsidRPr="001A5C9D">
        <w:rPr>
          <w:color w:val="000000" w:themeColor="text1"/>
        </w:rPr>
        <w:t xml:space="preserve">How does complementarity between </w:t>
      </w:r>
      <w:r>
        <w:rPr>
          <w:color w:val="000000" w:themeColor="text1"/>
        </w:rPr>
        <w:t xml:space="preserve">the </w:t>
      </w:r>
      <w:r w:rsidRPr="001A5C9D">
        <w:rPr>
          <w:color w:val="000000" w:themeColor="text1"/>
        </w:rPr>
        <w:t xml:space="preserve">focal firm and its key suppliers </w:t>
      </w:r>
      <w:r w:rsidRPr="001A5C9D">
        <w:rPr>
          <w:i/>
          <w:color w:val="000000" w:themeColor="text1"/>
        </w:rPr>
        <w:t>modify</w:t>
      </w:r>
      <w:r w:rsidRPr="001A5C9D">
        <w:rPr>
          <w:color w:val="000000" w:themeColor="text1"/>
        </w:rPr>
        <w:t xml:space="preserve"> the SCA – innovation relationship? </w:t>
      </w:r>
    </w:p>
    <w:p w14:paraId="5BB1C0F6" w14:textId="591BC81A" w:rsidR="007742CC" w:rsidRPr="00CF39F6" w:rsidRDefault="007742CC" w:rsidP="007742CC">
      <w:pPr>
        <w:spacing w:line="480" w:lineRule="auto"/>
        <w:ind w:firstLine="426"/>
        <w:jc w:val="both"/>
        <w:rPr>
          <w:color w:val="000000" w:themeColor="text1"/>
        </w:rPr>
      </w:pPr>
      <w:r w:rsidRPr="00CF39F6">
        <w:rPr>
          <w:color w:val="000000" w:themeColor="text1"/>
        </w:rPr>
        <w:t>T</w:t>
      </w:r>
      <w:r>
        <w:rPr>
          <w:color w:val="000000" w:themeColor="text1"/>
        </w:rPr>
        <w:t>o a</w:t>
      </w:r>
      <w:r w:rsidRPr="00CF39F6">
        <w:rPr>
          <w:color w:val="000000" w:themeColor="text1"/>
        </w:rPr>
        <w:t>nswer the</w:t>
      </w:r>
      <w:r>
        <w:rPr>
          <w:color w:val="000000" w:themeColor="text1"/>
        </w:rPr>
        <w:t>se</w:t>
      </w:r>
      <w:r w:rsidRPr="00CF39F6">
        <w:rPr>
          <w:color w:val="000000" w:themeColor="text1"/>
        </w:rPr>
        <w:t xml:space="preserve"> questions</w:t>
      </w:r>
      <w:r>
        <w:rPr>
          <w:color w:val="000000" w:themeColor="text1"/>
        </w:rPr>
        <w:t xml:space="preserve">, we develop a research model and test it </w:t>
      </w:r>
      <w:r w:rsidRPr="00CF39F6">
        <w:rPr>
          <w:color w:val="000000" w:themeColor="text1"/>
        </w:rPr>
        <w:t>based on a</w:t>
      </w:r>
      <w:r>
        <w:rPr>
          <w:color w:val="000000" w:themeColor="text1"/>
        </w:rPr>
        <w:t xml:space="preserve"> time-lagged, multi-respondent</w:t>
      </w:r>
      <w:r w:rsidRPr="00CF39F6">
        <w:rPr>
          <w:color w:val="000000" w:themeColor="text1"/>
        </w:rPr>
        <w:t xml:space="preserve"> sample</w:t>
      </w:r>
      <w:r>
        <w:rPr>
          <w:color w:val="000000" w:themeColor="text1"/>
        </w:rPr>
        <w:t xml:space="preserve"> data</w:t>
      </w:r>
      <w:r w:rsidRPr="00CF39F6">
        <w:rPr>
          <w:color w:val="000000" w:themeColor="text1"/>
        </w:rPr>
        <w:t xml:space="preserve"> of 220 </w:t>
      </w:r>
      <w:r>
        <w:rPr>
          <w:color w:val="000000" w:themeColor="text1"/>
        </w:rPr>
        <w:t>firm</w:t>
      </w:r>
      <w:r w:rsidRPr="00CF39F6">
        <w:rPr>
          <w:color w:val="000000" w:themeColor="text1"/>
        </w:rPr>
        <w:t xml:space="preserve">s from Pakistan’s manufacturing sector. </w:t>
      </w:r>
      <w:r>
        <w:rPr>
          <w:color w:val="000000" w:themeColor="text1"/>
        </w:rPr>
        <w:t>We believe th</w:t>
      </w:r>
      <w:r w:rsidR="000C62AB">
        <w:rPr>
          <w:color w:val="000000" w:themeColor="text1"/>
        </w:rPr>
        <w:t>at</w:t>
      </w:r>
      <w:r>
        <w:rPr>
          <w:color w:val="000000" w:themeColor="text1"/>
        </w:rPr>
        <w:t xml:space="preserve"> an investigation in a developing country like Pakistan is particularly valuable due to the higher level of uncertainty present in emerging markets. </w:t>
      </w:r>
      <w:r w:rsidRPr="00CF39F6">
        <w:rPr>
          <w:color w:val="000000" w:themeColor="text1"/>
        </w:rPr>
        <w:t>To derive our hypotheses and substantiate our empirical findings, we draw from the literature on SCA, organizational context</w:t>
      </w:r>
      <w:r>
        <w:rPr>
          <w:color w:val="000000" w:themeColor="text1"/>
        </w:rPr>
        <w:t>,</w:t>
      </w:r>
      <w:r w:rsidRPr="00CF39F6">
        <w:rPr>
          <w:color w:val="000000" w:themeColor="text1"/>
        </w:rPr>
        <w:t xml:space="preserve"> as well as the dynamic capabilit</w:t>
      </w:r>
      <w:r w:rsidR="000C62AB">
        <w:rPr>
          <w:color w:val="000000" w:themeColor="text1"/>
        </w:rPr>
        <w:t>ies</w:t>
      </w:r>
      <w:r w:rsidRPr="00CF39F6">
        <w:rPr>
          <w:color w:val="000000" w:themeColor="text1"/>
        </w:rPr>
        <w:t xml:space="preserve"> view (DCV) </w:t>
      </w:r>
      <w:r w:rsidRPr="00CF39F6">
        <w:rPr>
          <w:color w:val="000000" w:themeColor="text1"/>
        </w:rPr>
        <w:fldChar w:fldCharType="begin"/>
      </w:r>
      <w:r>
        <w:rPr>
          <w:color w:val="000000" w:themeColor="text1"/>
        </w:rPr>
        <w:instrText xml:space="preserve"> ADDIN EN.CITE &lt;EndNote&gt;&lt;Cite&gt;&lt;Author&gt;Teece&lt;/Author&gt;&lt;Year&gt;1997&lt;/Year&gt;&lt;RecNum&gt;1430&lt;/RecNum&gt;&lt;DisplayText&gt;(Teece et al., 1997)&lt;/DisplayText&gt;&lt;record&gt;&lt;rec-number&gt;1430&lt;/rec-number&gt;&lt;foreign-keys&gt;&lt;key app="EN" db-id="0ewd29dz4ds0vmee9zpx5s9udxtatsf5ffpw" timestamp="0"&gt;1430&lt;/key&gt;&lt;/foreign-keys&gt;&lt;ref-type name="Journal Article"&gt;17&lt;/ref-type&gt;&lt;contributors&gt;&lt;authors&gt;&lt;author&gt;Teece&lt;/author&gt;&lt;author&gt;Pisano, Gary&lt;/author&gt;&lt;author&gt;Shuen, Amy&lt;/author&gt;&lt;/authors&gt;&lt;/contributors&gt;&lt;titles&gt;&lt;title&gt;Dynamic capabilities and strategic management&lt;/title&gt;&lt;secondary-title&gt;Strategic Management Journal&lt;/secondary-title&gt;&lt;/titles&gt;&lt;periodical&gt;&lt;full-title&gt;Strategic Management Journal&lt;/full-title&gt;&lt;/periodical&gt;&lt;pages&gt;509-533&lt;/pages&gt;&lt;volume&gt;18&lt;/volume&gt;&lt;number&gt;7&lt;/number&gt;&lt;dates&gt;&lt;year&gt;1997&lt;/year&gt;&lt;/dates&gt;&lt;isbn&gt;1097-0266&lt;/isbn&gt;&lt;urls&gt;&lt;/urls&gt;&lt;/record&gt;&lt;/Cite&gt;&lt;/EndNote&gt;</w:instrText>
      </w:r>
      <w:r w:rsidRPr="00CF39F6">
        <w:rPr>
          <w:color w:val="000000" w:themeColor="text1"/>
        </w:rPr>
        <w:fldChar w:fldCharType="separate"/>
      </w:r>
      <w:r>
        <w:rPr>
          <w:noProof/>
          <w:color w:val="000000" w:themeColor="text1"/>
        </w:rPr>
        <w:t>(Teece et al., 1997)</w:t>
      </w:r>
      <w:r w:rsidRPr="00CF39F6">
        <w:rPr>
          <w:color w:val="000000" w:themeColor="text1"/>
        </w:rPr>
        <w:fldChar w:fldCharType="end"/>
      </w:r>
      <w:r w:rsidRPr="00CF39F6">
        <w:rPr>
          <w:color w:val="000000" w:themeColor="text1"/>
        </w:rPr>
        <w:t xml:space="preserve">. </w:t>
      </w:r>
    </w:p>
    <w:p w14:paraId="4D447FAC" w14:textId="16EA05AB" w:rsidR="007742CC" w:rsidRPr="001810EB" w:rsidRDefault="007742CC" w:rsidP="007742CC">
      <w:pPr>
        <w:spacing w:line="480" w:lineRule="auto"/>
        <w:ind w:firstLine="426"/>
        <w:jc w:val="both"/>
        <w:rPr>
          <w:color w:val="000000"/>
        </w:rPr>
      </w:pPr>
      <w:r w:rsidRPr="005C1D05">
        <w:rPr>
          <w:color w:val="000000"/>
        </w:rPr>
        <w:t>This study</w:t>
      </w:r>
      <w:r>
        <w:rPr>
          <w:color w:val="000000"/>
        </w:rPr>
        <w:t>’s</w:t>
      </w:r>
      <w:r w:rsidRPr="005C1D05">
        <w:rPr>
          <w:color w:val="000000"/>
        </w:rPr>
        <w:t xml:space="preserve"> contrib</w:t>
      </w:r>
      <w:r w:rsidRPr="00FA7C19">
        <w:rPr>
          <w:color w:val="FF0000"/>
        </w:rPr>
        <w:t>utions</w:t>
      </w:r>
      <w:r w:rsidRPr="005C1D05">
        <w:rPr>
          <w:color w:val="000000"/>
        </w:rPr>
        <w:t xml:space="preserve"> </w:t>
      </w:r>
      <w:r>
        <w:rPr>
          <w:color w:val="000000"/>
        </w:rPr>
        <w:t xml:space="preserve">are threefold: </w:t>
      </w:r>
      <w:r w:rsidR="00511DA7">
        <w:rPr>
          <w:color w:val="000000"/>
        </w:rPr>
        <w:t>F</w:t>
      </w:r>
      <w:r>
        <w:rPr>
          <w:color w:val="000000"/>
        </w:rPr>
        <w:t xml:space="preserve">irst, it shows that SCA </w:t>
      </w:r>
      <w:r w:rsidRPr="00FA7C19">
        <w:rPr>
          <w:color w:val="FF0000"/>
        </w:rPr>
        <w:t>does</w:t>
      </w:r>
      <w:r>
        <w:rPr>
          <w:color w:val="000000"/>
        </w:rPr>
        <w:t xml:space="preserve"> not only influence the short-term performance outcomes (i.e.</w:t>
      </w:r>
      <w:r w:rsidRPr="00FA7C19">
        <w:rPr>
          <w:color w:val="FF0000"/>
        </w:rPr>
        <w:t>,</w:t>
      </w:r>
      <w:r>
        <w:rPr>
          <w:color w:val="000000"/>
        </w:rPr>
        <w:t xml:space="preserve"> </w:t>
      </w:r>
      <w:r w:rsidR="001F3D7E">
        <w:rPr>
          <w:color w:val="000000"/>
        </w:rPr>
        <w:t>financial,</w:t>
      </w:r>
      <w:r>
        <w:rPr>
          <w:color w:val="000000"/>
        </w:rPr>
        <w:t xml:space="preserve"> and operational performance), but also the long-term success perspective (i.e.</w:t>
      </w:r>
      <w:r w:rsidRPr="00FA7C19">
        <w:rPr>
          <w:color w:val="FF0000"/>
        </w:rPr>
        <w:t>,</w:t>
      </w:r>
      <w:r>
        <w:rPr>
          <w:color w:val="000000"/>
        </w:rPr>
        <w:t xml:space="preserve"> innovation performance). Second, it emphasizes the need for the </w:t>
      </w:r>
      <w:r>
        <w:rPr>
          <w:i/>
          <w:color w:val="000000"/>
        </w:rPr>
        <w:t xml:space="preserve">right </w:t>
      </w:r>
      <w:r>
        <w:rPr>
          <w:color w:val="000000"/>
        </w:rPr>
        <w:t xml:space="preserve">context in which to flourish, particularly in dynamically changing environments, which has been overlooked in supply chain research to date. In doing so, our study also provides the context for developing dynamic capabilities. </w:t>
      </w:r>
      <w:r w:rsidRPr="008D4FBE">
        <w:rPr>
          <w:color w:val="FF0000"/>
        </w:rPr>
        <w:t>Finally, we emphasi</w:t>
      </w:r>
      <w:r>
        <w:rPr>
          <w:color w:val="FF0000"/>
        </w:rPr>
        <w:t>z</w:t>
      </w:r>
      <w:r w:rsidRPr="008D4FBE">
        <w:rPr>
          <w:color w:val="FF0000"/>
        </w:rPr>
        <w:t xml:space="preserve">e that while management can directly influence the internal context, it must </w:t>
      </w:r>
      <w:r>
        <w:rPr>
          <w:color w:val="FF0000"/>
        </w:rPr>
        <w:t>consider</w:t>
      </w:r>
      <w:r w:rsidRPr="008D4FBE">
        <w:rPr>
          <w:color w:val="FF0000"/>
        </w:rPr>
        <w:t xml:space="preserve"> the external context, which can hinder the positive effects of the internal context</w:t>
      </w:r>
      <w:r>
        <w:rPr>
          <w:color w:val="000000"/>
        </w:rPr>
        <w:t>.</w:t>
      </w:r>
    </w:p>
    <w:p w14:paraId="57E2CF50" w14:textId="77777777" w:rsidR="007742CC" w:rsidRDefault="007742CC" w:rsidP="007742CC">
      <w:pPr>
        <w:spacing w:line="480" w:lineRule="auto"/>
        <w:ind w:firstLine="426"/>
        <w:jc w:val="both"/>
        <w:rPr>
          <w:color w:val="000000" w:themeColor="text1"/>
        </w:rPr>
      </w:pPr>
      <w:r w:rsidRPr="00CF39F6">
        <w:rPr>
          <w:color w:val="000000" w:themeColor="text1"/>
        </w:rPr>
        <w:t xml:space="preserve">The remainder of the article is structured as follows: </w:t>
      </w:r>
      <w:r>
        <w:rPr>
          <w:color w:val="000000" w:themeColor="text1"/>
        </w:rPr>
        <w:t>T</w:t>
      </w:r>
      <w:r w:rsidRPr="00CF39F6">
        <w:rPr>
          <w:color w:val="000000" w:themeColor="text1"/>
        </w:rPr>
        <w:t xml:space="preserve">he subsequent </w:t>
      </w:r>
      <w:r>
        <w:rPr>
          <w:color w:val="000000" w:themeColor="text1"/>
        </w:rPr>
        <w:t>section</w:t>
      </w:r>
      <w:r w:rsidRPr="00CF39F6">
        <w:rPr>
          <w:color w:val="000000" w:themeColor="text1"/>
        </w:rPr>
        <w:t xml:space="preserve"> introduce</w:t>
      </w:r>
      <w:r>
        <w:rPr>
          <w:color w:val="000000" w:themeColor="text1"/>
        </w:rPr>
        <w:t xml:space="preserve">s </w:t>
      </w:r>
      <w:r w:rsidRPr="00CF39F6">
        <w:rPr>
          <w:color w:val="000000" w:themeColor="text1"/>
        </w:rPr>
        <w:t xml:space="preserve">the theoretical </w:t>
      </w:r>
      <w:r>
        <w:rPr>
          <w:color w:val="000000" w:themeColor="text1"/>
        </w:rPr>
        <w:t>background</w:t>
      </w:r>
      <w:r w:rsidRPr="00CF39F6">
        <w:rPr>
          <w:color w:val="000000" w:themeColor="text1"/>
        </w:rPr>
        <w:t>, derive</w:t>
      </w:r>
      <w:r>
        <w:rPr>
          <w:color w:val="000000" w:themeColor="text1"/>
        </w:rPr>
        <w:t>s</w:t>
      </w:r>
      <w:r w:rsidRPr="00CF39F6">
        <w:rPr>
          <w:color w:val="000000" w:themeColor="text1"/>
        </w:rPr>
        <w:t xml:space="preserve"> our hypotheses</w:t>
      </w:r>
      <w:r>
        <w:rPr>
          <w:color w:val="000000" w:themeColor="text1"/>
        </w:rPr>
        <w:t>,</w:t>
      </w:r>
      <w:r w:rsidRPr="00CF39F6">
        <w:rPr>
          <w:color w:val="000000" w:themeColor="text1"/>
        </w:rPr>
        <w:t xml:space="preserve"> and present</w:t>
      </w:r>
      <w:r>
        <w:rPr>
          <w:color w:val="000000" w:themeColor="text1"/>
        </w:rPr>
        <w:t>s</w:t>
      </w:r>
      <w:r w:rsidRPr="00CF39F6">
        <w:rPr>
          <w:color w:val="000000" w:themeColor="text1"/>
        </w:rPr>
        <w:t xml:space="preserve"> the overall framework. </w:t>
      </w:r>
      <w:r>
        <w:rPr>
          <w:color w:val="000000" w:themeColor="text1"/>
        </w:rPr>
        <w:t>S</w:t>
      </w:r>
      <w:r w:rsidRPr="00CF39F6">
        <w:rPr>
          <w:color w:val="000000" w:themeColor="text1"/>
        </w:rPr>
        <w:t xml:space="preserve">ection </w:t>
      </w:r>
      <w:r>
        <w:rPr>
          <w:color w:val="000000" w:themeColor="text1"/>
        </w:rPr>
        <w:t xml:space="preserve">three </w:t>
      </w:r>
      <w:r w:rsidRPr="00CF39F6">
        <w:rPr>
          <w:color w:val="000000" w:themeColor="text1"/>
        </w:rPr>
        <w:t>describes the</w:t>
      </w:r>
      <w:r>
        <w:rPr>
          <w:color w:val="000000" w:themeColor="text1"/>
        </w:rPr>
        <w:t xml:space="preserve"> applied</w:t>
      </w:r>
      <w:r w:rsidRPr="00CF39F6">
        <w:rPr>
          <w:color w:val="000000" w:themeColor="text1"/>
        </w:rPr>
        <w:t xml:space="preserve"> methodology, including an overview o</w:t>
      </w:r>
      <w:r>
        <w:rPr>
          <w:color w:val="000000" w:themeColor="text1"/>
        </w:rPr>
        <w:t>f</w:t>
      </w:r>
      <w:r w:rsidRPr="00CF39F6">
        <w:rPr>
          <w:color w:val="000000" w:themeColor="text1"/>
        </w:rPr>
        <w:t xml:space="preserve"> the data collection and data analysis </w:t>
      </w:r>
      <w:r w:rsidRPr="00CF39F6">
        <w:rPr>
          <w:color w:val="000000" w:themeColor="text1"/>
        </w:rPr>
        <w:lastRenderedPageBreak/>
        <w:t xml:space="preserve">process. Thereafter, we present the results of the tested hypotheses and the structural equation model, followed by </w:t>
      </w:r>
      <w:r>
        <w:rPr>
          <w:color w:val="000000" w:themeColor="text1"/>
        </w:rPr>
        <w:t>a</w:t>
      </w:r>
      <w:r w:rsidRPr="00CF39F6">
        <w:rPr>
          <w:color w:val="000000" w:themeColor="text1"/>
        </w:rPr>
        <w:t xml:space="preserve"> discussion of </w:t>
      </w:r>
      <w:r>
        <w:rPr>
          <w:color w:val="000000" w:themeColor="text1"/>
        </w:rPr>
        <w:t xml:space="preserve">the </w:t>
      </w:r>
      <w:r w:rsidRPr="00CF39F6">
        <w:rPr>
          <w:color w:val="000000" w:themeColor="text1"/>
        </w:rPr>
        <w:t>theoretical and practical implications of our findings. The study concludes with a summary of the key results, limitations of our study and pathways for future research.</w:t>
      </w:r>
    </w:p>
    <w:p w14:paraId="33380422" w14:textId="77777777" w:rsidR="007742CC" w:rsidRPr="006A1738" w:rsidRDefault="007742CC" w:rsidP="007742CC">
      <w:pPr>
        <w:pStyle w:val="ListParagraph"/>
        <w:numPr>
          <w:ilvl w:val="0"/>
          <w:numId w:val="12"/>
        </w:numPr>
        <w:spacing w:line="480" w:lineRule="auto"/>
        <w:ind w:left="0" w:firstLine="426"/>
        <w:jc w:val="center"/>
        <w:rPr>
          <w:rFonts w:ascii="Times New Roman" w:hAnsi="Times New Roman" w:cs="Times New Roman"/>
          <w:b/>
          <w:color w:val="000000" w:themeColor="text1"/>
          <w:sz w:val="24"/>
          <w:szCs w:val="24"/>
        </w:rPr>
      </w:pPr>
      <w:r w:rsidRPr="006A1738">
        <w:rPr>
          <w:rFonts w:ascii="Times New Roman" w:hAnsi="Times New Roman" w:cs="Times New Roman"/>
          <w:b/>
          <w:color w:val="000000" w:themeColor="text1"/>
          <w:sz w:val="24"/>
          <w:szCs w:val="24"/>
        </w:rPr>
        <w:t>THEORETICAL BACKGROUND AND HYPOTHESIS DEVELOPMENT</w:t>
      </w:r>
    </w:p>
    <w:p w14:paraId="07035E8D" w14:textId="77777777" w:rsidR="007742CC" w:rsidRPr="006A1738" w:rsidRDefault="007742CC" w:rsidP="007742CC">
      <w:pPr>
        <w:spacing w:line="480" w:lineRule="auto"/>
        <w:rPr>
          <w:b/>
          <w:i/>
          <w:color w:val="000000" w:themeColor="text1"/>
        </w:rPr>
      </w:pPr>
      <w:r>
        <w:rPr>
          <w:b/>
          <w:i/>
          <w:color w:val="000000" w:themeColor="text1"/>
        </w:rPr>
        <w:t xml:space="preserve">2.1 </w:t>
      </w:r>
      <w:r w:rsidRPr="006A1738">
        <w:rPr>
          <w:b/>
          <w:i/>
          <w:color w:val="000000" w:themeColor="text1"/>
        </w:rPr>
        <w:t>Organizational Context</w:t>
      </w:r>
    </w:p>
    <w:p w14:paraId="274F04AA" w14:textId="77777777" w:rsidR="007742CC" w:rsidRDefault="007742CC" w:rsidP="007742CC">
      <w:pPr>
        <w:spacing w:line="480" w:lineRule="auto"/>
        <w:jc w:val="both"/>
        <w:rPr>
          <w:color w:val="000000" w:themeColor="text1"/>
        </w:rPr>
      </w:pPr>
      <w:r>
        <w:rPr>
          <w:color w:val="000000" w:themeColor="text1"/>
        </w:rPr>
        <w:t xml:space="preserve">The modern world has become increasingly globalized. Rapid advancements in technology have allowed organizations to provide customized products, resulting in growing customer demand. This has steered firms towards successive cycles of restructuring and rationalization in the last few decades. Scholars have argued that reinventing business models may not be an appropriate response to changing environments. Instead organizations need to develop a context that can change employee behavior towards responses appropriate to the specific environment </w:t>
      </w:r>
      <w:r>
        <w:rPr>
          <w:color w:val="000000" w:themeColor="text1"/>
        </w:rPr>
        <w:fldChar w:fldCharType="begin"/>
      </w:r>
      <w:r>
        <w:rPr>
          <w:color w:val="000000" w:themeColor="text1"/>
        </w:rPr>
        <w:instrText xml:space="preserve"> ADDIN EN.CITE &lt;EndNote&gt;&lt;Cite&gt;&lt;Author&gt;Bartlett&lt;/Author&gt;&lt;Year&gt;1995&lt;/Year&gt;&lt;RecNum&gt;1560&lt;/RecNum&gt;&lt;DisplayText&gt;(Bartlett &amp;amp; Ghoshal, 1995)&lt;/DisplayText&gt;&lt;record&gt;&lt;rec-number&gt;1560&lt;/rec-number&gt;&lt;foreign-keys&gt;&lt;key app="EN" db-id="0ewd29dz4ds0vmee9zpx5s9udxtatsf5ffpw" timestamp="0"&gt;1560&lt;/key&gt;&lt;/foreign-keys&gt;&lt;ref-type name="Journal Article"&gt;17&lt;/ref-type&gt;&lt;contributors&gt;&lt;authors&gt;&lt;author&gt;Bartlett, Christopher A&lt;/author&gt;&lt;author&gt;Ghoshal, Sumantra&lt;/author&gt;&lt;/authors&gt;&lt;/contributors&gt;&lt;titles&gt;&lt;title&gt;Rebuilding behavioral context: turn process reengineering into people rejuvenation&lt;/title&gt;&lt;secondary-title&gt;MIT Sloan Management Review&lt;/secondary-title&gt;&lt;/titles&gt;&lt;pages&gt;11&lt;/pages&gt;&lt;volume&gt;37&lt;/volume&gt;&lt;number&gt;1&lt;/number&gt;&lt;dates&gt;&lt;year&gt;1995&lt;/year&gt;&lt;/dates&gt;&lt;isbn&gt;1532-9194&lt;/isbn&gt;&lt;urls&gt;&lt;/urls&gt;&lt;/record&gt;&lt;/Cite&gt;&lt;/EndNote&gt;</w:instrText>
      </w:r>
      <w:r>
        <w:rPr>
          <w:color w:val="000000" w:themeColor="text1"/>
        </w:rPr>
        <w:fldChar w:fldCharType="separate"/>
      </w:r>
      <w:r>
        <w:rPr>
          <w:noProof/>
          <w:color w:val="000000" w:themeColor="text1"/>
        </w:rPr>
        <w:t>(Bartlett &amp; Ghoshal, 1995)</w:t>
      </w:r>
      <w:r>
        <w:rPr>
          <w:color w:val="000000" w:themeColor="text1"/>
        </w:rPr>
        <w:fldChar w:fldCharType="end"/>
      </w:r>
      <w:r>
        <w:rPr>
          <w:color w:val="000000" w:themeColor="text1"/>
        </w:rPr>
        <w:t xml:space="preserve">.  </w:t>
      </w:r>
      <w:r w:rsidRPr="00CF39F6">
        <w:rPr>
          <w:color w:val="000000" w:themeColor="text1"/>
        </w:rPr>
        <w:t xml:space="preserve">Organizational context has </w:t>
      </w:r>
      <w:r>
        <w:rPr>
          <w:color w:val="000000" w:themeColor="text1"/>
        </w:rPr>
        <w:t xml:space="preserve">thus </w:t>
      </w:r>
      <w:r w:rsidRPr="00CF39F6">
        <w:rPr>
          <w:color w:val="000000" w:themeColor="text1"/>
        </w:rPr>
        <w:t>been identified as an important factor influencing managerial decisions</w:t>
      </w:r>
      <w:r>
        <w:rPr>
          <w:color w:val="000000" w:themeColor="text1"/>
        </w:rPr>
        <w:t xml:space="preserve"> </w:t>
      </w:r>
      <w:r>
        <w:rPr>
          <w:color w:val="000000" w:themeColor="text1"/>
        </w:rPr>
        <w:fldChar w:fldCharType="begin"/>
      </w:r>
      <w:r>
        <w:rPr>
          <w:color w:val="000000" w:themeColor="text1"/>
        </w:rPr>
        <w:instrText xml:space="preserve"> ADDIN EN.CITE &lt;EndNote&gt;&lt;Cite&gt;&lt;Author&gt;Úbeda-García&lt;/Author&gt;&lt;Year&gt;2020&lt;/Year&gt;&lt;RecNum&gt;1669&lt;/RecNum&gt;&lt;DisplayText&gt;(Úbeda-García et al., 2020)&lt;/DisplayText&gt;&lt;record&gt;&lt;rec-number&gt;1669&lt;/rec-number&gt;&lt;foreign-keys&gt;&lt;key app="EN" db-id="0ewd29dz4ds0vmee9zpx5s9udxtatsf5ffpw" timestamp="1677565605"&gt;1669&lt;/key&gt;&lt;/foreign-keys&gt;&lt;ref-type name="Journal Article"&gt;17&lt;/ref-type&gt;&lt;contributors&gt;&lt;authors&gt;&lt;author&gt;Úbeda-García, Mercedes&lt;/author&gt;&lt;author&gt;Claver-Cortés, Enrique&lt;/author&gt;&lt;author&gt;Marco-Lajara, Bartolomé&lt;/author&gt;&lt;author&gt;Zaragoza-Sáez, Patrocinio&lt;/author&gt;&lt;/authors&gt;&lt;/contributors&gt;&lt;titles&gt;&lt;title&gt;Toward a dynamic construction of organizational ambidexterity: Exploring the synergies between structural differentiation, organizational context, and interorganizational relations&lt;/title&gt;&lt;secondary-title&gt;Journal of Business Research&lt;/secondary-title&gt;&lt;/titles&gt;&lt;periodical&gt;&lt;full-title&gt;Journal of Business Research&lt;/full-title&gt;&lt;/periodical&gt;&lt;pages&gt;363-372&lt;/pages&gt;&lt;volume&gt;112&lt;/volume&gt;&lt;dates&gt;&lt;year&gt;2020&lt;/year&gt;&lt;/dates&gt;&lt;isbn&gt;0148-2963&lt;/isbn&gt;&lt;urls&gt;&lt;/urls&gt;&lt;/record&gt;&lt;/Cite&gt;&lt;/EndNote&gt;</w:instrText>
      </w:r>
      <w:r>
        <w:rPr>
          <w:color w:val="000000" w:themeColor="text1"/>
        </w:rPr>
        <w:fldChar w:fldCharType="separate"/>
      </w:r>
      <w:r>
        <w:rPr>
          <w:noProof/>
          <w:color w:val="000000" w:themeColor="text1"/>
        </w:rPr>
        <w:t>(Úbeda-García et al., 2020)</w:t>
      </w:r>
      <w:r>
        <w:rPr>
          <w:color w:val="000000" w:themeColor="text1"/>
        </w:rPr>
        <w:fldChar w:fldCharType="end"/>
      </w:r>
      <w:r w:rsidRPr="00254ACD">
        <w:rPr>
          <w:color w:val="000000" w:themeColor="text1"/>
        </w:rPr>
        <w:t>.</w:t>
      </w:r>
    </w:p>
    <w:p w14:paraId="1D72C580" w14:textId="45E97E7E" w:rsidR="007742CC" w:rsidRPr="00CF39F6" w:rsidRDefault="007742CC" w:rsidP="007742CC">
      <w:pPr>
        <w:spacing w:line="480" w:lineRule="auto"/>
        <w:ind w:firstLine="426"/>
        <w:jc w:val="both"/>
        <w:rPr>
          <w:color w:val="000000" w:themeColor="text1"/>
        </w:rPr>
      </w:pPr>
      <w:r w:rsidRPr="00887FB4">
        <w:rPr>
          <w:color w:val="FF0000"/>
        </w:rPr>
        <w:t>Previous research has shown that context can both induce and impede behavior</w:t>
      </w:r>
      <w:r w:rsidR="00C228B5" w:rsidRPr="00887FB4">
        <w:rPr>
          <w:color w:val="FF0000"/>
        </w:rPr>
        <w:t xml:space="preserve"> </w:t>
      </w:r>
      <w:r w:rsidR="00C228B5" w:rsidRPr="00887FB4">
        <w:rPr>
          <w:color w:val="FF0000"/>
        </w:rPr>
        <w:fldChar w:fldCharType="begin">
          <w:fldData xml:space="preserve">PEVuZE5vdGU+PENpdGU+PEF1dGhvcj5CYXRpc3RpxI08L0F1dGhvcj48WWVhcj4yMDE2PC9ZZWFy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</w:fldData>
        </w:fldChar>
      </w:r>
      <w:r w:rsidR="009059C3" w:rsidRPr="00887FB4">
        <w:rPr>
          <w:color w:val="FF0000"/>
        </w:rPr>
        <w:instrText xml:space="preserve"> ADDIN EN.CITE </w:instrText>
      </w:r>
      <w:r w:rsidR="009059C3" w:rsidRPr="00887FB4">
        <w:rPr>
          <w:color w:val="FF0000"/>
        </w:rPr>
        <w:fldChar w:fldCharType="begin">
          <w:fldData xml:space="preserve">PEVuZE5vdGU+PENpdGU+PEF1dGhvcj5CYXRpc3RpxI08L0F1dGhvcj48WWVhcj4yMDE2PC9ZZWFy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</w:fldData>
        </w:fldChar>
      </w:r>
      <w:r w:rsidR="009059C3" w:rsidRPr="00887FB4">
        <w:rPr>
          <w:color w:val="FF0000"/>
        </w:rPr>
        <w:instrText xml:space="preserve"> ADDIN EN.CITE.DATA </w:instrText>
      </w:r>
      <w:r w:rsidR="009059C3" w:rsidRPr="00887FB4">
        <w:rPr>
          <w:color w:val="FF0000"/>
        </w:rPr>
      </w:r>
      <w:r w:rsidR="009059C3" w:rsidRPr="00887FB4">
        <w:rPr>
          <w:color w:val="FF0000"/>
        </w:rPr>
        <w:fldChar w:fldCharType="end"/>
      </w:r>
      <w:r w:rsidR="00C228B5" w:rsidRPr="00887FB4">
        <w:rPr>
          <w:color w:val="FF0000"/>
        </w:rPr>
      </w:r>
      <w:r w:rsidR="00C228B5" w:rsidRPr="00887FB4">
        <w:rPr>
          <w:color w:val="FF0000"/>
        </w:rPr>
        <w:fldChar w:fldCharType="separate"/>
      </w:r>
      <w:r w:rsidR="009059C3" w:rsidRPr="00887FB4">
        <w:rPr>
          <w:noProof/>
          <w:color w:val="FF0000"/>
        </w:rPr>
        <w:t>(Batistič et al., 2016; De Keyser et al., 2023)</w:t>
      </w:r>
      <w:r w:rsidR="00C228B5" w:rsidRPr="00887FB4">
        <w:rPr>
          <w:color w:val="FF0000"/>
        </w:rPr>
        <w:fldChar w:fldCharType="end"/>
      </w:r>
      <w:r w:rsidRPr="00887FB4">
        <w:rPr>
          <w:color w:val="FF0000"/>
        </w:rPr>
        <w:t>.</w:t>
      </w:r>
      <w:r>
        <w:t xml:space="preserve"> It is thus important to identify the right mix of contextual elements that can lead to the required response from the organization’s members. </w:t>
      </w:r>
      <w:r w:rsidRPr="00CF39F6">
        <w:t>Ghoshal and Bartlett</w:t>
      </w:r>
      <w:r>
        <w:t xml:space="preserve"> </w:t>
      </w:r>
      <w:r w:rsidRPr="00CF39F6">
        <w:t xml:space="preserve">(1994) </w:t>
      </w:r>
      <w:r>
        <w:t xml:space="preserve">argued that the purpose of organizational context is to provide </w:t>
      </w:r>
      <w:r w:rsidRPr="00CF39F6">
        <w:t>organizational renewal</w:t>
      </w:r>
      <w:r>
        <w:t xml:space="preserve"> under a dynamically changing environment. They suggested </w:t>
      </w:r>
      <w:r w:rsidRPr="00CF39F6">
        <w:rPr>
          <w:color w:val="000000" w:themeColor="text1"/>
        </w:rPr>
        <w:t xml:space="preserve">discipline, stretch, support and trust as key </w:t>
      </w:r>
      <w:r w:rsidRPr="00CF39F6">
        <w:t>elements of organizational context</w:t>
      </w:r>
      <w:r w:rsidRPr="00CF39F6">
        <w:rPr>
          <w:color w:val="000000" w:themeColor="text1"/>
        </w:rPr>
        <w:t xml:space="preserve">. These </w:t>
      </w:r>
      <w:r>
        <w:rPr>
          <w:color w:val="000000" w:themeColor="text1"/>
        </w:rPr>
        <w:t>contextual factors</w:t>
      </w:r>
      <w:r w:rsidRPr="00CF39F6">
        <w:rPr>
          <w:color w:val="000000" w:themeColor="text1"/>
        </w:rPr>
        <w:t xml:space="preserve"> allow for self-renewal of </w:t>
      </w:r>
      <w:r>
        <w:rPr>
          <w:color w:val="000000" w:themeColor="text1"/>
        </w:rPr>
        <w:t xml:space="preserve">the </w:t>
      </w:r>
      <w:r w:rsidRPr="00CF39F6">
        <w:rPr>
          <w:color w:val="000000" w:themeColor="text1"/>
        </w:rPr>
        <w:t>organization’s resources, capabilities, processes and business model</w:t>
      </w:r>
      <w:r>
        <w:rPr>
          <w:color w:val="000000" w:themeColor="text1"/>
        </w:rPr>
        <w:t>,</w:t>
      </w:r>
      <w:r w:rsidRPr="00CF39F6">
        <w:rPr>
          <w:color w:val="000000" w:themeColor="text1"/>
        </w:rPr>
        <w:t xml:space="preserve"> and are formed and strengthened by macro and micro-level decisions of the top management</w:t>
      </w:r>
      <w:r>
        <w:rPr>
          <w:color w:val="000000" w:themeColor="text1"/>
        </w:rPr>
        <w:t xml:space="preserve"> </w:t>
      </w:r>
      <w:r>
        <w:rPr>
          <w:color w:val="000000" w:themeColor="text1"/>
        </w:rPr>
        <w:fldChar w:fldCharType="begin"/>
      </w:r>
      <w:r>
        <w:rPr>
          <w:color w:val="000000" w:themeColor="text1"/>
        </w:rPr>
        <w:instrText xml:space="preserve"> ADDIN EN.CITE &lt;EndNote&gt;&lt;Cite&gt;&lt;Author&gt;Ghoshal&lt;/Author&gt;&lt;Year&gt;1994&lt;/Year&gt;&lt;RecNum&gt;1264&lt;/RecNum&gt;&lt;DisplayText&gt;(Ghoshal &amp;amp; Bartlett, 1994)&lt;/DisplayText&gt;&lt;record&gt;&lt;rec-number&gt;1264&lt;/rec-number&gt;&lt;foreign-keys&gt;&lt;key app="EN" db-id="0ewd29dz4ds0vmee9zpx5s9udxtatsf5ffpw" timestamp="0"&gt;1264&lt;/key&gt;&lt;/foreign-keys&gt;&lt;ref-type name="Journal Article"&gt;17&lt;/ref-type&gt;&lt;contributors&gt;&lt;authors&gt;&lt;author&gt;Ghoshal, Sumantra&lt;/author&gt;&lt;author&gt;Bartlett, Christopher A&lt;/author&gt;&lt;/authors&gt;&lt;/contributors&gt;&lt;titles&gt;&lt;title&gt;Linking organizational context and managerial action: The dimensions of quality of management&lt;/title&gt;&lt;secondary-title&gt;Strategic management journal&lt;/secondary-title&gt;&lt;/titles&gt;&lt;periodical&gt;&lt;full-title&gt;Strategic Management Journal&lt;/full-title&gt;&lt;/periodical&gt;&lt;pages&gt;91-112&lt;/pages&gt;&lt;volume&gt;15&lt;/volume&gt;&lt;number&gt;S2&lt;/number&gt;&lt;dates&gt;&lt;year&gt;1994&lt;/year&gt;&lt;/dates&gt;&lt;isbn&gt;0143-2095&lt;/isbn&gt;&lt;urls&gt;&lt;/urls&gt;&lt;/record&gt;&lt;/Cite&gt;&lt;/EndNote&gt;</w:instrText>
      </w:r>
      <w:r>
        <w:rPr>
          <w:color w:val="000000" w:themeColor="text1"/>
        </w:rPr>
        <w:fldChar w:fldCharType="separate"/>
      </w:r>
      <w:r>
        <w:rPr>
          <w:noProof/>
          <w:color w:val="000000" w:themeColor="text1"/>
        </w:rPr>
        <w:t>(Ghoshal &amp; Bartlett, 1994)</w:t>
      </w:r>
      <w:r>
        <w:rPr>
          <w:color w:val="000000" w:themeColor="text1"/>
        </w:rPr>
        <w:fldChar w:fldCharType="end"/>
      </w:r>
      <w:r w:rsidRPr="00CF39F6">
        <w:rPr>
          <w:color w:val="000000" w:themeColor="text1"/>
        </w:rPr>
        <w:t xml:space="preserve">. </w:t>
      </w:r>
    </w:p>
    <w:p w14:paraId="407F54AA" w14:textId="77777777" w:rsidR="00A44316" w:rsidRDefault="007742CC" w:rsidP="00A44316">
      <w:pPr>
        <w:spacing w:line="480" w:lineRule="auto"/>
        <w:ind w:firstLine="426"/>
        <w:jc w:val="both"/>
        <w:rPr>
          <w:color w:val="000000" w:themeColor="text1"/>
        </w:rPr>
      </w:pPr>
      <w:r>
        <w:rPr>
          <w:color w:val="FF0000"/>
        </w:rPr>
        <w:lastRenderedPageBreak/>
        <w:t>However</w:t>
      </w:r>
      <w:r w:rsidRPr="00CF39F6">
        <w:rPr>
          <w:color w:val="000000" w:themeColor="text1"/>
        </w:rPr>
        <w:t>,</w:t>
      </w:r>
      <w:r w:rsidRPr="00A44316">
        <w:rPr>
          <w:color w:val="FF0000"/>
        </w:rPr>
        <w:t xml:space="preserve"> </w:t>
      </w:r>
      <w:r w:rsidRPr="00A44316">
        <w:rPr>
          <w:color w:val="FF0000"/>
        </w:rPr>
        <w:fldChar w:fldCharType="begin"/>
      </w:r>
      <w:r w:rsidRPr="00A44316">
        <w:rPr>
          <w:color w:val="FF0000"/>
        </w:rPr>
        <w:instrText xml:space="preserve"> ADDIN EN.CITE &lt;EndNote&gt;&lt;Cite AuthorYear="1"&gt;&lt;Author&gt;Gibson&lt;/Author&gt;&lt;Year&gt;2004&lt;/Year&gt;&lt;RecNum&gt;964&lt;/RecNum&gt;&lt;DisplayText&gt;Gibson and Birkinshaw (2004)&lt;/DisplayText&gt;&lt;record&gt;&lt;rec-number&gt;964&lt;/rec-number&gt;&lt;foreign-keys&gt;&lt;key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sidRPr="00A44316">
        <w:rPr>
          <w:color w:val="FF0000"/>
        </w:rPr>
        <w:fldChar w:fldCharType="separate"/>
      </w:r>
      <w:r w:rsidRPr="00A44316">
        <w:rPr>
          <w:noProof/>
          <w:color w:val="FF0000"/>
        </w:rPr>
        <w:t>Gibson and Birkinshaw (2004)</w:t>
      </w:r>
      <w:r w:rsidRPr="00A44316">
        <w:rPr>
          <w:color w:val="FF0000"/>
        </w:rPr>
        <w:fldChar w:fldCharType="end"/>
      </w:r>
      <w:r w:rsidRPr="00A44316">
        <w:rPr>
          <w:color w:val="FF0000"/>
        </w:rPr>
        <w:t xml:space="preserve"> did not find empirical support for these four factors. Instead, two factors emerged: ‘performance management context’ </w:t>
      </w:r>
      <w:r w:rsidR="00E40A25" w:rsidRPr="00A44316">
        <w:rPr>
          <w:color w:val="FF0000"/>
        </w:rPr>
        <w:t>incorporating discipline and stretch representing the hard aspects of organizational context which stimulate organizational members to perform at a high level and hold them accountable for their actions</w:t>
      </w:r>
      <w:r w:rsidR="00EC5A59" w:rsidRPr="00A44316">
        <w:rPr>
          <w:color w:val="FF0000"/>
        </w:rPr>
        <w:t>; and social context consisting of</w:t>
      </w:r>
      <w:r w:rsidRPr="00A44316">
        <w:rPr>
          <w:color w:val="FF0000"/>
        </w:rPr>
        <w:t xml:space="preserve"> support and trust</w:t>
      </w:r>
      <w:r w:rsidR="00A44316" w:rsidRPr="00A44316">
        <w:rPr>
          <w:color w:val="FF0000"/>
        </w:rPr>
        <w:t xml:space="preserve"> entailing</w:t>
      </w:r>
      <w:r w:rsidRPr="00A44316">
        <w:rPr>
          <w:color w:val="FF0000"/>
        </w:rPr>
        <w:t xml:space="preserve"> those aspects which provide members with the security and autonomy required to perform well.</w:t>
      </w:r>
      <w:r w:rsidRPr="00CF39F6">
        <w:rPr>
          <w:color w:val="000000" w:themeColor="text1"/>
        </w:rPr>
        <w:t xml:space="preserve"> Both </w:t>
      </w:r>
      <w:r w:rsidRPr="004F5C94">
        <w:rPr>
          <w:color w:val="FF0000"/>
        </w:rPr>
        <w:t>contexts</w:t>
      </w:r>
      <w:r w:rsidRPr="00CF39F6">
        <w:rPr>
          <w:color w:val="000000" w:themeColor="text1"/>
        </w:rPr>
        <w:t xml:space="preserve"> are crucial and mutually reinforcing</w:t>
      </w:r>
      <w:r>
        <w:rPr>
          <w:color w:val="000000" w:themeColor="text1"/>
        </w:rPr>
        <w:t>.</w:t>
      </w:r>
      <w:r w:rsidRPr="00CF39F6">
        <w:rPr>
          <w:color w:val="000000" w:themeColor="text1"/>
        </w:rPr>
        <w:t xml:space="preserve"> </w:t>
      </w:r>
      <w:r w:rsidRPr="004F5C94">
        <w:rPr>
          <w:color w:val="FF0000"/>
        </w:rPr>
        <w:t>T</w:t>
      </w:r>
      <w:r w:rsidRPr="00CF39F6">
        <w:rPr>
          <w:color w:val="000000" w:themeColor="text1"/>
        </w:rPr>
        <w:t>ogether</w:t>
      </w:r>
      <w:r>
        <w:rPr>
          <w:color w:val="000000" w:themeColor="text1"/>
        </w:rPr>
        <w:t xml:space="preserve"> </w:t>
      </w:r>
      <w:r w:rsidRPr="00CF39F6">
        <w:rPr>
          <w:color w:val="000000" w:themeColor="text1"/>
        </w:rPr>
        <w:t xml:space="preserve">this </w:t>
      </w:r>
      <w:r w:rsidRPr="00C33F70">
        <w:rPr>
          <w:i/>
          <w:iCs/>
          <w:color w:val="000000" w:themeColor="text1"/>
        </w:rPr>
        <w:t>balanced</w:t>
      </w:r>
      <w:r w:rsidRPr="00CF39F6">
        <w:rPr>
          <w:color w:val="000000" w:themeColor="text1"/>
        </w:rPr>
        <w:t xml:space="preserve"> mix of hard (i.e.</w:t>
      </w:r>
      <w:r w:rsidRPr="008D4FBE">
        <w:rPr>
          <w:color w:val="FF0000"/>
        </w:rPr>
        <w:t>,</w:t>
      </w:r>
      <w:r w:rsidRPr="00CF39F6">
        <w:rPr>
          <w:color w:val="000000" w:themeColor="text1"/>
        </w:rPr>
        <w:t xml:space="preserve"> performance management</w:t>
      </w:r>
      <w:r>
        <w:rPr>
          <w:color w:val="000000" w:themeColor="text1"/>
        </w:rPr>
        <w:t xml:space="preserve"> context</w:t>
      </w:r>
      <w:r w:rsidRPr="00CF39F6">
        <w:rPr>
          <w:color w:val="000000" w:themeColor="text1"/>
        </w:rPr>
        <w:t>) and soft (i.e</w:t>
      </w:r>
      <w:r>
        <w:rPr>
          <w:color w:val="000000" w:themeColor="text1"/>
        </w:rPr>
        <w:t>.</w:t>
      </w:r>
      <w:r w:rsidRPr="008D4FBE">
        <w:rPr>
          <w:color w:val="FF0000"/>
        </w:rPr>
        <w:t>,</w:t>
      </w:r>
      <w:r w:rsidRPr="00CF39F6">
        <w:rPr>
          <w:color w:val="000000" w:themeColor="text1"/>
        </w:rPr>
        <w:t xml:space="preserve"> social context) elements builds “the yin and yang of continuous self-renewal”</w:t>
      </w:r>
      <w:r>
        <w:rPr>
          <w:color w:val="000000" w:themeColor="text1"/>
        </w:rPr>
        <w:t xml:space="preserve"> </w:t>
      </w:r>
      <w:r>
        <w:rPr>
          <w:color w:val="000000" w:themeColor="text1"/>
        </w:rPr>
        <w:fldChar w:fldCharType="begin"/>
      </w:r>
      <w:r>
        <w:rPr>
          <w:color w:val="000000" w:themeColor="text1"/>
        </w:rPr>
        <w:instrText xml:space="preserve"> ADDIN EN.CITE &lt;EndNote&gt;&lt;Cite&gt;&lt;Author&gt;Bartlett&lt;/Author&gt;&lt;Year&gt;1997&lt;/Year&gt;&lt;RecNum&gt;1670&lt;/RecNum&gt;&lt;DisplayText&gt;(Bartlett &amp;amp; Ghoshal, 1997)&lt;/DisplayText&gt;&lt;record&gt;&lt;rec-number&gt;1670&lt;/rec-number&gt;&lt;foreign-keys&gt;&lt;key app="EN" db-id="0ewd29dz4ds0vmee9zpx5s9udxtatsf5ffpw" timestamp="1677565803"&gt;1670&lt;/key&gt;&lt;/foreign-keys&gt;&lt;ref-type name="Journal Article"&gt;17&lt;/ref-type&gt;&lt;contributors&gt;&lt;authors&gt;&lt;author&gt;Bartlett, Christopher A&lt;/author&gt;&lt;author&gt;Ghoshal, Sumantra&lt;/author&gt;&lt;/authors&gt;&lt;/contributors&gt;&lt;titles&gt;&lt;title&gt;The myth of the generic manager: new personal competencies for new management roles&lt;/title&gt;&lt;secondary-title&gt;California Management Review&lt;/secondary-title&gt;&lt;/titles&gt;&lt;periodical&gt;&lt;full-title&gt;California Management Review&lt;/full-title&gt;&lt;/periodical&gt;&lt;pages&gt;92-116&lt;/pages&gt;&lt;volume&gt;40&lt;/volume&gt;&lt;number&gt;1&lt;/number&gt;&lt;dates&gt;&lt;year&gt;1997&lt;/year&gt;&lt;/dates&gt;&lt;isbn&gt;0008-1256&lt;/isbn&gt;&lt;urls&gt;&lt;/urls&gt;&lt;/record&gt;&lt;/Cite&gt;&lt;/EndNote&gt;</w:instrText>
      </w:r>
      <w:r>
        <w:rPr>
          <w:color w:val="000000" w:themeColor="text1"/>
        </w:rPr>
        <w:fldChar w:fldCharType="separate"/>
      </w:r>
      <w:r>
        <w:rPr>
          <w:noProof/>
          <w:color w:val="000000" w:themeColor="text1"/>
        </w:rPr>
        <w:t>(Bartlett &amp; Ghoshal, 1997)</w:t>
      </w:r>
      <w:r>
        <w:rPr>
          <w:color w:val="000000" w:themeColor="text1"/>
        </w:rPr>
        <w:fldChar w:fldCharType="end"/>
      </w:r>
      <w:r w:rsidRPr="00CF39F6">
        <w:rPr>
          <w:color w:val="000000" w:themeColor="text1"/>
        </w:rPr>
        <w:t>.</w:t>
      </w:r>
    </w:p>
    <w:p w14:paraId="47BBDA1D" w14:textId="3903F613" w:rsidR="007742CC" w:rsidRPr="006A1738" w:rsidRDefault="007742CC" w:rsidP="007742CC">
      <w:pPr>
        <w:spacing w:before="160" w:line="480" w:lineRule="auto"/>
        <w:rPr>
          <w:b/>
          <w:i/>
          <w:color w:val="000000" w:themeColor="text1"/>
        </w:rPr>
      </w:pPr>
      <w:r>
        <w:rPr>
          <w:b/>
          <w:i/>
          <w:color w:val="000000" w:themeColor="text1"/>
        </w:rPr>
        <w:t>2.</w:t>
      </w:r>
      <w:r w:rsidR="00BE61F9">
        <w:rPr>
          <w:b/>
          <w:i/>
          <w:color w:val="000000" w:themeColor="text1"/>
        </w:rPr>
        <w:t>2</w:t>
      </w:r>
      <w:r w:rsidRPr="006A1738">
        <w:rPr>
          <w:b/>
          <w:i/>
          <w:color w:val="000000" w:themeColor="text1"/>
        </w:rPr>
        <w:t xml:space="preserve"> Organizational Context and SCA</w:t>
      </w:r>
    </w:p>
    <w:p w14:paraId="47285E8A" w14:textId="6852E823" w:rsidR="00BE61F9" w:rsidRPr="00CF39F6" w:rsidRDefault="00BE61F9" w:rsidP="00BE61F9">
      <w:pPr>
        <w:spacing w:line="480" w:lineRule="auto"/>
        <w:jc w:val="both"/>
        <w:rPr>
          <w:color w:val="000000" w:themeColor="text1"/>
        </w:rPr>
      </w:pPr>
      <w:r w:rsidRPr="00D77CEC">
        <w:rPr>
          <w:color w:val="FF0000"/>
        </w:rPr>
        <w:t xml:space="preserve">A dynamic capability is the ability “to sense and then seize new opportunities and to reconfigure and protect knowledge assets, competencies, and complementary assets to achieve a sustained competitive advantage” </w:t>
      </w:r>
      <w:r w:rsidRPr="00D77CEC">
        <w:rPr>
          <w:color w:val="FF0000"/>
        </w:rPr>
        <w:fldChar w:fldCharType="begin"/>
      </w:r>
      <w:r w:rsidRPr="00D77CEC">
        <w:rPr>
          <w:color w:val="FF0000"/>
        </w:rPr>
        <w:instrText xml:space="preserve"> ADDIN EN.CITE &lt;EndNote&gt;&lt;Cite&gt;&lt;Author&gt;Augier&lt;/Author&gt;&lt;Year&gt;2009&lt;/Year&gt;&lt;RecNum&gt;1282&lt;/RecNum&gt;&lt;Pages&gt;412&lt;/Pages&gt;&lt;DisplayText&gt;(Augier &amp;amp; Teece, 2009, p. 412)&lt;/DisplayText&gt;&lt;record&gt;&lt;rec-number&gt;1282&lt;/rec-number&gt;&lt;foreign-keys&gt;&lt;key app="EN" db-id="0ewd29dz4ds0vmee9zpx5s9udxtatsf5ffpw" timestamp="0"&gt;1282&lt;/key&gt;&lt;/foreign-keys&gt;&lt;ref-type name="Journal Article"&gt;17&lt;/ref-type&gt;&lt;contributors&gt;&lt;authors&gt;&lt;author&gt;Augier &lt;/author&gt;&lt;author&gt;Teece, &lt;/author&gt;&lt;/authors&gt;&lt;/contributors&gt;&lt;titles&gt;&lt;title&gt;Dynamic capabilities and the role of managers in business strategy and economic performance&lt;/title&gt;&lt;secondary-title&gt;Organization Science&lt;/secondary-title&gt;&lt;/titles&gt;&lt;pages&gt;410-421&lt;/pages&gt;&lt;volume&gt;20&lt;/volume&gt;&lt;number&gt;2&lt;/number&gt;&lt;dates&gt;&lt;year&gt;2009&lt;/year&gt;&lt;/dates&gt;&lt;isbn&gt;1047-7039&lt;/isbn&gt;&lt;urls&gt;&lt;/urls&gt;&lt;/record&gt;&lt;/Cite&gt;&lt;/EndNote&gt;</w:instrText>
      </w:r>
      <w:r w:rsidRPr="00D77CEC">
        <w:rPr>
          <w:color w:val="FF0000"/>
        </w:rPr>
        <w:fldChar w:fldCharType="separate"/>
      </w:r>
      <w:r w:rsidRPr="00D77CEC">
        <w:rPr>
          <w:noProof/>
          <w:color w:val="FF0000"/>
        </w:rPr>
        <w:t>(Augier &amp; Teece, 2009, p. 412)</w:t>
      </w:r>
      <w:r w:rsidRPr="00D77CEC">
        <w:rPr>
          <w:color w:val="FF0000"/>
        </w:rPr>
        <w:fldChar w:fldCharType="end"/>
      </w:r>
      <w:r w:rsidRPr="00D77CEC">
        <w:rPr>
          <w:color w:val="FF0000"/>
        </w:rPr>
        <w:t xml:space="preserve">. Dynamic capabilities transform business processes and enable resource deployment, redeployment, and operations </w:t>
      </w:r>
      <w:r w:rsidRPr="00D77CEC">
        <w:rPr>
          <w:color w:val="FF0000"/>
        </w:rPr>
        <w:fldChar w:fldCharType="begin"/>
      </w:r>
      <w:r w:rsidRPr="00D77CEC">
        <w:rPr>
          <w:color w:val="FF0000"/>
        </w:rPr>
        <w:instrText xml:space="preserve"> ADDIN EN.CITE &lt;EndNote&gt;&lt;Cite&gt;&lt;Author&gt;Teece&lt;/Author&gt;&lt;Year&gt;2007&lt;/Year&gt;&lt;RecNum&gt;24&lt;/RecNum&gt;&lt;DisplayText&gt;(Teece, 2007)&lt;/DisplayText&gt;&lt;record&gt;&lt;rec-number&gt;24&lt;/rec-number&gt;&lt;foreign-keys&gt;&lt;key app="EN" db-id="0ewd29dz4ds0vmee9zpx5s9udxtatsf5ffpw" timestamp="0"&gt;24&lt;/key&gt;&lt;/foreign-keys&gt;&lt;ref-type name="Journal Article"&gt;17&lt;/ref-type&gt;&lt;contributors&gt;&lt;authors&gt;&lt;author&gt;Teece, David J&lt;/author&gt;&lt;/authors&gt;&lt;/contributors&gt;&lt;titles&gt;&lt;title&gt;Explicating dynamic capabilities: the nature and microfoundations of (sustainable) enterprise performance&lt;/title&gt;&lt;secondary-title&gt;Strategic Management Journal&lt;/secondary-title&gt;&lt;/titles&gt;&lt;periodical&gt;&lt;full-title&gt;Strategic Management Journal&lt;/full-title&gt;&lt;/periodical&gt;&lt;pages&gt;1319-1350&lt;/pages&gt;&lt;volume&gt;28&lt;/volume&gt;&lt;number&gt;13&lt;/number&gt;&lt;dates&gt;&lt;year&gt;2007&lt;/year&gt;&lt;/dates&gt;&lt;publisher&gt;Wiley Online Library&lt;/publisher&gt;&lt;isbn&gt;1097-0266&lt;/isbn&gt;&lt;urls&gt;&lt;/urls&gt;&lt;/record&gt;&lt;/Cite&gt;&lt;/EndNote&gt;</w:instrText>
      </w:r>
      <w:r w:rsidRPr="00D77CEC">
        <w:rPr>
          <w:color w:val="FF0000"/>
        </w:rPr>
        <w:fldChar w:fldCharType="separate"/>
      </w:r>
      <w:r w:rsidRPr="00D77CEC">
        <w:rPr>
          <w:noProof/>
          <w:color w:val="FF0000"/>
        </w:rPr>
        <w:t>(Teece, 2007)</w:t>
      </w:r>
      <w:r w:rsidRPr="00D77CEC">
        <w:rPr>
          <w:color w:val="FF0000"/>
        </w:rPr>
        <w:fldChar w:fldCharType="end"/>
      </w:r>
      <w:r w:rsidRPr="00D77CEC">
        <w:rPr>
          <w:color w:val="FF0000"/>
        </w:rPr>
        <w:t>, and account for the difference in firms’ competitive positions with similar bundles of resource endowments</w:t>
      </w:r>
      <w:r w:rsidR="0078313B">
        <w:rPr>
          <w:color w:val="FF0000"/>
        </w:rPr>
        <w:t xml:space="preserve"> </w:t>
      </w:r>
      <w:r w:rsidR="0078313B">
        <w:rPr>
          <w:color w:val="FF0000"/>
        </w:rPr>
        <w:fldChar w:fldCharType="begin"/>
      </w:r>
      <w:r w:rsidR="0078313B">
        <w:rPr>
          <w:color w:val="FF0000"/>
        </w:rPr>
        <w:instrText xml:space="preserve"> ADDIN EN.CITE &lt;EndNote&gt;&lt;Cite&gt;&lt;Author&gt;Scheuer&lt;/Author&gt;&lt;Year&gt;2022&lt;/Year&gt;&lt;RecNum&gt;1789&lt;/RecNum&gt;&lt;DisplayText&gt;(Scheuer &amp;amp; Thaler, 2022)&lt;/DisplayText&gt;&lt;record&gt;&lt;rec-number&gt;1789&lt;/rec-number&gt;&lt;foreign-keys&gt;&lt;key app="EN" db-id="0ewd29dz4ds0vmee9zpx5s9udxtatsf5ffpw" timestamp="1700325477"&gt;1789&lt;/key&gt;&lt;/foreign-keys&gt;&lt;ref-type name="Journal Article"&gt;17&lt;/ref-type&gt;&lt;contributors&gt;&lt;authors&gt;&lt;author&gt;Scheuer, Luca Joachim&lt;/author&gt;&lt;author&gt;Thaler, Julia&lt;/author&gt;&lt;/authors&gt;&lt;/contributors&gt;&lt;titles&gt;&lt;title&gt;HOW do dynamic capabilities affect performance? A systematic review of mediators&lt;/title&gt;&lt;secondary-title&gt;European Management Journal&lt;/secondary-title&gt;&lt;/titles&gt;&lt;periodical&gt;&lt;full-title&gt;European Management Journal&lt;/full-title&gt;&lt;/periodical&gt;&lt;keywords&gt;&lt;keyword&gt;Systematic literature review&lt;/keyword&gt;&lt;keyword&gt;SPAR-4-SLR protocol&lt;/keyword&gt;&lt;keyword&gt;Dynamic capabilities&lt;/keyword&gt;&lt;keyword&gt;Mediators&lt;/keyword&gt;&lt;keyword&gt;Organizational change&lt;/keyword&gt;&lt;/keywords&gt;&lt;dates&gt;&lt;year&gt;2022&lt;/year&gt;&lt;/dates&gt;&lt;isbn&gt;0263-2373&lt;/isbn&gt;&lt;urls&gt;&lt;related-urls&gt;&lt;url&gt;https://www.sciencedirect.com/science/article/pii/S0263237322001724&lt;/url&gt;&lt;/related-urls&gt;&lt;/urls&gt;&lt;electronic-resource-num&gt;https://doi.org/10.1016/j.emj.2022.12.006&lt;/electronic-resource-num&gt;&lt;/record&gt;&lt;/Cite&gt;&lt;/EndNote&gt;</w:instrText>
      </w:r>
      <w:r w:rsidR="0078313B">
        <w:rPr>
          <w:color w:val="FF0000"/>
        </w:rPr>
        <w:fldChar w:fldCharType="separate"/>
      </w:r>
      <w:r w:rsidR="0078313B">
        <w:rPr>
          <w:noProof/>
          <w:color w:val="FF0000"/>
        </w:rPr>
        <w:t>(Scheuer &amp; Thaler, 2022)</w:t>
      </w:r>
      <w:r w:rsidR="0078313B">
        <w:rPr>
          <w:color w:val="FF0000"/>
        </w:rPr>
        <w:fldChar w:fldCharType="end"/>
      </w:r>
      <w:r w:rsidRPr="00D77CEC">
        <w:rPr>
          <w:color w:val="FF0000"/>
        </w:rPr>
        <w:t xml:space="preserve">. Dynamic capabilities exist at both the firm and the supply chain level (Aslam et al., 2020; Teece, 2007). In this study, we consider SCA as a dynamic </w:t>
      </w:r>
      <w:r>
        <w:rPr>
          <w:color w:val="FF0000"/>
        </w:rPr>
        <w:t xml:space="preserve">supply chain </w:t>
      </w:r>
      <w:r w:rsidRPr="00D77CEC">
        <w:rPr>
          <w:color w:val="FF0000"/>
        </w:rPr>
        <w:t xml:space="preserve">capability </w:t>
      </w:r>
      <w:r w:rsidRPr="00D77CEC">
        <w:rPr>
          <w:color w:val="FF0000"/>
        </w:rPr>
        <w:fldChar w:fldCharType="begin">
          <w:fldData xml:space="preserve">PEVuZE5vdGU+PENpdGU+PEF1dGhvcj5Bc2xhbTwvQXV0aG9yPjxZZWFyPjIwMTg8L1llYXI+PFJl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</w:fldData>
        </w:fldChar>
      </w:r>
      <w:r w:rsidRPr="00D77CEC">
        <w:rPr>
          <w:color w:val="FF0000"/>
        </w:rPr>
        <w:instrText xml:space="preserve"> ADDIN EN.CITE </w:instrText>
      </w:r>
      <w:r w:rsidRPr="00D77CEC">
        <w:rPr>
          <w:color w:val="FF0000"/>
        </w:rPr>
        <w:fldChar w:fldCharType="begin">
          <w:fldData xml:space="preserve">PEVuZE5vdGU+PENpdGU+PEF1dGhvcj5Bc2xhbTwvQXV0aG9yPjxZZWFyPjIwMTg8L1llYXI+PFJl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</w:fldData>
        </w:fldChar>
      </w:r>
      <w:r w:rsidRPr="00D77CEC">
        <w:rPr>
          <w:color w:val="FF0000"/>
        </w:rPr>
        <w:instrText xml:space="preserve"> ADDIN EN.CITE.DATA </w:instrText>
      </w:r>
      <w:r w:rsidRPr="00D77CEC">
        <w:rPr>
          <w:color w:val="FF0000"/>
        </w:rPr>
      </w:r>
      <w:r w:rsidRPr="00D77CEC">
        <w:rPr>
          <w:color w:val="FF0000"/>
        </w:rPr>
        <w:fldChar w:fldCharType="end"/>
      </w:r>
      <w:r w:rsidRPr="00D77CEC">
        <w:rPr>
          <w:color w:val="FF0000"/>
        </w:rPr>
      </w:r>
      <w:r w:rsidRPr="00D77CEC">
        <w:rPr>
          <w:color w:val="FF0000"/>
        </w:rPr>
        <w:fldChar w:fldCharType="separate"/>
      </w:r>
      <w:r w:rsidRPr="00D77CEC">
        <w:rPr>
          <w:noProof/>
          <w:color w:val="FF0000"/>
        </w:rPr>
        <w:t>(Aslam et al., 2018; Eckstein et al., 2015)</w:t>
      </w:r>
      <w:r w:rsidRPr="00D77CEC">
        <w:rPr>
          <w:color w:val="FF0000"/>
        </w:rPr>
        <w:fldChar w:fldCharType="end"/>
      </w:r>
      <w:r w:rsidRPr="00D77CEC">
        <w:rPr>
          <w:color w:val="FF0000"/>
        </w:rPr>
        <w:t xml:space="preserve"> that allows firms to </w:t>
      </w:r>
      <w:r w:rsidR="0031624B" w:rsidRPr="00D77CEC">
        <w:rPr>
          <w:color w:val="FF0000"/>
        </w:rPr>
        <w:t>respond speedily</w:t>
      </w:r>
      <w:r w:rsidRPr="00D77CEC">
        <w:rPr>
          <w:color w:val="FF0000"/>
        </w:rPr>
        <w:t xml:space="preserve"> </w:t>
      </w:r>
      <w:r w:rsidR="002C456E">
        <w:rPr>
          <w:color w:val="FF0000"/>
        </w:rPr>
        <w:t xml:space="preserve">to </w:t>
      </w:r>
      <w:r w:rsidRPr="00D77CEC">
        <w:rPr>
          <w:color w:val="FF0000"/>
        </w:rPr>
        <w:t xml:space="preserve">short-term changes in demand and supply patterns while improving product delivery efficiency </w:t>
      </w:r>
      <w:r w:rsidRPr="00D77CEC">
        <w:rPr>
          <w:color w:val="FF0000"/>
        </w:rPr>
        <w:fldChar w:fldCharType="begin"/>
      </w:r>
      <w:r w:rsidRPr="00D77CEC">
        <w:rPr>
          <w:color w:val="FF0000"/>
        </w:rPr>
        <w:instrText xml:space="preserve"> ADDIN EN.CITE &lt;EndNote&gt;&lt;Cite&gt;&lt;Author&gt;Zacharia&lt;/Author&gt;&lt;Year&gt;2014&lt;/Year&gt;&lt;RecNum&gt;897&lt;/RecNum&gt;&lt;DisplayText&gt;(Zacharia et al., 2014; Zhu &amp;amp; Gao, 2021)&lt;/DisplayText&gt;&lt;record&gt;&lt;rec-number&gt;897&lt;/rec-number&gt;&lt;foreign-keys&gt;&lt;key app="EN" db-id="0ewd29dz4ds0vmee9zpx5s9udxtatsf5ffpw" timestamp="0"&gt;897&lt;/key&gt;&lt;/foreign-keys&gt;&lt;ref-type name="Journal Article"&gt;17&lt;/ref-type&gt;&lt;contributors&gt;&lt;authors&gt;&lt;author&gt;Zacharia, Zach G&lt;/author&gt;&lt;author&gt;Sanders, Nada R&lt;/author&gt;&lt;author&gt;Fugate, Brian S&lt;/author&gt;&lt;/authors&gt;&lt;/contributors&gt;&lt;titles&gt;&lt;title&gt;Evolving functional perspectives within supply chain management&lt;/title&gt;&lt;secondary-title&gt;Journal of Supply Chain Management&lt;/secondary-title&gt;&lt;/titles&gt;&lt;periodical&gt;&lt;full-title&gt;Journal of Supply Chain Management&lt;/full-title&gt;&lt;/periodical&gt;&lt;pages&gt;73-88&lt;/pages&gt;&lt;volume&gt;50&lt;/volume&gt;&lt;number&gt;1&lt;/number&gt;&lt;dates&gt;&lt;year&gt;2014&lt;/year&gt;&lt;/dates&gt;&lt;isbn&gt;1745-493X&lt;/isbn&gt;&lt;urls&gt;&lt;/urls&gt;&lt;/record&gt;&lt;/Cite&gt;&lt;Cite&gt;&lt;Author&gt;Zhu&lt;/Author&gt;&lt;Year&gt;2021&lt;/Year&gt;&lt;RecNum&gt;1671&lt;/RecNum&gt;&lt;record&gt;&lt;rec-number&gt;1671&lt;/rec-number&gt;&lt;foreign-keys&gt;&lt;key app="EN" db-id="0ewd29dz4ds0vmee9zpx5s9udxtatsf5ffpw" timestamp="1677566245"&gt;1671&lt;/key&gt;&lt;/foreign-keys&gt;&lt;ref-type name="Journal Article"&gt;17&lt;/ref-type&gt;&lt;contributors&gt;&lt;authors&gt;&lt;author&gt;Zhu, Man&lt;/author&gt;&lt;author&gt;Gao, Hongyan&lt;/author&gt;&lt;/authors&gt;&lt;/contributors&gt;&lt;titles&gt;&lt;title&gt;The antecedents of supply chain agility and their effect on business performance: an organizational strategy perspective&lt;/title&gt;&lt;secondary-title&gt;Operations Management Research&lt;/secondary-title&gt;&lt;/titles&gt;&lt;periodical&gt;&lt;full-title&gt;Operations Management Research&lt;/full-title&gt;&lt;/periodical&gt;&lt;pages&gt;166-176&lt;/pages&gt;&lt;volume&gt;14&lt;/volume&gt;&lt;dates&gt;&lt;year&gt;2021&lt;/year&gt;&lt;/dates&gt;&lt;isbn&gt;1936-9735&lt;/isbn&gt;&lt;urls&gt;&lt;/urls&gt;&lt;/record&gt;&lt;/Cite&gt;&lt;/EndNote&gt;</w:instrText>
      </w:r>
      <w:r w:rsidRPr="00D77CEC">
        <w:rPr>
          <w:color w:val="FF0000"/>
        </w:rPr>
        <w:fldChar w:fldCharType="separate"/>
      </w:r>
      <w:r w:rsidRPr="00D77CEC">
        <w:rPr>
          <w:noProof/>
          <w:color w:val="FF0000"/>
        </w:rPr>
        <w:t>(Zacharia et al., 2014; Zhu &amp; Gao, 2021)</w:t>
      </w:r>
      <w:r w:rsidRPr="00D77CEC">
        <w:rPr>
          <w:color w:val="FF0000"/>
        </w:rPr>
        <w:fldChar w:fldCharType="end"/>
      </w:r>
      <w:r w:rsidRPr="00D77CEC">
        <w:rPr>
          <w:color w:val="FF0000"/>
        </w:rPr>
        <w:t xml:space="preserve">. SCA extends the boundaries of the firm to include customers and suppliers and thus helps firms seizing opportunities and </w:t>
      </w:r>
      <w:r w:rsidR="002C456E">
        <w:rPr>
          <w:color w:val="FF0000"/>
        </w:rPr>
        <w:t>neutralize</w:t>
      </w:r>
      <w:r w:rsidRPr="00D77CEC">
        <w:rPr>
          <w:color w:val="FF0000"/>
        </w:rPr>
        <w:t xml:space="preserve"> threats in the marketplace </w:t>
      </w:r>
      <w:r w:rsidRPr="00D77CEC">
        <w:rPr>
          <w:color w:val="FF0000"/>
        </w:rPr>
        <w:fldChar w:fldCharType="begin">
          <w:fldData xml:space="preserve">PEVuZE5vdGU+PENpdGU+PEF1dGhvcj5FY2tzdGVpbjwvQXV0aG9yPjxZZWFyPjIwMTU8L1llYXI+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</w:fldData>
        </w:fldChar>
      </w:r>
      <w:r w:rsidRPr="00D77CEC">
        <w:rPr>
          <w:color w:val="FF0000"/>
        </w:rPr>
        <w:instrText xml:space="preserve"> ADDIN EN.CITE </w:instrText>
      </w:r>
      <w:r w:rsidRPr="00D77CEC">
        <w:rPr>
          <w:color w:val="FF0000"/>
        </w:rPr>
        <w:fldChar w:fldCharType="begin">
          <w:fldData xml:space="preserve">PEVuZE5vdGU+PENpdGU+PEF1dGhvcj5FY2tzdGVpbjwvQXV0aG9yPjxZZWFyPjIwMTU8L1llYXI+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</w:fldData>
        </w:fldChar>
      </w:r>
      <w:r w:rsidRPr="00D77CEC">
        <w:rPr>
          <w:color w:val="FF0000"/>
        </w:rPr>
        <w:instrText xml:space="preserve"> ADDIN EN.CITE.DATA </w:instrText>
      </w:r>
      <w:r w:rsidRPr="00D77CEC">
        <w:rPr>
          <w:color w:val="FF0000"/>
        </w:rPr>
      </w:r>
      <w:r w:rsidRPr="00D77CEC">
        <w:rPr>
          <w:color w:val="FF0000"/>
        </w:rPr>
        <w:fldChar w:fldCharType="end"/>
      </w:r>
      <w:r w:rsidRPr="00D77CEC">
        <w:rPr>
          <w:color w:val="FF0000"/>
        </w:rPr>
      </w:r>
      <w:r w:rsidRPr="00D77CEC">
        <w:rPr>
          <w:color w:val="FF0000"/>
        </w:rPr>
        <w:fldChar w:fldCharType="separate"/>
      </w:r>
      <w:r w:rsidRPr="00D77CEC">
        <w:rPr>
          <w:noProof/>
          <w:color w:val="FF0000"/>
        </w:rPr>
        <w:t>(Blome et al., 2013; Eckstein et al., 2015)</w:t>
      </w:r>
      <w:r w:rsidRPr="00D77CEC">
        <w:rPr>
          <w:color w:val="FF0000"/>
        </w:rPr>
        <w:fldChar w:fldCharType="end"/>
      </w:r>
      <w:r w:rsidRPr="00D77CEC">
        <w:rPr>
          <w:color w:val="FF0000"/>
        </w:rPr>
        <w:t xml:space="preserve">. </w:t>
      </w:r>
    </w:p>
    <w:p w14:paraId="0CAB5864" w14:textId="6D4A1422" w:rsidR="007742CC" w:rsidRDefault="00BE61F9" w:rsidP="00BE61F9">
      <w:pPr>
        <w:spacing w:line="480" w:lineRule="auto"/>
        <w:ind w:firstLine="567"/>
        <w:jc w:val="both"/>
        <w:rPr>
          <w:color w:val="C00000"/>
        </w:rPr>
      </w:pPr>
      <w:r w:rsidRPr="00BE61F9">
        <w:rPr>
          <w:color w:val="C00000"/>
        </w:rPr>
        <w:t xml:space="preserve">It </w:t>
      </w:r>
      <w:r w:rsidR="007742CC" w:rsidRPr="00BE61F9">
        <w:rPr>
          <w:color w:val="C00000"/>
        </w:rPr>
        <w:t>is</w:t>
      </w:r>
      <w:r w:rsidRPr="00BE61F9">
        <w:rPr>
          <w:color w:val="C00000"/>
        </w:rPr>
        <w:t xml:space="preserve"> a</w:t>
      </w:r>
      <w:r w:rsidR="007742CC" w:rsidRPr="00BE61F9">
        <w:rPr>
          <w:color w:val="C00000"/>
        </w:rPr>
        <w:t xml:space="preserve"> </w:t>
      </w:r>
      <w:r w:rsidR="00515739" w:rsidRPr="00BE61F9">
        <w:rPr>
          <w:color w:val="C00000"/>
        </w:rPr>
        <w:t>well-established</w:t>
      </w:r>
      <w:r w:rsidR="007742CC" w:rsidRPr="00BE61F9">
        <w:rPr>
          <w:color w:val="C00000"/>
        </w:rPr>
        <w:t xml:space="preserve"> in the dynamic capabilities literature that the evolution of dynamic capabilities is influenced by organizational context </w:t>
      </w:r>
      <w:r w:rsidR="007742CC" w:rsidRPr="00BE61F9">
        <w:rPr>
          <w:color w:val="C00000"/>
        </w:rPr>
        <w:fldChar w:fldCharType="begin">
          <w:fldData xml:space="preserve">PEVuZE5vdGU+PENpdGU+PEF1dGhvcj5EYXJvbmNvPC9BdXRob3I+PFllYXI+MjAyMzwvWWVhcj48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</w:fldData>
        </w:fldChar>
      </w:r>
      <w:r w:rsidR="00402945" w:rsidRPr="00BE61F9">
        <w:rPr>
          <w:color w:val="C00000"/>
        </w:rPr>
        <w:instrText xml:space="preserve"> ADDIN EN.CITE </w:instrText>
      </w:r>
      <w:r w:rsidR="00402945" w:rsidRPr="00BE61F9">
        <w:rPr>
          <w:color w:val="C00000"/>
        </w:rPr>
        <w:fldChar w:fldCharType="begin">
          <w:fldData xml:space="preserve">PEVuZE5vdGU+PENpdGU+PEF1dGhvcj5EYXJvbmNvPC9BdXRob3I+PFllYXI+MjAyMzwvWWVhcj48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</w:fldData>
        </w:fldChar>
      </w:r>
      <w:r w:rsidR="00402945" w:rsidRPr="00BE61F9">
        <w:rPr>
          <w:color w:val="C00000"/>
        </w:rPr>
        <w:instrText xml:space="preserve"> ADDIN EN.CITE.DATA </w:instrText>
      </w:r>
      <w:r w:rsidR="00402945" w:rsidRPr="00BE61F9">
        <w:rPr>
          <w:color w:val="C00000"/>
        </w:rPr>
      </w:r>
      <w:r w:rsidR="00402945" w:rsidRPr="00BE61F9">
        <w:rPr>
          <w:color w:val="C00000"/>
        </w:rPr>
        <w:fldChar w:fldCharType="end"/>
      </w:r>
      <w:r w:rsidR="007742CC" w:rsidRPr="00BE61F9">
        <w:rPr>
          <w:color w:val="C00000"/>
        </w:rPr>
      </w:r>
      <w:r w:rsidR="007742CC" w:rsidRPr="00BE61F9">
        <w:rPr>
          <w:color w:val="C00000"/>
        </w:rPr>
        <w:fldChar w:fldCharType="separate"/>
      </w:r>
      <w:r w:rsidR="007742CC" w:rsidRPr="00BE61F9">
        <w:rPr>
          <w:noProof/>
          <w:color w:val="C00000"/>
        </w:rPr>
        <w:t>(Daronco et al., 2023; Teece et al., 1997)</w:t>
      </w:r>
      <w:r w:rsidR="007742CC" w:rsidRPr="00BE61F9">
        <w:rPr>
          <w:color w:val="C00000"/>
        </w:rPr>
        <w:fldChar w:fldCharType="end"/>
      </w:r>
      <w:r w:rsidR="007742CC" w:rsidRPr="00BE61F9">
        <w:rPr>
          <w:color w:val="C00000"/>
        </w:rPr>
        <w:t xml:space="preserve">. </w:t>
      </w:r>
      <w:r w:rsidR="007742CC" w:rsidRPr="00BE61F9">
        <w:rPr>
          <w:color w:val="C00000"/>
        </w:rPr>
        <w:lastRenderedPageBreak/>
        <w:t>Organizational context constitutes firm resources, size</w:t>
      </w:r>
      <w:r w:rsidR="00496BC3">
        <w:rPr>
          <w:color w:val="C00000"/>
        </w:rPr>
        <w:t>,</w:t>
      </w:r>
      <w:r w:rsidR="007742CC" w:rsidRPr="00BE61F9">
        <w:rPr>
          <w:color w:val="C00000"/>
        </w:rPr>
        <w:t xml:space="preserve"> and top management support </w:t>
      </w:r>
      <w:r w:rsidR="007742CC" w:rsidRPr="00BE61F9">
        <w:rPr>
          <w:color w:val="C00000"/>
        </w:rPr>
        <w:fldChar w:fldCharType="begin"/>
      </w:r>
      <w:r w:rsidR="007742CC" w:rsidRPr="00BE61F9">
        <w:rPr>
          <w:color w:val="C00000"/>
        </w:rPr>
        <w:instrText xml:space="preserve"> ADDIN EN.CITE &lt;EndNote&gt;&lt;Cite&gt;&lt;Author&gt;Zeng&lt;/Author&gt;&lt;Year&gt;2020&lt;/Year&gt;&lt;RecNum&gt;1650&lt;/RecNum&gt;&lt;DisplayText&gt;(Zeng et al., 2020)&lt;/DisplayText&gt;&lt;record&gt;&lt;rec-number&gt;1650&lt;/rec-number&gt;&lt;foreign-keys&gt;&lt;key app="EN" db-id="zw59vpadbtepfpef9t3pvzeot59fe2ptraw5" timestamp="1668055926"&gt;1650&lt;/key&gt;&lt;/foreign-keys&gt;&lt;ref-type name="Journal Article"&gt;17&lt;/ref-type&gt;&lt;contributors&gt;&lt;authors&gt;&lt;author&gt;Zeng, Fangli&lt;/author&gt;&lt;author&gt;Chan, Hing Kai&lt;/author&gt;&lt;author&gt;Pawar, Kulwant&lt;/author&gt;&lt;/authors&gt;&lt;/contributors&gt;&lt;titles&gt;&lt;title&gt;The adoption of open platform for container bookings in the maritime supply chain&lt;/title&gt;&lt;secondary-title&gt;Transportation Research Part E: Logistics and Transportation Review&lt;/secondary-title&gt;&lt;/titles&gt;&lt;periodical&gt;&lt;full-title&gt;Transportation Research Part E: Logistics and Transportation Review&lt;/full-title&gt;&lt;/periodical&gt;&lt;pages&gt;102019&lt;/pages&gt;&lt;volume&gt;141&lt;/volume&gt;&lt;keywords&gt;&lt;keyword&gt;Inter-organizational information system and technology&lt;/keyword&gt;&lt;keyword&gt;Open platform&lt;/keyword&gt;&lt;keyword&gt;Maritime supply chain&lt;/keyword&gt;&lt;keyword&gt;Multi-method&lt;/keyword&gt;&lt;keyword&gt;Semi-structured interview&lt;/keyword&gt;&lt;/keywords&gt;&lt;dates&gt;&lt;year&gt;2020&lt;/year&gt;&lt;pub-dates&gt;&lt;date&gt;2020/09/01/&lt;/date&gt;&lt;/pub-dates&gt;&lt;/dates&gt;&lt;isbn&gt;1366-5545&lt;/isbn&gt;&lt;urls&gt;&lt;related-urls&gt;&lt;url&gt;https://www.sciencedirect.com/science/article/pii/S1366554520306700&lt;/url&gt;&lt;/related-urls&gt;&lt;/urls&gt;&lt;electronic-resource-num&gt;https://doi.org/10.1016/j.tre.2020.102019&lt;/electronic-resource-num&gt;&lt;/record&gt;&lt;/Cite&gt;&lt;/EndNote&gt;</w:instrText>
      </w:r>
      <w:r w:rsidR="007742CC" w:rsidRPr="00BE61F9">
        <w:rPr>
          <w:color w:val="C00000"/>
        </w:rPr>
        <w:fldChar w:fldCharType="separate"/>
      </w:r>
      <w:r w:rsidR="007742CC" w:rsidRPr="00BE61F9">
        <w:rPr>
          <w:noProof/>
          <w:color w:val="C00000"/>
        </w:rPr>
        <w:t>(Zeng et al., 2020)</w:t>
      </w:r>
      <w:r w:rsidR="007742CC" w:rsidRPr="00BE61F9">
        <w:rPr>
          <w:color w:val="C00000"/>
        </w:rPr>
        <w:fldChar w:fldCharType="end"/>
      </w:r>
      <w:r w:rsidR="007742CC" w:rsidRPr="00BE61F9">
        <w:rPr>
          <w:color w:val="C00000"/>
        </w:rPr>
        <w:t xml:space="preserve">. A firm’s top management develops the context in which dynamic capabilities (e.g., SCA) are developed. </w:t>
      </w:r>
      <w:r w:rsidR="007742CC" w:rsidRPr="00BE61F9">
        <w:rPr>
          <w:color w:val="C00000"/>
        </w:rPr>
        <w:fldChar w:fldCharType="begin"/>
      </w:r>
      <w:r w:rsidR="007742CC" w:rsidRPr="00BE61F9">
        <w:rPr>
          <w:color w:val="C00000"/>
        </w:rPr>
        <w:instrText xml:space="preserve"> ADDIN EN.CITE &lt;EndNote&gt;&lt;Cite AuthorYear="1"&gt;&lt;Author&gt;Anand&lt;/Author&gt;&lt;Year&gt;2009&lt;/Year&gt;&lt;RecNum&gt;184&lt;/RecNum&gt;&lt;DisplayText&gt;Anand et al. (2009)&lt;/DisplayText&gt;&lt;record&gt;&lt;rec-number&gt;184&lt;/rec-number&gt;&lt;foreign-keys&gt;&lt;key app="EN" db-id="0ewd29dz4ds0vmee9zpx5s9udxtatsf5ffpw" timestamp="0"&gt;184&lt;/key&gt;&lt;/foreign-keys&gt;&lt;ref-type name="Journal Article"&gt;17&lt;/ref-type&gt;&lt;contributors&gt;&lt;authors&gt;&lt;author&gt;Anand, Gopesh&lt;/author&gt;&lt;author&gt;Ward, Peter T&lt;/author&gt;&lt;author&gt;Tatikonda, Mohan V&lt;/author&gt;&lt;author&gt;Schilling, David A&lt;/author&gt;&lt;/authors&gt;&lt;/contributors&gt;&lt;titles&gt;&lt;title&gt;Dynamic capabilities through continuous improvement infrastructure&lt;/title&gt;&lt;secondary-title&gt;Journal of Operations Management&lt;/secondary-title&gt;&lt;/titles&gt;&lt;periodical&gt;&lt;full-title&gt;Journal of Operations Management&lt;/full-title&gt;&lt;/periodical&gt;&lt;pages&gt;444-461&lt;/pages&gt;&lt;volume&gt;27&lt;/volume&gt;&lt;number&gt;6&lt;/number&gt;&lt;dates&gt;&lt;year&gt;2009&lt;/year&gt;&lt;/dates&gt;&lt;publisher&gt;Elsevier&lt;/publisher&gt;&lt;isbn&gt;0272-6963&lt;/isbn&gt;&lt;urls&gt;&lt;/urls&gt;&lt;/record&gt;&lt;/Cite&gt;&lt;/EndNote&gt;</w:instrText>
      </w:r>
      <w:r w:rsidR="007742CC" w:rsidRPr="00BE61F9">
        <w:rPr>
          <w:color w:val="C00000"/>
        </w:rPr>
        <w:fldChar w:fldCharType="separate"/>
      </w:r>
      <w:r w:rsidR="007742CC" w:rsidRPr="00BE61F9">
        <w:rPr>
          <w:noProof/>
          <w:color w:val="C00000"/>
        </w:rPr>
        <w:t>Anand et al. (2009)</w:t>
      </w:r>
      <w:r w:rsidR="007742CC" w:rsidRPr="00BE61F9">
        <w:rPr>
          <w:color w:val="C00000"/>
        </w:rPr>
        <w:fldChar w:fldCharType="end"/>
      </w:r>
      <w:r w:rsidR="007742CC" w:rsidRPr="00BE61F9">
        <w:rPr>
          <w:color w:val="C00000"/>
        </w:rPr>
        <w:t xml:space="preserve"> for example, investigate how a continuous improvement context contributes to the development of dynamic capabilities in a firm. </w:t>
      </w:r>
      <w:r w:rsidR="005C3F70">
        <w:rPr>
          <w:color w:val="C00000"/>
        </w:rPr>
        <w:t xml:space="preserve">Similarly, </w:t>
      </w:r>
      <w:r w:rsidR="005C3F70">
        <w:rPr>
          <w:color w:val="C00000"/>
        </w:rPr>
        <w:fldChar w:fldCharType="begin"/>
      </w:r>
      <w:r w:rsidR="005C3F70">
        <w:rPr>
          <w:color w:val="C00000"/>
        </w:rPr>
        <w:instrText xml:space="preserve"> ADDIN EN.CITE &lt;EndNote&gt;&lt;Cite AuthorYear="1"&gt;&lt;Author&gt;Strauss&lt;/Author&gt;&lt;Year&gt;2017&lt;/Year&gt;&lt;RecNum&gt;1790&lt;/RecNum&gt;&lt;DisplayText&gt;Strauss et al. (2017)&lt;/DisplayText&gt;&lt;record&gt;&lt;rec-number&gt;1790&lt;/rec-number&gt;&lt;foreign-keys&gt;&lt;key app="EN" db-id="0ewd29dz4ds0vmee9zpx5s9udxtatsf5ffpw" timestamp="1700326010"&gt;1790&lt;/key&gt;&lt;/foreign-keys&gt;&lt;ref-type name="Journal Article"&gt;17&lt;/ref-type&gt;&lt;contributors&gt;&lt;authors&gt;&lt;author&gt;Strauss, Karoline&lt;/author&gt;&lt;author&gt;Lepoutre, Jan&lt;/author&gt;&lt;author&gt;Wood, Geoffrey&lt;/author&gt;&lt;/authors&gt;&lt;/contributors&gt;&lt;titles&gt;&lt;title&gt;Fifty shades of green: How microfoundations of sustainability dynamic capabilities vary across organizational contexts&lt;/title&gt;&lt;secondary-title&gt;Journal of Organizational Behavior&lt;/secondary-title&gt;&lt;/titles&gt;&lt;periodical&gt;&lt;full-title&gt;Journal of Organizational Behavior&lt;/full-title&gt;&lt;/periodical&gt;&lt;pages&gt;1338-1355&lt;/pages&gt;&lt;volume&gt;38&lt;/volume&gt;&lt;number&gt;9&lt;/number&gt;&lt;dates&gt;&lt;year&gt;2017&lt;/year&gt;&lt;/dates&gt;&lt;isbn&gt;0894-3796&lt;/isbn&gt;&lt;urls&gt;&lt;/urls&gt;&lt;/record&gt;&lt;/Cite&gt;&lt;/EndNote&gt;</w:instrText>
      </w:r>
      <w:r w:rsidR="005C3F70">
        <w:rPr>
          <w:color w:val="C00000"/>
        </w:rPr>
        <w:fldChar w:fldCharType="separate"/>
      </w:r>
      <w:r w:rsidR="005C3F70">
        <w:rPr>
          <w:noProof/>
          <w:color w:val="C00000"/>
        </w:rPr>
        <w:t>Strauss et al. (2017)</w:t>
      </w:r>
      <w:r w:rsidR="005C3F70">
        <w:rPr>
          <w:color w:val="C00000"/>
        </w:rPr>
        <w:fldChar w:fldCharType="end"/>
      </w:r>
      <w:r w:rsidR="0003709A">
        <w:rPr>
          <w:color w:val="C00000"/>
        </w:rPr>
        <w:t xml:space="preserve"> show that the dynamic capabilities associated with </w:t>
      </w:r>
      <w:r w:rsidR="00164F2D">
        <w:rPr>
          <w:color w:val="C00000"/>
        </w:rPr>
        <w:t>organization’s</w:t>
      </w:r>
      <w:r w:rsidR="0003709A">
        <w:rPr>
          <w:color w:val="C00000"/>
        </w:rPr>
        <w:t xml:space="preserve"> sustainability vary across context</w:t>
      </w:r>
      <w:r w:rsidR="00164F2D">
        <w:rPr>
          <w:color w:val="C00000"/>
        </w:rPr>
        <w:t>s</w:t>
      </w:r>
      <w:r w:rsidR="0003709A">
        <w:rPr>
          <w:color w:val="C00000"/>
        </w:rPr>
        <w:t>.</w:t>
      </w:r>
      <w:r w:rsidR="008738BB">
        <w:rPr>
          <w:color w:val="C00000"/>
        </w:rPr>
        <w:t xml:space="preserve"> Based on the case stud</w:t>
      </w:r>
      <w:r w:rsidR="00AF6135">
        <w:rPr>
          <w:color w:val="C00000"/>
        </w:rPr>
        <w:t>ies of critical transformation events,</w:t>
      </w:r>
      <w:r w:rsidR="008738BB">
        <w:rPr>
          <w:color w:val="C00000"/>
        </w:rPr>
        <w:t xml:space="preserve"> </w:t>
      </w:r>
      <w:r w:rsidR="008738BB">
        <w:rPr>
          <w:color w:val="C00000"/>
        </w:rPr>
        <w:fldChar w:fldCharType="begin"/>
      </w:r>
      <w:r w:rsidR="008738BB">
        <w:rPr>
          <w:color w:val="C00000"/>
        </w:rPr>
        <w:instrText xml:space="preserve"> ADDIN EN.CITE &lt;EndNote&gt;&lt;Cite AuthorYear="1"&gt;&lt;Author&gt;Paavola&lt;/Author&gt;&lt;Year&gt;2021&lt;/Year&gt;&lt;RecNum&gt;1791&lt;/RecNum&gt;&lt;DisplayText&gt;Paavola (2021)&lt;/DisplayText&gt;&lt;record&gt;&lt;rec-number&gt;1791&lt;/rec-number&gt;&lt;foreign-keys&gt;&lt;key app="EN" db-id="0ewd29dz4ds0vmee9zpx5s9udxtatsf5ffpw" timestamp="1700326188"&gt;1791&lt;/key&gt;&lt;/foreign-keys&gt;&lt;ref-type name="Journal Article"&gt;17&lt;/ref-type&gt;&lt;contributors&gt;&lt;authors&gt;&lt;author&gt;Paavola, Lauri&lt;/author&gt;&lt;/authors&gt;&lt;/contributors&gt;&lt;titles&gt;&lt;title&gt;The role of (dynamic) capabilities in the transformation of a multi-organizational setting&lt;/title&gt;&lt;secondary-title&gt;Journal of Evolutionary Economics&lt;/secondary-title&gt;&lt;/titles&gt;&lt;periodical&gt;&lt;full-title&gt;Journal of Evolutionary Economics&lt;/full-title&gt;&lt;/periodical&gt;&lt;pages&gt;715-748&lt;/pages&gt;&lt;volume&gt;31&lt;/volume&gt;&lt;number&gt;2&lt;/number&gt;&lt;dates&gt;&lt;year&gt;2021&lt;/year&gt;&lt;/dates&gt;&lt;isbn&gt;1432-1386&lt;/isbn&gt;&lt;urls&gt;&lt;related-urls&gt;&lt;url&gt;https://doi.org/10.1007/s00191-021-00722-x&lt;/url&gt;&lt;/related-urls&gt;&lt;/urls&gt;&lt;electronic-resource-num&gt;10.1007/s00191-021-00722-x&lt;/electronic-resource-num&gt;&lt;/record&gt;&lt;/Cite&gt;&lt;/EndNote&gt;</w:instrText>
      </w:r>
      <w:r w:rsidR="008738BB">
        <w:rPr>
          <w:color w:val="C00000"/>
        </w:rPr>
        <w:fldChar w:fldCharType="separate"/>
      </w:r>
      <w:r w:rsidR="008738BB">
        <w:rPr>
          <w:noProof/>
          <w:color w:val="C00000"/>
        </w:rPr>
        <w:t>Paavola (2021)</w:t>
      </w:r>
      <w:r w:rsidR="008738BB">
        <w:rPr>
          <w:color w:val="C00000"/>
        </w:rPr>
        <w:fldChar w:fldCharType="end"/>
      </w:r>
      <w:r w:rsidR="00AF6135">
        <w:rPr>
          <w:color w:val="C00000"/>
        </w:rPr>
        <w:t xml:space="preserve"> </w:t>
      </w:r>
      <w:r w:rsidR="00E7662A">
        <w:rPr>
          <w:color w:val="C00000"/>
        </w:rPr>
        <w:t xml:space="preserve">showed give distinct theoretical outcomes suggesting the interconnections between </w:t>
      </w:r>
      <w:r w:rsidR="009B4770">
        <w:rPr>
          <w:color w:val="C00000"/>
        </w:rPr>
        <w:t>organizational context, organizations, and their dynamic capabilities.</w:t>
      </w:r>
      <w:r w:rsidR="00E7662A">
        <w:rPr>
          <w:color w:val="C00000"/>
        </w:rPr>
        <w:t xml:space="preserve"> </w:t>
      </w:r>
    </w:p>
    <w:p w14:paraId="0E6AAF47" w14:textId="5A2A0107" w:rsidR="00A94D2F" w:rsidRPr="008A4FEC" w:rsidRDefault="007742CC" w:rsidP="008A4FEC">
      <w:pPr>
        <w:spacing w:line="480" w:lineRule="auto"/>
        <w:ind w:firstLine="720"/>
        <w:jc w:val="both"/>
        <w:rPr>
          <w:color w:val="FF0000"/>
        </w:rPr>
      </w:pPr>
      <w:r w:rsidRPr="001A090D">
        <w:fldChar w:fldCharType="begin"/>
      </w:r>
      <w:r>
        <w:instrText xml:space="preserve"> ADDIN EN.CITE &lt;EndNote&gt;&lt;Cite AuthorYear="1"&gt;&lt;Author&gt;Bartlett&lt;/Author&gt;&lt;Year&gt;1995&lt;/Year&gt;&lt;RecNum&gt;1560&lt;/RecNum&gt;&lt;DisplayText&gt;Bartlett and Ghoshal (1995)&lt;/DisplayText&gt;&lt;record&gt;&lt;rec-number&gt;1560&lt;/rec-number&gt;&lt;foreign-keys&gt;&lt;key app="EN" db-id="0ewd29dz4ds0vmee9zpx5s9udxtatsf5ffpw" timestamp="0"&gt;1560&lt;/key&gt;&lt;/foreign-keys&gt;&lt;ref-type name="Journal Article"&gt;17&lt;/ref-type&gt;&lt;contributors&gt;&lt;authors&gt;&lt;author&gt;Bartlett, Christopher A&lt;/author&gt;&lt;author&gt;Ghoshal, Sumantra&lt;/author&gt;&lt;/authors&gt;&lt;/contributors&gt;&lt;titles&gt;&lt;title&gt;Rebuilding behavioral context: turn process reengineering into people rejuvenation&lt;/title&gt;&lt;secondary-title&gt;MIT Sloan Management Review&lt;/secondary-title&gt;&lt;/titles&gt;&lt;pages&gt;11&lt;/pages&gt;&lt;volume&gt;37&lt;/volume&gt;&lt;number&gt;1&lt;/number&gt;&lt;dates&gt;&lt;year&gt;1995&lt;/year&gt;&lt;/dates&gt;&lt;isbn&gt;1532-9194&lt;/isbn&gt;&lt;urls&gt;&lt;/urls&gt;&lt;/record&gt;&lt;/Cite&gt;&lt;/EndNote&gt;</w:instrText>
      </w:r>
      <w:r w:rsidRPr="001A090D">
        <w:fldChar w:fldCharType="separate"/>
      </w:r>
      <w:r>
        <w:rPr>
          <w:noProof/>
        </w:rPr>
        <w:t>Bartlett and Ghoshal (1995)</w:t>
      </w:r>
      <w:r w:rsidRPr="001A090D">
        <w:fldChar w:fldCharType="end"/>
      </w:r>
      <w:r w:rsidRPr="00CF39F6">
        <w:t xml:space="preserve"> postulate that </w:t>
      </w:r>
      <w:r w:rsidRPr="00433C0E">
        <w:rPr>
          <w:color w:val="FF0000"/>
        </w:rPr>
        <w:t xml:space="preserve">the </w:t>
      </w:r>
      <w:r w:rsidRPr="00CF39F6">
        <w:t xml:space="preserve">behavioral context provides an organization with elements that fulfill the never-ending need for renewal. Dynamic capabilities are developed by carefully crafting norms, systems, and processes that have bearing on </w:t>
      </w:r>
      <w:r>
        <w:t xml:space="preserve">a </w:t>
      </w:r>
      <w:r w:rsidRPr="00CF39F6">
        <w:t xml:space="preserve">firm’s performance management and social support context. This behavioral context allows the essential knowledge processes underlying these capabilities to thrive </w:t>
      </w:r>
      <w:r w:rsidRPr="001A090D">
        <w:fldChar w:fldCharType="begin"/>
      </w:r>
      <w:r>
        <w:instrText xml:space="preserve"> ADDIN EN.CITE &lt;EndNote&gt;&lt;Cite&gt;&lt;Author&gt;Prieto&lt;/Author&gt;&lt;Year&gt;2009&lt;/Year&gt;&lt;RecNum&gt;1561&lt;/RecNum&gt;&lt;DisplayText&gt;(Prieto et al., 2009)&lt;/DisplayText&gt;&lt;record&gt;&lt;rec-number&gt;1561&lt;/rec-number&gt;&lt;foreign-keys&gt;&lt;key app="EN" db-id="0ewd29dz4ds0vmee9zpx5s9udxtatsf5ffpw" timestamp="0"&gt;1561&lt;/key&gt;&lt;/foreign-keys&gt;&lt;ref-type name="Journal Article"&gt;17&lt;/ref-type&gt;&lt;contributors&gt;&lt;authors&gt;&lt;author&gt;Prieto, Isabel Mª&lt;/author&gt;&lt;author&gt;Revilla, Elena&lt;/author&gt;&lt;author&gt;Rodríguez-Prado, Beatriz&lt;/author&gt;&lt;/authors&gt;&lt;/contributors&gt;&lt;titles&gt;&lt;title&gt;Building dynamic capabilities in product development: How do contextual antecedents matter?&lt;/title&gt;&lt;secondary-title&gt;Scandinavian Journal of Management&lt;/secondary-title&gt;&lt;/titles&gt;&lt;pages&gt;313-326&lt;/pages&gt;&lt;volume&gt;25&lt;/volume&gt;&lt;number&gt;3&lt;/number&gt;&lt;dates&gt;&lt;year&gt;2009&lt;/year&gt;&lt;/dates&gt;&lt;isbn&gt;0956-5221&lt;/isbn&gt;&lt;urls&gt;&lt;/urls&gt;&lt;/record&gt;&lt;/Cite&gt;&lt;/EndNote&gt;</w:instrText>
      </w:r>
      <w:r w:rsidRPr="001A090D">
        <w:fldChar w:fldCharType="separate"/>
      </w:r>
      <w:r>
        <w:rPr>
          <w:noProof/>
        </w:rPr>
        <w:t>(Prieto et al., 2009)</w:t>
      </w:r>
      <w:r w:rsidRPr="001A090D">
        <w:fldChar w:fldCharType="end"/>
      </w:r>
      <w:r w:rsidRPr="00CF39F6">
        <w:t xml:space="preserve">. </w:t>
      </w:r>
      <w:r w:rsidRPr="001A090D">
        <w:rPr>
          <w:color w:val="000000" w:themeColor="text1"/>
        </w:rPr>
        <w:fldChar w:fldCharType="begin"/>
      </w:r>
      <w:r>
        <w:rPr>
          <w:color w:val="000000" w:themeColor="text1"/>
        </w:rPr>
        <w:instrText xml:space="preserve"> ADDIN EN.CITE &lt;EndNote&gt;&lt;Cite AuthorYear="1"&gt;&lt;Author&gt;Burgelman&lt;/Author&gt;&lt;Year&gt;1983&lt;/Year&gt;&lt;RecNum&gt;1546&lt;/RecNum&gt;&lt;DisplayText&gt;Burgelman (1983)&lt;/DisplayText&gt;&lt;record&gt;&lt;rec-number&gt;1546&lt;/rec-number&gt;&lt;foreign-keys&gt;&lt;key app="EN" db-id="zw59vpadbtepfpef9t3pvzeot59fe2ptraw5" timestamp="0"&gt;1546&lt;/key&gt;&lt;/foreign-keys&gt;&lt;ref-type name="Journal Article"&gt;17&lt;/ref-type&gt;&lt;contributors&gt;&lt;authors&gt;&lt;author&gt;Burgelman, Robert A&lt;/author&gt;&lt;/authors&gt;&lt;/contributors&gt;&lt;titles&gt;&lt;title&gt;A model of the interaction of strategic behavior, corporate context, and the concept of strategy&lt;/title&gt;&lt;secondary-title&gt;Academy of management Review&lt;/secondary-title&gt;&lt;/titles&gt;&lt;pages&gt;61-70&lt;/pages&gt;&lt;volume&gt;8&lt;/volume&gt;&lt;number&gt;1&lt;/number&gt;&lt;dates&gt;&lt;year&gt;1983&lt;/year&gt;&lt;/dates&gt;&lt;isbn&gt;0363-7425&lt;/isbn&gt;&lt;urls&gt;&lt;/urls&gt;&lt;/record&gt;&lt;/Cite&gt;&lt;/EndNote&gt;</w:instrText>
      </w:r>
      <w:r w:rsidRPr="001A090D">
        <w:rPr>
          <w:color w:val="000000" w:themeColor="text1"/>
        </w:rPr>
        <w:fldChar w:fldCharType="separate"/>
      </w:r>
      <w:r>
        <w:rPr>
          <w:noProof/>
          <w:color w:val="000000" w:themeColor="text1"/>
        </w:rPr>
        <w:t>Burgelman (1983)</w:t>
      </w:r>
      <w:r w:rsidRPr="001A090D">
        <w:rPr>
          <w:color w:val="000000" w:themeColor="text1"/>
        </w:rPr>
        <w:fldChar w:fldCharType="end"/>
      </w:r>
      <w:r w:rsidRPr="00CF39F6">
        <w:rPr>
          <w:color w:val="000000" w:themeColor="text1"/>
        </w:rPr>
        <w:t xml:space="preserve"> argue</w:t>
      </w:r>
      <w:r>
        <w:rPr>
          <w:color w:val="000000" w:themeColor="text1"/>
        </w:rPr>
        <w:t>s</w:t>
      </w:r>
      <w:r w:rsidRPr="00CF39F6">
        <w:rPr>
          <w:color w:val="000000" w:themeColor="text1"/>
        </w:rPr>
        <w:t xml:space="preserve"> that strategic behavior is preceded by strategy. </w:t>
      </w:r>
      <w:r w:rsidRPr="00CF39F6">
        <w:t>Induced strategic behavior closely follows the corporate strategy</w:t>
      </w:r>
      <w:r w:rsidRPr="00433C0E">
        <w:rPr>
          <w:color w:val="FF0000"/>
        </w:rPr>
        <w:t>,</w:t>
      </w:r>
      <w:r w:rsidRPr="00CF39F6">
        <w:t xml:space="preserve"> while autonomous strategic behavior falls outside the gambit of </w:t>
      </w:r>
      <w:r>
        <w:t xml:space="preserve">the </w:t>
      </w:r>
      <w:r w:rsidRPr="00CF39F6">
        <w:t xml:space="preserve">existing strategy of the firm. Social support orientation encourages autonomous strategic behavior and performance orientation inspires induced strategic behavior </w:t>
      </w:r>
      <w:r w:rsidRPr="001A090D">
        <w:rPr>
          <w:color w:val="000000" w:themeColor="text1"/>
        </w:rPr>
        <w:fldChar w:fldCharType="begin"/>
      </w:r>
      <w:r>
        <w:rPr>
          <w:color w:val="000000" w:themeColor="text1"/>
        </w:rPr>
        <w:instrText xml:space="preserve"> ADDIN EN.CITE &lt;EndNote&gt;&lt;Cite&gt;&lt;Author&gt;Burgelman&lt;/Author&gt;&lt;Year&gt;1983&lt;/Year&gt;&lt;RecNum&gt;1546&lt;/RecNum&gt;&lt;DisplayText&gt;(Burgelman, 1983)&lt;/DisplayText&gt;&lt;record&gt;&lt;rec-number&gt;1546&lt;/rec-number&gt;&lt;foreign-keys&gt;&lt;key app="EN" db-id="zw59vpadbtepfpef9t3pvzeot59fe2ptraw5" timestamp="0"&gt;1546&lt;/key&gt;&lt;/foreign-keys&gt;&lt;ref-type name="Journal Article"&gt;17&lt;/ref-type&gt;&lt;contributors&gt;&lt;authors&gt;&lt;author&gt;Burgelman, Robert A&lt;/author&gt;&lt;/authors&gt;&lt;/contributors&gt;&lt;titles&gt;&lt;title&gt;A model of the interaction of strategic behavior, corporate context, and the concept of strategy&lt;/title&gt;&lt;secondary-title&gt;Academy of management Review&lt;/secondary-title&gt;&lt;/titles&gt;&lt;pages&gt;61-70&lt;/pages&gt;&lt;volume&gt;8&lt;/volume&gt;&lt;number&gt;1&lt;/number&gt;&lt;dates&gt;&lt;year&gt;1983&lt;/year&gt;&lt;/dates&gt;&lt;isbn&gt;0363-7425&lt;/isbn&gt;&lt;urls&gt;&lt;/urls&gt;&lt;/record&gt;&lt;/Cite&gt;&lt;/EndNote&gt;</w:instrText>
      </w:r>
      <w:r w:rsidRPr="001A090D">
        <w:rPr>
          <w:color w:val="000000" w:themeColor="text1"/>
        </w:rPr>
        <w:fldChar w:fldCharType="separate"/>
      </w:r>
      <w:r>
        <w:rPr>
          <w:noProof/>
          <w:color w:val="000000" w:themeColor="text1"/>
        </w:rPr>
        <w:t>(Burgelman, 1983)</w:t>
      </w:r>
      <w:r w:rsidRPr="001A090D">
        <w:rPr>
          <w:color w:val="000000" w:themeColor="text1"/>
        </w:rPr>
        <w:fldChar w:fldCharType="end"/>
      </w:r>
      <w:r w:rsidRPr="00CF39F6">
        <w:t xml:space="preserve">. </w:t>
      </w:r>
      <w:r w:rsidRPr="00CF39F6">
        <w:rPr>
          <w:color w:val="000000" w:themeColor="text1"/>
        </w:rPr>
        <w:t>Both elements of organizational context</w:t>
      </w:r>
      <w:r>
        <w:rPr>
          <w:color w:val="000000" w:themeColor="text1"/>
        </w:rPr>
        <w:t>,</w:t>
      </w:r>
      <w:r w:rsidRPr="00CF39F6">
        <w:rPr>
          <w:color w:val="000000" w:themeColor="text1"/>
        </w:rPr>
        <w:t xml:space="preserve"> i.e.</w:t>
      </w:r>
      <w:r w:rsidRPr="008D4FBE">
        <w:rPr>
          <w:color w:val="FF0000"/>
        </w:rPr>
        <w:t>,</w:t>
      </w:r>
      <w:r w:rsidRPr="00CF39F6">
        <w:rPr>
          <w:color w:val="000000" w:themeColor="text1"/>
        </w:rPr>
        <w:t xml:space="preserve"> performance management and social support, affect SCA as they contribute to </w:t>
      </w:r>
      <w:r>
        <w:rPr>
          <w:color w:val="000000" w:themeColor="text1"/>
        </w:rPr>
        <w:t xml:space="preserve">a </w:t>
      </w:r>
      <w:r w:rsidRPr="00CF39F6">
        <w:rPr>
          <w:i/>
          <w:color w:val="000000" w:themeColor="text1"/>
        </w:rPr>
        <w:t xml:space="preserve">high-performance </w:t>
      </w:r>
      <w:r w:rsidRPr="00566E8A">
        <w:rPr>
          <w:i/>
          <w:color w:val="000000" w:themeColor="text1"/>
        </w:rPr>
        <w:t xml:space="preserve">context </w:t>
      </w:r>
      <w:r>
        <w:rPr>
          <w:iCs/>
          <w:color w:val="000000" w:themeColor="text1"/>
        </w:rPr>
        <w:fldChar w:fldCharType="begin"/>
      </w:r>
      <w:r>
        <w:rPr>
          <w:iCs/>
          <w:color w:val="000000" w:themeColor="text1"/>
        </w:rPr>
        <w:instrText xml:space="preserve"> ADDIN EN.CITE &lt;EndNote&gt;&lt;Cite&gt;&lt;Author&gt;Gibson&lt;/Author&gt;&lt;Year&gt;2004&lt;/Year&gt;&lt;RecNum&gt;964&lt;/RecNum&gt;&lt;DisplayText&gt;(Gibson &amp;amp; Birkinshaw, 2004)&lt;/DisplayText&gt;&lt;record&gt;&lt;rec-number&gt;964&lt;/rec-number&gt;&lt;foreign-keys&gt;&lt;key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Pr>
          <w:iCs/>
          <w:color w:val="000000" w:themeColor="text1"/>
        </w:rPr>
        <w:fldChar w:fldCharType="separate"/>
      </w:r>
      <w:r>
        <w:rPr>
          <w:iCs/>
          <w:noProof/>
          <w:color w:val="000000" w:themeColor="text1"/>
        </w:rPr>
        <w:t>(Gibson &amp; Birkinshaw, 2004)</w:t>
      </w:r>
      <w:r>
        <w:rPr>
          <w:iCs/>
          <w:color w:val="000000" w:themeColor="text1"/>
        </w:rPr>
        <w:fldChar w:fldCharType="end"/>
      </w:r>
      <w:r w:rsidRPr="00566E8A">
        <w:rPr>
          <w:iCs/>
          <w:color w:val="000000" w:themeColor="text1"/>
        </w:rPr>
        <w:t>.</w:t>
      </w:r>
      <w:r>
        <w:rPr>
          <w:iCs/>
          <w:color w:val="000000" w:themeColor="text1"/>
        </w:rPr>
        <w:t xml:space="preserve"> </w:t>
      </w:r>
      <w:r w:rsidR="00F35DC2" w:rsidRPr="00EE5F64">
        <w:rPr>
          <w:iCs/>
          <w:color w:val="FF0000"/>
        </w:rPr>
        <w:t>For example, p</w:t>
      </w:r>
      <w:r w:rsidR="00F35DC2" w:rsidRPr="00EE5F64">
        <w:rPr>
          <w:color w:val="FF0000"/>
        </w:rPr>
        <w:t xml:space="preserve">erformance </w:t>
      </w:r>
      <w:r w:rsidR="001E11A4">
        <w:rPr>
          <w:color w:val="FF0000"/>
        </w:rPr>
        <w:t>manageme</w:t>
      </w:r>
      <w:r w:rsidR="00C564D6">
        <w:rPr>
          <w:color w:val="FF0000"/>
        </w:rPr>
        <w:t>nt context</w:t>
      </w:r>
      <w:r w:rsidR="00F35DC2" w:rsidRPr="00EE5F64">
        <w:rPr>
          <w:color w:val="FF0000"/>
        </w:rPr>
        <w:t xml:space="preserve"> aligns the organization's efforts and resources toward the accomplishment of its goals, objectives, and desired outcomes. This typically involves optimizing internal processes, enhancing employee productivity, and adapting to changes in the business environment to maintain or improve performance metrics</w:t>
      </w:r>
      <w:r w:rsidR="00861087">
        <w:rPr>
          <w:color w:val="FF0000"/>
        </w:rPr>
        <w:t xml:space="preserve"> </w:t>
      </w:r>
      <w:r w:rsidR="00861087">
        <w:rPr>
          <w:color w:val="FF0000"/>
        </w:rPr>
        <w:fldChar w:fldCharType="begin"/>
      </w:r>
      <w:r w:rsidR="00861087">
        <w:rPr>
          <w:color w:val="FF0000"/>
        </w:rPr>
        <w:instrText xml:space="preserve"> ADDIN EN.CITE &lt;EndNote&gt;&lt;Cite&gt;&lt;Author&gt;Calza&lt;/Author&gt;&lt;Year&gt;2010&lt;/Year&gt;&lt;RecNum&gt;1787&lt;/RecNum&gt;&lt;DisplayText&gt;(Calza et al., 2010)&lt;/DisplayText&gt;&lt;record&gt;&lt;rec-number&gt;1787&lt;/rec-number&gt;&lt;foreign-keys&gt;&lt;key app="EN" db-id="0ewd29dz4ds0vmee9zpx5s9udxtatsf5ffpw" timestamp="1700323251"&gt;1787&lt;/key&gt;&lt;/foreign-keys&gt;&lt;ref-type name="Journal Article"&gt;17&lt;/ref-type&gt;&lt;contributors&gt;&lt;authors&gt;&lt;author&gt;Calza, Francesco&lt;/author&gt;&lt;author&gt;Aliane, Nadir&lt;/author&gt;&lt;author&gt;Cannavale, Chiara&lt;/author&gt;&lt;/authors&gt;&lt;/contributors&gt;&lt;titles&gt;&lt;title&gt;Cross‐cultural differences and Italian firms&amp;apos; internationalization in Algeria&lt;/title&gt;&lt;secondary-title&gt;European Business Review&lt;/secondary-title&gt;&lt;/titles&gt;&lt;periodical&gt;&lt;full-title&gt;European Business Review&lt;/full-title&gt;&lt;/periodical&gt;&lt;pages&gt;246-272&lt;/pages&gt;&lt;volume&gt;22&lt;/volume&gt;&lt;number&gt;2&lt;/number&gt;&lt;dates&gt;&lt;year&gt;2010&lt;/year&gt;&lt;/dates&gt;&lt;publisher&gt;Emerald Group Publishing Limited&lt;/publisher&gt;&lt;isbn&gt;0955-534X&lt;/isbn&gt;&lt;urls&gt;&lt;related-urls&gt;&lt;url&gt;https://doi.org/10.1108/09555341011023551&lt;/url&gt;&lt;/related-urls&gt;&lt;/urls&gt;&lt;electronic-resource-num&gt;10.1108/09555341011023551&lt;/electronic-resource-num&gt;&lt;access-date&gt;2023/11/18&lt;/access-date&gt;&lt;/record&gt;&lt;/Cite&gt;&lt;/EndNote&gt;</w:instrText>
      </w:r>
      <w:r w:rsidR="00861087">
        <w:rPr>
          <w:color w:val="FF0000"/>
        </w:rPr>
        <w:fldChar w:fldCharType="separate"/>
      </w:r>
      <w:r w:rsidR="00861087">
        <w:rPr>
          <w:noProof/>
          <w:color w:val="FF0000"/>
        </w:rPr>
        <w:t>(Calza et al., 2010)</w:t>
      </w:r>
      <w:r w:rsidR="00861087">
        <w:rPr>
          <w:color w:val="FF0000"/>
        </w:rPr>
        <w:fldChar w:fldCharType="end"/>
      </w:r>
      <w:r w:rsidR="00F35DC2" w:rsidRPr="00EE5F64">
        <w:rPr>
          <w:color w:val="FF0000"/>
        </w:rPr>
        <w:t xml:space="preserve">. We assume that firms with a strong </w:t>
      </w:r>
      <w:r w:rsidR="00F35DC2" w:rsidRPr="00EE5F64">
        <w:rPr>
          <w:color w:val="FF0000"/>
        </w:rPr>
        <w:lastRenderedPageBreak/>
        <w:t xml:space="preserve">performance </w:t>
      </w:r>
      <w:r w:rsidR="00C564D6">
        <w:rPr>
          <w:color w:val="FF0000"/>
        </w:rPr>
        <w:t>management context</w:t>
      </w:r>
      <w:r w:rsidR="00F35DC2" w:rsidRPr="00EE5F64">
        <w:rPr>
          <w:color w:val="FF0000"/>
        </w:rPr>
        <w:t xml:space="preserve"> understand that SCA is instrumental in achieving and sustaining high levels of overall organizational performance. This connection involves optimizing supply chain processes to be responsive, adaptable, and capable of rapid adjustments in the face of evolving market conditions.</w:t>
      </w:r>
      <w:r w:rsidR="00350C3A">
        <w:rPr>
          <w:color w:val="FF0000"/>
        </w:rPr>
        <w:t xml:space="preserve"> Regarding the social context of a firm, </w:t>
      </w:r>
      <w:r w:rsidR="008A4FEC">
        <w:rPr>
          <w:color w:val="FF0000"/>
        </w:rPr>
        <w:t xml:space="preserve">we argue that firms that develop and empower their staff </w:t>
      </w:r>
      <w:r w:rsidR="008A4FEC" w:rsidRPr="008A4FEC">
        <w:rPr>
          <w:color w:val="FF0000"/>
        </w:rPr>
        <w:t>and that decentralize information access present an investment in people, rapid change activities, and knowledge management which have been found to lead to higher agility</w:t>
      </w:r>
      <w:r w:rsidR="00334C58">
        <w:rPr>
          <w:color w:val="FF0000"/>
        </w:rPr>
        <w:t xml:space="preserve"> </w:t>
      </w:r>
      <w:r w:rsidR="00334C58">
        <w:rPr>
          <w:color w:val="FF0000"/>
        </w:rPr>
        <w:fldChar w:fldCharType="begin"/>
      </w:r>
      <w:r w:rsidR="00334C58">
        <w:rPr>
          <w:color w:val="FF0000"/>
        </w:rPr>
        <w:instrText xml:space="preserve"> ADDIN EN.CITE &lt;EndNote&gt;&lt;Cite&gt;&lt;Author&gt;Fayezi&lt;/Author&gt;&lt;Year&gt;2017&lt;/Year&gt;&lt;RecNum&gt;1788&lt;/RecNum&gt;&lt;DisplayText&gt;(Fayezi et al., 2017)&lt;/DisplayText&gt;&lt;record&gt;&lt;rec-number&gt;1788&lt;/rec-number&gt;&lt;foreign-keys&gt;&lt;key app="EN" db-id="0ewd29dz4ds0vmee9zpx5s9udxtatsf5ffpw" timestamp="1700323323"&gt;1788&lt;/key&gt;&lt;/foreign-keys&gt;&lt;ref-type name="Journal Article"&gt;17&lt;/ref-type&gt;&lt;contributors&gt;&lt;authors&gt;&lt;author&gt;Fayezi, Sajad&lt;/author&gt;&lt;author&gt;Zutshi, Ambika&lt;/author&gt;&lt;author&gt;O&amp;apos;Loughlin, Andrew&lt;/author&gt;&lt;/authors&gt;&lt;/contributors&gt;&lt;titles&gt;&lt;title&gt;Understanding and development of supply chain agility and flexibility: a structured literature review&lt;/title&gt;&lt;secondary-title&gt;International Journal of Management Reviews&lt;/secondary-title&gt;&lt;/titles&gt;&lt;periodical&gt;&lt;full-title&gt;International Journal of Management Reviews&lt;/full-title&gt;&lt;/periodical&gt;&lt;pages&gt;379-407&lt;/pages&gt;&lt;volume&gt;19&lt;/volume&gt;&lt;number&gt;4&lt;/number&gt;&lt;dates&gt;&lt;year&gt;2017&lt;/year&gt;&lt;/dates&gt;&lt;isbn&gt;1460-8545&lt;/isbn&gt;&lt;urls&gt;&lt;/urls&gt;&lt;/record&gt;&lt;/Cite&gt;&lt;/EndNote&gt;</w:instrText>
      </w:r>
      <w:r w:rsidR="00334C58">
        <w:rPr>
          <w:color w:val="FF0000"/>
        </w:rPr>
        <w:fldChar w:fldCharType="separate"/>
      </w:r>
      <w:r w:rsidR="00334C58">
        <w:rPr>
          <w:noProof/>
          <w:color w:val="FF0000"/>
        </w:rPr>
        <w:t>(Fayezi et al., 2017)</w:t>
      </w:r>
      <w:r w:rsidR="00334C58">
        <w:rPr>
          <w:color w:val="FF0000"/>
        </w:rPr>
        <w:fldChar w:fldCharType="end"/>
      </w:r>
      <w:r w:rsidR="008A4FEC" w:rsidRPr="008A4FEC">
        <w:rPr>
          <w:color w:val="FF0000"/>
        </w:rPr>
        <w:t>.</w:t>
      </w:r>
    </w:p>
    <w:p w14:paraId="246A9D3E" w14:textId="7D3FAA06" w:rsidR="007742CC" w:rsidRDefault="007742CC" w:rsidP="007742CC">
      <w:pPr>
        <w:spacing w:line="480" w:lineRule="auto"/>
        <w:ind w:firstLine="720"/>
        <w:jc w:val="both"/>
        <w:rPr>
          <w:color w:val="000000" w:themeColor="text1"/>
        </w:rPr>
      </w:pPr>
      <w:r>
        <w:rPr>
          <w:iCs/>
          <w:color w:val="000000" w:themeColor="text1"/>
        </w:rPr>
        <w:t>Based on the above arguments, we propose the following:</w:t>
      </w:r>
    </w:p>
    <w:p w14:paraId="291F0DBF" w14:textId="77777777" w:rsidR="007742CC" w:rsidRPr="00CF39F6" w:rsidRDefault="007742CC" w:rsidP="007742CC">
      <w:pPr>
        <w:spacing w:before="160" w:after="160" w:line="480" w:lineRule="auto"/>
        <w:ind w:left="1276" w:hanging="556"/>
        <w:jc w:val="both"/>
        <w:rPr>
          <w:i/>
          <w:color w:val="000000" w:themeColor="text1"/>
        </w:rPr>
      </w:pPr>
      <w:r w:rsidRPr="00BD35FC">
        <w:rPr>
          <w:b/>
          <w:bCs/>
          <w:iCs/>
          <w:color w:val="000000" w:themeColor="text1"/>
        </w:rPr>
        <w:t>H</w:t>
      </w:r>
      <w:r>
        <w:rPr>
          <w:b/>
          <w:bCs/>
          <w:iCs/>
          <w:color w:val="000000" w:themeColor="text1"/>
        </w:rPr>
        <w:t>1</w:t>
      </w:r>
      <w:r w:rsidRPr="00CF39F6">
        <w:rPr>
          <w:i/>
          <w:color w:val="000000" w:themeColor="text1"/>
        </w:rPr>
        <w:t xml:space="preserve">: </w:t>
      </w:r>
      <w:r>
        <w:rPr>
          <w:i/>
          <w:color w:val="000000" w:themeColor="text1"/>
        </w:rPr>
        <w:tab/>
        <w:t>The p</w:t>
      </w:r>
      <w:r w:rsidRPr="00CF39F6">
        <w:rPr>
          <w:i/>
          <w:color w:val="000000" w:themeColor="text1"/>
        </w:rPr>
        <w:t xml:space="preserve">erformance management context of </w:t>
      </w:r>
      <w:r>
        <w:rPr>
          <w:i/>
          <w:color w:val="000000" w:themeColor="text1"/>
        </w:rPr>
        <w:t>a</w:t>
      </w:r>
      <w:r w:rsidRPr="00CF39F6">
        <w:rPr>
          <w:i/>
          <w:color w:val="000000" w:themeColor="text1"/>
        </w:rPr>
        <w:t xml:space="preserve"> firm has a positive impact on SCA</w:t>
      </w:r>
      <w:r>
        <w:rPr>
          <w:i/>
          <w:color w:val="000000" w:themeColor="text1"/>
        </w:rPr>
        <w:t>.</w:t>
      </w:r>
    </w:p>
    <w:p w14:paraId="275F1109" w14:textId="77777777" w:rsidR="007742CC" w:rsidRPr="00CF39F6" w:rsidRDefault="007742CC" w:rsidP="007742CC">
      <w:pPr>
        <w:spacing w:before="160" w:after="160" w:line="480" w:lineRule="auto"/>
        <w:ind w:left="1276" w:hanging="556"/>
        <w:jc w:val="both"/>
        <w:rPr>
          <w:i/>
          <w:color w:val="000000" w:themeColor="text1"/>
        </w:rPr>
      </w:pPr>
      <w:r w:rsidRPr="003C1C32">
        <w:rPr>
          <w:b/>
          <w:bCs/>
          <w:iCs/>
          <w:color w:val="000000" w:themeColor="text1"/>
        </w:rPr>
        <w:t>H</w:t>
      </w:r>
      <w:r>
        <w:rPr>
          <w:b/>
          <w:bCs/>
          <w:iCs/>
          <w:color w:val="000000" w:themeColor="text1"/>
        </w:rPr>
        <w:t>2</w:t>
      </w:r>
      <w:r w:rsidRPr="00CF39F6">
        <w:rPr>
          <w:i/>
          <w:color w:val="000000" w:themeColor="text1"/>
        </w:rPr>
        <w:t xml:space="preserve">: </w:t>
      </w:r>
      <w:r>
        <w:rPr>
          <w:i/>
          <w:color w:val="000000" w:themeColor="text1"/>
        </w:rPr>
        <w:tab/>
        <w:t>The s</w:t>
      </w:r>
      <w:r w:rsidRPr="00CF39F6">
        <w:rPr>
          <w:i/>
          <w:color w:val="000000" w:themeColor="text1"/>
        </w:rPr>
        <w:t xml:space="preserve">ocial context of </w:t>
      </w:r>
      <w:r>
        <w:rPr>
          <w:i/>
          <w:color w:val="000000" w:themeColor="text1"/>
        </w:rPr>
        <w:t>a</w:t>
      </w:r>
      <w:r w:rsidRPr="00CF39F6">
        <w:rPr>
          <w:i/>
          <w:color w:val="000000" w:themeColor="text1"/>
        </w:rPr>
        <w:t xml:space="preserve"> firm has a positive impact on SCA.</w:t>
      </w:r>
    </w:p>
    <w:p w14:paraId="051D460A" w14:textId="0005CF0F" w:rsidR="007742CC" w:rsidRPr="00C228F7" w:rsidRDefault="007742CC" w:rsidP="007742CC">
      <w:pPr>
        <w:spacing w:before="160" w:after="160" w:line="480" w:lineRule="auto"/>
        <w:jc w:val="both"/>
        <w:rPr>
          <w:b/>
          <w:i/>
          <w:color w:val="000000" w:themeColor="text1"/>
        </w:rPr>
      </w:pPr>
      <w:r>
        <w:rPr>
          <w:b/>
          <w:i/>
          <w:color w:val="000000" w:themeColor="text1"/>
        </w:rPr>
        <w:t>2.</w:t>
      </w:r>
      <w:r w:rsidR="00BE61F9">
        <w:rPr>
          <w:b/>
          <w:i/>
          <w:color w:val="000000" w:themeColor="text1"/>
        </w:rPr>
        <w:t>3</w:t>
      </w:r>
      <w:r w:rsidRPr="00C228F7">
        <w:rPr>
          <w:b/>
          <w:i/>
          <w:color w:val="000000" w:themeColor="text1"/>
        </w:rPr>
        <w:t xml:space="preserve"> SCA and Innovation Performance</w:t>
      </w:r>
    </w:p>
    <w:p w14:paraId="0F909F53" w14:textId="7099CA7A" w:rsidR="002F515D" w:rsidRDefault="007742CC" w:rsidP="007742CC">
      <w:pPr>
        <w:spacing w:line="480" w:lineRule="auto"/>
        <w:jc w:val="both"/>
        <w:rPr>
          <w:color w:val="000000" w:themeColor="text1"/>
        </w:rPr>
      </w:pPr>
      <w:r>
        <w:rPr>
          <w:color w:val="000000" w:themeColor="text1"/>
        </w:rPr>
        <w:t>In general,</w:t>
      </w:r>
      <w:r w:rsidRPr="00CF39F6">
        <w:rPr>
          <w:color w:val="000000" w:themeColor="text1"/>
        </w:rPr>
        <w:t xml:space="preserve"> SCA </w:t>
      </w:r>
      <w:r>
        <w:rPr>
          <w:color w:val="000000" w:themeColor="text1"/>
        </w:rPr>
        <w:t xml:space="preserve">is assumed to have </w:t>
      </w:r>
      <w:r w:rsidRPr="00CF39F6">
        <w:rPr>
          <w:color w:val="000000" w:themeColor="text1"/>
        </w:rPr>
        <w:t xml:space="preserve">a positive impact on </w:t>
      </w:r>
      <w:r>
        <w:rPr>
          <w:color w:val="000000" w:themeColor="text1"/>
        </w:rPr>
        <w:t xml:space="preserve">competitiveness and profitability through different </w:t>
      </w:r>
      <w:r w:rsidRPr="00CF39F6">
        <w:rPr>
          <w:color w:val="000000" w:themeColor="text1"/>
        </w:rPr>
        <w:t>firm performance</w:t>
      </w:r>
      <w:r>
        <w:rPr>
          <w:color w:val="000000" w:themeColor="text1"/>
        </w:rPr>
        <w:t xml:space="preserve"> dimensions </w:t>
      </w:r>
      <w:r>
        <w:rPr>
          <w:color w:val="000000" w:themeColor="text1"/>
        </w:rPr>
        <w:fldChar w:fldCharType="begin"/>
      </w:r>
      <w:r>
        <w:rPr>
          <w:color w:val="000000" w:themeColor="text1"/>
        </w:rPr>
        <w:instrText xml:space="preserve"> ADDIN EN.CITE &lt;EndNote&gt;&lt;Cite&gt;&lt;Author&gt;Dubey&lt;/Author&gt;&lt;Year&gt;2018&lt;/Year&gt;&lt;RecNum&gt;1099&lt;/RecNum&gt;&lt;DisplayText&gt;(Aslam et al., 2018; Dubey et al., 2018)&lt;/DisplayText&gt;&lt;record&gt;&lt;rec-number&gt;1099&lt;/rec-number&gt;&lt;foreign-keys&gt;&lt;key app="EN" db-id="0ewd29dz4ds0vmee9zpx5s9udxtatsf5ffpw" timestamp="0"&gt;1099&lt;/key&gt;&lt;/foreign-keys&gt;&lt;ref-type name="Journal Article"&gt;17&lt;/ref-type&gt;&lt;contributors&gt;&lt;authors&gt;&lt;author&gt;Dubey, Rameshwar&lt;/author&gt;&lt;author&gt;Altay, Nezih&lt;/author&gt;&lt;author&gt;Gunasekaran, Angappa&lt;/author&gt;&lt;author&gt;Blome, Constantin&lt;/author&gt;&lt;author&gt;Papadopoulos, Thanos&lt;/author&gt;&lt;author&gt;Childe, Stephen J&lt;/author&gt;&lt;/authors&gt;&lt;/contributors&gt;&lt;titles&gt;&lt;title&gt;Supply chain agility, adaptability and alignment: empirical evidence from the Indian auto components industry&lt;/title&gt;&lt;secondary-title&gt;International Journal of Operations &amp;amp; Production Management&lt;/secondary-title&gt;&lt;/titles&gt;&lt;periodical&gt;&lt;full-title&gt;International Journal of Operations &amp;amp; Production Management&lt;/full-title&gt;&lt;/periodical&gt;&lt;pages&gt;129-148&lt;/pages&gt;&lt;volume&gt;38&lt;/volume&gt;&lt;number&gt;1&lt;/number&gt;&lt;dates&gt;&lt;year&gt;2018&lt;/year&gt;&lt;/dates&gt;&lt;isbn&gt;0144-3577&lt;/isbn&gt;&lt;urls&gt;&lt;/urls&gt;&lt;/record&gt;&lt;/Cite&gt;&lt;Cite&gt;&lt;Author&gt;Aslam&lt;/Author&gt;&lt;Year&gt;2018&lt;/Year&gt;&lt;RecNum&gt;1281&lt;/RecNum&gt;&lt;record&gt;&lt;rec-number&gt;1281&lt;/rec-number&gt;&lt;foreign-keys&gt;&lt;key app="EN" db-id="0ewd29dz4ds0vmee9zpx5s9udxtatsf5ffpw" timestamp="0"&gt;1281&lt;/key&gt;&lt;/foreign-keys&gt;&lt;ref-type name="Journal Article"&gt;17&lt;/ref-type&gt;&lt;contributors&gt;&lt;authors&gt;&lt;author&gt;Aslam, Haris&lt;/author&gt;&lt;author&gt;Blome, Constantin&lt;/author&gt;&lt;author&gt;Roscoe, Samuel&lt;/author&gt;&lt;author&gt;Azhar, Tashfeen M&lt;/author&gt;&lt;/authors&gt;&lt;/contributors&gt;&lt;titles&gt;&lt;title&gt;Dynamic supply chain capabilities: How market sensing, supply chain agility and adaptability affect supply chain ambidexterity&lt;/title&gt;&lt;secondary-title&gt;International Journal of Operations &amp;amp; Production Management&lt;/secondary-title&gt;&lt;/titles&gt;&lt;periodical&gt;&lt;full-title&gt;International Journal of Operations &amp;amp; Production Management&lt;/full-title&gt;&lt;/periodical&gt;&lt;pages&gt;2266-2285&lt;/pages&gt;&lt;volume&gt;38&lt;/volume&gt;&lt;number&gt;12&lt;/number&gt;&lt;dates&gt;&lt;year&gt;2018&lt;/year&gt;&lt;/dates&gt;&lt;isbn&gt;0144-3577&lt;/isbn&gt;&lt;urls&gt;&lt;/urls&gt;&lt;/record&gt;&lt;/Cite&gt;&lt;/EndNote&gt;</w:instrText>
      </w:r>
      <w:r>
        <w:rPr>
          <w:color w:val="000000" w:themeColor="text1"/>
        </w:rPr>
        <w:fldChar w:fldCharType="separate"/>
      </w:r>
      <w:r>
        <w:rPr>
          <w:noProof/>
          <w:color w:val="000000" w:themeColor="text1"/>
        </w:rPr>
        <w:t>(Aslam et al., 2018; Dubey et al., 2018)</w:t>
      </w:r>
      <w:r>
        <w:rPr>
          <w:color w:val="000000" w:themeColor="text1"/>
        </w:rPr>
        <w:fldChar w:fldCharType="end"/>
      </w:r>
      <w:r w:rsidRPr="00115504">
        <w:rPr>
          <w:color w:val="000000" w:themeColor="text1"/>
        </w:rPr>
        <w:t xml:space="preserve">. </w:t>
      </w:r>
      <w:r>
        <w:rPr>
          <w:color w:val="000000" w:themeColor="text1"/>
        </w:rPr>
        <w:t>Prior research found positive effects of SCA on</w:t>
      </w:r>
      <w:r w:rsidRPr="00F830E6">
        <w:rPr>
          <w:color w:val="000000" w:themeColor="text1"/>
        </w:rPr>
        <w:t xml:space="preserve"> </w:t>
      </w:r>
      <w:r w:rsidRPr="00CF39F6">
        <w:rPr>
          <w:color w:val="000000" w:themeColor="text1"/>
        </w:rPr>
        <w:t>operational</w:t>
      </w:r>
      <w:r>
        <w:rPr>
          <w:color w:val="000000" w:themeColor="text1"/>
        </w:rPr>
        <w:t xml:space="preserve">, </w:t>
      </w:r>
      <w:r w:rsidRPr="00CF39F6">
        <w:rPr>
          <w:color w:val="000000" w:themeColor="text1"/>
        </w:rPr>
        <w:t>marketing, financial, and cycle time performance</w:t>
      </w:r>
      <w:r>
        <w:rPr>
          <w:color w:val="000000" w:themeColor="text1"/>
        </w:rPr>
        <w:t xml:space="preserve"> </w:t>
      </w:r>
      <w:r>
        <w:rPr>
          <w:color w:val="000000" w:themeColor="text1"/>
        </w:rPr>
        <w:fldChar w:fldCharType="begin"/>
      </w:r>
      <w:r>
        <w:rPr>
          <w:color w:val="000000" w:themeColor="text1"/>
        </w:rPr>
        <w:instrText xml:space="preserve"> ADDIN EN.CITE &lt;EndNote&gt;&lt;Cite&gt;&lt;Author&gt;Blome&lt;/Author&gt;&lt;Year&gt;2013&lt;/Year&gt;&lt;RecNum&gt;1294&lt;/RecNum&gt;&lt;DisplayText&gt;(Blome et al., 2013)&lt;/DisplayText&gt;&lt;record&gt;&lt;rec-number&gt;1294&lt;/rec-number&gt;&lt;foreign-keys&gt;&lt;key app="EN" db-id="0ewd29dz4ds0vmee9zpx5s9udxtatsf5ffpw" timestamp="0"&gt;1294&lt;/key&gt;&lt;/foreign-keys&gt;&lt;ref-type name="Journal Article"&gt;17&lt;/ref-type&gt;&lt;contributors&gt;&lt;authors&gt;&lt;author&gt;Blome, Constantin&lt;/author&gt;&lt;author&gt;Schoenherr, Tobias&lt;/author&gt;&lt;author&gt;Rexhausen, Daniel&lt;/author&gt;&lt;/authors&gt;&lt;/contributors&gt;&lt;titles&gt;&lt;title&gt;Antecedents and enablers of supply chain agility and its effect on performance: a dynamic capabilities perspective&lt;/title&gt;&lt;secondary-title&gt;International Journal of Production Research&lt;/secondary-title&gt;&lt;/titles&gt;&lt;periodical&gt;&lt;full-title&gt;International Journal of Production Research&lt;/full-title&gt;&lt;/periodical&gt;&lt;pages&gt;1295-1318&lt;/pages&gt;&lt;volume&gt;51&lt;/volume&gt;&lt;number&gt;4&lt;/number&gt;&lt;dates&gt;&lt;year&gt;2013&lt;/year&gt;&lt;pub-dates&gt;&lt;date&gt;2013/02/15&lt;/date&gt;&lt;/pub-dates&gt;&lt;/dates&gt;&lt;publisher&gt;Taylor &amp;amp; Francis&lt;/publisher&gt;&lt;isbn&gt;0020-7543&lt;/isbn&gt;&lt;urls&gt;&lt;related-urls&gt;&lt;url&gt;https://doi.org/10.1080/00207543.2012.728011&lt;/url&gt;&lt;/related-urls&gt;&lt;/urls&gt;&lt;/record&gt;&lt;/Cite&gt;&lt;/EndNote&gt;</w:instrText>
      </w:r>
      <w:r>
        <w:rPr>
          <w:color w:val="000000" w:themeColor="text1"/>
        </w:rPr>
        <w:fldChar w:fldCharType="separate"/>
      </w:r>
      <w:r>
        <w:rPr>
          <w:noProof/>
          <w:color w:val="000000" w:themeColor="text1"/>
        </w:rPr>
        <w:t>(Blome et al., 2013)</w:t>
      </w:r>
      <w:r>
        <w:rPr>
          <w:color w:val="000000" w:themeColor="text1"/>
        </w:rPr>
        <w:fldChar w:fldCharType="end"/>
      </w:r>
      <w:r>
        <w:rPr>
          <w:color w:val="000000" w:themeColor="text1"/>
        </w:rPr>
        <w:t xml:space="preserve">. However, in their literature review Al </w:t>
      </w:r>
      <w:r w:rsidRPr="009A438A">
        <w:rPr>
          <w:color w:val="000000" w:themeColor="text1"/>
        </w:rPr>
        <w:t xml:space="preserve">Humdan et al. </w:t>
      </w:r>
      <w:r>
        <w:rPr>
          <w:color w:val="000000" w:themeColor="text1"/>
        </w:rPr>
        <w:t>(</w:t>
      </w:r>
      <w:r w:rsidRPr="009A438A">
        <w:rPr>
          <w:color w:val="000000" w:themeColor="text1"/>
        </w:rPr>
        <w:t>2020</w:t>
      </w:r>
      <w:r>
        <w:rPr>
          <w:color w:val="000000" w:themeColor="text1"/>
        </w:rPr>
        <w:t xml:space="preserve">, </w:t>
      </w:r>
      <w:r w:rsidRPr="009A438A">
        <w:rPr>
          <w:color w:val="000000" w:themeColor="text1"/>
        </w:rPr>
        <w:t>p. 303)</w:t>
      </w:r>
      <w:r>
        <w:rPr>
          <w:color w:val="000000" w:themeColor="text1"/>
        </w:rPr>
        <w:t xml:space="preserve">, find </w:t>
      </w:r>
      <w:r w:rsidRPr="00D40A8A">
        <w:rPr>
          <w:color w:val="000000" w:themeColor="text1"/>
        </w:rPr>
        <w:t>“a complex relationship between SCA and different types of performance” as direct results have</w:t>
      </w:r>
      <w:r>
        <w:rPr>
          <w:color w:val="000000" w:themeColor="text1"/>
        </w:rPr>
        <w:t xml:space="preserve"> </w:t>
      </w:r>
      <w:r w:rsidRPr="00D40A8A">
        <w:rPr>
          <w:color w:val="000000" w:themeColor="text1"/>
        </w:rPr>
        <w:t>been ambivalent</w:t>
      </w:r>
      <w:r>
        <w:rPr>
          <w:color w:val="000000" w:themeColor="text1"/>
        </w:rPr>
        <w:t>.</w:t>
      </w:r>
      <w:r w:rsidRPr="00D40A8A">
        <w:rPr>
          <w:color w:val="000000" w:themeColor="text1"/>
        </w:rPr>
        <w:t xml:space="preserve"> </w:t>
      </w:r>
      <w:r>
        <w:rPr>
          <w:color w:val="000000" w:themeColor="text1"/>
        </w:rPr>
        <w:t>S</w:t>
      </w:r>
      <w:r w:rsidRPr="00D40A8A">
        <w:rPr>
          <w:color w:val="000000" w:themeColor="text1"/>
        </w:rPr>
        <w:t xml:space="preserve">ome studies only found indirect </w:t>
      </w:r>
      <w:r>
        <w:rPr>
          <w:color w:val="000000" w:themeColor="text1"/>
        </w:rPr>
        <w:t>links</w:t>
      </w:r>
      <w:r w:rsidRPr="00D40A8A">
        <w:rPr>
          <w:color w:val="000000" w:themeColor="text1"/>
        </w:rPr>
        <w:t xml:space="preserve"> through mediating variables</w:t>
      </w:r>
      <w:r>
        <w:rPr>
          <w:color w:val="000000" w:themeColor="text1"/>
        </w:rPr>
        <w:t xml:space="preserve"> </w:t>
      </w:r>
      <w:r>
        <w:rPr>
          <w:color w:val="000000" w:themeColor="text1"/>
        </w:rPr>
        <w:fldChar w:fldCharType="begin"/>
      </w:r>
      <w:r>
        <w:rPr>
          <w:color w:val="000000" w:themeColor="text1"/>
        </w:rPr>
        <w:instrText xml:space="preserve"> ADDIN EN.CITE &lt;EndNote&gt;&lt;Cite&gt;&lt;Author&gt;Gligor&lt;/Author&gt;&lt;Year&gt;2015&lt;/Year&gt;&lt;RecNum&gt;286&lt;/RecNum&gt;&lt;Prefix&gt;e.g. &lt;/Prefix&gt;&lt;DisplayText&gt;(e.g. Gligor et al., 2015)&lt;/DisplayText&gt;&lt;record&gt;&lt;rec-number&gt;286&lt;/rec-number&gt;&lt;foreign-keys&gt;&lt;key app="EN" db-id="0ewd29dz4ds0vmee9zpx5s9udxtatsf5ffpw" timestamp="0"&gt;286&lt;/key&gt;&lt;/foreign-keys&gt;&lt;ref-type name="Journal Article"&gt;17&lt;/ref-type&gt;&lt;contributors&gt;&lt;authors&gt;&lt;author&gt;Gligor, David  &lt;/author&gt;&lt;author&gt;Esmark, Carol  &lt;/author&gt;&lt;author&gt;Holcomb, Mary  &lt;/author&gt;&lt;/authors&gt;&lt;/contributors&gt;&lt;titles&gt;&lt;title&gt;Performance outcomes of supply chain agility: when should you be agile?&lt;/title&gt;&lt;secondary-title&gt;Journal of Operations Management&lt;/secondary-title&gt;&lt;/titles&gt;&lt;periodical&gt;&lt;full-title&gt;Journal of Operations Management&lt;/full-title&gt;&lt;/periodical&gt;&lt;pages&gt;71-82&lt;/pages&gt;&lt;volume&gt;33&lt;/volume&gt;&lt;number&gt;1&lt;/number&gt;&lt;dates&gt;&lt;year&gt;2015&lt;/year&gt;&lt;/dates&gt;&lt;publisher&gt;Elsevier&lt;/publisher&gt;&lt;isbn&gt;0272-6963&lt;/isbn&gt;&lt;urls&gt;&lt;/urls&gt;&lt;/record&gt;&lt;/Cite&gt;&lt;/EndNote&gt;</w:instrText>
      </w:r>
      <w:r>
        <w:rPr>
          <w:color w:val="000000" w:themeColor="text1"/>
        </w:rPr>
        <w:fldChar w:fldCharType="separate"/>
      </w:r>
      <w:r>
        <w:rPr>
          <w:noProof/>
          <w:color w:val="000000" w:themeColor="text1"/>
        </w:rPr>
        <w:t>(e.g. Gligor et al., 2015)</w:t>
      </w:r>
      <w:r>
        <w:rPr>
          <w:color w:val="000000" w:themeColor="text1"/>
        </w:rPr>
        <w:fldChar w:fldCharType="end"/>
      </w:r>
      <w:r>
        <w:rPr>
          <w:color w:val="000000" w:themeColor="text1"/>
        </w:rPr>
        <w:t>.</w:t>
      </w:r>
      <w:r w:rsidRPr="00D40A8A">
        <w:rPr>
          <w:color w:val="000000" w:themeColor="text1"/>
        </w:rPr>
        <w:t xml:space="preserve"> </w:t>
      </w:r>
      <w:r>
        <w:rPr>
          <w:color w:val="000000" w:themeColor="text1"/>
        </w:rPr>
        <w:t xml:space="preserve">In this study, we evaluate if, contrary to the current wisdom that SCA improves organizational performance in the present, it actually improves future performance by allowing firms to improve their innovation performance </w:t>
      </w:r>
      <w:r>
        <w:rPr>
          <w:color w:val="000000" w:themeColor="text1"/>
        </w:rPr>
        <w:fldChar w:fldCharType="begin"/>
      </w:r>
      <w:r>
        <w:rPr>
          <w:color w:val="000000" w:themeColor="text1"/>
        </w:rPr>
        <w:instrText xml:space="preserve"> ADDIN EN.CITE &lt;EndNote&gt;&lt;Cite&gt;&lt;Author&gt;Aslam&lt;/Author&gt;&lt;Year&gt;2018&lt;/Year&gt;&lt;RecNum&gt;1281&lt;/RecNum&gt;&lt;DisplayText&gt;(Aslam et al., 2018)&lt;/DisplayText&gt;&lt;record&gt;&lt;rec-number&gt;1281&lt;/rec-number&gt;&lt;foreign-keys&gt;&lt;key app="EN" db-id="0ewd29dz4ds0vmee9zpx5s9udxtatsf5ffpw" timestamp="0"&gt;1281&lt;/key&gt;&lt;/foreign-keys&gt;&lt;ref-type name="Journal Article"&gt;17&lt;/ref-type&gt;&lt;contributors&gt;&lt;authors&gt;&lt;author&gt;Aslam, Haris&lt;/author&gt;&lt;author&gt;Blome, Constantin&lt;/author&gt;&lt;author&gt;Roscoe, Samuel&lt;/author&gt;&lt;author&gt;Azhar, Tashfeen M&lt;/author&gt;&lt;/authors&gt;&lt;/contributors&gt;&lt;titles&gt;&lt;title&gt;Dynamic supply chain capabilities: How market sensing, supply chain agility and adaptability affect supply chain ambidexterity&lt;/title&gt;&lt;secondary-title&gt;International Journal of Operations &amp;amp; Production Management&lt;/secondary-title&gt;&lt;/titles&gt;&lt;periodical&gt;&lt;full-title&gt;International Journal of Operations &amp;amp; Production Management&lt;/full-title&gt;&lt;/periodical&gt;&lt;pages&gt;2266-2285&lt;/pages&gt;&lt;volume&gt;38&lt;/volume&gt;&lt;number&gt;12&lt;/number&gt;&lt;dates&gt;&lt;year&gt;2018&lt;/year&gt;&lt;/dates&gt;&lt;isbn&gt;0144-3577&lt;/isbn&gt;&lt;urls&gt;&lt;/urls&gt;&lt;/record&gt;&lt;/Cite&gt;&lt;/EndNote&gt;</w:instrText>
      </w:r>
      <w:r>
        <w:rPr>
          <w:color w:val="000000" w:themeColor="text1"/>
        </w:rPr>
        <w:fldChar w:fldCharType="separate"/>
      </w:r>
      <w:r>
        <w:rPr>
          <w:noProof/>
          <w:color w:val="000000" w:themeColor="text1"/>
        </w:rPr>
        <w:t>(Aslam et al., 2018)</w:t>
      </w:r>
      <w:r>
        <w:rPr>
          <w:color w:val="000000" w:themeColor="text1"/>
        </w:rPr>
        <w:fldChar w:fldCharType="end"/>
      </w:r>
      <w:r>
        <w:rPr>
          <w:color w:val="000000" w:themeColor="text1"/>
        </w:rPr>
        <w:t xml:space="preserve">. </w:t>
      </w:r>
      <w:r w:rsidR="002F515D" w:rsidRPr="002F515D">
        <w:rPr>
          <w:color w:val="FF0000"/>
        </w:rPr>
        <w:t>So far, there is mixed evidence of this link with some studies postulating a positive relationship (e.g</w:t>
      </w:r>
      <w:r w:rsidR="005651FB">
        <w:rPr>
          <w:color w:val="FF0000"/>
        </w:rPr>
        <w:t>.</w:t>
      </w:r>
      <w:r w:rsidR="002F515D" w:rsidRPr="002F515D">
        <w:rPr>
          <w:color w:val="FF0000"/>
        </w:rPr>
        <w:t xml:space="preserve">, Swafford </w:t>
      </w:r>
      <w:r w:rsidR="002F515D" w:rsidRPr="00F95872">
        <w:rPr>
          <w:color w:val="FF0000"/>
        </w:rPr>
        <w:t>et al.</w:t>
      </w:r>
      <w:r w:rsidR="002F515D">
        <w:rPr>
          <w:color w:val="FF0000"/>
        </w:rPr>
        <w:t xml:space="preserve">, </w:t>
      </w:r>
      <w:r w:rsidR="002F515D" w:rsidRPr="00F95872">
        <w:rPr>
          <w:color w:val="FF0000"/>
        </w:rPr>
        <w:t>2006</w:t>
      </w:r>
      <w:r w:rsidR="002F515D">
        <w:rPr>
          <w:color w:val="FF0000"/>
        </w:rPr>
        <w:t>), and others finding no positive effect of SCA on</w:t>
      </w:r>
      <w:r w:rsidR="002F515D" w:rsidRPr="002F515D">
        <w:rPr>
          <w:color w:val="FF0000"/>
        </w:rPr>
        <w:t xml:space="preserve"> </w:t>
      </w:r>
      <w:r w:rsidR="002F515D" w:rsidRPr="00F95872">
        <w:rPr>
          <w:color w:val="FF0000"/>
        </w:rPr>
        <w:t>innovation performance</w:t>
      </w:r>
      <w:r w:rsidR="002F515D">
        <w:rPr>
          <w:color w:val="000000" w:themeColor="text1"/>
        </w:rPr>
        <w:t>.</w:t>
      </w:r>
    </w:p>
    <w:p w14:paraId="6305BCE8" w14:textId="77777777" w:rsidR="007742CC" w:rsidRDefault="007742CC" w:rsidP="007742CC">
      <w:pPr>
        <w:spacing w:line="480" w:lineRule="auto"/>
        <w:ind w:firstLine="360"/>
        <w:jc w:val="both"/>
        <w:rPr>
          <w:color w:val="000000" w:themeColor="text1"/>
        </w:rPr>
      </w:pPr>
      <w:r>
        <w:rPr>
          <w:color w:val="000000" w:themeColor="text1"/>
        </w:rPr>
        <w:lastRenderedPageBreak/>
        <w:t>I</w:t>
      </w:r>
      <w:r w:rsidRPr="0064130F">
        <w:rPr>
          <w:color w:val="000000" w:themeColor="text1"/>
        </w:rPr>
        <w:t>nnovation performance describes a firm's capability to enhance the usefulness or performance of its products and services</w:t>
      </w:r>
      <w:r>
        <w:rPr>
          <w:color w:val="000000" w:themeColor="text1"/>
        </w:rPr>
        <w:t xml:space="preserve"> </w:t>
      </w:r>
      <w:r w:rsidRPr="0064130F">
        <w:rPr>
          <w:color w:val="000000" w:themeColor="text1"/>
        </w:rPr>
        <w:t xml:space="preserve">and is commonly acknowledged as a driver of competitive advantage </w:t>
      </w:r>
      <w:r w:rsidRPr="00CF39F6">
        <w:rPr>
          <w:color w:val="000000" w:themeColor="text1"/>
        </w:rPr>
        <w:t>due to its potential for revenue growth</w:t>
      </w:r>
      <w:r>
        <w:rPr>
          <w:color w:val="000000" w:themeColor="text1"/>
        </w:rPr>
        <w:t xml:space="preserve"> </w:t>
      </w:r>
      <w:r w:rsidRPr="0064130F">
        <w:rPr>
          <w:color w:val="000000" w:themeColor="text1"/>
        </w:rPr>
        <w:t xml:space="preserve">– not only </w:t>
      </w:r>
      <w:r>
        <w:rPr>
          <w:color w:val="000000" w:themeColor="text1"/>
        </w:rPr>
        <w:t>at</w:t>
      </w:r>
      <w:r w:rsidRPr="0064130F">
        <w:rPr>
          <w:color w:val="000000" w:themeColor="text1"/>
        </w:rPr>
        <w:t xml:space="preserve"> the firm</w:t>
      </w:r>
      <w:r>
        <w:rPr>
          <w:color w:val="000000" w:themeColor="text1"/>
        </w:rPr>
        <w:t xml:space="preserve"> </w:t>
      </w:r>
      <w:r w:rsidRPr="0064130F">
        <w:rPr>
          <w:color w:val="000000" w:themeColor="text1"/>
        </w:rPr>
        <w:t xml:space="preserve">but </w:t>
      </w:r>
      <w:r>
        <w:rPr>
          <w:color w:val="000000" w:themeColor="text1"/>
        </w:rPr>
        <w:t xml:space="preserve">also at the </w:t>
      </w:r>
      <w:r w:rsidRPr="0064130F">
        <w:rPr>
          <w:color w:val="000000" w:themeColor="text1"/>
        </w:rPr>
        <w:t>supply chain</w:t>
      </w:r>
      <w:r>
        <w:rPr>
          <w:color w:val="000000" w:themeColor="text1"/>
        </w:rPr>
        <w:t xml:space="preserve"> level </w:t>
      </w:r>
      <w:r>
        <w:rPr>
          <w:color w:val="000000" w:themeColor="text1"/>
        </w:rPr>
        <w:fldChar w:fldCharType="begin">
          <w:fldData xml:space="preserve">PEVuZE5vdGU+PENpdGU+PEF1dGhvcj5Pa2U8L0F1dGhvcj48WWVhcj4yMDEzPC9ZZWFyPjxSZWNO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</w:fldData>
        </w:fldChar>
      </w:r>
      <w:r>
        <w:rPr>
          <w:color w:val="000000" w:themeColor="text1"/>
        </w:rPr>
        <w:instrText xml:space="preserve"> ADDIN EN.CITE </w:instrText>
      </w:r>
      <w:r>
        <w:rPr>
          <w:color w:val="000000" w:themeColor="text1"/>
        </w:rPr>
        <w:fldChar w:fldCharType="begin">
          <w:fldData xml:space="preserve">PEVuZE5vdGU+PENpdGU+PEF1dGhvcj5Pa2U8L0F1dGhvcj48WWVhcj4yMDEzPC9ZZWFyPjxSZWNO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</w:fldData>
        </w:fldChar>
      </w:r>
      <w:r>
        <w:rPr>
          <w:color w:val="000000" w:themeColor="text1"/>
        </w:rPr>
        <w:instrText xml:space="preserve"> ADDIN EN.CITE.DATA </w:instrText>
      </w:r>
      <w:r>
        <w:rPr>
          <w:color w:val="000000" w:themeColor="text1"/>
        </w:rPr>
      </w:r>
      <w:r>
        <w:rPr>
          <w:color w:val="000000" w:themeColor="text1"/>
        </w:rPr>
        <w:fldChar w:fldCharType="end"/>
      </w:r>
      <w:r>
        <w:rPr>
          <w:color w:val="000000" w:themeColor="text1"/>
        </w:rPr>
      </w:r>
      <w:r>
        <w:rPr>
          <w:color w:val="000000" w:themeColor="text1"/>
        </w:rPr>
        <w:fldChar w:fldCharType="separate"/>
      </w:r>
      <w:r>
        <w:rPr>
          <w:noProof/>
          <w:color w:val="000000" w:themeColor="text1"/>
        </w:rPr>
        <w:t>(Cheng et al., 2014; Oke et al., 2013; Wei et al., 2020)</w:t>
      </w:r>
      <w:r>
        <w:rPr>
          <w:color w:val="000000" w:themeColor="text1"/>
        </w:rPr>
        <w:fldChar w:fldCharType="end"/>
      </w:r>
      <w:r>
        <w:rPr>
          <w:color w:val="000000" w:themeColor="text1"/>
        </w:rPr>
        <w:t xml:space="preserve">. Innovation performance is generally considered a key factor within an economy’s </w:t>
      </w:r>
      <w:r w:rsidRPr="00CF39F6">
        <w:rPr>
          <w:color w:val="000000" w:themeColor="text1"/>
        </w:rPr>
        <w:t xml:space="preserve">manufacturing sector </w:t>
      </w:r>
      <w:r>
        <w:rPr>
          <w:color w:val="000000" w:themeColor="text1"/>
        </w:rPr>
        <w:t>as it is particularly those firms</w:t>
      </w:r>
      <w:r w:rsidRPr="00CF39F6">
        <w:rPr>
          <w:color w:val="000000" w:themeColor="text1"/>
        </w:rPr>
        <w:t xml:space="preserve"> </w:t>
      </w:r>
      <w:r>
        <w:rPr>
          <w:color w:val="000000" w:themeColor="text1"/>
        </w:rPr>
        <w:t>that significantly</w:t>
      </w:r>
      <w:r w:rsidRPr="00CF39F6">
        <w:rPr>
          <w:color w:val="000000" w:themeColor="text1"/>
        </w:rPr>
        <w:t xml:space="preserve"> drive innovation </w:t>
      </w:r>
      <w:r>
        <w:rPr>
          <w:color w:val="000000" w:themeColor="text1"/>
        </w:rPr>
        <w:t>and through which economies in turn</w:t>
      </w:r>
      <w:r w:rsidRPr="00CF39F6">
        <w:rPr>
          <w:color w:val="000000" w:themeColor="text1"/>
        </w:rPr>
        <w:t xml:space="preserve"> realize </w:t>
      </w:r>
      <w:r>
        <w:rPr>
          <w:color w:val="000000" w:themeColor="text1"/>
        </w:rPr>
        <w:t xml:space="preserve">economic </w:t>
      </w:r>
      <w:r w:rsidRPr="00CF39F6">
        <w:rPr>
          <w:color w:val="000000" w:themeColor="text1"/>
        </w:rPr>
        <w:t xml:space="preserve">development and growth </w:t>
      </w:r>
      <w:r w:rsidRPr="001A090D">
        <w:rPr>
          <w:color w:val="000000" w:themeColor="text1"/>
        </w:rPr>
        <w:fldChar w:fldCharType="begin"/>
      </w:r>
      <w:r>
        <w:rPr>
          <w:color w:val="000000" w:themeColor="text1"/>
        </w:rPr>
        <w:instrText xml:space="preserve"> ADDIN EN.CITE &lt;EndNote&gt;&lt;Cite&gt;&lt;Author&gt;Wei&lt;/Author&gt;&lt;Year&gt;2020&lt;/Year&gt;&lt;RecNum&gt;1541&lt;/RecNum&gt;&lt;DisplayText&gt;(Wei et al., 2020)&lt;/DisplayText&gt;&lt;record&gt;&lt;rec-number&gt;1541&lt;/rec-number&gt;&lt;foreign-keys&gt;&lt;key app="EN" db-id="0ewd29dz4ds0vmee9zpx5s9udxtatsf5ffpw" timestamp="0"&gt;1541&lt;/key&gt;&lt;/foreign-keys&gt;&lt;ref-type name="Journal Article"&gt;17&lt;/ref-type&gt;&lt;contributors&gt;&lt;authors&gt;&lt;author&gt;Wei, Yu&lt;/author&gt;&lt;author&gt;Nan, Haoxi&lt;/author&gt;&lt;author&gt;Wei, Guiwu&lt;/author&gt;&lt;/authors&gt;&lt;/contributors&gt;&lt;titles&gt;&lt;title&gt;The impact of employee welfare on innovation performance: Evidence from China&amp;apos;s manufacturing corporations&lt;/title&gt;&lt;secondary-title&gt;International Journal of Production Economics&lt;/secondary-title&gt;&lt;/titles&gt;&lt;periodical&gt;&lt;full-title&gt;International Journal of Production Economics&lt;/full-title&gt;&lt;/periodical&gt;&lt;pages&gt;107753&lt;/pages&gt;&lt;volume&gt;228&lt;/volume&gt;&lt;dates&gt;&lt;year&gt;2020&lt;/year&gt;&lt;/dates&gt;&lt;isbn&gt;0925-5273&lt;/isbn&gt;&lt;urls&gt;&lt;/urls&gt;&lt;/record&gt;&lt;/Cite&gt;&lt;/EndNote&gt;</w:instrText>
      </w:r>
      <w:r w:rsidRPr="001A090D">
        <w:rPr>
          <w:color w:val="000000" w:themeColor="text1"/>
        </w:rPr>
        <w:fldChar w:fldCharType="separate"/>
      </w:r>
      <w:r>
        <w:rPr>
          <w:noProof/>
          <w:color w:val="000000" w:themeColor="text1"/>
        </w:rPr>
        <w:t>(Wei et al., 2020)</w:t>
      </w:r>
      <w:r w:rsidRPr="001A090D">
        <w:rPr>
          <w:color w:val="000000" w:themeColor="text1"/>
        </w:rPr>
        <w:fldChar w:fldCharType="end"/>
      </w:r>
      <w:r w:rsidRPr="00CF39F6">
        <w:rPr>
          <w:color w:val="000000" w:themeColor="text1"/>
        </w:rPr>
        <w:t>.</w:t>
      </w:r>
    </w:p>
    <w:p w14:paraId="03519EAE" w14:textId="7E7EFBEB" w:rsidR="00667D59" w:rsidRDefault="007742CC" w:rsidP="007742CC">
      <w:pPr>
        <w:spacing w:line="480" w:lineRule="auto"/>
        <w:ind w:firstLine="426"/>
        <w:jc w:val="both"/>
        <w:rPr>
          <w:color w:val="000000" w:themeColor="text1"/>
        </w:rPr>
      </w:pPr>
      <w:r>
        <w:rPr>
          <w:color w:val="000000" w:themeColor="text1"/>
        </w:rPr>
        <w:t>Prior s</w:t>
      </w:r>
      <w:r w:rsidRPr="00CF39F6">
        <w:rPr>
          <w:color w:val="000000" w:themeColor="text1"/>
        </w:rPr>
        <w:t xml:space="preserve">tudies </w:t>
      </w:r>
      <w:r>
        <w:rPr>
          <w:color w:val="000000" w:themeColor="text1"/>
        </w:rPr>
        <w:t>proposed</w:t>
      </w:r>
      <w:r w:rsidRPr="00CF39F6">
        <w:rPr>
          <w:color w:val="000000" w:themeColor="text1"/>
        </w:rPr>
        <w:t xml:space="preserve"> that </w:t>
      </w:r>
      <w:r>
        <w:rPr>
          <w:color w:val="000000" w:themeColor="text1"/>
        </w:rPr>
        <w:t>SCA</w:t>
      </w:r>
      <w:r w:rsidRPr="00CF39F6">
        <w:rPr>
          <w:color w:val="000000" w:themeColor="text1"/>
        </w:rPr>
        <w:t xml:space="preserve"> is a capability </w:t>
      </w:r>
      <w:r>
        <w:rPr>
          <w:color w:val="000000" w:themeColor="text1"/>
        </w:rPr>
        <w:t>that</w:t>
      </w:r>
      <w:r w:rsidRPr="00CF39F6">
        <w:rPr>
          <w:color w:val="000000" w:themeColor="text1"/>
        </w:rPr>
        <w:t xml:space="preserve"> helps tackl</w:t>
      </w:r>
      <w:r>
        <w:rPr>
          <w:color w:val="000000" w:themeColor="text1"/>
        </w:rPr>
        <w:t>e</w:t>
      </w:r>
      <w:r w:rsidRPr="00CF39F6">
        <w:rPr>
          <w:color w:val="000000" w:themeColor="text1"/>
        </w:rPr>
        <w:t xml:space="preserve"> the market risk in a better way </w:t>
      </w:r>
      <w:r>
        <w:rPr>
          <w:color w:val="000000" w:themeColor="text1"/>
        </w:rPr>
        <w:t>(</w:t>
      </w:r>
      <w:r w:rsidRPr="003548C5">
        <w:rPr>
          <w:color w:val="000000" w:themeColor="text1"/>
        </w:rPr>
        <w:t>Braunscheidel and Suresh, 2009)</w:t>
      </w:r>
      <w:r>
        <w:rPr>
          <w:color w:val="000000" w:themeColor="text1"/>
        </w:rPr>
        <w:t>, i.e., through the avoidance of operational damage. The l</w:t>
      </w:r>
      <w:r w:rsidRPr="00CF39F6">
        <w:rPr>
          <w:color w:val="000000" w:themeColor="text1"/>
        </w:rPr>
        <w:t xml:space="preserve">iterature on innovation suggests that innovative firms differ </w:t>
      </w:r>
      <w:r w:rsidRPr="009740BF">
        <w:rPr>
          <w:color w:val="000000" w:themeColor="text1"/>
        </w:rPr>
        <w:t xml:space="preserve">from less innovative </w:t>
      </w:r>
      <w:r>
        <w:rPr>
          <w:color w:val="000000" w:themeColor="text1"/>
        </w:rPr>
        <w:t>one</w:t>
      </w:r>
      <w:r w:rsidRPr="009740BF">
        <w:rPr>
          <w:color w:val="000000" w:themeColor="text1"/>
        </w:rPr>
        <w:t>s based on their risk propensity, ability to handle uncertainty and new technology acceptance</w:t>
      </w:r>
      <w:r>
        <w:rPr>
          <w:color w:val="000000" w:themeColor="text1"/>
        </w:rPr>
        <w:t xml:space="preserve"> </w:t>
      </w:r>
      <w:r w:rsidRPr="003548C5">
        <w:rPr>
          <w:color w:val="000000" w:themeColor="text1"/>
        </w:rPr>
        <w:t xml:space="preserve">(Hurley </w:t>
      </w:r>
      <w:r>
        <w:rPr>
          <w:color w:val="000000" w:themeColor="text1"/>
        </w:rPr>
        <w:t>&amp;</w:t>
      </w:r>
      <w:r w:rsidRPr="003548C5">
        <w:rPr>
          <w:color w:val="000000" w:themeColor="text1"/>
        </w:rPr>
        <w:t xml:space="preserve"> Hult, 1998</w:t>
      </w:r>
      <w:r>
        <w:rPr>
          <w:color w:val="000000" w:themeColor="text1"/>
        </w:rPr>
        <w:t>;</w:t>
      </w:r>
      <w:r w:rsidRPr="003548C5">
        <w:rPr>
          <w:color w:val="000000" w:themeColor="text1"/>
        </w:rPr>
        <w:t xml:space="preserve"> Ravichandran, 2018).</w:t>
      </w:r>
      <w:r w:rsidRPr="009740BF">
        <w:rPr>
          <w:color w:val="000000" w:themeColor="text1"/>
        </w:rPr>
        <w:t xml:space="preserve"> Furthermore, SCA has been referred to as a firm’s capability to respond to market changes in </w:t>
      </w:r>
      <w:r>
        <w:rPr>
          <w:color w:val="000000" w:themeColor="text1"/>
        </w:rPr>
        <w:t xml:space="preserve">the </w:t>
      </w:r>
      <w:r w:rsidR="00C37350" w:rsidRPr="009740BF">
        <w:rPr>
          <w:color w:val="000000" w:themeColor="text1"/>
        </w:rPr>
        <w:t>short term</w:t>
      </w:r>
      <w:r w:rsidRPr="009740BF">
        <w:rPr>
          <w:color w:val="000000" w:themeColor="text1"/>
        </w:rPr>
        <w:t>, which implies some form of time pressure. Time pressure in turn has been found as an antecedent of innovation for two reasons (</w:t>
      </w:r>
      <w:r w:rsidRPr="009740BF">
        <w:rPr>
          <w:color w:val="000000" w:themeColor="text1"/>
          <w:lang w:val="en-GB"/>
        </w:rPr>
        <w:t>Wu et al., 2014)</w:t>
      </w:r>
      <w:r w:rsidRPr="009740BF">
        <w:rPr>
          <w:color w:val="000000" w:themeColor="text1"/>
        </w:rPr>
        <w:t xml:space="preserve">: </w:t>
      </w:r>
      <w:r>
        <w:rPr>
          <w:color w:val="000000" w:themeColor="text1"/>
        </w:rPr>
        <w:t>Firstly, it</w:t>
      </w:r>
      <w:r w:rsidRPr="00CF39F6">
        <w:rPr>
          <w:color w:val="000000" w:themeColor="text1"/>
        </w:rPr>
        <w:t xml:space="preserve"> inspires organizational members to </w:t>
      </w:r>
      <w:r>
        <w:rPr>
          <w:color w:val="000000" w:themeColor="text1"/>
        </w:rPr>
        <w:t>accomplish their tasks on time</w:t>
      </w:r>
      <w:r w:rsidRPr="00CF39F6">
        <w:rPr>
          <w:color w:val="000000" w:themeColor="text1"/>
        </w:rPr>
        <w:t xml:space="preserve"> </w:t>
      </w:r>
      <w:r>
        <w:rPr>
          <w:color w:val="000000" w:themeColor="text1"/>
        </w:rPr>
        <w:t>often by deviating from routines (Ohly &amp; Fritz, 2010) and it signals “</w:t>
      </w:r>
      <w:r w:rsidRPr="00492094">
        <w:rPr>
          <w:sz w:val="25"/>
          <w:szCs w:val="25"/>
          <w:lang w:val="en-GB"/>
        </w:rPr>
        <w:t>a</w:t>
      </w:r>
      <w:r>
        <w:rPr>
          <w:sz w:val="25"/>
          <w:szCs w:val="25"/>
          <w:lang w:val="en-GB"/>
        </w:rPr>
        <w:t xml:space="preserve"> </w:t>
      </w:r>
      <w:r w:rsidRPr="00492094">
        <w:rPr>
          <w:sz w:val="25"/>
          <w:szCs w:val="25"/>
          <w:lang w:val="en-GB"/>
        </w:rPr>
        <w:t>suboptimal condition that requires more effort to achieve the expected goal</w:t>
      </w:r>
      <w:r>
        <w:rPr>
          <w:sz w:val="25"/>
          <w:szCs w:val="25"/>
          <w:lang w:val="en-GB"/>
        </w:rPr>
        <w:t>”</w:t>
      </w:r>
      <w:r w:rsidRPr="00492094">
        <w:rPr>
          <w:sz w:val="25"/>
          <w:szCs w:val="25"/>
          <w:lang w:val="en-GB"/>
        </w:rPr>
        <w:t xml:space="preserve"> and, thus</w:t>
      </w:r>
      <w:r>
        <w:rPr>
          <w:sz w:val="25"/>
          <w:szCs w:val="25"/>
          <w:lang w:val="en-GB"/>
        </w:rPr>
        <w:t xml:space="preserve"> results in</w:t>
      </w:r>
      <w:r w:rsidRPr="00492094">
        <w:rPr>
          <w:sz w:val="25"/>
          <w:szCs w:val="25"/>
          <w:lang w:val="en-GB"/>
        </w:rPr>
        <w:t xml:space="preserve"> individuals</w:t>
      </w:r>
      <w:r>
        <w:rPr>
          <w:sz w:val="25"/>
          <w:szCs w:val="25"/>
          <w:lang w:val="en-GB"/>
        </w:rPr>
        <w:t>’</w:t>
      </w:r>
      <w:r w:rsidRPr="00492094">
        <w:rPr>
          <w:sz w:val="25"/>
          <w:szCs w:val="25"/>
          <w:lang w:val="en-GB"/>
        </w:rPr>
        <w:t xml:space="preserve"> </w:t>
      </w:r>
      <w:r>
        <w:rPr>
          <w:sz w:val="25"/>
          <w:szCs w:val="25"/>
          <w:lang w:val="en-GB"/>
        </w:rPr>
        <w:t>trying</w:t>
      </w:r>
      <w:r w:rsidRPr="00492094">
        <w:rPr>
          <w:sz w:val="25"/>
          <w:szCs w:val="25"/>
          <w:lang w:val="en-GB"/>
        </w:rPr>
        <w:t xml:space="preserve"> new approaches</w:t>
      </w:r>
      <w:r>
        <w:rPr>
          <w:sz w:val="25"/>
          <w:szCs w:val="25"/>
          <w:lang w:val="en-GB"/>
        </w:rPr>
        <w:t xml:space="preserve"> and ideas (Fay &amp; Sonnentag, 2002; </w:t>
      </w:r>
      <w:r w:rsidRPr="00310C67">
        <w:rPr>
          <w:sz w:val="25"/>
          <w:szCs w:val="25"/>
          <w:lang w:val="en-GB"/>
        </w:rPr>
        <w:t xml:space="preserve">Wu </w:t>
      </w:r>
      <w:r>
        <w:rPr>
          <w:sz w:val="25"/>
          <w:szCs w:val="25"/>
          <w:lang w:val="en-GB"/>
        </w:rPr>
        <w:t>et al., 2014, p. 1516).</w:t>
      </w:r>
      <w:r>
        <w:rPr>
          <w:color w:val="000000" w:themeColor="text1"/>
          <w:lang w:val="en-GB"/>
        </w:rPr>
        <w:t xml:space="preserve"> </w:t>
      </w:r>
      <w:r>
        <w:rPr>
          <w:color w:val="000000" w:themeColor="text1"/>
        </w:rPr>
        <w:t>Secondly</w:t>
      </w:r>
      <w:r w:rsidRPr="009740BF">
        <w:rPr>
          <w:color w:val="000000" w:themeColor="text1"/>
        </w:rPr>
        <w:t>, time pressure forces individuals toward quick information processing</w:t>
      </w:r>
      <w:r>
        <w:rPr>
          <w:color w:val="000000" w:themeColor="text1"/>
        </w:rPr>
        <w:t xml:space="preserve"> </w:t>
      </w:r>
      <w:r w:rsidRPr="004E46F8">
        <w:rPr>
          <w:color w:val="000000" w:themeColor="text1"/>
        </w:rPr>
        <w:t xml:space="preserve">(Mann </w:t>
      </w:r>
      <w:r>
        <w:rPr>
          <w:color w:val="000000" w:themeColor="text1"/>
        </w:rPr>
        <w:t>&amp;</w:t>
      </w:r>
      <w:r w:rsidRPr="004E46F8">
        <w:rPr>
          <w:color w:val="000000" w:themeColor="text1"/>
        </w:rPr>
        <w:t xml:space="preserve"> Tan, 1993)</w:t>
      </w:r>
      <w:r w:rsidRPr="009740BF">
        <w:rPr>
          <w:color w:val="000000" w:themeColor="text1"/>
        </w:rPr>
        <w:t xml:space="preserve">. As a result, such members develop capabilities for knowledge combination and knowledge processing </w:t>
      </w:r>
      <w:r w:rsidRPr="009740BF">
        <w:rPr>
          <w:color w:val="000000" w:themeColor="text1"/>
        </w:rPr>
        <w:fldChar w:fldCharType="begin"/>
      </w:r>
      <w:r>
        <w:rPr>
          <w:color w:val="000000" w:themeColor="text1"/>
        </w:rPr>
        <w:instrText xml:space="preserve"> ADDIN EN.CITE &lt;EndNote&gt;&lt;Cite&gt;&lt;Author&gt;Wu&lt;/Author&gt;&lt;Year&gt;2014&lt;/Year&gt;&lt;RecNum&gt;1556&lt;/RecNum&gt;&lt;DisplayText&gt;(Wu et al., 2014)&lt;/DisplayText&gt;&lt;record&gt;&lt;rec-number&gt;1556&lt;/rec-number&gt;&lt;foreign-keys&gt;&lt;key app="EN" db-id="0ewd29dz4ds0vmee9zpx5s9udxtatsf5ffpw" timestamp="0"&gt;1556&lt;/key&gt;&lt;/foreign-keys&gt;&lt;ref-type name="Journal Article"&gt;17&lt;/ref-type&gt;&lt;contributors&gt;&lt;authors&gt;&lt;author&gt;Wu, Chia-Huei&lt;/author&gt;&lt;author&gt;Parker, Sharon K&lt;/author&gt;&lt;author&gt;De Jong, Jeroen PJ&lt;/author&gt;&lt;/authors&gt;&lt;/contributors&gt;&lt;titles&gt;&lt;title&gt;Need for cognition as an antecedent of individual innovation behavior&lt;/title&gt;&lt;secondary-title&gt;Journal of management&lt;/secondary-title&gt;&lt;/titles&gt;&lt;pages&gt;1511-1534&lt;/pages&gt;&lt;volume&gt;40&lt;/volume&gt;&lt;number&gt;6&lt;/number&gt;&lt;dates&gt;&lt;year&gt;2014&lt;/year&gt;&lt;/dates&gt;&lt;isbn&gt;0149-2063&lt;/isbn&gt;&lt;urls&gt;&lt;/urls&gt;&lt;/record&gt;&lt;/Cite&gt;&lt;/EndNote&gt;</w:instrText>
      </w:r>
      <w:r w:rsidRPr="009740BF">
        <w:rPr>
          <w:color w:val="000000" w:themeColor="text1"/>
        </w:rPr>
        <w:fldChar w:fldCharType="separate"/>
      </w:r>
      <w:r>
        <w:rPr>
          <w:noProof/>
          <w:color w:val="000000" w:themeColor="text1"/>
        </w:rPr>
        <w:t>(Wu et al., 2014)</w:t>
      </w:r>
      <w:r w:rsidRPr="009740BF">
        <w:rPr>
          <w:color w:val="000000" w:themeColor="text1"/>
        </w:rPr>
        <w:fldChar w:fldCharType="end"/>
      </w:r>
      <w:r w:rsidRPr="009A438A">
        <w:rPr>
          <w:color w:val="FF0000"/>
        </w:rPr>
        <w:t>, which</w:t>
      </w:r>
      <w:r>
        <w:rPr>
          <w:color w:val="000000" w:themeColor="text1"/>
        </w:rPr>
        <w:t xml:space="preserve"> </w:t>
      </w:r>
      <w:r w:rsidRPr="009740BF">
        <w:rPr>
          <w:color w:val="000000" w:themeColor="text1"/>
        </w:rPr>
        <w:t xml:space="preserve">results in a better collective response and innovative solutions. </w:t>
      </w:r>
    </w:p>
    <w:p w14:paraId="7821D519" w14:textId="76CF6E4E" w:rsidR="007742CC" w:rsidRPr="007D0421" w:rsidRDefault="00667D59" w:rsidP="007D0421">
      <w:pPr>
        <w:spacing w:line="480" w:lineRule="auto"/>
        <w:ind w:firstLine="426"/>
        <w:jc w:val="both"/>
        <w:rPr>
          <w:color w:val="000000" w:themeColor="text1"/>
        </w:rPr>
      </w:pPr>
      <w:r w:rsidRPr="00DB0C05">
        <w:rPr>
          <w:color w:val="FF0000"/>
        </w:rPr>
        <w:t xml:space="preserve">In this study, we assume SCA to be a capability that positively influences a firm’s innovation performance. Prior research suggests that innovation is embedded in a firm in such a way that it is </w:t>
      </w:r>
      <w:r w:rsidRPr="00DB0C05">
        <w:rPr>
          <w:color w:val="FF0000"/>
        </w:rPr>
        <w:lastRenderedPageBreak/>
        <w:t xml:space="preserve">affected by external (i.e., supply chain-wide) factors and that it emerges from the recombination of resources internal and external to the firm </w:t>
      </w:r>
      <w:r w:rsidRPr="00DB0C05">
        <w:rPr>
          <w:color w:val="FF0000"/>
        </w:rPr>
        <w:fldChar w:fldCharType="begin"/>
      </w:r>
      <w:r w:rsidRPr="00DB0C05">
        <w:rPr>
          <w:color w:val="FF0000"/>
        </w:rPr>
        <w:instrText xml:space="preserve"> ADDIN EN.CITE &lt;EndNote&gt;&lt;Cite&gt;&lt;Author&gt;Guan&lt;/Author&gt;&lt;Year&gt;2015&lt;/Year&gt;&lt;RecNum&gt;1537&lt;/RecNum&gt;&lt;DisplayText&gt;(Guan et al., 2015)&lt;/DisplayText&gt;&lt;record&gt;&lt;rec-number&gt;1537&lt;/rec-number&gt;&lt;foreign-keys&gt;&lt;key app="EN" db-id="0ewd29dz4ds0vmee9zpx5s9udxtatsf5ffpw" timestamp="0"&gt;1537&lt;/key&gt;&lt;/foreign-keys&gt;&lt;ref-type name="Journal Article"&gt;17&lt;/ref-type&gt;&lt;contributors&gt;&lt;authors&gt;&lt;author&gt;Guan, Jiancheng&lt;/author&gt;&lt;author&gt;Zhang, Jingjing&lt;/author&gt;&lt;author&gt;Yan, Yan&lt;/author&gt;&lt;/authors&gt;&lt;/contributors&gt;&lt;titles&gt;&lt;title&gt;The impact of multilevel networks on innovation&lt;/title&gt;&lt;secondary-title&gt;Research Policy&lt;/secondary-title&gt;&lt;/titles&gt;&lt;pages&gt;545-559&lt;/pages&gt;&lt;volume&gt;44&lt;/volume&gt;&lt;number&gt;3&lt;/number&gt;&lt;dates&gt;&lt;year&gt;2015&lt;/year&gt;&lt;/dates&gt;&lt;isbn&gt;0048-7333&lt;/isbn&gt;&lt;urls&gt;&lt;/urls&gt;&lt;/record&gt;&lt;/Cite&gt;&lt;/EndNote&gt;</w:instrText>
      </w:r>
      <w:r w:rsidRPr="00DB0C05">
        <w:rPr>
          <w:color w:val="FF0000"/>
        </w:rPr>
        <w:fldChar w:fldCharType="separate"/>
      </w:r>
      <w:r w:rsidRPr="00DB0C05">
        <w:rPr>
          <w:noProof/>
          <w:color w:val="FF0000"/>
        </w:rPr>
        <w:t>(Guan et al., 2015)</w:t>
      </w:r>
      <w:r w:rsidRPr="00DB0C05">
        <w:rPr>
          <w:color w:val="FF0000"/>
        </w:rPr>
        <w:fldChar w:fldCharType="end"/>
      </w:r>
      <w:r w:rsidRPr="00DB0C05">
        <w:rPr>
          <w:color w:val="FF0000"/>
        </w:rPr>
        <w:t xml:space="preserve">. While most firms can produce standardized products and services, firms with high levels of SCA are more capable of recognizing the importance of creative solutions and building management systems that support both creativity and efficiency, which lead to higher levels of innovation performance </w:t>
      </w:r>
      <w:r w:rsidRPr="00DB0C05">
        <w:rPr>
          <w:color w:val="FF0000"/>
        </w:rPr>
        <w:fldChar w:fldCharType="begin"/>
      </w:r>
      <w:r w:rsidRPr="00DB0C05">
        <w:rPr>
          <w:color w:val="FF0000"/>
        </w:rPr>
        <w:instrText xml:space="preserve"> ADDIN EN.CITE &lt;EndNote&gt;&lt;Cite&gt;&lt;Author&gt;Winby&lt;/Author&gt;&lt;Year&gt;2014&lt;/Year&gt;&lt;RecNum&gt;1554&lt;/RecNum&gt;&lt;DisplayText&gt;(Winby &amp;amp; Worley, 2014)&lt;/DisplayText&gt;&lt;record&gt;&lt;rec-number&gt;1554&lt;/rec-number&gt;&lt;foreign-keys&gt;&lt;key app="EN" db-id="0ewd29dz4ds0vmee9zpx5s9udxtatsf5ffpw" timestamp="0"&gt;1554&lt;/key&gt;&lt;/foreign-keys&gt;&lt;ref-type name="Journal Article"&gt;17&lt;/ref-type&gt;&lt;contributors&gt;&lt;authors&gt;&lt;author&gt;Winby, Stuart&lt;/author&gt;&lt;author&gt;Worley, Christopher G&lt;/author&gt;&lt;/authors&gt;&lt;/contributors&gt;&lt;titles&gt;&lt;title&gt;Management processes for agility, speed, and innovation&lt;/title&gt;&lt;secondary-title&gt;Organizational Dynamics&lt;/secondary-title&gt;&lt;/titles&gt;&lt;pages&gt;225-234&lt;/pages&gt;&lt;volume&gt;43&lt;/volume&gt;&lt;number&gt;3&lt;/number&gt;&lt;dates&gt;&lt;year&gt;2014&lt;/year&gt;&lt;/dates&gt;&lt;isbn&gt;0090-2616&lt;/isbn&gt;&lt;urls&gt;&lt;/urls&gt;&lt;/record&gt;&lt;/Cite&gt;&lt;/EndNote&gt;</w:instrText>
      </w:r>
      <w:r w:rsidRPr="00DB0C05">
        <w:rPr>
          <w:color w:val="FF0000"/>
        </w:rPr>
        <w:fldChar w:fldCharType="separate"/>
      </w:r>
      <w:r w:rsidRPr="00DB0C05">
        <w:rPr>
          <w:noProof/>
          <w:color w:val="FF0000"/>
        </w:rPr>
        <w:t>(Winby &amp; Worley, 2014)</w:t>
      </w:r>
      <w:r w:rsidRPr="00DB0C05">
        <w:rPr>
          <w:color w:val="FF0000"/>
        </w:rPr>
        <w:fldChar w:fldCharType="end"/>
      </w:r>
      <w:r w:rsidRPr="00DB0C05">
        <w:rPr>
          <w:color w:val="FF0000"/>
        </w:rPr>
        <w:t xml:space="preserve">. Furthermore, SCA allows an organization to adapt rapidly to evolving market conditions, customer preferences, and technological advancements, creating an environment conducive to innovation </w:t>
      </w:r>
      <w:r w:rsidR="007D0421" w:rsidRPr="00DB0C05">
        <w:rPr>
          <w:color w:val="FF0000"/>
        </w:rPr>
        <w:t xml:space="preserve">and it </w:t>
      </w:r>
      <w:r w:rsidR="007742CC" w:rsidRPr="00DB0C05">
        <w:rPr>
          <w:color w:val="FF0000"/>
        </w:rPr>
        <w:t>require</w:t>
      </w:r>
      <w:r w:rsidR="007D0421" w:rsidRPr="00DB0C05">
        <w:rPr>
          <w:color w:val="FF0000"/>
        </w:rPr>
        <w:t xml:space="preserve">s </w:t>
      </w:r>
      <w:r w:rsidR="007742CC" w:rsidRPr="00DB0C05">
        <w:rPr>
          <w:color w:val="FF0000"/>
        </w:rPr>
        <w:t>organizational members to indulge in frequent experimentation and problem solving which may lead to more creativity and innovation</w:t>
      </w:r>
      <w:r w:rsidR="00402945">
        <w:rPr>
          <w:color w:val="FF0000"/>
        </w:rPr>
        <w:t xml:space="preserve"> </w:t>
      </w:r>
      <w:r w:rsidR="00402945">
        <w:rPr>
          <w:color w:val="FF0000"/>
        </w:rPr>
        <w:fldChar w:fldCharType="begin">
          <w:fldData xml:space="preserve">PEVuZE5vdGU+PENpdGU+PEF1dGhvcj5VbTwvQXV0aG9yPjxZZWFyPjIwMTc8L1llYXI+PFJlY051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</w:fldData>
        </w:fldChar>
      </w:r>
      <w:r w:rsidR="006B6325">
        <w:rPr>
          <w:color w:val="FF0000"/>
        </w:rPr>
        <w:instrText xml:space="preserve"> ADDIN EN.CITE </w:instrText>
      </w:r>
      <w:r w:rsidR="006B6325">
        <w:rPr>
          <w:color w:val="FF0000"/>
        </w:rPr>
        <w:fldChar w:fldCharType="begin">
          <w:fldData xml:space="preserve">PEVuZE5vdGU+PENpdGU+PEF1dGhvcj5VbTwvQXV0aG9yPjxZZWFyPjIwMTc8L1llYXI+PFJlY051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</w:fldData>
        </w:fldChar>
      </w:r>
      <w:r w:rsidR="006B6325">
        <w:rPr>
          <w:color w:val="FF0000"/>
        </w:rPr>
        <w:instrText xml:space="preserve"> ADDIN EN.CITE.DATA </w:instrText>
      </w:r>
      <w:r w:rsidR="006B6325">
        <w:rPr>
          <w:color w:val="FF0000"/>
        </w:rPr>
      </w:r>
      <w:r w:rsidR="006B6325">
        <w:rPr>
          <w:color w:val="FF0000"/>
        </w:rPr>
        <w:fldChar w:fldCharType="end"/>
      </w:r>
      <w:r w:rsidR="00402945">
        <w:rPr>
          <w:color w:val="FF0000"/>
        </w:rPr>
      </w:r>
      <w:r w:rsidR="00402945">
        <w:rPr>
          <w:color w:val="FF0000"/>
        </w:rPr>
        <w:fldChar w:fldCharType="separate"/>
      </w:r>
      <w:r w:rsidR="006B6325">
        <w:rPr>
          <w:noProof/>
          <w:color w:val="FF0000"/>
        </w:rPr>
        <w:t>(Najar, 2022; Um et al., 2017)</w:t>
      </w:r>
      <w:r w:rsidR="00402945">
        <w:rPr>
          <w:color w:val="FF0000"/>
        </w:rPr>
        <w:fldChar w:fldCharType="end"/>
      </w:r>
      <w:r w:rsidR="00DB0C05" w:rsidRPr="00DB0C05">
        <w:rPr>
          <w:color w:val="FF0000"/>
        </w:rPr>
        <w:t>.</w:t>
      </w:r>
      <w:r w:rsidR="007742CC" w:rsidRPr="00DB0C05">
        <w:rPr>
          <w:color w:val="FF0000"/>
        </w:rPr>
        <w:t xml:space="preserve"> </w:t>
      </w:r>
      <w:r w:rsidR="007742CC" w:rsidRPr="009740BF">
        <w:rPr>
          <w:color w:val="000000" w:themeColor="text1"/>
        </w:rPr>
        <w:t>Therefore, we postulate</w:t>
      </w:r>
      <w:r w:rsidR="007742CC">
        <w:rPr>
          <w:color w:val="000000" w:themeColor="text1"/>
        </w:rPr>
        <w:t>:</w:t>
      </w:r>
    </w:p>
    <w:p w14:paraId="44F90C5A" w14:textId="77777777" w:rsidR="007742CC" w:rsidRPr="00CF39F6" w:rsidRDefault="007742CC" w:rsidP="007742CC">
      <w:pPr>
        <w:spacing w:before="160" w:after="160" w:line="480" w:lineRule="auto"/>
        <w:ind w:left="850" w:hanging="425"/>
        <w:rPr>
          <w:i/>
          <w:color w:val="000000" w:themeColor="text1"/>
        </w:rPr>
      </w:pPr>
      <w:r w:rsidRPr="009740BF">
        <w:rPr>
          <w:b/>
          <w:bCs/>
          <w:iCs/>
          <w:color w:val="000000" w:themeColor="text1"/>
        </w:rPr>
        <w:t>H</w:t>
      </w:r>
      <w:r>
        <w:rPr>
          <w:b/>
          <w:bCs/>
          <w:iCs/>
          <w:color w:val="000000" w:themeColor="text1"/>
        </w:rPr>
        <w:t>3</w:t>
      </w:r>
      <w:r w:rsidRPr="009740BF">
        <w:rPr>
          <w:iCs/>
          <w:color w:val="000000" w:themeColor="text1"/>
        </w:rPr>
        <w:t>:</w:t>
      </w:r>
      <w:r w:rsidRPr="00CF39F6">
        <w:rPr>
          <w:i/>
          <w:color w:val="000000" w:themeColor="text1"/>
        </w:rPr>
        <w:t xml:space="preserve"> SCA </w:t>
      </w:r>
      <w:r>
        <w:rPr>
          <w:i/>
          <w:color w:val="000000" w:themeColor="text1"/>
        </w:rPr>
        <w:t>has a positive impact on</w:t>
      </w:r>
      <w:r w:rsidRPr="00CF39F6">
        <w:rPr>
          <w:i/>
          <w:color w:val="000000" w:themeColor="text1"/>
        </w:rPr>
        <w:t xml:space="preserve"> </w:t>
      </w:r>
      <w:r>
        <w:rPr>
          <w:i/>
          <w:color w:val="000000" w:themeColor="text1"/>
        </w:rPr>
        <w:t>i</w:t>
      </w:r>
      <w:r w:rsidRPr="00CF39F6">
        <w:rPr>
          <w:i/>
          <w:color w:val="000000" w:themeColor="text1"/>
        </w:rPr>
        <w:t>nnovation performance</w:t>
      </w:r>
      <w:r>
        <w:rPr>
          <w:i/>
          <w:color w:val="000000" w:themeColor="text1"/>
        </w:rPr>
        <w:t>.</w:t>
      </w:r>
    </w:p>
    <w:p w14:paraId="215BC4AB" w14:textId="68C4318F" w:rsidR="007742CC" w:rsidRPr="00C228F7" w:rsidRDefault="007742CC" w:rsidP="007742CC">
      <w:pPr>
        <w:spacing w:before="160" w:line="480" w:lineRule="auto"/>
        <w:rPr>
          <w:b/>
          <w:color w:val="000000" w:themeColor="text1"/>
        </w:rPr>
      </w:pPr>
      <w:r>
        <w:rPr>
          <w:b/>
          <w:i/>
          <w:color w:val="000000" w:themeColor="text1"/>
        </w:rPr>
        <w:t>2.</w:t>
      </w:r>
      <w:r w:rsidR="00BE61F9">
        <w:rPr>
          <w:b/>
          <w:i/>
          <w:color w:val="000000" w:themeColor="text1"/>
        </w:rPr>
        <w:t>4</w:t>
      </w:r>
      <w:r>
        <w:rPr>
          <w:b/>
          <w:i/>
          <w:color w:val="000000" w:themeColor="text1"/>
        </w:rPr>
        <w:t xml:space="preserve"> </w:t>
      </w:r>
      <w:r w:rsidRPr="00C228F7">
        <w:rPr>
          <w:b/>
          <w:i/>
          <w:color w:val="000000" w:themeColor="text1"/>
        </w:rPr>
        <w:t>Organizational Context and Innovation Performance: The Role of SCA</w:t>
      </w:r>
    </w:p>
    <w:p w14:paraId="51819158" w14:textId="5C0A78C9" w:rsidR="007742CC" w:rsidRPr="002742D4" w:rsidRDefault="002742D4" w:rsidP="0008059C">
      <w:pPr>
        <w:spacing w:line="480" w:lineRule="auto"/>
        <w:jc w:val="both"/>
        <w:rPr>
          <w:color w:val="000000" w:themeColor="text1"/>
        </w:rPr>
      </w:pPr>
      <w:r w:rsidRPr="002742D4">
        <w:rPr>
          <w:color w:val="FF0000"/>
        </w:rPr>
        <w:t xml:space="preserve">It </w:t>
      </w:r>
      <w:r w:rsidR="007742CC" w:rsidRPr="002742D4">
        <w:rPr>
          <w:color w:val="FF0000"/>
        </w:rPr>
        <w:t xml:space="preserve">would be misleading to </w:t>
      </w:r>
      <w:r w:rsidRPr="002742D4">
        <w:rPr>
          <w:color w:val="FF0000"/>
        </w:rPr>
        <w:t>expect</w:t>
      </w:r>
      <w:r w:rsidR="007742CC" w:rsidRPr="002742D4">
        <w:rPr>
          <w:color w:val="FF0000"/>
        </w:rPr>
        <w:t xml:space="preserve"> that the elements of organizational context </w:t>
      </w:r>
      <w:r w:rsidRPr="002742D4">
        <w:rPr>
          <w:color w:val="FF0000"/>
        </w:rPr>
        <w:t>(i.e., the performance context and social context of a firm) result</w:t>
      </w:r>
      <w:r w:rsidR="007742CC" w:rsidRPr="002742D4">
        <w:rPr>
          <w:color w:val="FF0000"/>
        </w:rPr>
        <w:t xml:space="preserve"> </w:t>
      </w:r>
      <w:r w:rsidRPr="002742D4">
        <w:rPr>
          <w:color w:val="FF0000"/>
        </w:rPr>
        <w:t>in</w:t>
      </w:r>
      <w:r w:rsidR="007742CC" w:rsidRPr="002742D4">
        <w:rPr>
          <w:color w:val="FF0000"/>
        </w:rPr>
        <w:t xml:space="preserve"> superior innovation performance. Instead, </w:t>
      </w:r>
      <w:r w:rsidRPr="002742D4">
        <w:rPr>
          <w:color w:val="FF0000"/>
        </w:rPr>
        <w:t>they</w:t>
      </w:r>
      <w:r w:rsidR="007742CC" w:rsidRPr="002742D4">
        <w:rPr>
          <w:color w:val="FF0000"/>
        </w:rPr>
        <w:t xml:space="preserve"> shape routines that lead to SCA resulting in superior innovation performance (Gibson &amp; Birkinshaw, 2004). </w:t>
      </w:r>
      <w:r w:rsidR="007742CC">
        <w:rPr>
          <w:color w:val="000000" w:themeColor="text1"/>
        </w:rPr>
        <w:t xml:space="preserve">The social support </w:t>
      </w:r>
      <w:r>
        <w:rPr>
          <w:color w:val="000000" w:themeColor="text1"/>
        </w:rPr>
        <w:t>context</w:t>
      </w:r>
      <w:r w:rsidR="007742CC">
        <w:rPr>
          <w:color w:val="000000" w:themeColor="text1"/>
        </w:rPr>
        <w:t xml:space="preserve"> </w:t>
      </w:r>
      <w:r w:rsidR="007742CC" w:rsidRPr="006441E0">
        <w:rPr>
          <w:color w:val="000000" w:themeColor="text1"/>
        </w:rPr>
        <w:t>r</w:t>
      </w:r>
      <w:r w:rsidR="007742CC">
        <w:rPr>
          <w:color w:val="000000" w:themeColor="text1"/>
        </w:rPr>
        <w:t>eflects the managerial practices used to provide support to employees (</w:t>
      </w:r>
      <w:r w:rsidR="007742CC" w:rsidRPr="0044370C">
        <w:rPr>
          <w:color w:val="FF0000"/>
        </w:rPr>
        <w:t xml:space="preserve">e.g., </w:t>
      </w:r>
      <w:r w:rsidR="007742CC">
        <w:rPr>
          <w:color w:val="000000" w:themeColor="text1"/>
        </w:rPr>
        <w:t xml:space="preserve">freedom of initiative at lower tiers, assistance from middle management to operational employees, etc.) and build a climate of trust. </w:t>
      </w:r>
      <w:r w:rsidR="007742CC" w:rsidRPr="0044370C">
        <w:rPr>
          <w:color w:val="FF0000"/>
        </w:rPr>
        <w:t xml:space="preserve">The </w:t>
      </w:r>
      <w:r w:rsidR="007742CC">
        <w:rPr>
          <w:color w:val="000000" w:themeColor="text1"/>
        </w:rPr>
        <w:t xml:space="preserve">performance management context reflects the management practices encouraging employees to achieve higher performance levels and making them responsible for their success </w:t>
      </w:r>
      <w:r w:rsidR="007742CC" w:rsidRPr="008D6A79">
        <w:rPr>
          <w:color w:val="000000" w:themeColor="text1"/>
        </w:rPr>
        <w:t>(Úbeda-García et al., 2018</w:t>
      </w:r>
      <w:r w:rsidR="007742CC">
        <w:rPr>
          <w:color w:val="000000" w:themeColor="text1"/>
        </w:rPr>
        <w:t xml:space="preserve">; </w:t>
      </w:r>
      <w:r w:rsidR="007742CC" w:rsidRPr="008D6A79">
        <w:rPr>
          <w:color w:val="000000" w:themeColor="text1"/>
        </w:rPr>
        <w:t>2020</w:t>
      </w:r>
      <w:r w:rsidR="007742CC">
        <w:rPr>
          <w:color w:val="000000" w:themeColor="text1"/>
        </w:rPr>
        <w:t>;</w:t>
      </w:r>
      <w:r w:rsidR="007742CC" w:rsidRPr="008D6A79">
        <w:rPr>
          <w:color w:val="000000" w:themeColor="text1"/>
        </w:rPr>
        <w:t xml:space="preserve"> Schnellbächer et al., 2019). </w:t>
      </w:r>
      <w:r w:rsidRPr="002742D4">
        <w:rPr>
          <w:color w:val="FF0000"/>
        </w:rPr>
        <w:t xml:space="preserve">In this way, </w:t>
      </w:r>
      <w:r>
        <w:rPr>
          <w:color w:val="000000" w:themeColor="text1"/>
        </w:rPr>
        <w:t>o</w:t>
      </w:r>
      <w:r w:rsidR="007742CC">
        <w:rPr>
          <w:color w:val="000000" w:themeColor="text1"/>
        </w:rPr>
        <w:t xml:space="preserve">rganizational context shapes the way managers give meaning to opportunities and threats in their environment </w:t>
      </w:r>
      <w:r w:rsidR="007742CC">
        <w:rPr>
          <w:color w:val="000000" w:themeColor="text1"/>
        </w:rPr>
        <w:fldChar w:fldCharType="begin"/>
      </w:r>
      <w:r w:rsidR="007742CC">
        <w:rPr>
          <w:color w:val="000000" w:themeColor="text1"/>
        </w:rPr>
        <w:instrText xml:space="preserve"> ADDIN EN.CITE &lt;EndNote&gt;&lt;Cite&gt;&lt;Author&gt;Sharma&lt;/Author&gt;&lt;Year&gt;2000&lt;/Year&gt;&lt;RecNum&gt;1545&lt;/RecNum&gt;&lt;DisplayText&gt;(Sharma, 2000)&lt;/DisplayText&gt;&lt;record&gt;&lt;rec-number&gt;1545&lt;/rec-number&gt;&lt;foreign-keys&gt;&lt;key app="EN" db-id="zw59vpadbtepfpef9t3pvzeot59fe2ptraw5" timestamp="0"&gt;1545&lt;/key&gt;&lt;/foreign-keys&gt;&lt;ref-type name="Journal Article"&gt;17&lt;/ref-type&gt;&lt;contributors&gt;&lt;authors&gt;&lt;author&gt;Sharma, Sanjay&lt;/author&gt;&lt;/authors&gt;&lt;/contributors&gt;&lt;titles&gt;&lt;title&gt;Managerial interpretations and organizational context as predictors of corporate choice of environmental strategy&lt;/title&gt;&lt;secondary-title&gt;Academy of Management Journal&lt;/secondary-title&gt;&lt;/titles&gt;&lt;pages&gt;681-697&lt;/pages&gt;&lt;volume&gt;43&lt;/volume&gt;&lt;number&gt;4&lt;/number&gt;&lt;dates&gt;&lt;year&gt;2000&lt;/year&gt;&lt;/dates&gt;&lt;isbn&gt;0001-4273&lt;/isbn&gt;&lt;urls&gt;&lt;/urls&gt;&lt;/record&gt;&lt;/Cite&gt;&lt;/EndNote&gt;</w:instrText>
      </w:r>
      <w:r w:rsidR="007742CC">
        <w:rPr>
          <w:color w:val="000000" w:themeColor="text1"/>
        </w:rPr>
        <w:fldChar w:fldCharType="separate"/>
      </w:r>
      <w:r w:rsidR="007742CC">
        <w:rPr>
          <w:noProof/>
          <w:color w:val="000000" w:themeColor="text1"/>
        </w:rPr>
        <w:t>(Sharma, 2000)</w:t>
      </w:r>
      <w:r w:rsidR="007742CC">
        <w:rPr>
          <w:color w:val="000000" w:themeColor="text1"/>
        </w:rPr>
        <w:fldChar w:fldCharType="end"/>
      </w:r>
      <w:r w:rsidR="007742CC">
        <w:rPr>
          <w:color w:val="000000" w:themeColor="text1"/>
        </w:rPr>
        <w:t xml:space="preserve">. It allows managers to interpret the patterns of change, and influences these by affecting how issues are interpreted </w:t>
      </w:r>
      <w:r w:rsidR="007742CC" w:rsidRPr="008D6A79">
        <w:rPr>
          <w:color w:val="000000" w:themeColor="text1"/>
        </w:rPr>
        <w:t xml:space="preserve">(Dutton </w:t>
      </w:r>
      <w:r w:rsidR="007742CC">
        <w:rPr>
          <w:color w:val="000000" w:themeColor="text1"/>
        </w:rPr>
        <w:t>&amp;</w:t>
      </w:r>
      <w:r w:rsidR="007742CC" w:rsidRPr="008D6A79">
        <w:rPr>
          <w:color w:val="000000" w:themeColor="text1"/>
        </w:rPr>
        <w:t xml:space="preserve"> </w:t>
      </w:r>
      <w:r w:rsidR="007742CC" w:rsidRPr="008D6A79">
        <w:rPr>
          <w:color w:val="000000" w:themeColor="text1"/>
        </w:rPr>
        <w:lastRenderedPageBreak/>
        <w:t>Dukerich, 1991).</w:t>
      </w:r>
      <w:r w:rsidR="007742CC">
        <w:rPr>
          <w:color w:val="000000" w:themeColor="text1"/>
        </w:rPr>
        <w:t xml:space="preserve"> It follows that organizational context affects the way environmental stimuli are </w:t>
      </w:r>
      <w:r w:rsidR="007742CC">
        <w:rPr>
          <w:i/>
          <w:color w:val="000000" w:themeColor="text1"/>
        </w:rPr>
        <w:t xml:space="preserve">sensed </w:t>
      </w:r>
      <w:r w:rsidR="007742CC">
        <w:rPr>
          <w:color w:val="000000" w:themeColor="text1"/>
        </w:rPr>
        <w:t xml:space="preserve">and how organizations </w:t>
      </w:r>
      <w:r w:rsidR="007742CC" w:rsidRPr="002C17F6">
        <w:rPr>
          <w:i/>
          <w:color w:val="000000" w:themeColor="text1"/>
        </w:rPr>
        <w:t>respond</w:t>
      </w:r>
      <w:r w:rsidR="007742CC">
        <w:rPr>
          <w:color w:val="000000" w:themeColor="text1"/>
        </w:rPr>
        <w:t xml:space="preserve"> </w:t>
      </w:r>
      <w:r w:rsidR="00137828">
        <w:rPr>
          <w:color w:val="000000" w:themeColor="text1"/>
        </w:rPr>
        <w:t xml:space="preserve">(i.e., through SCA) </w:t>
      </w:r>
      <w:r w:rsidR="007742CC">
        <w:rPr>
          <w:color w:val="000000" w:themeColor="text1"/>
        </w:rPr>
        <w:t xml:space="preserve">to the sensed stimulus. </w:t>
      </w:r>
      <w:r>
        <w:rPr>
          <w:color w:val="000000" w:themeColor="text1"/>
        </w:rPr>
        <w:t xml:space="preserve">Consequently, </w:t>
      </w:r>
      <w:r>
        <w:rPr>
          <w:color w:val="FF0000"/>
        </w:rPr>
        <w:t>o</w:t>
      </w:r>
      <w:r w:rsidRPr="0044370C">
        <w:rPr>
          <w:color w:val="FF0000"/>
        </w:rPr>
        <w:t xml:space="preserve">rganizational context </w:t>
      </w:r>
      <w:r>
        <w:rPr>
          <w:color w:val="FF0000"/>
        </w:rPr>
        <w:t xml:space="preserve">(i.e., </w:t>
      </w:r>
      <w:r w:rsidRPr="002742D4">
        <w:rPr>
          <w:color w:val="FF0000"/>
        </w:rPr>
        <w:t>the performance context and social context of a firm</w:t>
      </w:r>
      <w:r>
        <w:rPr>
          <w:color w:val="FF0000"/>
        </w:rPr>
        <w:t xml:space="preserve">) </w:t>
      </w:r>
      <w:r w:rsidRPr="0044370C">
        <w:rPr>
          <w:color w:val="FF0000"/>
        </w:rPr>
        <w:t xml:space="preserve">affects innovation performance through the development of SCA capability. </w:t>
      </w:r>
      <w:r>
        <w:rPr>
          <w:color w:val="FF0000"/>
        </w:rPr>
        <w:t>W</w:t>
      </w:r>
      <w:r w:rsidR="00526DCE">
        <w:rPr>
          <w:color w:val="FF0000"/>
        </w:rPr>
        <w:t>e,</w:t>
      </w:r>
      <w:r>
        <w:rPr>
          <w:color w:val="FF0000"/>
        </w:rPr>
        <w:t xml:space="preserve"> thus</w:t>
      </w:r>
      <w:r w:rsidRPr="0044370C">
        <w:rPr>
          <w:color w:val="FF0000"/>
        </w:rPr>
        <w:t xml:space="preserve"> hypothesize that SCA mediates the relationship between organizational context and innovation performance since SCA is considered a </w:t>
      </w:r>
      <w:r w:rsidR="00526DCE">
        <w:rPr>
          <w:color w:val="FF0000"/>
        </w:rPr>
        <w:t xml:space="preserve">dynamic </w:t>
      </w:r>
      <w:r w:rsidRPr="0044370C">
        <w:rPr>
          <w:color w:val="FF0000"/>
        </w:rPr>
        <w:t>capability developed over time through the interaction of various elements of organizational context (i.e., stretch, discipline, support</w:t>
      </w:r>
      <w:r>
        <w:rPr>
          <w:color w:val="FF0000"/>
        </w:rPr>
        <w:t>,</w:t>
      </w:r>
      <w:r w:rsidRPr="0044370C">
        <w:rPr>
          <w:color w:val="FF0000"/>
        </w:rPr>
        <w:t xml:space="preserve"> and trust). </w:t>
      </w:r>
      <w:r w:rsidR="007742CC">
        <w:rPr>
          <w:color w:val="000000" w:themeColor="text1"/>
        </w:rPr>
        <w:t>We therefore propose:</w:t>
      </w:r>
    </w:p>
    <w:p w14:paraId="72B1C6D7" w14:textId="77777777" w:rsidR="007742CC" w:rsidRPr="00CF39F6" w:rsidRDefault="007742CC" w:rsidP="007742CC">
      <w:pPr>
        <w:spacing w:before="160" w:after="160" w:line="480" w:lineRule="auto"/>
        <w:ind w:left="1276" w:hanging="556"/>
        <w:jc w:val="both"/>
        <w:rPr>
          <w:i/>
          <w:color w:val="000000" w:themeColor="text1"/>
        </w:rPr>
      </w:pPr>
      <w:r w:rsidRPr="003C1C32">
        <w:rPr>
          <w:b/>
          <w:bCs/>
          <w:iCs/>
          <w:color w:val="000000" w:themeColor="text1"/>
        </w:rPr>
        <w:t>H4</w:t>
      </w:r>
      <w:r w:rsidRPr="003C1C32">
        <w:rPr>
          <w:iCs/>
          <w:color w:val="000000" w:themeColor="text1"/>
        </w:rPr>
        <w:t>:</w:t>
      </w:r>
      <w:r>
        <w:rPr>
          <w:i/>
          <w:color w:val="000000" w:themeColor="text1"/>
        </w:rPr>
        <w:tab/>
      </w:r>
      <w:r w:rsidRPr="00A2416B">
        <w:rPr>
          <w:i/>
          <w:color w:val="FF0000"/>
        </w:rPr>
        <w:t xml:space="preserve">SCA </w:t>
      </w:r>
      <w:r>
        <w:rPr>
          <w:i/>
          <w:color w:val="000000" w:themeColor="text1"/>
        </w:rPr>
        <w:t>mediates</w:t>
      </w:r>
      <w:r w:rsidRPr="00CF39F6">
        <w:rPr>
          <w:i/>
          <w:color w:val="000000" w:themeColor="text1"/>
        </w:rPr>
        <w:t xml:space="preserve"> the relationship between </w:t>
      </w:r>
      <w:r>
        <w:rPr>
          <w:i/>
          <w:color w:val="000000" w:themeColor="text1"/>
        </w:rPr>
        <w:t xml:space="preserve">the </w:t>
      </w:r>
      <w:r w:rsidRPr="00CF39F6">
        <w:rPr>
          <w:i/>
          <w:color w:val="000000" w:themeColor="text1"/>
        </w:rPr>
        <w:t>performance management</w:t>
      </w:r>
      <w:r>
        <w:rPr>
          <w:i/>
          <w:color w:val="000000" w:themeColor="text1"/>
        </w:rPr>
        <w:t xml:space="preserve"> </w:t>
      </w:r>
      <w:r w:rsidRPr="00CF39F6">
        <w:rPr>
          <w:i/>
          <w:color w:val="000000" w:themeColor="text1"/>
        </w:rPr>
        <w:t>context and innovation performance.</w:t>
      </w:r>
    </w:p>
    <w:p w14:paraId="29261932" w14:textId="77777777" w:rsidR="007742CC" w:rsidRDefault="007742CC" w:rsidP="007742CC">
      <w:pPr>
        <w:spacing w:before="160" w:after="160" w:line="480" w:lineRule="auto"/>
        <w:ind w:left="1276" w:hanging="567"/>
        <w:rPr>
          <w:i/>
          <w:color w:val="000000" w:themeColor="text1"/>
        </w:rPr>
      </w:pPr>
      <w:r w:rsidRPr="003C1C32">
        <w:rPr>
          <w:b/>
          <w:bCs/>
          <w:iCs/>
          <w:color w:val="000000" w:themeColor="text1"/>
        </w:rPr>
        <w:t>H5</w:t>
      </w:r>
      <w:r w:rsidRPr="003C1C32">
        <w:rPr>
          <w:iCs/>
          <w:color w:val="000000" w:themeColor="text1"/>
        </w:rPr>
        <w:t>:</w:t>
      </w:r>
      <w:r w:rsidRPr="00CF39F6">
        <w:rPr>
          <w:i/>
          <w:color w:val="000000" w:themeColor="text1"/>
        </w:rPr>
        <w:t xml:space="preserve"> </w:t>
      </w:r>
      <w:r>
        <w:rPr>
          <w:i/>
          <w:color w:val="000000" w:themeColor="text1"/>
        </w:rPr>
        <w:tab/>
      </w:r>
      <w:r w:rsidRPr="00A2416B">
        <w:rPr>
          <w:i/>
          <w:color w:val="FF0000"/>
        </w:rPr>
        <w:t xml:space="preserve">SCA </w:t>
      </w:r>
      <w:r w:rsidRPr="00CF39F6">
        <w:rPr>
          <w:i/>
          <w:color w:val="000000" w:themeColor="text1"/>
        </w:rPr>
        <w:t xml:space="preserve">mediates the relationship between </w:t>
      </w:r>
      <w:r>
        <w:rPr>
          <w:i/>
          <w:color w:val="000000" w:themeColor="text1"/>
        </w:rPr>
        <w:t xml:space="preserve">the </w:t>
      </w:r>
      <w:r w:rsidRPr="00CF39F6">
        <w:rPr>
          <w:i/>
          <w:color w:val="000000" w:themeColor="text1"/>
        </w:rPr>
        <w:t>social context and innovation performance.</w:t>
      </w:r>
    </w:p>
    <w:p w14:paraId="35A16D01" w14:textId="1CDC23AF" w:rsidR="007742CC" w:rsidRPr="00C228F7" w:rsidRDefault="007742CC" w:rsidP="007742CC">
      <w:pPr>
        <w:spacing w:before="160" w:line="480" w:lineRule="auto"/>
        <w:jc w:val="both"/>
        <w:rPr>
          <w:b/>
          <w:i/>
          <w:color w:val="000000" w:themeColor="text1"/>
        </w:rPr>
      </w:pPr>
      <w:r>
        <w:rPr>
          <w:b/>
          <w:i/>
          <w:color w:val="000000" w:themeColor="text1"/>
        </w:rPr>
        <w:t>2.</w:t>
      </w:r>
      <w:r w:rsidR="00BE61F9">
        <w:rPr>
          <w:b/>
          <w:i/>
          <w:color w:val="000000" w:themeColor="text1"/>
        </w:rPr>
        <w:t>5</w:t>
      </w:r>
      <w:r w:rsidRPr="00C228F7">
        <w:rPr>
          <w:b/>
          <w:i/>
          <w:color w:val="000000" w:themeColor="text1"/>
        </w:rPr>
        <w:t xml:space="preserve"> The </w:t>
      </w:r>
      <w:r w:rsidR="00004804">
        <w:rPr>
          <w:b/>
          <w:i/>
          <w:color w:val="000000" w:themeColor="text1"/>
        </w:rPr>
        <w:t>M</w:t>
      </w:r>
      <w:r w:rsidRPr="00C228F7">
        <w:rPr>
          <w:b/>
          <w:i/>
          <w:color w:val="000000" w:themeColor="text1"/>
        </w:rPr>
        <w:t xml:space="preserve">oderating </w:t>
      </w:r>
      <w:r w:rsidR="00004804">
        <w:rPr>
          <w:b/>
          <w:i/>
          <w:color w:val="000000" w:themeColor="text1"/>
        </w:rPr>
        <w:t>R</w:t>
      </w:r>
      <w:r w:rsidRPr="00C228F7">
        <w:rPr>
          <w:b/>
          <w:i/>
          <w:color w:val="000000" w:themeColor="text1"/>
        </w:rPr>
        <w:t xml:space="preserve">ole of </w:t>
      </w:r>
      <w:r w:rsidR="00004804">
        <w:rPr>
          <w:b/>
          <w:i/>
          <w:color w:val="000000" w:themeColor="text1"/>
        </w:rPr>
        <w:t>C</w:t>
      </w:r>
      <w:r w:rsidRPr="00C228F7">
        <w:rPr>
          <w:b/>
          <w:i/>
          <w:color w:val="000000" w:themeColor="text1"/>
        </w:rPr>
        <w:t>omplementarity</w:t>
      </w:r>
    </w:p>
    <w:p w14:paraId="4DF25E3F" w14:textId="7E89B794" w:rsidR="00A76314" w:rsidRDefault="007742CC" w:rsidP="007742CC">
      <w:pPr>
        <w:spacing w:line="480" w:lineRule="auto"/>
        <w:jc w:val="both"/>
        <w:rPr>
          <w:color w:val="FF0000"/>
        </w:rPr>
      </w:pPr>
      <w:r w:rsidRPr="00CF39F6">
        <w:rPr>
          <w:color w:val="000000" w:themeColor="text1"/>
        </w:rPr>
        <w:t xml:space="preserve">Complementarity is the degree to which supply chain partners possess distinctive assets that are valuable in </w:t>
      </w:r>
      <w:r>
        <w:rPr>
          <w:color w:val="000000" w:themeColor="text1"/>
        </w:rPr>
        <w:t>an</w:t>
      </w:r>
      <w:r w:rsidRPr="00CF39F6">
        <w:rPr>
          <w:color w:val="000000" w:themeColor="text1"/>
        </w:rPr>
        <w:t xml:space="preserve"> exchange relationship </w:t>
      </w:r>
      <w:r w:rsidRPr="001A090D">
        <w:rPr>
          <w:color w:val="000000" w:themeColor="text1"/>
        </w:rPr>
        <w:fldChar w:fldCharType="begin"/>
      </w:r>
      <w:r>
        <w:rPr>
          <w:color w:val="000000" w:themeColor="text1"/>
        </w:rPr>
        <w:instrText xml:space="preserve"> ADDIN EN.CITE &lt;EndNote&gt;&lt;Cite&gt;&lt;Author&gt;Cheung&lt;/Author&gt;&lt;Year&gt;2010&lt;/Year&gt;&lt;RecNum&gt;1563&lt;/RecNum&gt;&lt;DisplayText&gt;(Cheung et al., 2010)&lt;/DisplayText&gt;&lt;record&gt;&lt;rec-number&gt;1563&lt;/rec-number&gt;&lt;foreign-keys&gt;&lt;key app="EN" db-id="0ewd29dz4ds0vmee9zpx5s9udxtatsf5ffpw" timestamp="0"&gt;1563&lt;/key&gt;&lt;/foreign-keys&gt;&lt;ref-type name="Journal Article"&gt;17&lt;/ref-type&gt;&lt;contributors&gt;&lt;authors&gt;&lt;author&gt;Cheung, Mee-Shew&lt;/author&gt;&lt;author&gt;Myers, Matthew B&lt;/author&gt;&lt;author&gt;Mentzer, John T&lt;/author&gt;&lt;/authors&gt;&lt;/contributors&gt;&lt;titles&gt;&lt;title&gt;Does relationship learning lead to relationship value? A cross-national supply chain investigation&lt;/title&gt;&lt;secondary-title&gt;Journal of Operations Management&lt;/secondary-title&gt;&lt;/titles&gt;&lt;periodical&gt;&lt;full-title&gt;Journal of Operations Management&lt;/full-title&gt;&lt;/periodical&gt;&lt;pages&gt;472-487&lt;/pages&gt;&lt;volume&gt;28&lt;/volume&gt;&lt;number&gt;6&lt;/number&gt;&lt;dates&gt;&lt;year&gt;2010&lt;/year&gt;&lt;/dates&gt;&lt;isbn&gt;0272-6963&lt;/isbn&gt;&lt;urls&gt;&lt;/urls&gt;&lt;/record&gt;&lt;/Cite&gt;&lt;/EndNote&gt;</w:instrText>
      </w:r>
      <w:r w:rsidRPr="001A090D">
        <w:rPr>
          <w:color w:val="000000" w:themeColor="text1"/>
        </w:rPr>
        <w:fldChar w:fldCharType="separate"/>
      </w:r>
      <w:r>
        <w:rPr>
          <w:noProof/>
          <w:color w:val="000000" w:themeColor="text1"/>
        </w:rPr>
        <w:t>(Cheung et al., 2010)</w:t>
      </w:r>
      <w:r w:rsidRPr="001A090D">
        <w:rPr>
          <w:color w:val="000000" w:themeColor="text1"/>
        </w:rPr>
        <w:fldChar w:fldCharType="end"/>
      </w:r>
      <w:r w:rsidRPr="00CF39F6">
        <w:rPr>
          <w:color w:val="000000" w:themeColor="text1"/>
        </w:rPr>
        <w:t xml:space="preserve">. Complementarity in </w:t>
      </w:r>
      <w:r>
        <w:rPr>
          <w:color w:val="000000" w:themeColor="text1"/>
        </w:rPr>
        <w:t>an</w:t>
      </w:r>
      <w:r w:rsidRPr="00CF39F6">
        <w:rPr>
          <w:color w:val="000000" w:themeColor="text1"/>
        </w:rPr>
        <w:t xml:space="preserve"> exchange relationship allows buyers to get specialized resources and capabilities through their supplier</w:t>
      </w:r>
      <w:r>
        <w:rPr>
          <w:color w:val="000000" w:themeColor="text1"/>
        </w:rPr>
        <w:t>s</w:t>
      </w:r>
      <w:r w:rsidRPr="00CF39F6">
        <w:rPr>
          <w:color w:val="000000" w:themeColor="text1"/>
        </w:rPr>
        <w:t xml:space="preserve"> that they otherwise may not have been able to access </w:t>
      </w:r>
      <w:r w:rsidRPr="001A090D">
        <w:rPr>
          <w:color w:val="000000" w:themeColor="text1"/>
        </w:rPr>
        <w:fldChar w:fldCharType="begin"/>
      </w:r>
      <w:r>
        <w:rPr>
          <w:color w:val="000000" w:themeColor="text1"/>
        </w:rPr>
        <w:instrText xml:space="preserve"> ADDIN EN.CITE &lt;EndNote&gt;&lt;Cite&gt;&lt;Author&gt;Ndubisi&lt;/Author&gt;&lt;Year&gt;2020&lt;/Year&gt;&lt;RecNum&gt;1676&lt;/RecNum&gt;&lt;DisplayText&gt;(Ndubisi et al., 2020)&lt;/DisplayText&gt;&lt;record&gt;&lt;rec-number&gt;1676&lt;/rec-number&gt;&lt;foreign-keys&gt;&lt;key app="EN" db-id="0ewd29dz4ds0vmee9zpx5s9udxtatsf5ffpw" timestamp="1677665358"&gt;1676&lt;/key&gt;&lt;/foreign-keys&gt;&lt;ref-type name="Journal Article"&gt;17&lt;/ref-type&gt;&lt;contributors&gt;&lt;authors&gt;&lt;author&gt;Ndubisi, Nelson Oly&lt;/author&gt;&lt;author&gt;Dayan, Mumin&lt;/author&gt;&lt;author&gt;Yeniaras, Volkan&lt;/author&gt;&lt;author&gt;Al-hawari, Mohammad&lt;/author&gt;&lt;/authors&gt;&lt;/contributors&gt;&lt;titles&gt;&lt;title&gt;The effects of complementarity of knowledge and capabilities on joint innovation capabilities and service innovation: The role of competitive intensity and demand uncertainty&lt;/title&gt;&lt;secondary-title&gt;Industrial Marketing Management&lt;/secondary-title&gt;&lt;/titles&gt;&lt;periodical&gt;&lt;full-title&gt;Industrial Marketing Management&lt;/full-title&gt;&lt;/periodical&gt;&lt;pages&gt;196-208&lt;/pages&gt;&lt;volume&gt;89&lt;/volume&gt;&lt;dates&gt;&lt;year&gt;2020&lt;/year&gt;&lt;/dates&gt;&lt;isbn&gt;0019-8501&lt;/isbn&gt;&lt;urls&gt;&lt;/urls&gt;&lt;/record&gt;&lt;/Cite&gt;&lt;/EndNote&gt;</w:instrText>
      </w:r>
      <w:r w:rsidRPr="001A090D">
        <w:rPr>
          <w:color w:val="000000" w:themeColor="text1"/>
        </w:rPr>
        <w:fldChar w:fldCharType="separate"/>
      </w:r>
      <w:r>
        <w:rPr>
          <w:noProof/>
          <w:color w:val="000000" w:themeColor="text1"/>
        </w:rPr>
        <w:t>(Ndubisi et al., 2020)</w:t>
      </w:r>
      <w:r w:rsidRPr="001A090D">
        <w:rPr>
          <w:color w:val="000000" w:themeColor="text1"/>
        </w:rPr>
        <w:fldChar w:fldCharType="end"/>
      </w:r>
      <w:r w:rsidRPr="00CF39F6">
        <w:rPr>
          <w:color w:val="000000" w:themeColor="text1"/>
        </w:rPr>
        <w:t>. Researchers have noted that resource complementarity is one of the key reasons t</w:t>
      </w:r>
      <w:r>
        <w:rPr>
          <w:color w:val="000000" w:themeColor="text1"/>
        </w:rPr>
        <w:t xml:space="preserve">o enter into an alliance and it </w:t>
      </w:r>
      <w:r w:rsidRPr="00CF39F6">
        <w:rPr>
          <w:color w:val="000000" w:themeColor="text1"/>
        </w:rPr>
        <w:t xml:space="preserve">is only valuable if the value of resources is greater </w:t>
      </w:r>
      <w:r w:rsidRPr="00CF39F6">
        <w:rPr>
          <w:i/>
          <w:color w:val="000000" w:themeColor="text1"/>
        </w:rPr>
        <w:t>after</w:t>
      </w:r>
      <w:r w:rsidRPr="00CF39F6">
        <w:rPr>
          <w:color w:val="000000" w:themeColor="text1"/>
        </w:rPr>
        <w:t xml:space="preserve"> pooling </w:t>
      </w:r>
      <w:r w:rsidRPr="001A090D">
        <w:rPr>
          <w:color w:val="000000" w:themeColor="text1"/>
        </w:rPr>
        <w:fldChar w:fldCharType="begin"/>
      </w:r>
      <w:r>
        <w:rPr>
          <w:color w:val="000000" w:themeColor="text1"/>
        </w:rPr>
        <w:instrText xml:space="preserve"> ADDIN EN.CITE &lt;EndNote&gt;&lt;Cite&gt;&lt;Author&gt;Chung&lt;/Author&gt;&lt;Year&gt;2000&lt;/Year&gt;&lt;RecNum&gt;1567&lt;/RecNum&gt;&lt;DisplayText&gt;(Chung et al., 2000)&lt;/DisplayText&gt;&lt;record&gt;&lt;rec-number&gt;1567&lt;/rec-number&gt;&lt;foreign-keys&gt;&lt;key app="EN" db-id="0ewd29dz4ds0vmee9zpx5s9udxtatsf5ffpw" timestamp="0"&gt;1567&lt;/key&gt;&lt;/foreign-keys&gt;&lt;ref-type name="Journal Article"&gt;17&lt;/ref-type&gt;&lt;contributors&gt;&lt;authors&gt;&lt;author&gt;Chung, Seungwha&lt;/author&gt;&lt;author&gt;Singh, Harbir&lt;/author&gt;&lt;author&gt;Lee, Kyungmook&lt;/author&gt;&lt;/authors&gt;&lt;/contributors&gt;&lt;titles&gt;&lt;title&gt;Complementarity, status similarity and social capital as drivers of alliance formation&lt;/title&gt;&lt;secondary-title&gt;Strategic Management Journal&lt;/secondary-title&gt;&lt;/titles&gt;&lt;periodical&gt;&lt;full-title&gt;Strategic Management Journal&lt;/full-title&gt;&lt;/periodical&gt;&lt;pages&gt;1-22&lt;/pages&gt;&lt;volume&gt;21&lt;/volume&gt;&lt;number&gt;1&lt;/number&gt;&lt;dates&gt;&lt;year&gt;2000&lt;/year&gt;&lt;/dates&gt;&lt;isbn&gt;0143-2095&lt;/isbn&gt;&lt;urls&gt;&lt;/urls&gt;&lt;/record&gt;&lt;/Cite&gt;&lt;/EndNote&gt;</w:instrText>
      </w:r>
      <w:r w:rsidRPr="001A090D">
        <w:rPr>
          <w:color w:val="000000" w:themeColor="text1"/>
        </w:rPr>
        <w:fldChar w:fldCharType="separate"/>
      </w:r>
      <w:r>
        <w:rPr>
          <w:noProof/>
          <w:color w:val="000000" w:themeColor="text1"/>
        </w:rPr>
        <w:t>(Chung et al., 2000)</w:t>
      </w:r>
      <w:r w:rsidRPr="001A090D">
        <w:rPr>
          <w:color w:val="000000" w:themeColor="text1"/>
        </w:rPr>
        <w:fldChar w:fldCharType="end"/>
      </w:r>
      <w:r w:rsidR="00BC1F9F">
        <w:rPr>
          <w:color w:val="000000" w:themeColor="text1"/>
        </w:rPr>
        <w:t>.</w:t>
      </w:r>
      <w:r w:rsidR="00F10EF7">
        <w:rPr>
          <w:color w:val="000000" w:themeColor="text1"/>
        </w:rPr>
        <w:t xml:space="preserve"> </w:t>
      </w:r>
      <w:r w:rsidR="00F10EF7" w:rsidRPr="007A4CF7">
        <w:rPr>
          <w:color w:val="FF0000"/>
        </w:rPr>
        <w:t xml:space="preserve">From the </w:t>
      </w:r>
      <w:r w:rsidR="00304499" w:rsidRPr="007A4CF7">
        <w:rPr>
          <w:color w:val="FF0000"/>
        </w:rPr>
        <w:t xml:space="preserve">perspective of dynamic capabilities, complementary in </w:t>
      </w:r>
      <w:r w:rsidR="007840ED">
        <w:rPr>
          <w:color w:val="FF0000"/>
        </w:rPr>
        <w:t xml:space="preserve">buyer </w:t>
      </w:r>
      <w:r w:rsidR="007840ED" w:rsidRPr="007A4CF7">
        <w:rPr>
          <w:color w:val="FF0000"/>
        </w:rPr>
        <w:t>–</w:t>
      </w:r>
      <w:r w:rsidR="007840ED">
        <w:rPr>
          <w:color w:val="FF0000"/>
        </w:rPr>
        <w:t xml:space="preserve"> </w:t>
      </w:r>
      <w:r w:rsidR="00304499" w:rsidRPr="007A4CF7">
        <w:rPr>
          <w:color w:val="FF0000"/>
        </w:rPr>
        <w:t>supplier relationships</w:t>
      </w:r>
      <w:r w:rsidR="007A4CF7" w:rsidRPr="007A4CF7">
        <w:rPr>
          <w:color w:val="FF0000"/>
        </w:rPr>
        <w:t xml:space="preserve"> has</w:t>
      </w:r>
      <w:r w:rsidR="007A4CF7">
        <w:rPr>
          <w:color w:val="FF0000"/>
        </w:rPr>
        <w:t xml:space="preserve"> a profound impact on capability formation and use.</w:t>
      </w:r>
      <w:r w:rsidR="004A60E6">
        <w:rPr>
          <w:color w:val="FF0000"/>
        </w:rPr>
        <w:t xml:space="preserve"> </w:t>
      </w:r>
      <w:r w:rsidR="00A61F1A">
        <w:rPr>
          <w:color w:val="FF0000"/>
        </w:rPr>
        <w:t xml:space="preserve">It is the mechanism </w:t>
      </w:r>
      <w:r w:rsidR="00DE5264">
        <w:rPr>
          <w:color w:val="FF0000"/>
        </w:rPr>
        <w:t>used by firms to</w:t>
      </w:r>
      <w:r w:rsidR="00A61F1A">
        <w:rPr>
          <w:color w:val="FF0000"/>
        </w:rPr>
        <w:t xml:space="preserve"> leverage superior performance through the use of resources existing at various links of the supply chain </w:t>
      </w:r>
      <w:r w:rsidR="00A61F1A">
        <w:rPr>
          <w:color w:val="FF0000"/>
        </w:rPr>
        <w:fldChar w:fldCharType="begin"/>
      </w:r>
      <w:r w:rsidR="00A61F1A">
        <w:rPr>
          <w:color w:val="FF0000"/>
        </w:rPr>
        <w:instrText xml:space="preserve"> ADDIN EN.CITE &lt;EndNote&gt;&lt;Cite&gt;&lt;Author&gt;Song&lt;/Author&gt;&lt;Year&gt;2005&lt;/Year&gt;&lt;RecNum&gt;1797&lt;/RecNum&gt;&lt;DisplayText&gt;(Song et al., 2005)&lt;/DisplayText&gt;&lt;record&gt;&lt;rec-number&gt;1797&lt;/rec-number&gt;&lt;foreign-keys&gt;&lt;key app="EN" db-id="0ewd29dz4ds0vmee9zpx5s9udxtatsf5ffpw" timestamp="1700392358"&gt;1797&lt;/key&gt;&lt;/foreign-keys&gt;&lt;ref-type name="Journal Article"&gt;17&lt;/ref-type&gt;&lt;contributors&gt;&lt;authors&gt;&lt;author&gt;Song, Michael&lt;/author&gt;&lt;author&gt;Droge, Cornelia&lt;/author&gt;&lt;author&gt;Hanvanich, Sangphet&lt;/author&gt;&lt;author&gt;Calantone, Roger&lt;/author&gt;&lt;/authors&gt;&lt;/contributors&gt;&lt;titles&gt;&lt;title&gt;Marketing and technology resource complementarity: an analysis of their interaction effect in two environmental contexts&lt;/title&gt;&lt;secondary-title&gt;Strategic Management Journal&lt;/secondary-title&gt;&lt;/titles&gt;&lt;periodical&gt;&lt;full-title&gt;Strategic Management Journal&lt;/full-title&gt;&lt;/periodical&gt;&lt;pages&gt;259-276&lt;/pages&gt;&lt;volume&gt;26&lt;/volume&gt;&lt;number&gt;3&lt;/number&gt;&lt;dates&gt;&lt;year&gt;2005&lt;/year&gt;&lt;/dates&gt;&lt;isbn&gt;0143-2095&lt;/isbn&gt;&lt;urls&gt;&lt;related-urls&gt;&lt;url&gt;https://onlinelibrary.wiley.com/doi/abs/10.1002/smj.450&lt;/url&gt;&lt;/related-urls&gt;&lt;/urls&gt;&lt;electronic-resource-num&gt;https://doi.org/10.1002/smj.450&lt;/electronic-resource-num&gt;&lt;/record&gt;&lt;/Cite&gt;&lt;/EndNote&gt;</w:instrText>
      </w:r>
      <w:r w:rsidR="00A61F1A">
        <w:rPr>
          <w:color w:val="FF0000"/>
        </w:rPr>
        <w:fldChar w:fldCharType="separate"/>
      </w:r>
      <w:r w:rsidR="00A61F1A">
        <w:rPr>
          <w:noProof/>
          <w:color w:val="FF0000"/>
        </w:rPr>
        <w:t>(Song et al., 2005)</w:t>
      </w:r>
      <w:r w:rsidR="00A61F1A">
        <w:rPr>
          <w:color w:val="FF0000"/>
        </w:rPr>
        <w:fldChar w:fldCharType="end"/>
      </w:r>
      <w:r w:rsidR="00A61F1A">
        <w:rPr>
          <w:color w:val="FF0000"/>
        </w:rPr>
        <w:t>.</w:t>
      </w:r>
      <w:r w:rsidR="00DE5264">
        <w:rPr>
          <w:color w:val="FF0000"/>
        </w:rPr>
        <w:t xml:space="preserve"> </w:t>
      </w:r>
      <w:r w:rsidR="008E65F7">
        <w:rPr>
          <w:color w:val="FF0000"/>
        </w:rPr>
        <w:t xml:space="preserve">Prior research in the area of dynamic capabilities has shown that </w:t>
      </w:r>
      <w:r w:rsidR="004F2373">
        <w:rPr>
          <w:color w:val="FF0000"/>
        </w:rPr>
        <w:t xml:space="preserve">complementarity between </w:t>
      </w:r>
      <w:r w:rsidR="004F2373">
        <w:rPr>
          <w:color w:val="FF0000"/>
        </w:rPr>
        <w:lastRenderedPageBreak/>
        <w:t>the supply chain partners helps in building ‘core competencies’</w:t>
      </w:r>
      <w:r w:rsidR="000918F4">
        <w:rPr>
          <w:color w:val="FF0000"/>
        </w:rPr>
        <w:t xml:space="preserve">, </w:t>
      </w:r>
      <w:r w:rsidR="004F2373">
        <w:rPr>
          <w:color w:val="FF0000"/>
        </w:rPr>
        <w:t xml:space="preserve">other </w:t>
      </w:r>
      <w:r w:rsidR="00E146BD">
        <w:rPr>
          <w:color w:val="FF0000"/>
        </w:rPr>
        <w:t>dynamic capabilities</w:t>
      </w:r>
      <w:r w:rsidR="00EB3FD4">
        <w:rPr>
          <w:color w:val="FF0000"/>
        </w:rPr>
        <w:t xml:space="preserve"> </w:t>
      </w:r>
      <w:r w:rsidR="008A14AF">
        <w:rPr>
          <w:color w:val="FF0000"/>
        </w:rPr>
        <w:fldChar w:fldCharType="begin">
          <w:fldData xml:space="preserve">PEVuZE5vdGU+PENpdGU+PEF1dGhvcj5SdWl6LU9ydGVnYTwvQXV0aG9yPjxZZWFyPjIwMjM8L1ll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==
</w:fldData>
        </w:fldChar>
      </w:r>
      <w:r w:rsidR="00CE612C">
        <w:rPr>
          <w:color w:val="FF0000"/>
        </w:rPr>
        <w:instrText xml:space="preserve"> ADDIN EN.CITE </w:instrText>
      </w:r>
      <w:r w:rsidR="00CE612C">
        <w:rPr>
          <w:color w:val="FF0000"/>
        </w:rPr>
        <w:fldChar w:fldCharType="begin">
          <w:fldData xml:space="preserve">PEVuZE5vdGU+PENpdGU+PEF1dGhvcj5SdWl6LU9ydGVnYTwvQXV0aG9yPjxZZWFyPjIwMjM8L1ll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==
</w:fldData>
        </w:fldChar>
      </w:r>
      <w:r w:rsidR="00CE612C">
        <w:rPr>
          <w:color w:val="FF0000"/>
        </w:rPr>
        <w:instrText xml:space="preserve"> ADDIN EN.CITE.DATA </w:instrText>
      </w:r>
      <w:r w:rsidR="00CE612C">
        <w:rPr>
          <w:color w:val="FF0000"/>
        </w:rPr>
      </w:r>
      <w:r w:rsidR="00CE612C">
        <w:rPr>
          <w:color w:val="FF0000"/>
        </w:rPr>
        <w:fldChar w:fldCharType="end"/>
      </w:r>
      <w:r w:rsidR="008A14AF">
        <w:rPr>
          <w:color w:val="FF0000"/>
        </w:rPr>
      </w:r>
      <w:r w:rsidR="008A14AF">
        <w:rPr>
          <w:color w:val="FF0000"/>
        </w:rPr>
        <w:fldChar w:fldCharType="separate"/>
      </w:r>
      <w:r w:rsidR="009B4C3A">
        <w:rPr>
          <w:noProof/>
          <w:color w:val="FF0000"/>
        </w:rPr>
        <w:t>(Rodrigo-Alarcón et al., 2018; Ruiz-Ortega et al., 2023)</w:t>
      </w:r>
      <w:r w:rsidR="008A14AF">
        <w:rPr>
          <w:color w:val="FF0000"/>
        </w:rPr>
        <w:fldChar w:fldCharType="end"/>
      </w:r>
      <w:r w:rsidR="000918F4">
        <w:rPr>
          <w:color w:val="FF0000"/>
        </w:rPr>
        <w:t xml:space="preserve">, </w:t>
      </w:r>
      <w:r w:rsidR="004B07E1">
        <w:rPr>
          <w:color w:val="FF0000"/>
        </w:rPr>
        <w:t xml:space="preserve">and </w:t>
      </w:r>
      <w:r w:rsidR="000918F4">
        <w:rPr>
          <w:color w:val="FF0000"/>
        </w:rPr>
        <w:t xml:space="preserve">innovation </w:t>
      </w:r>
      <w:r w:rsidR="000918F4">
        <w:rPr>
          <w:color w:val="FF0000"/>
        </w:rPr>
        <w:fldChar w:fldCharType="begin"/>
      </w:r>
      <w:r w:rsidR="000918F4">
        <w:rPr>
          <w:color w:val="FF0000"/>
        </w:rPr>
        <w:instrText xml:space="preserve"> ADDIN EN.CITE &lt;EndNote&gt;&lt;Cite&gt;&lt;Author&gt;Sáenz&lt;/Author&gt;&lt;Year&gt;2014&lt;/Year&gt;&lt;RecNum&gt;1798&lt;/RecNum&gt;&lt;DisplayText&gt;(Sáenz et al., 2014)&lt;/DisplayText&gt;&lt;record&gt;&lt;rec-number&gt;1798&lt;/rec-number&gt;&lt;foreign-keys&gt;&lt;key app="EN" db-id="0ewd29dz4ds0vmee9zpx5s9udxtatsf5ffpw" timestamp="1700393129"&gt;1798&lt;/key&gt;&lt;/foreign-keys&gt;&lt;ref-type name="Journal Article"&gt;17&lt;/ref-type&gt;&lt;contributors&gt;&lt;authors&gt;&lt;author&gt;Sáenz, Maríá Jesús&lt;/author&gt;&lt;author&gt;Revilla, Elena&lt;/author&gt;&lt;author&gt;Knoppen, Desirée&lt;/author&gt;&lt;/authors&gt;&lt;/contributors&gt;&lt;titles&gt;&lt;title&gt;Absorptive capacity in buyer-supplier relationships: empirical evidence of its mediating role&lt;/title&gt;&lt;secondary-title&gt;Journal of Supply Chain Management&lt;/secondary-title&gt;&lt;/titles&gt;&lt;periodical&gt;&lt;full-title&gt;Journal of Supply Chain Management&lt;/full-title&gt;&lt;/periodical&gt;&lt;pages&gt;18-40&lt;/pages&gt;&lt;volume&gt;50&lt;/volume&gt;&lt;number&gt;2&lt;/number&gt;&lt;dates&gt;&lt;year&gt;2014&lt;/year&gt;&lt;/dates&gt;&lt;isbn&gt;1523-2409&lt;/isbn&gt;&lt;urls&gt;&lt;related-urls&gt;&lt;url&gt;https://onlinelibrary.wiley.com/doi/abs/10.1111/jscm.12020&lt;/url&gt;&lt;/related-urls&gt;&lt;/urls&gt;&lt;electronic-resource-num&gt;https://doi.org/10.1111/jscm.12020&lt;/electronic-resource-num&gt;&lt;/record&gt;&lt;/Cite&gt;&lt;/EndNote&gt;</w:instrText>
      </w:r>
      <w:r w:rsidR="000918F4">
        <w:rPr>
          <w:color w:val="FF0000"/>
        </w:rPr>
        <w:fldChar w:fldCharType="separate"/>
      </w:r>
      <w:r w:rsidR="000918F4">
        <w:rPr>
          <w:noProof/>
          <w:color w:val="FF0000"/>
        </w:rPr>
        <w:t>(Sáenz et al., 2014)</w:t>
      </w:r>
      <w:r w:rsidR="000918F4">
        <w:rPr>
          <w:color w:val="FF0000"/>
        </w:rPr>
        <w:fldChar w:fldCharType="end"/>
      </w:r>
      <w:r w:rsidR="004B07E1">
        <w:rPr>
          <w:color w:val="FF0000"/>
        </w:rPr>
        <w:t>. It helps in fixing</w:t>
      </w:r>
      <w:r w:rsidR="00EA2282">
        <w:rPr>
          <w:color w:val="FF0000"/>
        </w:rPr>
        <w:t xml:space="preserve"> afflicted routines and weak links in firms strategy </w:t>
      </w:r>
      <w:r w:rsidR="00FE6666">
        <w:rPr>
          <w:color w:val="FF0000"/>
        </w:rPr>
        <w:fldChar w:fldCharType="begin"/>
      </w:r>
      <w:r w:rsidR="00FE6666">
        <w:rPr>
          <w:color w:val="FF0000"/>
        </w:rPr>
        <w:instrText xml:space="preserve"> ADDIN EN.CITE &lt;EndNote&gt;&lt;Cite&gt;&lt;Author&gt;Teece&lt;/Author&gt;&lt;Year&gt;1997&lt;/Year&gt;&lt;RecNum&gt;1430&lt;/RecNum&gt;&lt;DisplayText&gt;(Teece et al., 1997)&lt;/DisplayText&gt;&lt;record&gt;&lt;rec-number&gt;1430&lt;/rec-number&gt;&lt;foreign-keys&gt;&lt;key app="EN" db-id="0ewd29dz4ds0vmee9zpx5s9udxtatsf5ffpw" timestamp="0"&gt;1430&lt;/key&gt;&lt;/foreign-keys&gt;&lt;ref-type name="Journal Article"&gt;17&lt;/ref-type&gt;&lt;contributors&gt;&lt;authors&gt;&lt;author&gt;Teece&lt;/author&gt;&lt;author&gt;Pisano, Gary&lt;/author&gt;&lt;author&gt;Shuen, Amy&lt;/author&gt;&lt;/authors&gt;&lt;/contributors&gt;&lt;titles&gt;&lt;title&gt;Dynamic capabilities and strategic management&lt;/title&gt;&lt;secondary-title&gt;Strategic Management Journal&lt;/secondary-title&gt;&lt;/titles&gt;&lt;periodical&gt;&lt;full-title&gt;Strategic Management Journal&lt;/full-title&gt;&lt;/periodical&gt;&lt;pages&gt;509-533&lt;/pages&gt;&lt;volume&gt;18&lt;/volume&gt;&lt;number&gt;7&lt;/number&gt;&lt;dates&gt;&lt;year&gt;1997&lt;/year&gt;&lt;/dates&gt;&lt;isbn&gt;1097-0266&lt;/isbn&gt;&lt;urls&gt;&lt;/urls&gt;&lt;/record&gt;&lt;/Cite&gt;&lt;/EndNote&gt;</w:instrText>
      </w:r>
      <w:r w:rsidR="00FE6666">
        <w:rPr>
          <w:color w:val="FF0000"/>
        </w:rPr>
        <w:fldChar w:fldCharType="separate"/>
      </w:r>
      <w:r w:rsidR="00FE6666">
        <w:rPr>
          <w:noProof/>
          <w:color w:val="FF0000"/>
        </w:rPr>
        <w:t>(Teece et al., 1997)</w:t>
      </w:r>
      <w:r w:rsidR="00FE6666">
        <w:rPr>
          <w:color w:val="FF0000"/>
        </w:rPr>
        <w:fldChar w:fldCharType="end"/>
      </w:r>
      <w:r w:rsidR="00FE6666">
        <w:rPr>
          <w:color w:val="FF0000"/>
        </w:rPr>
        <w:t>.</w:t>
      </w:r>
      <w:r w:rsidR="004B07E1">
        <w:rPr>
          <w:color w:val="FF0000"/>
        </w:rPr>
        <w:t xml:space="preserve"> </w:t>
      </w:r>
      <w:r w:rsidR="000918F4">
        <w:rPr>
          <w:color w:val="FF0000"/>
        </w:rPr>
        <w:t xml:space="preserve"> </w:t>
      </w:r>
    </w:p>
    <w:p w14:paraId="77CBDFA8" w14:textId="77777777" w:rsidR="007742CC" w:rsidRPr="00CF39F6" w:rsidRDefault="007742CC" w:rsidP="007742CC">
      <w:pPr>
        <w:spacing w:line="480" w:lineRule="auto"/>
        <w:ind w:firstLine="426"/>
        <w:jc w:val="both"/>
        <w:rPr>
          <w:color w:val="000000" w:themeColor="text1"/>
        </w:rPr>
      </w:pPr>
      <w:r w:rsidRPr="00CF39F6">
        <w:rPr>
          <w:color w:val="000000" w:themeColor="text1"/>
        </w:rPr>
        <w:t xml:space="preserve">Considerable empirical research has </w:t>
      </w:r>
      <w:r>
        <w:rPr>
          <w:color w:val="000000" w:themeColor="text1"/>
        </w:rPr>
        <w:t>studied</w:t>
      </w:r>
      <w:r w:rsidRPr="00CF39F6">
        <w:rPr>
          <w:color w:val="000000" w:themeColor="text1"/>
        </w:rPr>
        <w:t xml:space="preserve"> the effect of complementarity between supply chain partners on innovation</w:t>
      </w:r>
      <w:r>
        <w:rPr>
          <w:color w:val="000000" w:themeColor="text1"/>
        </w:rPr>
        <w:t xml:space="preserve"> </w:t>
      </w:r>
      <w:r w:rsidRPr="008D6A79">
        <w:rPr>
          <w:color w:val="000000" w:themeColor="text1"/>
        </w:rPr>
        <w:t>(</w:t>
      </w:r>
      <w:r w:rsidRPr="00A2416B">
        <w:rPr>
          <w:color w:val="FF0000"/>
        </w:rPr>
        <w:t xml:space="preserve">e.g., </w:t>
      </w:r>
      <w:r w:rsidRPr="008D6A79">
        <w:rPr>
          <w:color w:val="000000" w:themeColor="text1"/>
        </w:rPr>
        <w:t>Khraishi et al., 2020</w:t>
      </w:r>
      <w:r>
        <w:rPr>
          <w:color w:val="000000" w:themeColor="text1"/>
        </w:rPr>
        <w:t xml:space="preserve">; </w:t>
      </w:r>
      <w:r w:rsidRPr="008D6A79">
        <w:rPr>
          <w:color w:val="000000" w:themeColor="text1"/>
        </w:rPr>
        <w:t>Ndubisi et al., 2020)</w:t>
      </w:r>
      <w:r w:rsidRPr="00CF39F6">
        <w:rPr>
          <w:color w:val="000000" w:themeColor="text1"/>
        </w:rPr>
        <w:t xml:space="preserve">. In </w:t>
      </w:r>
      <w:r>
        <w:rPr>
          <w:color w:val="000000" w:themeColor="text1"/>
        </w:rPr>
        <w:t>our</w:t>
      </w:r>
      <w:r w:rsidRPr="00CF39F6">
        <w:rPr>
          <w:color w:val="000000" w:themeColor="text1"/>
        </w:rPr>
        <w:t xml:space="preserve"> study, we explore the contingency role played by buyer-supplier complementarity in the relationship between SCA and innovation performance. We assert that higher levels of complementarity will strengthen the SCA-innovation relationship. SCA entails quick information flow and its utilization throughout the supply chain to seize market opportunities by improving on current offerings (</w:t>
      </w:r>
      <w:r>
        <w:rPr>
          <w:color w:val="000000" w:themeColor="text1"/>
        </w:rPr>
        <w:t>i.e.</w:t>
      </w:r>
      <w:r w:rsidRPr="008D4FBE">
        <w:rPr>
          <w:color w:val="FF0000"/>
        </w:rPr>
        <w:t>,</w:t>
      </w:r>
      <w:r>
        <w:rPr>
          <w:color w:val="000000" w:themeColor="text1"/>
        </w:rPr>
        <w:t xml:space="preserve"> </w:t>
      </w:r>
      <w:r w:rsidRPr="00CF39F6">
        <w:rPr>
          <w:color w:val="000000" w:themeColor="text1"/>
        </w:rPr>
        <w:t>products and services) and developing new ones.</w:t>
      </w:r>
      <w:r>
        <w:rPr>
          <w:color w:val="000000" w:themeColor="text1"/>
        </w:rPr>
        <w:t xml:space="preserve"> </w:t>
      </w:r>
      <w:r w:rsidRPr="008F2F96">
        <w:rPr>
          <w:color w:val="000000" w:themeColor="text1"/>
        </w:rPr>
        <w:t>(Lee, 2004</w:t>
      </w:r>
      <w:r>
        <w:rPr>
          <w:color w:val="000000" w:themeColor="text1"/>
        </w:rPr>
        <w:t>;</w:t>
      </w:r>
      <w:r w:rsidRPr="008F2F96">
        <w:rPr>
          <w:color w:val="000000" w:themeColor="text1"/>
        </w:rPr>
        <w:t xml:space="preserve"> Whitten et al., 2012)</w:t>
      </w:r>
      <w:r w:rsidRPr="00CF39F6">
        <w:rPr>
          <w:color w:val="000000" w:themeColor="text1"/>
        </w:rPr>
        <w:t xml:space="preserve"> Complementarity with suppliers adds value through the availability of supplier</w:t>
      </w:r>
      <w:r>
        <w:rPr>
          <w:color w:val="000000" w:themeColor="text1"/>
        </w:rPr>
        <w:t>s’</w:t>
      </w:r>
      <w:r w:rsidRPr="00CF39F6">
        <w:rPr>
          <w:color w:val="000000" w:themeColor="text1"/>
        </w:rPr>
        <w:t xml:space="preserve"> idiosyncratic resources and capabilities for the betterment of </w:t>
      </w:r>
      <w:r>
        <w:rPr>
          <w:color w:val="000000" w:themeColor="text1"/>
        </w:rPr>
        <w:t xml:space="preserve">the </w:t>
      </w:r>
      <w:r w:rsidRPr="00CF39F6">
        <w:rPr>
          <w:color w:val="000000" w:themeColor="text1"/>
        </w:rPr>
        <w:t xml:space="preserve">buyer-supplier relationship </w:t>
      </w:r>
      <w:r w:rsidRPr="001A090D">
        <w:rPr>
          <w:color w:val="000000" w:themeColor="text1"/>
        </w:rPr>
        <w:fldChar w:fldCharType="begin"/>
      </w:r>
      <w:r>
        <w:rPr>
          <w:color w:val="000000" w:themeColor="text1"/>
        </w:rPr>
        <w:instrText xml:space="preserve"> ADDIN EN.CITE &lt;EndNote&gt;&lt;Cite&gt;&lt;Author&gt;Khraishi&lt;/Author&gt;&lt;Year&gt;2020&lt;/Year&gt;&lt;RecNum&gt;1568&lt;/RecNum&gt;&lt;DisplayText&gt;(Khraishi et al., 2020)&lt;/DisplayText&gt;&lt;record&gt;&lt;rec-number&gt;1568&lt;/rec-number&gt;&lt;foreign-keys&gt;&lt;key app="EN" db-id="0ewd29dz4ds0vmee9zpx5s9udxtatsf5ffpw" timestamp="0"&gt;1568&lt;/key&gt;&lt;/foreign-keys&gt;&lt;ref-type name="Journal Article"&gt;17&lt;/ref-type&gt;&lt;contributors&gt;&lt;authors&gt;&lt;author&gt;Khraishi, Ahmad&lt;/author&gt;&lt;author&gt;Huq, Fahian&lt;/author&gt;&lt;author&gt;Paulraj, Antony&lt;/author&gt;&lt;/authors&gt;&lt;/contributors&gt;&lt;titles&gt;&lt;title&gt;Offshoring innovation: An empirical investigation of dyadic complementarity within SMEs&lt;/title&gt;&lt;secondary-title&gt;Journal of Business Research&lt;/secondary-title&gt;&lt;/titles&gt;&lt;periodical&gt;&lt;full-title&gt;Journal of Business Research&lt;/full-title&gt;&lt;/periodical&gt;&lt;pages&gt;86-97&lt;/pages&gt;&lt;volume&gt;118&lt;/volume&gt;&lt;dates&gt;&lt;year&gt;2020&lt;/year&gt;&lt;/dates&gt;&lt;isbn&gt;0148-2963&lt;/isbn&gt;&lt;urls&gt;&lt;/urls&gt;&lt;/record&gt;&lt;/Cite&gt;&lt;/EndNote&gt;</w:instrText>
      </w:r>
      <w:r w:rsidRPr="001A090D">
        <w:rPr>
          <w:color w:val="000000" w:themeColor="text1"/>
        </w:rPr>
        <w:fldChar w:fldCharType="separate"/>
      </w:r>
      <w:r>
        <w:rPr>
          <w:noProof/>
          <w:color w:val="000000" w:themeColor="text1"/>
        </w:rPr>
        <w:t>(Khraishi et al., 2020)</w:t>
      </w:r>
      <w:r w:rsidRPr="001A090D">
        <w:rPr>
          <w:color w:val="000000" w:themeColor="text1"/>
        </w:rPr>
        <w:fldChar w:fldCharType="end"/>
      </w:r>
      <w:r w:rsidRPr="00CF39F6">
        <w:rPr>
          <w:color w:val="000000" w:themeColor="text1"/>
        </w:rPr>
        <w:t>. Hence, the synergies achieved through the buyer-supplier complementarity will positively influence the SCA-innovation performance relationship.</w:t>
      </w:r>
      <w:r>
        <w:rPr>
          <w:color w:val="000000" w:themeColor="text1"/>
        </w:rPr>
        <w:t xml:space="preserve"> Consequently, we propose:</w:t>
      </w:r>
    </w:p>
    <w:p w14:paraId="6350249E" w14:textId="77777777" w:rsidR="007742CC" w:rsidRPr="00A2416B" w:rsidRDefault="007742CC" w:rsidP="007742CC">
      <w:pPr>
        <w:spacing w:before="160" w:after="160" w:line="480" w:lineRule="auto"/>
        <w:ind w:left="850" w:hanging="425"/>
        <w:rPr>
          <w:i/>
          <w:color w:val="000000" w:themeColor="text1"/>
        </w:rPr>
      </w:pPr>
      <w:r w:rsidRPr="009740BF">
        <w:rPr>
          <w:b/>
          <w:bCs/>
          <w:iCs/>
          <w:color w:val="000000" w:themeColor="text1"/>
        </w:rPr>
        <w:t>H</w:t>
      </w:r>
      <w:r>
        <w:rPr>
          <w:b/>
          <w:bCs/>
          <w:iCs/>
          <w:color w:val="000000" w:themeColor="text1"/>
        </w:rPr>
        <w:t>6</w:t>
      </w:r>
      <w:r w:rsidRPr="009740BF">
        <w:rPr>
          <w:iCs/>
          <w:color w:val="000000" w:themeColor="text1"/>
        </w:rPr>
        <w:t>:</w:t>
      </w:r>
      <w:r w:rsidRPr="00CF39F6">
        <w:rPr>
          <w:i/>
          <w:color w:val="000000" w:themeColor="text1"/>
        </w:rPr>
        <w:t xml:space="preserve"> Complementarity with suppliers moderates the relationship between </w:t>
      </w:r>
      <w:r w:rsidRPr="00A2416B">
        <w:rPr>
          <w:i/>
          <w:color w:val="FF0000"/>
        </w:rPr>
        <w:t xml:space="preserve">SCA </w:t>
      </w:r>
      <w:r w:rsidRPr="00CF39F6">
        <w:rPr>
          <w:i/>
          <w:color w:val="000000" w:themeColor="text1"/>
        </w:rPr>
        <w:t xml:space="preserve">and innovation performance in a way that high levels of complementarity </w:t>
      </w:r>
      <w:r>
        <w:rPr>
          <w:i/>
          <w:color w:val="000000" w:themeColor="text1"/>
        </w:rPr>
        <w:t>are</w:t>
      </w:r>
      <w:r w:rsidRPr="00CF39F6">
        <w:rPr>
          <w:i/>
          <w:color w:val="000000" w:themeColor="text1"/>
        </w:rPr>
        <w:t xml:space="preserve"> related to high</w:t>
      </w:r>
      <w:r>
        <w:rPr>
          <w:i/>
          <w:color w:val="000000" w:themeColor="text1"/>
        </w:rPr>
        <w:t>er</w:t>
      </w:r>
      <w:r w:rsidRPr="00CF39F6">
        <w:rPr>
          <w:i/>
          <w:color w:val="000000" w:themeColor="text1"/>
        </w:rPr>
        <w:t xml:space="preserve"> levels of innovation performance.</w:t>
      </w:r>
    </w:p>
    <w:p w14:paraId="1499B384" w14:textId="77777777" w:rsidR="007742CC" w:rsidRDefault="007742CC" w:rsidP="007742CC">
      <w:pPr>
        <w:spacing w:before="160" w:after="160" w:line="480" w:lineRule="auto"/>
        <w:jc w:val="both"/>
      </w:pPr>
      <w:r w:rsidRPr="006A78A4">
        <w:t xml:space="preserve">------------------------------------Insert </w:t>
      </w:r>
      <w:r>
        <w:t>Figure</w:t>
      </w:r>
      <w:r w:rsidRPr="006A78A4">
        <w:t xml:space="preserve"> 1 Approximately Here-----------------------------------</w:t>
      </w:r>
    </w:p>
    <w:p w14:paraId="67889AEE" w14:textId="77777777" w:rsidR="007742CC" w:rsidRPr="00C228F7" w:rsidRDefault="007742CC" w:rsidP="007742CC">
      <w:pPr>
        <w:pStyle w:val="ListParagraph"/>
        <w:numPr>
          <w:ilvl w:val="0"/>
          <w:numId w:val="12"/>
        </w:numPr>
        <w:spacing w:before="160" w:line="480" w:lineRule="auto"/>
        <w:ind w:left="0" w:firstLine="426"/>
        <w:jc w:val="center"/>
        <w:rPr>
          <w:rFonts w:ascii="Times New Roman" w:hAnsi="Times New Roman" w:cs="Times New Roman"/>
          <w:b/>
          <w:color w:val="000000" w:themeColor="text1"/>
          <w:sz w:val="24"/>
          <w:szCs w:val="24"/>
        </w:rPr>
      </w:pPr>
      <w:r w:rsidRPr="00C228F7">
        <w:rPr>
          <w:rFonts w:ascii="Times New Roman" w:hAnsi="Times New Roman" w:cs="Times New Roman"/>
          <w:b/>
          <w:color w:val="000000" w:themeColor="text1"/>
          <w:sz w:val="24"/>
          <w:szCs w:val="24"/>
        </w:rPr>
        <w:t>METHODOLOGY</w:t>
      </w:r>
    </w:p>
    <w:p w14:paraId="7EAC7D57" w14:textId="77777777" w:rsidR="007742CC" w:rsidRPr="00CF39F6" w:rsidRDefault="007742CC" w:rsidP="007742CC">
      <w:pPr>
        <w:spacing w:line="480" w:lineRule="auto"/>
        <w:jc w:val="both"/>
        <w:rPr>
          <w:color w:val="000000" w:themeColor="text1"/>
        </w:rPr>
      </w:pPr>
      <w:r>
        <w:rPr>
          <w:color w:val="000000" w:themeColor="text1"/>
        </w:rPr>
        <w:t xml:space="preserve">The purpose of this study is </w:t>
      </w:r>
      <w:r w:rsidRPr="00CF39F6">
        <w:rPr>
          <w:color w:val="000000" w:themeColor="text1"/>
        </w:rPr>
        <w:t>theory testing</w:t>
      </w:r>
      <w:r>
        <w:rPr>
          <w:color w:val="000000" w:themeColor="text1"/>
        </w:rPr>
        <w:t xml:space="preserve">, which is why a </w:t>
      </w:r>
      <w:r w:rsidRPr="00CF39F6">
        <w:rPr>
          <w:color w:val="000000" w:themeColor="text1"/>
        </w:rPr>
        <w:t xml:space="preserve">survey method was deemed appropriate </w:t>
      </w:r>
      <w:r w:rsidRPr="001A090D">
        <w:rPr>
          <w:color w:val="000000" w:themeColor="text1"/>
        </w:rPr>
        <w:fldChar w:fldCharType="begin"/>
      </w:r>
      <w:r>
        <w:rPr>
          <w:color w:val="000000" w:themeColor="text1"/>
        </w:rPr>
        <w:instrText xml:space="preserve"> ADDIN EN.CITE &lt;EndNote&gt;&lt;Cite&gt;&lt;Author&gt;Krause&lt;/Author&gt;&lt;Year&gt;2018&lt;/Year&gt;&lt;RecNum&gt;1522&lt;/RecNum&gt;&lt;DisplayText&gt;(Krause et al., 2018)&lt;/DisplayText&gt;&lt;record&gt;&lt;rec-number&gt;1522&lt;/rec-number&gt;&lt;foreign-keys&gt;&lt;key app="EN" db-id="0ewd29dz4ds0vmee9zpx5s9udxtatsf5ffpw" timestamp="0"&gt;1522&lt;/key&gt;&lt;/foreign-keys&gt;&lt;ref-type name="Journal Article"&gt;17&lt;/ref-type&gt;&lt;contributors&gt;&lt;authors&gt;&lt;author&gt;Krause, Daniel&lt;/author&gt;&lt;author&gt;Luzzini, Davide&lt;/author&gt;&lt;author&gt;Lawson, Benn&lt;/author&gt;&lt;/authors&gt;&lt;/contributors&gt;&lt;titles&gt;&lt;title&gt;Building the case for a single key informant in supply chain management survey research&lt;/title&gt;&lt;secondary-title&gt;Journal of Supply Chain Management&lt;/secondary-title&gt;&lt;/titles&gt;&lt;periodical&gt;&lt;full-title&gt;Journal of Supply Chain Management&lt;/full-title&gt;&lt;/periodical&gt;&lt;pages&gt;42-50&lt;/pages&gt;&lt;volume&gt;54&lt;/volume&gt;&lt;number&gt;1&lt;/number&gt;&lt;dates&gt;&lt;year&gt;2018&lt;/year&gt;&lt;/dates&gt;&lt;isbn&gt;1523-2409&lt;/isbn&gt;&lt;urls&gt;&lt;/urls&gt;&lt;/record&gt;&lt;/Cite&gt;&lt;/EndNote&gt;</w:instrText>
      </w:r>
      <w:r w:rsidRPr="001A090D">
        <w:rPr>
          <w:color w:val="000000" w:themeColor="text1"/>
        </w:rPr>
        <w:fldChar w:fldCharType="separate"/>
      </w:r>
      <w:r>
        <w:rPr>
          <w:noProof/>
          <w:color w:val="000000" w:themeColor="text1"/>
        </w:rPr>
        <w:t>(Krause et al., 2018)</w:t>
      </w:r>
      <w:r w:rsidRPr="001A090D">
        <w:rPr>
          <w:color w:val="000000" w:themeColor="text1"/>
        </w:rPr>
        <w:fldChar w:fldCharType="end"/>
      </w:r>
      <w:r w:rsidRPr="00CF39F6">
        <w:rPr>
          <w:color w:val="000000" w:themeColor="text1"/>
        </w:rPr>
        <w:t xml:space="preserve">. </w:t>
      </w:r>
      <w:r>
        <w:rPr>
          <w:color w:val="000000" w:themeColor="text1"/>
        </w:rPr>
        <w:t>The s</w:t>
      </w:r>
      <w:r w:rsidRPr="00CF39F6">
        <w:rPr>
          <w:color w:val="000000" w:themeColor="text1"/>
        </w:rPr>
        <w:t xml:space="preserve">urvey research design also allows </w:t>
      </w:r>
      <w:r>
        <w:rPr>
          <w:color w:val="000000" w:themeColor="text1"/>
        </w:rPr>
        <w:t>uncovering</w:t>
      </w:r>
      <w:r w:rsidRPr="00CF39F6">
        <w:rPr>
          <w:color w:val="000000" w:themeColor="text1"/>
        </w:rPr>
        <w:t xml:space="preserve"> the effects of more fine-grained variables than secondary data could offer</w:t>
      </w:r>
      <w:r>
        <w:rPr>
          <w:color w:val="000000" w:themeColor="text1"/>
        </w:rPr>
        <w:t xml:space="preserve"> </w:t>
      </w:r>
      <w:r w:rsidRPr="00356CB9">
        <w:rPr>
          <w:color w:val="000000" w:themeColor="text1"/>
        </w:rPr>
        <w:t xml:space="preserve">(Roth </w:t>
      </w:r>
      <w:r>
        <w:rPr>
          <w:color w:val="000000" w:themeColor="text1"/>
        </w:rPr>
        <w:t>&amp;</w:t>
      </w:r>
      <w:r w:rsidRPr="00356CB9">
        <w:rPr>
          <w:color w:val="000000" w:themeColor="text1"/>
        </w:rPr>
        <w:t xml:space="preserve"> Rosenzweig, 2020)</w:t>
      </w:r>
      <w:r w:rsidRPr="00CF39F6">
        <w:rPr>
          <w:color w:val="000000" w:themeColor="text1"/>
        </w:rPr>
        <w:t xml:space="preserve">. The data </w:t>
      </w:r>
      <w:r w:rsidRPr="00DA1ABB">
        <w:rPr>
          <w:color w:val="FF0000"/>
        </w:rPr>
        <w:t>were</w:t>
      </w:r>
      <w:r w:rsidRPr="00CF39F6">
        <w:rPr>
          <w:color w:val="000000" w:themeColor="text1"/>
        </w:rPr>
        <w:t xml:space="preserve"> </w:t>
      </w:r>
      <w:r w:rsidRPr="00CF39F6">
        <w:rPr>
          <w:color w:val="000000" w:themeColor="text1"/>
        </w:rPr>
        <w:lastRenderedPageBreak/>
        <w:t xml:space="preserve">collected in Pakistan’s manufacturing sector with the firm as the unit of analysis. We used </w:t>
      </w:r>
      <w:r>
        <w:rPr>
          <w:color w:val="000000" w:themeColor="text1"/>
        </w:rPr>
        <w:t xml:space="preserve">an </w:t>
      </w:r>
      <w:r w:rsidRPr="00CF39F6">
        <w:rPr>
          <w:i/>
          <w:color w:val="000000" w:themeColor="text1"/>
        </w:rPr>
        <w:t>embedded</w:t>
      </w:r>
      <w:r w:rsidRPr="00CF39F6">
        <w:rPr>
          <w:color w:val="000000" w:themeColor="text1"/>
        </w:rPr>
        <w:t xml:space="preserve"> design where an organization is considered intertwined in a network of relationships</w:t>
      </w:r>
      <w:r>
        <w:rPr>
          <w:color w:val="000000" w:themeColor="text1"/>
        </w:rPr>
        <w:t xml:space="preserve"> </w:t>
      </w:r>
      <w:r w:rsidRPr="00356CB9">
        <w:rPr>
          <w:color w:val="000000" w:themeColor="text1"/>
        </w:rPr>
        <w:t xml:space="preserve">(Schoenherr </w:t>
      </w:r>
      <w:r>
        <w:rPr>
          <w:color w:val="000000" w:themeColor="text1"/>
        </w:rPr>
        <w:t>&amp;</w:t>
      </w:r>
      <w:r w:rsidRPr="00356CB9">
        <w:rPr>
          <w:color w:val="000000" w:themeColor="text1"/>
        </w:rPr>
        <w:t xml:space="preserve"> Swink, 2012)</w:t>
      </w:r>
      <w:r w:rsidRPr="00CF39F6">
        <w:rPr>
          <w:color w:val="000000" w:themeColor="text1"/>
        </w:rPr>
        <w:t xml:space="preserve">. Although </w:t>
      </w:r>
      <w:r>
        <w:rPr>
          <w:color w:val="000000" w:themeColor="text1"/>
        </w:rPr>
        <w:t xml:space="preserve">the </w:t>
      </w:r>
      <w:r w:rsidRPr="00CF39F6">
        <w:rPr>
          <w:color w:val="000000" w:themeColor="text1"/>
        </w:rPr>
        <w:t xml:space="preserve">development of </w:t>
      </w:r>
      <w:r>
        <w:rPr>
          <w:color w:val="000000" w:themeColor="text1"/>
        </w:rPr>
        <w:t xml:space="preserve">SCA </w:t>
      </w:r>
      <w:r w:rsidRPr="00CF39F6">
        <w:rPr>
          <w:color w:val="000000" w:themeColor="text1"/>
        </w:rPr>
        <w:t xml:space="preserve">was of key interest in this study, </w:t>
      </w:r>
      <w:r>
        <w:rPr>
          <w:color w:val="000000" w:themeColor="text1"/>
        </w:rPr>
        <w:t xml:space="preserve">the </w:t>
      </w:r>
      <w:r w:rsidRPr="00CF39F6">
        <w:rPr>
          <w:color w:val="000000" w:themeColor="text1"/>
        </w:rPr>
        <w:t xml:space="preserve">focus on </w:t>
      </w:r>
      <w:r>
        <w:rPr>
          <w:color w:val="000000" w:themeColor="text1"/>
        </w:rPr>
        <w:t xml:space="preserve">the </w:t>
      </w:r>
      <w:r w:rsidRPr="00CF39F6">
        <w:rPr>
          <w:color w:val="000000" w:themeColor="text1"/>
        </w:rPr>
        <w:t>firm</w:t>
      </w:r>
      <w:r>
        <w:rPr>
          <w:color w:val="000000" w:themeColor="text1"/>
        </w:rPr>
        <w:t>-</w:t>
      </w:r>
      <w:r w:rsidRPr="00CF39F6">
        <w:rPr>
          <w:color w:val="000000" w:themeColor="text1"/>
        </w:rPr>
        <w:t xml:space="preserve">level helped delineate the effects of antecedents for the firm not confounded by aggregation of strategies throughout the supply chain </w:t>
      </w:r>
      <w:r w:rsidRPr="001A090D">
        <w:rPr>
          <w:color w:val="000000" w:themeColor="text1"/>
        </w:rPr>
        <w:fldChar w:fldCharType="begin"/>
      </w:r>
      <w:r>
        <w:rPr>
          <w:color w:val="000000" w:themeColor="text1"/>
        </w:rPr>
        <w:instrText xml:space="preserve"> ADDIN EN.CITE &lt;EndNote&gt;&lt;Cite&gt;&lt;Author&gt;Saraf&lt;/Author&gt;&lt;Year&gt;2007&lt;/Year&gt;&lt;RecNum&gt;1531&lt;/RecNum&gt;&lt;DisplayText&gt;(Saraf et al., 2007)&lt;/DisplayText&gt;&lt;record&gt;&lt;rec-number&gt;1531&lt;/rec-number&gt;&lt;foreign-keys&gt;&lt;key app="EN" db-id="zw59vpadbtepfpef9t3pvzeot59fe2ptraw5" timestamp="0"&gt;1531&lt;/key&gt;&lt;/foreign-keys&gt;&lt;ref-type name="Journal Article"&gt;17&lt;/ref-type&gt;&lt;contributors&gt;&lt;authors&gt;&lt;author&gt;Saraf, Nilesh&lt;/author&gt;&lt;author&gt;Langdon, Christoph Schlueter&lt;/author&gt;&lt;author&gt;Gosain, Sanjay&lt;/author&gt;&lt;/authors&gt;&lt;/contributors&gt;&lt;titles&gt;&lt;title&gt;IS application capabilities and relational value in interfirm partnerships&lt;/title&gt;&lt;secondary-title&gt;Information Systems Research&lt;/secondary-title&gt;&lt;/titles&gt;&lt;pages&gt;320-339&lt;/pages&gt;&lt;volume&gt;18&lt;/volume&gt;&lt;number&gt;3&lt;/number&gt;&lt;dates&gt;&lt;year&gt;2007&lt;/year&gt;&lt;/dates&gt;&lt;isbn&gt;1047-7047&lt;/isbn&gt;&lt;urls&gt;&lt;/urls&gt;&lt;/record&gt;&lt;/Cite&gt;&lt;/EndNote&gt;</w:instrText>
      </w:r>
      <w:r w:rsidRPr="001A090D">
        <w:rPr>
          <w:color w:val="000000" w:themeColor="text1"/>
        </w:rPr>
        <w:fldChar w:fldCharType="separate"/>
      </w:r>
      <w:r>
        <w:rPr>
          <w:noProof/>
          <w:color w:val="000000" w:themeColor="text1"/>
        </w:rPr>
        <w:t>(Saraf et al., 2007)</w:t>
      </w:r>
      <w:r w:rsidRPr="001A090D">
        <w:rPr>
          <w:color w:val="000000" w:themeColor="text1"/>
        </w:rPr>
        <w:fldChar w:fldCharType="end"/>
      </w:r>
      <w:r w:rsidRPr="00CF39F6">
        <w:rPr>
          <w:color w:val="000000" w:themeColor="text1"/>
        </w:rPr>
        <w:t>.</w:t>
      </w:r>
    </w:p>
    <w:p w14:paraId="3A516D7D" w14:textId="45E956A5" w:rsidR="007742CC" w:rsidRPr="00CF39F6" w:rsidRDefault="007742CC" w:rsidP="007742CC">
      <w:pPr>
        <w:spacing w:line="480" w:lineRule="auto"/>
        <w:ind w:firstLine="360"/>
        <w:jc w:val="both"/>
        <w:rPr>
          <w:color w:val="000000" w:themeColor="text1"/>
        </w:rPr>
      </w:pPr>
      <w:r w:rsidRPr="00CF39F6">
        <w:rPr>
          <w:color w:val="000000" w:themeColor="text1"/>
        </w:rPr>
        <w:t xml:space="preserve">Pakistan’s manufacturing sector </w:t>
      </w:r>
      <w:r>
        <w:rPr>
          <w:color w:val="000000" w:themeColor="text1"/>
        </w:rPr>
        <w:t xml:space="preserve">was chosen as it </w:t>
      </w:r>
      <w:r w:rsidRPr="00CF39F6">
        <w:rPr>
          <w:color w:val="000000" w:themeColor="text1"/>
        </w:rPr>
        <w:t>provides an interesting developing country context for this study</w:t>
      </w:r>
      <w:r>
        <w:rPr>
          <w:color w:val="000000" w:themeColor="text1"/>
        </w:rPr>
        <w:t>. T</w:t>
      </w:r>
      <w:r w:rsidRPr="00CF39F6">
        <w:rPr>
          <w:color w:val="000000" w:themeColor="text1"/>
        </w:rPr>
        <w:t>he country is</w:t>
      </w:r>
      <w:r>
        <w:rPr>
          <w:color w:val="000000" w:themeColor="text1"/>
        </w:rPr>
        <w:t xml:space="preserve"> </w:t>
      </w:r>
      <w:r w:rsidRPr="00CF39F6">
        <w:rPr>
          <w:color w:val="000000" w:themeColor="text1"/>
        </w:rPr>
        <w:t xml:space="preserve">passing through a turbulent period of social change and intermittent economic growth and crises </w:t>
      </w:r>
      <w:r w:rsidRPr="001A090D">
        <w:rPr>
          <w:color w:val="000000" w:themeColor="text1"/>
        </w:rPr>
        <w:fldChar w:fldCharType="begin"/>
      </w:r>
      <w:r>
        <w:rPr>
          <w:color w:val="000000" w:themeColor="text1"/>
        </w:rPr>
        <w:instrText xml:space="preserve"> ADDIN EN.CITE &lt;EndNote&gt;&lt;Cite&gt;&lt;Author&gt;World Bank&lt;/Author&gt;&lt;Year&gt;2017&lt;/Year&gt;&lt;RecNum&gt;1035&lt;/RecNum&gt;&lt;DisplayText&gt;(World Bank, 2017)&lt;/DisplayText&gt;&lt;record&gt;&lt;rec-number&gt;1035&lt;/rec-number&gt;&lt;foreign-keys&gt;&lt;key app="EN" db-id="0ewd29dz4ds0vmee9zpx5s9udxtatsf5ffpw" timestamp="0"&gt;1035&lt;/key&gt;&lt;/foreign-keys&gt;&lt;ref-type name="Web Page"&gt;12&lt;/ref-type&gt;&lt;contributors&gt;&lt;authors&gt;&lt;author&gt;World Bank,&lt;/author&gt;&lt;/authors&gt;&lt;/contributors&gt;&lt;titles&gt;&lt;title&gt;Pakistan to record highest growth rate in nine years&lt;/title&gt;&lt;/titles&gt;&lt;volume&gt;2017&lt;/volume&gt;&lt;number&gt;21 August&lt;/number&gt;&lt;dates&gt;&lt;year&gt;2017&lt;/year&gt;&lt;pub-dates&gt;&lt;date&gt;20th May&lt;/date&gt;&lt;/pub-dates&gt;&lt;/dates&gt;&lt;pub-location&gt;Islamabad&lt;/pub-location&gt;&lt;publisher&gt;World Bank&lt;/publisher&gt;&lt;urls&gt;&lt;related-urls&gt;&lt;url&gt;http://www.worldbank.org/en/news/press-release/2017/05/19/pakistan-to-record-highest-growth-rate-in-nine-years-wb-report&lt;/url&gt;&lt;/related-urls&gt;&lt;/urls&gt;&lt;custom2&gt;20th May, 2017&lt;/custom2&gt;&lt;/record&gt;&lt;/Cite&gt;&lt;/EndNote&gt;</w:instrText>
      </w:r>
      <w:r w:rsidRPr="001A090D">
        <w:rPr>
          <w:color w:val="000000" w:themeColor="text1"/>
        </w:rPr>
        <w:fldChar w:fldCharType="separate"/>
      </w:r>
      <w:r>
        <w:rPr>
          <w:noProof/>
          <w:color w:val="000000" w:themeColor="text1"/>
        </w:rPr>
        <w:t>(World Bank, 2017)</w:t>
      </w:r>
      <w:r w:rsidRPr="001A090D">
        <w:rPr>
          <w:color w:val="000000" w:themeColor="text1"/>
        </w:rPr>
        <w:fldChar w:fldCharType="end"/>
      </w:r>
      <w:r>
        <w:rPr>
          <w:color w:val="000000" w:themeColor="text1"/>
        </w:rPr>
        <w:t xml:space="preserve">, </w:t>
      </w:r>
      <w:r w:rsidRPr="00CF39F6">
        <w:rPr>
          <w:color w:val="000000" w:themeColor="text1"/>
        </w:rPr>
        <w:t xml:space="preserve">driving the need for </w:t>
      </w:r>
      <w:r>
        <w:rPr>
          <w:color w:val="000000" w:themeColor="text1"/>
        </w:rPr>
        <w:t>SCA</w:t>
      </w:r>
      <w:r w:rsidRPr="00CF39F6">
        <w:rPr>
          <w:color w:val="000000" w:themeColor="text1"/>
        </w:rPr>
        <w:t xml:space="preserve"> as well as innovation performance. Pakistani businesses face strong international competition with the development of </w:t>
      </w:r>
      <w:r>
        <w:rPr>
          <w:color w:val="000000" w:themeColor="text1"/>
        </w:rPr>
        <w:t xml:space="preserve">the </w:t>
      </w:r>
      <w:r w:rsidRPr="00CF39F6">
        <w:rPr>
          <w:color w:val="000000" w:themeColor="text1"/>
        </w:rPr>
        <w:t>China Pakistan Economic Corridor (CPEC).</w:t>
      </w:r>
      <w:r w:rsidR="00643AA8">
        <w:rPr>
          <w:color w:val="000000" w:themeColor="text1"/>
        </w:rPr>
        <w:t xml:space="preserve"> </w:t>
      </w:r>
      <w:r w:rsidR="00643AA8" w:rsidRPr="00CE612C">
        <w:rPr>
          <w:color w:val="FF0000"/>
        </w:rPr>
        <w:t>Recent news reports have argued that based on the changing geopolitical conditions, Pakistan has the potential to become</w:t>
      </w:r>
      <w:r w:rsidR="00CE612C" w:rsidRPr="00CE612C">
        <w:rPr>
          <w:color w:val="FF0000"/>
        </w:rPr>
        <w:t xml:space="preserve"> critical raw material supplier for EU and other western countries</w:t>
      </w:r>
      <w:r w:rsidR="00CE612C">
        <w:rPr>
          <w:color w:val="FF0000"/>
        </w:rPr>
        <w:t xml:space="preserve"> </w:t>
      </w:r>
      <w:r w:rsidR="00CE612C">
        <w:rPr>
          <w:color w:val="FF0000"/>
        </w:rPr>
        <w:fldChar w:fldCharType="begin"/>
      </w:r>
      <w:r w:rsidR="00CE612C">
        <w:rPr>
          <w:color w:val="FF0000"/>
        </w:rPr>
        <w:instrText xml:space="preserve"> ADDIN EN.CITE &lt;EndNote&gt;&lt;Cite&gt;&lt;Author&gt;Dawn&lt;/Author&gt;&lt;Year&gt;2023&lt;/Year&gt;&lt;RecNum&gt;1801&lt;/RecNum&gt;&lt;DisplayText&gt;(Dawn, 2023)&lt;/DisplayText&gt;&lt;record&gt;&lt;rec-number&gt;1801&lt;/rec-number&gt;&lt;foreign-keys&gt;&lt;key app="EN" db-id="0ewd29dz4ds0vmee9zpx5s9udxtatsf5ffpw" timestamp="1700400348"&gt;1801&lt;/key&gt;&lt;/foreign-keys&gt;&lt;ref-type name="Electronic Article"&gt;43&lt;/ref-type&gt;&lt;contributors&gt;&lt;authors&gt;&lt;author&gt;Dawn&lt;/author&gt;&lt;/authors&gt;&lt;/contributors&gt;&lt;titles&gt;&lt;title&gt;Pakistan can become leading raw material supplier&lt;/title&gt;&lt;secondary-title&gt;Daily Dawn&lt;/secondary-title&gt;&lt;/titles&gt;&lt;periodical&gt;&lt;full-title&gt;Daily Dawn&lt;/full-title&gt;&lt;/periodical&gt;&lt;number&gt;23rd October, 2023&lt;/number&gt;&lt;dates&gt;&lt;year&gt;2023&lt;/year&gt;&lt;pub-dates&gt;&lt;date&gt;19th November, 2023&lt;/date&gt;&lt;/pub-dates&gt;&lt;/dates&gt;&lt;publisher&gt;Dawn.com&lt;/publisher&gt;&lt;urls&gt;&lt;related-urls&gt;&lt;url&gt;https://www.dawn.com/news/1782197&lt;/url&gt;&lt;/related-urls&gt;&lt;/urls&gt;&lt;/record&gt;&lt;/Cite&gt;&lt;/EndNote&gt;</w:instrText>
      </w:r>
      <w:r w:rsidR="00CE612C">
        <w:rPr>
          <w:color w:val="FF0000"/>
        </w:rPr>
        <w:fldChar w:fldCharType="separate"/>
      </w:r>
      <w:r w:rsidR="00CE612C">
        <w:rPr>
          <w:noProof/>
          <w:color w:val="FF0000"/>
        </w:rPr>
        <w:t>(Dawn, 2023)</w:t>
      </w:r>
      <w:r w:rsidR="00CE612C">
        <w:rPr>
          <w:color w:val="FF0000"/>
        </w:rPr>
        <w:fldChar w:fldCharType="end"/>
      </w:r>
      <w:r w:rsidR="00CE612C" w:rsidRPr="00CE612C">
        <w:rPr>
          <w:color w:val="FF0000"/>
        </w:rPr>
        <w:t>.</w:t>
      </w:r>
      <w:r w:rsidR="00FF4FF8">
        <w:rPr>
          <w:color w:val="FF0000"/>
        </w:rPr>
        <w:t xml:space="preserve"> The current raw material trade of the country with Europe stands at </w:t>
      </w:r>
      <w:r w:rsidR="005438DF">
        <w:rPr>
          <w:color w:val="FF0000"/>
        </w:rPr>
        <w:t xml:space="preserve">over half a billion dollar with a tremendous growth potential </w:t>
      </w:r>
      <w:r w:rsidR="005438DF">
        <w:rPr>
          <w:color w:val="FF0000"/>
        </w:rPr>
        <w:fldChar w:fldCharType="begin"/>
      </w:r>
      <w:r w:rsidR="00344387">
        <w:rPr>
          <w:color w:val="FF0000"/>
        </w:rPr>
        <w:instrText xml:space="preserve"> ADDIN EN.CITE &lt;EndNote&gt;&lt;Cite&gt;&lt;Author&gt;World Bank&lt;/Author&gt;&lt;Year&gt;2021&lt;/Year&gt;&lt;RecNum&gt;1802&lt;/RecNum&gt;&lt;DisplayText&gt;(World Bank, 2021)&lt;/DisplayText&gt;&lt;record&gt;&lt;rec-number&gt;1802&lt;/rec-number&gt;&lt;foreign-keys&gt;&lt;key app="EN" db-id="0ewd29dz4ds0vmee9zpx5s9udxtatsf5ffpw" timestamp="1700400835"&gt;1802&lt;/key&gt;&lt;/foreign-keys&gt;&lt;ref-type name="Web Page"&gt;12&lt;/ref-type&gt;&lt;contributors&gt;&lt;authors&gt;&lt;author&gt;World Bank,&lt;/author&gt;&lt;/authors&gt;&lt;/contributors&gt;&lt;titles&gt;&lt;title&gt;Pakistan Raw materials Exports by country and region in US$ Thousand 2021&lt;/title&gt;&lt;/titles&gt;&lt;volume&gt;2023&lt;/volume&gt;&lt;number&gt;19th November&lt;/number&gt;&lt;dates&gt;&lt;year&gt;2021&lt;/year&gt;&lt;/dates&gt;&lt;pub-location&gt;https://wits.worldbank.org/CountryProfile/en/Country/PAK/Year/2021/TradeFlow/Export/Partner/all/Product/UNCTAD-SoP1&lt;/pub-location&gt;&lt;publisher&gt;World Integrated Trade Solution&lt;/publisher&gt;&lt;urls&gt;&lt;related-urls&gt;&lt;url&gt;https://wits.worldbank.org/CountryProfile/en/Country/PAK/Year/2021/TradeFlow/Export/Partner/all/Product/UNCTAD-SoP1&lt;/url&gt;&lt;/related-urls&gt;&lt;/urls&gt;&lt;/record&gt;&lt;/Cite&gt;&lt;/EndNote&gt;</w:instrText>
      </w:r>
      <w:r w:rsidR="005438DF">
        <w:rPr>
          <w:color w:val="FF0000"/>
        </w:rPr>
        <w:fldChar w:fldCharType="separate"/>
      </w:r>
      <w:r w:rsidR="00344387">
        <w:rPr>
          <w:noProof/>
          <w:color w:val="FF0000"/>
        </w:rPr>
        <w:t>(World Bank, 2021)</w:t>
      </w:r>
      <w:r w:rsidR="005438DF">
        <w:rPr>
          <w:color w:val="FF0000"/>
        </w:rPr>
        <w:fldChar w:fldCharType="end"/>
      </w:r>
      <w:r w:rsidR="005438DF">
        <w:rPr>
          <w:color w:val="FF0000"/>
        </w:rPr>
        <w:t>.</w:t>
      </w:r>
      <w:r w:rsidRPr="00CF39F6">
        <w:rPr>
          <w:color w:val="000000" w:themeColor="text1"/>
        </w:rPr>
        <w:t xml:space="preserve"> We</w:t>
      </w:r>
      <w:r>
        <w:rPr>
          <w:color w:val="000000" w:themeColor="text1"/>
        </w:rPr>
        <w:t xml:space="preserve"> therefore </w:t>
      </w:r>
      <w:r w:rsidRPr="00CF39F6">
        <w:rPr>
          <w:color w:val="000000" w:themeColor="text1"/>
        </w:rPr>
        <w:t xml:space="preserve">believe that the empirical context allows </w:t>
      </w:r>
      <w:r>
        <w:rPr>
          <w:color w:val="000000" w:themeColor="text1"/>
        </w:rPr>
        <w:t xml:space="preserve">us </w:t>
      </w:r>
      <w:r w:rsidRPr="00CF39F6">
        <w:rPr>
          <w:color w:val="000000" w:themeColor="text1"/>
        </w:rPr>
        <w:t xml:space="preserve">to observe more variance in more established markets that add to theory testing, although the research model as such would be interesting to study in a more mature market as well. </w:t>
      </w:r>
    </w:p>
    <w:p w14:paraId="60E22A0D" w14:textId="6730B8B2" w:rsidR="007742CC" w:rsidRPr="00C228F7" w:rsidRDefault="007742CC" w:rsidP="007742CC">
      <w:pPr>
        <w:spacing w:before="160" w:line="480" w:lineRule="auto"/>
        <w:rPr>
          <w:b/>
          <w:i/>
          <w:iCs/>
          <w:color w:val="000000" w:themeColor="text1"/>
        </w:rPr>
      </w:pPr>
      <w:r>
        <w:rPr>
          <w:b/>
          <w:i/>
          <w:iCs/>
          <w:color w:val="000000" w:themeColor="text1"/>
        </w:rPr>
        <w:t xml:space="preserve">3.1 </w:t>
      </w:r>
      <w:r w:rsidRPr="00C228F7">
        <w:rPr>
          <w:b/>
          <w:i/>
          <w:iCs/>
          <w:color w:val="000000" w:themeColor="text1"/>
        </w:rPr>
        <w:t xml:space="preserve">Data </w:t>
      </w:r>
      <w:r w:rsidR="008E0E01">
        <w:rPr>
          <w:b/>
          <w:i/>
          <w:iCs/>
          <w:color w:val="000000" w:themeColor="text1"/>
        </w:rPr>
        <w:t>C</w:t>
      </w:r>
      <w:r w:rsidRPr="00C228F7">
        <w:rPr>
          <w:b/>
          <w:i/>
          <w:iCs/>
          <w:color w:val="000000" w:themeColor="text1"/>
        </w:rPr>
        <w:t xml:space="preserve">ollection </w:t>
      </w:r>
    </w:p>
    <w:p w14:paraId="5F74262A" w14:textId="77777777" w:rsidR="007742CC" w:rsidRPr="00CF39F6" w:rsidRDefault="007742CC" w:rsidP="007742CC">
      <w:pPr>
        <w:spacing w:line="480" w:lineRule="auto"/>
        <w:jc w:val="both"/>
        <w:rPr>
          <w:color w:val="000000" w:themeColor="text1"/>
        </w:rPr>
      </w:pPr>
      <w:r w:rsidRPr="00CF39F6">
        <w:rPr>
          <w:color w:val="000000" w:themeColor="text1"/>
        </w:rPr>
        <w:t>We collected survey responses from managers working in operations</w:t>
      </w:r>
      <w:r>
        <w:rPr>
          <w:color w:val="000000" w:themeColor="text1"/>
        </w:rPr>
        <w:t xml:space="preserve"> and </w:t>
      </w:r>
      <w:r w:rsidRPr="00CF39F6">
        <w:rPr>
          <w:color w:val="000000" w:themeColor="text1"/>
        </w:rPr>
        <w:t>supply chain</w:t>
      </w:r>
      <w:r>
        <w:rPr>
          <w:color w:val="000000" w:themeColor="text1"/>
        </w:rPr>
        <w:t>-</w:t>
      </w:r>
      <w:r w:rsidRPr="00CF39F6">
        <w:rPr>
          <w:color w:val="000000" w:themeColor="text1"/>
        </w:rPr>
        <w:t>related functions in Pakistan’s manufacturing industry. Previous studies have highlighted concerns about data collection in developing</w:t>
      </w:r>
      <w:r>
        <w:rPr>
          <w:color w:val="000000" w:themeColor="text1"/>
        </w:rPr>
        <w:t xml:space="preserve"> </w:t>
      </w:r>
      <w:r w:rsidRPr="00356CB9">
        <w:rPr>
          <w:color w:val="000000" w:themeColor="text1"/>
        </w:rPr>
        <w:t>countries</w:t>
      </w:r>
      <w:r>
        <w:rPr>
          <w:color w:val="000000" w:themeColor="text1"/>
        </w:rPr>
        <w:t xml:space="preserve"> </w:t>
      </w:r>
      <w:r w:rsidRPr="000225BF">
        <w:rPr>
          <w:color w:val="000000" w:themeColor="text1"/>
        </w:rPr>
        <w:t>(</w:t>
      </w:r>
      <w:r w:rsidRPr="000225BF">
        <w:rPr>
          <w:color w:val="FF0000"/>
        </w:rPr>
        <w:t>e.g.,</w:t>
      </w:r>
      <w:r>
        <w:rPr>
          <w:color w:val="000000" w:themeColor="text1"/>
        </w:rPr>
        <w:t xml:space="preserve"> </w:t>
      </w:r>
      <w:r w:rsidRPr="000225BF">
        <w:rPr>
          <w:color w:val="000000" w:themeColor="text1"/>
        </w:rPr>
        <w:t>Aslam et al., 2020; Malik &amp; Kotabe, 2009)</w:t>
      </w:r>
      <w:r w:rsidRPr="00CF39F6">
        <w:rPr>
          <w:color w:val="000000" w:themeColor="text1"/>
        </w:rPr>
        <w:t xml:space="preserve">. For example, although the population of studies is easy to determine in general, institutional restrictions in terms of available address databases require different sampling approaches than mature markets offer. </w:t>
      </w:r>
      <w:r>
        <w:rPr>
          <w:color w:val="000000" w:themeColor="text1"/>
        </w:rPr>
        <w:t>Our</w:t>
      </w:r>
      <w:r w:rsidRPr="00CF39F6">
        <w:rPr>
          <w:color w:val="000000" w:themeColor="text1"/>
        </w:rPr>
        <w:t xml:space="preserve"> study faced </w:t>
      </w:r>
      <w:r>
        <w:rPr>
          <w:color w:val="000000" w:themeColor="text1"/>
        </w:rPr>
        <w:t>similar</w:t>
      </w:r>
      <w:r w:rsidRPr="00CF39F6">
        <w:rPr>
          <w:color w:val="000000" w:themeColor="text1"/>
        </w:rPr>
        <w:t xml:space="preserve"> problem</w:t>
      </w:r>
      <w:r>
        <w:rPr>
          <w:color w:val="000000" w:themeColor="text1"/>
        </w:rPr>
        <w:t>s, and we therefore</w:t>
      </w:r>
      <w:r w:rsidRPr="00CF39F6">
        <w:rPr>
          <w:color w:val="000000" w:themeColor="text1"/>
        </w:rPr>
        <w:t xml:space="preserve"> developed a sample </w:t>
      </w:r>
      <w:r>
        <w:rPr>
          <w:color w:val="000000" w:themeColor="text1"/>
        </w:rPr>
        <w:t>of</w:t>
      </w:r>
      <w:r w:rsidRPr="00CF39F6">
        <w:rPr>
          <w:color w:val="000000" w:themeColor="text1"/>
        </w:rPr>
        <w:t xml:space="preserve"> </w:t>
      </w:r>
      <w:r w:rsidRPr="00CF39F6">
        <w:rPr>
          <w:color w:val="000000" w:themeColor="text1"/>
        </w:rPr>
        <w:lastRenderedPageBreak/>
        <w:t xml:space="preserve">the Pakistani manufacturing sector </w:t>
      </w:r>
      <w:r>
        <w:rPr>
          <w:color w:val="000000" w:themeColor="text1"/>
        </w:rPr>
        <w:t>via</w:t>
      </w:r>
      <w:r w:rsidRPr="00CF39F6">
        <w:rPr>
          <w:color w:val="000000" w:themeColor="text1"/>
        </w:rPr>
        <w:t xml:space="preserve"> LinkedIn contacts. LinkedIn is the largest professional networking site with over </w:t>
      </w:r>
      <w:r>
        <w:rPr>
          <w:color w:val="000000" w:themeColor="text1"/>
        </w:rPr>
        <w:t>850</w:t>
      </w:r>
      <w:r w:rsidRPr="00CF39F6">
        <w:rPr>
          <w:color w:val="000000" w:themeColor="text1"/>
        </w:rPr>
        <w:t xml:space="preserve"> million users </w:t>
      </w:r>
      <w:r>
        <w:rPr>
          <w:color w:val="000000" w:themeColor="text1"/>
        </w:rPr>
        <w:t>(</w:t>
      </w:r>
      <w:r w:rsidRPr="000225BF">
        <w:rPr>
          <w:color w:val="000000" w:themeColor="text1"/>
        </w:rPr>
        <w:t>LinkedIn.com, 202</w:t>
      </w:r>
      <w:r>
        <w:rPr>
          <w:color w:val="000000" w:themeColor="text1"/>
        </w:rPr>
        <w:t>3)</w:t>
      </w:r>
      <w:r w:rsidRPr="00CF39F6">
        <w:rPr>
          <w:color w:val="000000" w:themeColor="text1"/>
        </w:rPr>
        <w:t xml:space="preserve"> </w:t>
      </w:r>
      <w:r>
        <w:rPr>
          <w:color w:val="000000" w:themeColor="text1"/>
        </w:rPr>
        <w:t>which</w:t>
      </w:r>
      <w:r w:rsidRPr="00CF39F6">
        <w:rPr>
          <w:color w:val="000000" w:themeColor="text1"/>
        </w:rPr>
        <w:t xml:space="preserve"> is also rapidly growing in Pakistan </w:t>
      </w:r>
      <w:r w:rsidRPr="001A090D">
        <w:rPr>
          <w:color w:val="000000" w:themeColor="text1"/>
        </w:rPr>
        <w:fldChar w:fldCharType="begin"/>
      </w:r>
      <w:r>
        <w:rPr>
          <w:color w:val="000000" w:themeColor="text1"/>
        </w:rPr>
        <w:instrText xml:space="preserve"> ADDIN EN.CITE &lt;EndNote&gt;&lt;Cite&gt;&lt;Author&gt;Farooq&lt;/Author&gt;&lt;Year&gt;2019&lt;/Year&gt;&lt;RecNum&gt;1532&lt;/RecNum&gt;&lt;DisplayText&gt;(Farooq, 2019)&lt;/DisplayText&gt;&lt;record&gt;&lt;rec-number&gt;1532&lt;/rec-number&gt;&lt;foreign-keys&gt;&lt;key app="EN" db-id="zw59vpadbtepfpef9t3pvzeot59fe2ptraw5" timestamp="0"&gt;1532&lt;/key&gt;&lt;/foreign-keys&gt;&lt;ref-type name="Electronic Book"&gt;44&lt;/ref-type&gt;&lt;contributors&gt;&lt;authors&gt;&lt;author&gt;Mohammad Farooq&lt;/author&gt;&lt;/authors&gt;&lt;/contributors&gt;&lt;titles&gt;&lt;title&gt;Active social media users in Pakistan grow by 5.7% Report&lt;/title&gt;&lt;/titles&gt;&lt;dates&gt;&lt;year&gt;2019&lt;/year&gt;&lt;pub-dates&gt;&lt;date&gt;17 Feburary, 2021&lt;/date&gt;&lt;/pub-dates&gt;&lt;/dates&gt;&lt;publisher&gt;https://www.pakistantoday.com.pk/&lt;/publisher&gt;&lt;urls&gt;&lt;related-urls&gt;&lt;url&gt;https://profit.pakistantoday.com.pk/2019/02/05/active-social-media-users-in-pakistan-grow-by-5-7-report/&lt;/url&gt;&lt;/related-urls&gt;&lt;/urls&gt;&lt;/record&gt;&lt;/Cite&gt;&lt;/EndNote&gt;</w:instrText>
      </w:r>
      <w:r w:rsidRPr="001A090D">
        <w:rPr>
          <w:color w:val="000000" w:themeColor="text1"/>
        </w:rPr>
        <w:fldChar w:fldCharType="separate"/>
      </w:r>
      <w:r>
        <w:rPr>
          <w:noProof/>
          <w:color w:val="000000" w:themeColor="text1"/>
        </w:rPr>
        <w:t>(Farooq, 2019)</w:t>
      </w:r>
      <w:r w:rsidRPr="001A090D">
        <w:rPr>
          <w:color w:val="000000" w:themeColor="text1"/>
        </w:rPr>
        <w:fldChar w:fldCharType="end"/>
      </w:r>
      <w:r w:rsidRPr="00CF39F6">
        <w:rPr>
          <w:color w:val="000000" w:themeColor="text1"/>
        </w:rPr>
        <w:t xml:space="preserve">. Furthermore, </w:t>
      </w:r>
      <w:r>
        <w:rPr>
          <w:color w:val="000000" w:themeColor="text1"/>
        </w:rPr>
        <w:t>the platform</w:t>
      </w:r>
      <w:r w:rsidRPr="00CF39F6">
        <w:rPr>
          <w:color w:val="000000" w:themeColor="text1"/>
        </w:rPr>
        <w:t xml:space="preserve"> has been used for empirical inquiry in a range of operations and supply chain</w:t>
      </w:r>
      <w:r>
        <w:rPr>
          <w:color w:val="000000" w:themeColor="text1"/>
        </w:rPr>
        <w:t>-</w:t>
      </w:r>
      <w:r w:rsidRPr="00CF39F6">
        <w:rPr>
          <w:color w:val="000000" w:themeColor="text1"/>
        </w:rPr>
        <w:t xml:space="preserve">related research projects </w:t>
      </w:r>
      <w:r>
        <w:rPr>
          <w:color w:val="000000" w:themeColor="text1"/>
        </w:rPr>
        <w:t xml:space="preserve">in the past </w:t>
      </w:r>
      <w:r w:rsidRPr="000225BF">
        <w:rPr>
          <w:color w:val="000000" w:themeColor="text1"/>
        </w:rPr>
        <w:t>(Aslam et al., 2022; Blome et al., 2014; Kalaitzi et al., 2019)</w:t>
      </w:r>
      <w:r w:rsidRPr="005C627C">
        <w:rPr>
          <w:color w:val="000000" w:themeColor="text1"/>
        </w:rPr>
        <w:t>.</w:t>
      </w:r>
    </w:p>
    <w:p w14:paraId="05E8F340" w14:textId="2E0E1D9E" w:rsidR="007742CC" w:rsidRPr="00CF39F6" w:rsidRDefault="007742CC" w:rsidP="007742CC">
      <w:pPr>
        <w:spacing w:line="480" w:lineRule="auto"/>
        <w:ind w:firstLine="720"/>
        <w:jc w:val="both"/>
        <w:rPr>
          <w:color w:val="000000" w:themeColor="text1"/>
        </w:rPr>
      </w:pPr>
      <w:r>
        <w:rPr>
          <w:color w:val="000000" w:themeColor="text1"/>
        </w:rPr>
        <w:t>In total, w</w:t>
      </w:r>
      <w:r w:rsidRPr="00CF39F6">
        <w:rPr>
          <w:color w:val="000000" w:themeColor="text1"/>
        </w:rPr>
        <w:t xml:space="preserve">e were able to identify 1,783 operations and supply chain professionals showing affiliations with Pakistan’s manufacturing industry (each from different firms). We sent these managers emails detailing the objectives of our study and requesting their consent to participate. </w:t>
      </w:r>
      <w:r>
        <w:rPr>
          <w:color w:val="000000" w:themeColor="text1"/>
        </w:rPr>
        <w:t>As a result, w</w:t>
      </w:r>
      <w:r w:rsidRPr="00CF39F6">
        <w:rPr>
          <w:color w:val="000000" w:themeColor="text1"/>
        </w:rPr>
        <w:t xml:space="preserve">e received favorable responses from about 800 professionals. </w:t>
      </w:r>
      <w:r>
        <w:rPr>
          <w:color w:val="000000" w:themeColor="text1"/>
        </w:rPr>
        <w:t>Thereafter, e</w:t>
      </w:r>
      <w:r w:rsidRPr="00CF39F6">
        <w:rPr>
          <w:color w:val="000000" w:themeColor="text1"/>
        </w:rPr>
        <w:t>mails containing the link to the online survey w</w:t>
      </w:r>
      <w:r>
        <w:rPr>
          <w:color w:val="000000" w:themeColor="text1"/>
        </w:rPr>
        <w:t>ere</w:t>
      </w:r>
      <w:r w:rsidRPr="00CF39F6">
        <w:rPr>
          <w:color w:val="000000" w:themeColor="text1"/>
        </w:rPr>
        <w:t xml:space="preserve"> sent to </w:t>
      </w:r>
      <w:r>
        <w:rPr>
          <w:color w:val="000000" w:themeColor="text1"/>
        </w:rPr>
        <w:t xml:space="preserve">the </w:t>
      </w:r>
      <w:r w:rsidRPr="00CF39F6">
        <w:rPr>
          <w:color w:val="000000" w:themeColor="text1"/>
        </w:rPr>
        <w:t xml:space="preserve">consenting </w:t>
      </w:r>
      <w:r>
        <w:rPr>
          <w:color w:val="000000" w:themeColor="text1"/>
        </w:rPr>
        <w:t>participants</w:t>
      </w:r>
      <w:r w:rsidRPr="00CF39F6">
        <w:rPr>
          <w:color w:val="000000" w:themeColor="text1"/>
        </w:rPr>
        <w:t>. The study design also foresaw the collection of two independent responses per organization, where</w:t>
      </w:r>
      <w:r>
        <w:rPr>
          <w:color w:val="000000" w:themeColor="text1"/>
        </w:rPr>
        <w:t>ver</w:t>
      </w:r>
      <w:r w:rsidRPr="00CF39F6">
        <w:rPr>
          <w:color w:val="000000" w:themeColor="text1"/>
        </w:rPr>
        <w:t xml:space="preserve"> possible, to deal with common method variance concerns. Our final data contained responses from 347 managers</w:t>
      </w:r>
      <w:r>
        <w:rPr>
          <w:color w:val="000000" w:themeColor="text1"/>
        </w:rPr>
        <w:t>, which accounts for</w:t>
      </w:r>
      <w:r w:rsidRPr="00CF39F6">
        <w:rPr>
          <w:color w:val="000000" w:themeColor="text1"/>
        </w:rPr>
        <w:t xml:space="preserve"> a response rate of 43% in relation to 800 professionals showing interest and 20% </w:t>
      </w:r>
      <w:r>
        <w:rPr>
          <w:color w:val="000000" w:themeColor="text1"/>
        </w:rPr>
        <w:t>of</w:t>
      </w:r>
      <w:r w:rsidRPr="00CF39F6">
        <w:rPr>
          <w:color w:val="000000" w:themeColor="text1"/>
        </w:rPr>
        <w:t xml:space="preserve"> the total population. We tested for</w:t>
      </w:r>
      <w:r>
        <w:rPr>
          <w:color w:val="000000" w:themeColor="text1"/>
        </w:rPr>
        <w:t xml:space="preserve"> a</w:t>
      </w:r>
      <w:r w:rsidRPr="00CF39F6">
        <w:rPr>
          <w:color w:val="000000" w:themeColor="text1"/>
        </w:rPr>
        <w:t xml:space="preserve"> non-response bias using </w:t>
      </w:r>
      <w:r>
        <w:rPr>
          <w:color w:val="000000" w:themeColor="text1"/>
        </w:rPr>
        <w:t xml:space="preserve">the </w:t>
      </w:r>
      <w:r w:rsidRPr="00CF39F6">
        <w:rPr>
          <w:color w:val="000000" w:themeColor="text1"/>
        </w:rPr>
        <w:t>method proposed by</w:t>
      </w:r>
      <w:r>
        <w:rPr>
          <w:color w:val="000000" w:themeColor="text1"/>
        </w:rPr>
        <w:t xml:space="preserve"> </w:t>
      </w:r>
      <w:r>
        <w:rPr>
          <w:color w:val="000000" w:themeColor="text1"/>
        </w:rPr>
        <w:fldChar w:fldCharType="begin"/>
      </w:r>
      <w:r>
        <w:rPr>
          <w:color w:val="000000" w:themeColor="text1"/>
        </w:rPr>
        <w:instrText xml:space="preserve"> ADDIN EN.CITE &lt;EndNote&gt;&lt;Cite AuthorYear="1"&gt;&lt;Author&gt;Armstrong&lt;/Author&gt;&lt;Year&gt;1977&lt;/Year&gt;&lt;RecNum&gt;1037&lt;/RecNum&gt;&lt;DisplayText&gt;Armstrong and Overton (1977)&lt;/DisplayText&gt;&lt;record&gt;&lt;rec-number&gt;1037&lt;/rec-number&gt;&lt;foreign-keys&gt;&lt;key app="EN" db-id="0ewd29dz4ds0vmee9zpx5s9udxtatsf5ffpw" timestamp="0"&gt;1037&lt;/key&gt;&lt;/foreign-keys&gt;&lt;ref-type name="Journal Article"&gt;17&lt;/ref-type&gt;&lt;contributors&gt;&lt;authors&gt;&lt;author&gt;Armstrong, J Scott&lt;/author&gt;&lt;author&gt;Overton, Terry S&lt;/author&gt;&lt;/authors&gt;&lt;/contributors&gt;&lt;titles&gt;&lt;title&gt;Estimating nonresponse bias in mail surveys&lt;/title&gt;&lt;secondary-title&gt;Journal of Marketing Research&lt;/secondary-title&gt;&lt;/titles&gt;&lt;pages&gt;396-402&lt;/pages&gt;&lt;volume&gt;3&lt;/volume&gt;&lt;number&gt;14&lt;/number&gt;&lt;dates&gt;&lt;year&gt;1977&lt;/year&gt;&lt;/dates&gt;&lt;publisher&gt;JSTOR&lt;/publisher&gt;&lt;isbn&gt;0022-2437&lt;/isbn&gt;&lt;urls&gt;&lt;/urls&gt;&lt;/record&gt;&lt;/Cite&gt;&lt;/EndNote&gt;</w:instrText>
      </w:r>
      <w:r>
        <w:rPr>
          <w:color w:val="000000" w:themeColor="text1"/>
        </w:rPr>
        <w:fldChar w:fldCharType="separate"/>
      </w:r>
      <w:r>
        <w:rPr>
          <w:noProof/>
          <w:color w:val="000000" w:themeColor="text1"/>
        </w:rPr>
        <w:t>Armstrong and Overton (1977)</w:t>
      </w:r>
      <w:r>
        <w:rPr>
          <w:color w:val="000000" w:themeColor="text1"/>
        </w:rPr>
        <w:fldChar w:fldCharType="end"/>
      </w:r>
      <w:r w:rsidRPr="00CF39F6">
        <w:rPr>
          <w:color w:val="000000" w:themeColor="text1"/>
        </w:rPr>
        <w:t xml:space="preserve">. This method compares early and late respondents while considering the late respondents as </w:t>
      </w:r>
      <w:r>
        <w:rPr>
          <w:color w:val="000000" w:themeColor="text1"/>
        </w:rPr>
        <w:t xml:space="preserve">a </w:t>
      </w:r>
      <w:r w:rsidRPr="00CF39F6">
        <w:rPr>
          <w:color w:val="000000" w:themeColor="text1"/>
        </w:rPr>
        <w:t>proxy for non-respondents</w:t>
      </w:r>
      <w:r w:rsidRPr="001028E7">
        <w:rPr>
          <w:color w:val="000000" w:themeColor="text1"/>
        </w:rPr>
        <w:t>.</w:t>
      </w:r>
      <w:r w:rsidRPr="00CF39F6">
        <w:rPr>
          <w:color w:val="000000" w:themeColor="text1"/>
        </w:rPr>
        <w:t xml:space="preserve"> We made the comparisons </w:t>
      </w:r>
      <w:r>
        <w:rPr>
          <w:color w:val="000000" w:themeColor="text1"/>
        </w:rPr>
        <w:t>based on</w:t>
      </w:r>
      <w:r w:rsidRPr="00CF39F6">
        <w:rPr>
          <w:color w:val="000000" w:themeColor="text1"/>
        </w:rPr>
        <w:t xml:space="preserve"> organization size (</w:t>
      </w:r>
      <w:r>
        <w:rPr>
          <w:color w:val="000000" w:themeColor="text1"/>
        </w:rPr>
        <w:t>i.e.</w:t>
      </w:r>
      <w:r w:rsidRPr="008D4FBE">
        <w:rPr>
          <w:color w:val="FF0000"/>
        </w:rPr>
        <w:t>,</w:t>
      </w:r>
      <w:r>
        <w:rPr>
          <w:color w:val="000000" w:themeColor="text1"/>
        </w:rPr>
        <w:t xml:space="preserve"> </w:t>
      </w:r>
      <w:r w:rsidRPr="00CF39F6">
        <w:rPr>
          <w:color w:val="000000" w:themeColor="text1"/>
        </w:rPr>
        <w:t xml:space="preserve">sales and number of employees) and employee experience using independent sample </w:t>
      </w:r>
      <w:r w:rsidRPr="004D1928">
        <w:rPr>
          <w:i/>
          <w:color w:val="000000" w:themeColor="text1"/>
        </w:rPr>
        <w:t>t</w:t>
      </w:r>
      <w:r w:rsidRPr="00CF39F6">
        <w:rPr>
          <w:color w:val="000000" w:themeColor="text1"/>
        </w:rPr>
        <w:t>-tests. Our results indicated no significant differences between the early and late respondents for all three variables (</w:t>
      </w:r>
      <w:r w:rsidRPr="00CF39F6">
        <w:rPr>
          <w:i/>
          <w:color w:val="000000" w:themeColor="text1"/>
        </w:rPr>
        <w:t>p</w:t>
      </w:r>
      <w:r w:rsidRPr="00CF39F6">
        <w:rPr>
          <w:color w:val="000000" w:themeColor="text1"/>
        </w:rPr>
        <w:t xml:space="preserve"> &gt; 0.05)</w:t>
      </w:r>
      <w:r>
        <w:rPr>
          <w:color w:val="000000" w:themeColor="text1"/>
        </w:rPr>
        <w:t>,</w:t>
      </w:r>
      <w:r w:rsidRPr="00CF39F6">
        <w:rPr>
          <w:color w:val="000000" w:themeColor="text1"/>
        </w:rPr>
        <w:t xml:space="preserve"> indicating that </w:t>
      </w:r>
      <w:r>
        <w:rPr>
          <w:color w:val="000000" w:themeColor="text1"/>
        </w:rPr>
        <w:t xml:space="preserve">we do not have a relevant </w:t>
      </w:r>
      <w:r w:rsidRPr="00CF39F6">
        <w:rPr>
          <w:color w:val="000000" w:themeColor="text1"/>
        </w:rPr>
        <w:t xml:space="preserve">non-response bias </w:t>
      </w:r>
      <w:r>
        <w:rPr>
          <w:color w:val="000000" w:themeColor="text1"/>
        </w:rPr>
        <w:t>with</w:t>
      </w:r>
      <w:r w:rsidRPr="00CF39F6">
        <w:rPr>
          <w:color w:val="000000" w:themeColor="text1"/>
        </w:rPr>
        <w:t>in our study.</w:t>
      </w:r>
    </w:p>
    <w:p w14:paraId="54C8977F" w14:textId="77777777" w:rsidR="007742CC" w:rsidRPr="0026292D" w:rsidRDefault="007742CC" w:rsidP="007742CC">
      <w:pPr>
        <w:spacing w:line="480" w:lineRule="auto"/>
        <w:ind w:firstLine="720"/>
        <w:jc w:val="both"/>
        <w:rPr>
          <w:color w:val="000000" w:themeColor="text1"/>
        </w:rPr>
      </w:pPr>
      <w:r w:rsidRPr="00CF39F6">
        <w:rPr>
          <w:color w:val="000000" w:themeColor="text1"/>
        </w:rPr>
        <w:t xml:space="preserve">Out of the 347 responses, 126 responses </w:t>
      </w:r>
      <w:r w:rsidRPr="0026292D">
        <w:rPr>
          <w:color w:val="FF0000"/>
        </w:rPr>
        <w:t xml:space="preserve">are </w:t>
      </w:r>
      <w:r w:rsidRPr="00CF39F6">
        <w:rPr>
          <w:color w:val="000000" w:themeColor="text1"/>
        </w:rPr>
        <w:t>pairs with the second response received an average of four weeks after the first response. These responses were combined</w:t>
      </w:r>
      <w:r>
        <w:rPr>
          <w:color w:val="000000" w:themeColor="text1"/>
        </w:rPr>
        <w:t>,</w:t>
      </w:r>
      <w:r w:rsidRPr="00CF39F6">
        <w:rPr>
          <w:color w:val="000000" w:themeColor="text1"/>
        </w:rPr>
        <w:t xml:space="preserve"> s</w:t>
      </w:r>
      <w:r>
        <w:rPr>
          <w:color w:val="000000" w:themeColor="text1"/>
        </w:rPr>
        <w:t>uch</w:t>
      </w:r>
      <w:r w:rsidRPr="00CF39F6">
        <w:rPr>
          <w:color w:val="000000" w:themeColor="text1"/>
        </w:rPr>
        <w:t xml:space="preserve"> that </w:t>
      </w:r>
      <w:r>
        <w:rPr>
          <w:color w:val="000000" w:themeColor="text1"/>
        </w:rPr>
        <w:t xml:space="preserve">the </w:t>
      </w:r>
      <w:r w:rsidRPr="00CF39F6">
        <w:rPr>
          <w:color w:val="000000" w:themeColor="text1"/>
        </w:rPr>
        <w:t>independent variables (</w:t>
      </w:r>
      <w:r>
        <w:rPr>
          <w:color w:val="000000" w:themeColor="text1"/>
        </w:rPr>
        <w:t>i.e.</w:t>
      </w:r>
      <w:r w:rsidRPr="008D4FBE">
        <w:rPr>
          <w:color w:val="FF0000"/>
        </w:rPr>
        <w:t>,</w:t>
      </w:r>
      <w:r>
        <w:rPr>
          <w:color w:val="000000" w:themeColor="text1"/>
        </w:rPr>
        <w:t xml:space="preserve"> </w:t>
      </w:r>
      <w:r w:rsidRPr="00CF39F6">
        <w:rPr>
          <w:color w:val="000000" w:themeColor="text1"/>
        </w:rPr>
        <w:t xml:space="preserve">social orientation and performance orientation) and the intermediate </w:t>
      </w:r>
      <w:r w:rsidRPr="00CF39F6">
        <w:rPr>
          <w:color w:val="000000" w:themeColor="text1"/>
        </w:rPr>
        <w:lastRenderedPageBreak/>
        <w:t>variable (</w:t>
      </w:r>
      <w:r>
        <w:rPr>
          <w:color w:val="000000" w:themeColor="text1"/>
        </w:rPr>
        <w:t>i.e.</w:t>
      </w:r>
      <w:r w:rsidRPr="008D4FBE">
        <w:rPr>
          <w:color w:val="FF0000"/>
        </w:rPr>
        <w:t>,</w:t>
      </w:r>
      <w:r>
        <w:rPr>
          <w:color w:val="000000" w:themeColor="text1"/>
        </w:rPr>
        <w:t xml:space="preserve"> SCA</w:t>
      </w:r>
      <w:r w:rsidRPr="00CF39F6">
        <w:rPr>
          <w:color w:val="000000" w:themeColor="text1"/>
        </w:rPr>
        <w:t>) were measured at time T</w:t>
      </w:r>
      <w:r w:rsidRPr="003406EE">
        <w:rPr>
          <w:color w:val="000000" w:themeColor="text1"/>
          <w:vertAlign w:val="subscript"/>
        </w:rPr>
        <w:t>1</w:t>
      </w:r>
      <w:r w:rsidRPr="00CF39F6">
        <w:rPr>
          <w:color w:val="000000" w:themeColor="text1"/>
        </w:rPr>
        <w:t xml:space="preserve"> while the dependent variable (</w:t>
      </w:r>
      <w:r>
        <w:rPr>
          <w:color w:val="000000" w:themeColor="text1"/>
        </w:rPr>
        <w:t>i.e.</w:t>
      </w:r>
      <w:r w:rsidRPr="008D4FBE">
        <w:rPr>
          <w:color w:val="FF0000"/>
        </w:rPr>
        <w:t>,</w:t>
      </w:r>
      <w:r>
        <w:rPr>
          <w:color w:val="000000" w:themeColor="text1"/>
        </w:rPr>
        <w:t xml:space="preserve"> </w:t>
      </w:r>
      <w:r w:rsidRPr="00CF39F6">
        <w:rPr>
          <w:color w:val="000000" w:themeColor="text1"/>
        </w:rPr>
        <w:t>innovation performance) was measured at time T</w:t>
      </w:r>
      <w:r w:rsidRPr="003406EE">
        <w:rPr>
          <w:color w:val="000000" w:themeColor="text1"/>
          <w:vertAlign w:val="subscript"/>
        </w:rPr>
        <w:t>2</w:t>
      </w:r>
      <w:r w:rsidRPr="00CF39F6">
        <w:rPr>
          <w:color w:val="000000" w:themeColor="text1"/>
        </w:rPr>
        <w:t xml:space="preserve"> by two independent assessors. For the remaining 95 responses, we only used the measurement from </w:t>
      </w:r>
      <w:r>
        <w:rPr>
          <w:color w:val="000000" w:themeColor="text1"/>
        </w:rPr>
        <w:t>a</w:t>
      </w:r>
      <w:r w:rsidRPr="00CF39F6">
        <w:rPr>
          <w:color w:val="000000" w:themeColor="text1"/>
        </w:rPr>
        <w:t xml:space="preserve"> single respondent. One response had to be discarded due to </w:t>
      </w:r>
      <w:r>
        <w:rPr>
          <w:color w:val="000000" w:themeColor="text1"/>
        </w:rPr>
        <w:t xml:space="preserve">a </w:t>
      </w:r>
      <w:r w:rsidRPr="00CF39F6">
        <w:rPr>
          <w:color w:val="000000" w:themeColor="text1"/>
        </w:rPr>
        <w:t xml:space="preserve">high number of missing values. The final data </w:t>
      </w:r>
      <w:r>
        <w:rPr>
          <w:color w:val="000000" w:themeColor="text1"/>
        </w:rPr>
        <w:t>set</w:t>
      </w:r>
      <w:r w:rsidRPr="00CF39F6">
        <w:rPr>
          <w:color w:val="000000" w:themeColor="text1"/>
        </w:rPr>
        <w:t xml:space="preserve"> contain</w:t>
      </w:r>
      <w:r>
        <w:rPr>
          <w:color w:val="000000" w:themeColor="text1"/>
        </w:rPr>
        <w:t>s</w:t>
      </w:r>
      <w:r w:rsidRPr="00CF39F6">
        <w:rPr>
          <w:color w:val="000000" w:themeColor="text1"/>
        </w:rPr>
        <w:t xml:space="preserve"> 220 responses. Table I and Table II provide the profile of responding organizations and the</w:t>
      </w:r>
      <w:r>
        <w:rPr>
          <w:color w:val="000000" w:themeColor="text1"/>
        </w:rPr>
        <w:t>ir</w:t>
      </w:r>
      <w:r w:rsidRPr="00CF39F6">
        <w:rPr>
          <w:color w:val="000000" w:themeColor="text1"/>
        </w:rPr>
        <w:t xml:space="preserve"> respondents.</w:t>
      </w:r>
    </w:p>
    <w:p w14:paraId="2E68B449" w14:textId="77777777" w:rsidR="007742CC" w:rsidRDefault="007742CC" w:rsidP="007742CC">
      <w:pPr>
        <w:spacing w:before="160" w:after="160" w:line="480" w:lineRule="auto"/>
        <w:jc w:val="both"/>
      </w:pPr>
      <w:r w:rsidRPr="006A78A4">
        <w:t xml:space="preserve">------------------------------------Insert </w:t>
      </w:r>
      <w:r>
        <w:t>Table</w:t>
      </w:r>
      <w:r w:rsidRPr="006A78A4">
        <w:t xml:space="preserve"> </w:t>
      </w:r>
      <w:r>
        <w:t>I</w:t>
      </w:r>
      <w:r w:rsidRPr="006A78A4">
        <w:t xml:space="preserve"> Approximately Here-----------------------------------</w:t>
      </w:r>
    </w:p>
    <w:p w14:paraId="01D92380" w14:textId="77777777" w:rsidR="007742CC" w:rsidRPr="00D731CC" w:rsidRDefault="007742CC" w:rsidP="007742CC">
      <w:pPr>
        <w:spacing w:before="160" w:after="160" w:line="480" w:lineRule="auto"/>
        <w:jc w:val="both"/>
        <w:rPr>
          <w:lang w:eastAsia="en-US"/>
        </w:rPr>
      </w:pPr>
      <w:r w:rsidRPr="006A78A4">
        <w:t xml:space="preserve">-----------------------------------Insert </w:t>
      </w:r>
      <w:r>
        <w:t>Table</w:t>
      </w:r>
      <w:r w:rsidRPr="006A78A4">
        <w:t xml:space="preserve"> </w:t>
      </w:r>
      <w:r>
        <w:t>II</w:t>
      </w:r>
      <w:r w:rsidRPr="006A78A4">
        <w:t xml:space="preserve"> Approximately Here-----------------------------------</w:t>
      </w:r>
    </w:p>
    <w:p w14:paraId="023383DA" w14:textId="77777777" w:rsidR="007742CC" w:rsidRPr="008A4467" w:rsidRDefault="007742CC" w:rsidP="007742CC">
      <w:pPr>
        <w:spacing w:before="160" w:after="160" w:line="480" w:lineRule="auto"/>
        <w:jc w:val="both"/>
        <w:rPr>
          <w:b/>
          <w:bCs/>
          <w:i/>
          <w:iCs/>
          <w:lang w:eastAsia="en-US"/>
        </w:rPr>
      </w:pPr>
      <w:r>
        <w:rPr>
          <w:b/>
          <w:bCs/>
          <w:i/>
          <w:iCs/>
          <w:lang w:eastAsia="en-US"/>
        </w:rPr>
        <w:t>3.2</w:t>
      </w:r>
      <w:r w:rsidRPr="008A4467">
        <w:rPr>
          <w:b/>
          <w:bCs/>
          <w:i/>
          <w:iCs/>
          <w:lang w:eastAsia="en-US"/>
        </w:rPr>
        <w:t xml:space="preserve"> </w:t>
      </w:r>
      <w:r w:rsidRPr="008A4467">
        <w:rPr>
          <w:b/>
          <w:bCs/>
          <w:i/>
          <w:iCs/>
          <w:color w:val="000000" w:themeColor="text1"/>
        </w:rPr>
        <w:t>Measures</w:t>
      </w:r>
    </w:p>
    <w:p w14:paraId="0D55E4F8" w14:textId="77777777" w:rsidR="007742CC" w:rsidRDefault="007742CC" w:rsidP="007742CC">
      <w:pPr>
        <w:spacing w:line="480" w:lineRule="auto"/>
        <w:jc w:val="both"/>
        <w:rPr>
          <w:rStyle w:val="fontstyle41"/>
          <w:rFonts w:ascii="Times New Roman" w:hAnsi="Times New Roman"/>
          <w:color w:val="000000" w:themeColor="text1"/>
          <w:sz w:val="24"/>
          <w:szCs w:val="24"/>
        </w:rPr>
      </w:pPr>
      <w:r w:rsidRPr="00CF39F6">
        <w:rPr>
          <w:color w:val="000000" w:themeColor="text1"/>
        </w:rPr>
        <w:t xml:space="preserve">We use existing validated scales to measure the constructs of this study. </w:t>
      </w:r>
      <w:r>
        <w:rPr>
          <w:color w:val="000000" w:themeColor="text1"/>
        </w:rPr>
        <w:t>T</w:t>
      </w:r>
      <w:r w:rsidRPr="00CF39F6">
        <w:rPr>
          <w:color w:val="000000" w:themeColor="text1"/>
        </w:rPr>
        <w:t>o identify the relevant scales, an in-depth literature review was conducted to choose scales with suitable psychometric properties. We used perceptual measures to elicit responses from the target respondents since the variables of interest in the study could not be approximated from the secondary data available in the annual reports of firms. In the following section</w:t>
      </w:r>
      <w:r>
        <w:rPr>
          <w:color w:val="000000" w:themeColor="text1"/>
        </w:rPr>
        <w:t>,</w:t>
      </w:r>
      <w:r w:rsidRPr="00CF39F6">
        <w:rPr>
          <w:color w:val="000000" w:themeColor="text1"/>
        </w:rPr>
        <w:t xml:space="preserve"> we provide the details of </w:t>
      </w:r>
      <w:r>
        <w:rPr>
          <w:color w:val="000000" w:themeColor="text1"/>
        </w:rPr>
        <w:t xml:space="preserve">the </w:t>
      </w:r>
      <w:r w:rsidRPr="00CF39F6">
        <w:rPr>
          <w:color w:val="000000" w:themeColor="text1"/>
        </w:rPr>
        <w:t xml:space="preserve">scales used in this study. </w:t>
      </w:r>
      <w:r w:rsidRPr="00CF39F6">
        <w:rPr>
          <w:rStyle w:val="fontstyle01"/>
          <w:rFonts w:ascii="Times New Roman" w:eastAsiaTheme="majorEastAsia" w:hAnsi="Times New Roman"/>
          <w:color w:val="000000" w:themeColor="text1"/>
          <w:sz w:val="24"/>
          <w:szCs w:val="24"/>
        </w:rPr>
        <w:t xml:space="preserve">All measurement items used a seven-point </w:t>
      </w:r>
      <w:r>
        <w:rPr>
          <w:rStyle w:val="fontstyle01"/>
          <w:rFonts w:ascii="Times New Roman" w:eastAsiaTheme="majorEastAsia" w:hAnsi="Times New Roman"/>
          <w:color w:val="000000" w:themeColor="text1"/>
          <w:sz w:val="24"/>
          <w:szCs w:val="24"/>
        </w:rPr>
        <w:t xml:space="preserve">Likert </w:t>
      </w:r>
      <w:r w:rsidRPr="00CF39F6">
        <w:rPr>
          <w:rStyle w:val="fontstyle01"/>
          <w:rFonts w:ascii="Times New Roman" w:eastAsiaTheme="majorEastAsia" w:hAnsi="Times New Roman"/>
          <w:color w:val="000000" w:themeColor="text1"/>
          <w:sz w:val="24"/>
          <w:szCs w:val="24"/>
        </w:rPr>
        <w:t xml:space="preserve">scale, with 1 representing </w:t>
      </w:r>
      <w:r w:rsidRPr="0026292D">
        <w:rPr>
          <w:rStyle w:val="fontstyle41"/>
          <w:rFonts w:ascii="Times New Roman" w:hAnsi="Times New Roman"/>
          <w:color w:val="FF0000"/>
          <w:sz w:val="24"/>
          <w:szCs w:val="24"/>
        </w:rPr>
        <w:t>‘</w:t>
      </w:r>
      <w:r w:rsidRPr="00CF39F6">
        <w:rPr>
          <w:rStyle w:val="fontstyle01"/>
          <w:rFonts w:ascii="Times New Roman" w:eastAsiaTheme="majorEastAsia" w:hAnsi="Times New Roman"/>
          <w:color w:val="000000" w:themeColor="text1"/>
          <w:sz w:val="24"/>
          <w:szCs w:val="24"/>
        </w:rPr>
        <w:t>strongly disagree</w:t>
      </w:r>
      <w:r w:rsidRPr="0026292D">
        <w:rPr>
          <w:rStyle w:val="fontstyle41"/>
          <w:rFonts w:ascii="Times New Roman" w:hAnsi="Times New Roman"/>
          <w:color w:val="FF0000"/>
          <w:sz w:val="24"/>
          <w:szCs w:val="24"/>
        </w:rPr>
        <w:t>’</w:t>
      </w:r>
      <w:r w:rsidRPr="00CF39F6">
        <w:rPr>
          <w:rStyle w:val="fontstyle41"/>
          <w:rFonts w:ascii="Times New Roman" w:hAnsi="Times New Roman"/>
          <w:color w:val="000000" w:themeColor="text1"/>
          <w:sz w:val="24"/>
          <w:szCs w:val="24"/>
        </w:rPr>
        <w:t xml:space="preserve"> </w:t>
      </w:r>
      <w:r w:rsidRPr="00CF39F6">
        <w:rPr>
          <w:rStyle w:val="fontstyle01"/>
          <w:rFonts w:ascii="Times New Roman" w:eastAsiaTheme="majorEastAsia" w:hAnsi="Times New Roman"/>
          <w:color w:val="000000" w:themeColor="text1"/>
          <w:sz w:val="24"/>
          <w:szCs w:val="24"/>
        </w:rPr>
        <w:t xml:space="preserve">and 7 representing </w:t>
      </w:r>
      <w:r w:rsidRPr="0026292D">
        <w:rPr>
          <w:rStyle w:val="fontstyle41"/>
          <w:rFonts w:ascii="Times New Roman" w:hAnsi="Times New Roman"/>
          <w:color w:val="FF0000"/>
          <w:sz w:val="24"/>
          <w:szCs w:val="24"/>
        </w:rPr>
        <w:t>‘</w:t>
      </w:r>
      <w:r w:rsidRPr="00CF39F6">
        <w:rPr>
          <w:rStyle w:val="fontstyle01"/>
          <w:rFonts w:ascii="Times New Roman" w:eastAsiaTheme="majorEastAsia" w:hAnsi="Times New Roman"/>
          <w:color w:val="000000" w:themeColor="text1"/>
          <w:sz w:val="24"/>
          <w:szCs w:val="24"/>
        </w:rPr>
        <w:t>strongly agree</w:t>
      </w:r>
      <w:r w:rsidRPr="0026292D">
        <w:rPr>
          <w:rStyle w:val="fontstyle41"/>
          <w:rFonts w:ascii="Times New Roman" w:hAnsi="Times New Roman"/>
          <w:color w:val="FF0000"/>
          <w:sz w:val="24"/>
          <w:szCs w:val="24"/>
        </w:rPr>
        <w:t>’</w:t>
      </w:r>
      <w:r w:rsidRPr="00CF39F6">
        <w:rPr>
          <w:rStyle w:val="fontstyle41"/>
          <w:rFonts w:ascii="Times New Roman" w:hAnsi="Times New Roman"/>
          <w:color w:val="000000" w:themeColor="text1"/>
          <w:sz w:val="24"/>
          <w:szCs w:val="24"/>
        </w:rPr>
        <w:t>.</w:t>
      </w:r>
    </w:p>
    <w:p w14:paraId="6022799C" w14:textId="74CC71CA" w:rsidR="007742CC" w:rsidRPr="00772391" w:rsidRDefault="007742CC" w:rsidP="00C0664B">
      <w:pPr>
        <w:pStyle w:val="ListParagraph"/>
        <w:numPr>
          <w:ilvl w:val="0"/>
          <w:numId w:val="11"/>
        </w:numPr>
        <w:tabs>
          <w:tab w:val="left" w:pos="284"/>
        </w:tabs>
        <w:spacing w:before="160" w:line="480" w:lineRule="auto"/>
        <w:ind w:left="0" w:firstLine="0"/>
        <w:jc w:val="both"/>
        <w:rPr>
          <w:rStyle w:val="fontstyle01"/>
          <w:rFonts w:ascii="Times New Roman" w:eastAsiaTheme="majorEastAsia" w:hAnsi="Times New Roman"/>
          <w:color w:val="000000" w:themeColor="text1"/>
          <w:sz w:val="24"/>
          <w:szCs w:val="24"/>
        </w:rPr>
      </w:pPr>
      <w:r w:rsidRPr="00772391">
        <w:rPr>
          <w:rFonts w:ascii="Times New Roman" w:hAnsi="Times New Roman" w:cs="Times New Roman"/>
          <w:i/>
          <w:color w:val="000000" w:themeColor="text1"/>
          <w:sz w:val="24"/>
          <w:szCs w:val="24"/>
        </w:rPr>
        <w:t xml:space="preserve">Organizational </w:t>
      </w:r>
      <w:r w:rsidR="001C15F7" w:rsidRPr="00772391">
        <w:rPr>
          <w:rFonts w:ascii="Times New Roman" w:hAnsi="Times New Roman" w:cs="Times New Roman"/>
          <w:i/>
          <w:color w:val="000000" w:themeColor="text1"/>
          <w:sz w:val="24"/>
          <w:szCs w:val="24"/>
        </w:rPr>
        <w:t>c</w:t>
      </w:r>
      <w:r w:rsidRPr="00772391">
        <w:rPr>
          <w:rFonts w:ascii="Times New Roman" w:hAnsi="Times New Roman" w:cs="Times New Roman"/>
          <w:i/>
          <w:color w:val="000000" w:themeColor="text1"/>
          <w:sz w:val="24"/>
          <w:szCs w:val="24"/>
        </w:rPr>
        <w:t>ontext</w:t>
      </w:r>
      <w:r w:rsidR="00772391" w:rsidRPr="00772391">
        <w:rPr>
          <w:rFonts w:ascii="Times New Roman" w:hAnsi="Times New Roman" w:cs="Times New Roman"/>
          <w:i/>
          <w:color w:val="000000" w:themeColor="text1"/>
          <w:sz w:val="24"/>
          <w:szCs w:val="24"/>
        </w:rPr>
        <w:t xml:space="preserve">: </w:t>
      </w:r>
      <w:r w:rsidRPr="00772391">
        <w:rPr>
          <w:rStyle w:val="fontstyle01"/>
          <w:rFonts w:ascii="Times New Roman" w:eastAsiaTheme="majorEastAsia" w:hAnsi="Times New Roman"/>
          <w:color w:val="000000" w:themeColor="text1"/>
          <w:sz w:val="24"/>
          <w:szCs w:val="24"/>
        </w:rPr>
        <w:t xml:space="preserve">We adopted the elements of organizational context from the study of </w:t>
      </w:r>
      <w:r w:rsidRPr="00772391">
        <w:rPr>
          <w:rStyle w:val="fontstyle01"/>
          <w:rFonts w:ascii="Times New Roman" w:eastAsiaTheme="majorEastAsia" w:hAnsi="Times New Roman"/>
          <w:color w:val="000000" w:themeColor="text1"/>
          <w:sz w:val="24"/>
          <w:szCs w:val="24"/>
        </w:rPr>
        <w:fldChar w:fldCharType="begin"/>
      </w:r>
      <w:r w:rsidRPr="00772391">
        <w:rPr>
          <w:rStyle w:val="fontstyle01"/>
          <w:rFonts w:ascii="Times New Roman" w:eastAsiaTheme="majorEastAsia" w:hAnsi="Times New Roman"/>
          <w:color w:val="000000" w:themeColor="text1"/>
          <w:sz w:val="24"/>
          <w:szCs w:val="24"/>
        </w:rPr>
        <w:instrText xml:space="preserve"> ADDIN EN.CITE &lt;EndNote&gt;&lt;Cite AuthorYear="1"&gt;&lt;Author&gt;Gibson&lt;/Author&gt;&lt;Year&gt;2004&lt;/Year&gt;&lt;RecNum&gt;964&lt;/RecNum&gt;&lt;DisplayText&gt;Gibson and Birkinshaw (2004)&lt;/DisplayText&gt;&lt;record&gt;&lt;rec-number&gt;964&lt;/rec-number&gt;&lt;foreign-keys&gt;&lt;key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sidRPr="00772391">
        <w:rPr>
          <w:rStyle w:val="fontstyle01"/>
          <w:rFonts w:ascii="Times New Roman" w:eastAsiaTheme="majorEastAsia" w:hAnsi="Times New Roman"/>
          <w:color w:val="000000" w:themeColor="text1"/>
          <w:sz w:val="24"/>
          <w:szCs w:val="24"/>
        </w:rPr>
        <w:fldChar w:fldCharType="separate"/>
      </w:r>
      <w:r w:rsidRPr="00772391">
        <w:rPr>
          <w:rStyle w:val="fontstyle01"/>
          <w:rFonts w:ascii="Times New Roman" w:eastAsiaTheme="majorEastAsia" w:hAnsi="Times New Roman"/>
          <w:noProof/>
          <w:color w:val="000000" w:themeColor="text1"/>
          <w:sz w:val="24"/>
          <w:szCs w:val="24"/>
        </w:rPr>
        <w:t>Gibson and Birkinshaw (2004)</w:t>
      </w:r>
      <w:r w:rsidRPr="00772391">
        <w:rPr>
          <w:rStyle w:val="fontstyle01"/>
          <w:rFonts w:ascii="Times New Roman" w:eastAsiaTheme="majorEastAsia" w:hAnsi="Times New Roman"/>
          <w:color w:val="000000" w:themeColor="text1"/>
          <w:sz w:val="24"/>
          <w:szCs w:val="24"/>
        </w:rPr>
        <w:fldChar w:fldCharType="end"/>
      </w:r>
      <w:r w:rsidRPr="00772391">
        <w:rPr>
          <w:rStyle w:val="fontstyle01"/>
          <w:rFonts w:ascii="Times New Roman" w:eastAsiaTheme="majorEastAsia" w:hAnsi="Times New Roman"/>
          <w:color w:val="000000" w:themeColor="text1"/>
          <w:sz w:val="24"/>
          <w:szCs w:val="24"/>
        </w:rPr>
        <w:t xml:space="preserve">. Gibson and Birkinshaw adopt the conceptualization of </w:t>
      </w:r>
      <w:r w:rsidRPr="00772391">
        <w:rPr>
          <w:rStyle w:val="fontstyle01"/>
          <w:rFonts w:ascii="Times New Roman" w:eastAsiaTheme="majorEastAsia" w:hAnsi="Times New Roman"/>
          <w:color w:val="000000" w:themeColor="text1"/>
          <w:sz w:val="24"/>
          <w:szCs w:val="24"/>
        </w:rPr>
        <w:fldChar w:fldCharType="begin"/>
      </w:r>
      <w:r w:rsidRPr="00772391">
        <w:rPr>
          <w:rStyle w:val="fontstyle01"/>
          <w:rFonts w:ascii="Times New Roman" w:eastAsiaTheme="majorEastAsia" w:hAnsi="Times New Roman"/>
          <w:color w:val="000000" w:themeColor="text1"/>
          <w:sz w:val="24"/>
          <w:szCs w:val="24"/>
        </w:rPr>
        <w:instrText xml:space="preserve"> ADDIN EN.CITE &lt;EndNote&gt;&lt;Cite AuthorYear="1"&gt;&lt;Author&gt;Ghoshal&lt;/Author&gt;&lt;Year&gt;1994&lt;/Year&gt;&lt;RecNum&gt;1264&lt;/RecNum&gt;&lt;DisplayText&gt;Ghoshal and Bartlett (1994)&lt;/DisplayText&gt;&lt;record&gt;&lt;rec-number&gt;1264&lt;/rec-number&gt;&lt;foreign-keys&gt;&lt;key app="EN" db-id="0ewd29dz4ds0vmee9zpx5s9udxtatsf5ffpw" timestamp="0"&gt;1264&lt;/key&gt;&lt;/foreign-keys&gt;&lt;ref-type name="Journal Article"&gt;17&lt;/ref-type&gt;&lt;contributors&gt;&lt;authors&gt;&lt;author&gt;Ghoshal, Sumantra&lt;/author&gt;&lt;author&gt;Bartlett, Christopher A&lt;/author&gt;&lt;/authors&gt;&lt;/contributors&gt;&lt;titles&gt;&lt;title&gt;Linking organizational context and managerial action: The dimensions of quality of management&lt;/title&gt;&lt;secondary-title&gt;Strategic management journal&lt;/secondary-title&gt;&lt;/titles&gt;&lt;periodical&gt;&lt;full-title&gt;Strategic Management Journal&lt;/full-title&gt;&lt;/periodical&gt;&lt;pages&gt;91-112&lt;/pages&gt;&lt;volume&gt;15&lt;/volume&gt;&lt;number&gt;S2&lt;/number&gt;&lt;dates&gt;&lt;year&gt;1994&lt;/year&gt;&lt;/dates&gt;&lt;isbn&gt;0143-2095&lt;/isbn&gt;&lt;urls&gt;&lt;/urls&gt;&lt;/record&gt;&lt;/Cite&gt;&lt;/EndNote&gt;</w:instrText>
      </w:r>
      <w:r w:rsidRPr="00772391">
        <w:rPr>
          <w:rStyle w:val="fontstyle01"/>
          <w:rFonts w:ascii="Times New Roman" w:eastAsiaTheme="majorEastAsia" w:hAnsi="Times New Roman"/>
          <w:color w:val="000000" w:themeColor="text1"/>
          <w:sz w:val="24"/>
          <w:szCs w:val="24"/>
        </w:rPr>
        <w:fldChar w:fldCharType="separate"/>
      </w:r>
      <w:r w:rsidRPr="00772391">
        <w:rPr>
          <w:rStyle w:val="fontstyle01"/>
          <w:rFonts w:ascii="Times New Roman" w:eastAsiaTheme="majorEastAsia" w:hAnsi="Times New Roman"/>
          <w:noProof/>
          <w:color w:val="000000" w:themeColor="text1"/>
          <w:sz w:val="24"/>
          <w:szCs w:val="24"/>
        </w:rPr>
        <w:t>Ghoshal and Bartlett (1994)</w:t>
      </w:r>
      <w:r w:rsidRPr="00772391">
        <w:rPr>
          <w:rStyle w:val="fontstyle01"/>
          <w:rFonts w:ascii="Times New Roman" w:eastAsiaTheme="majorEastAsia" w:hAnsi="Times New Roman"/>
          <w:color w:val="000000" w:themeColor="text1"/>
          <w:sz w:val="24"/>
          <w:szCs w:val="24"/>
        </w:rPr>
        <w:fldChar w:fldCharType="end"/>
      </w:r>
      <w:r w:rsidRPr="00772391">
        <w:rPr>
          <w:rStyle w:val="fontstyle01"/>
          <w:rFonts w:ascii="Times New Roman" w:eastAsiaTheme="majorEastAsia" w:hAnsi="Times New Roman"/>
          <w:color w:val="000000" w:themeColor="text1"/>
          <w:sz w:val="24"/>
          <w:szCs w:val="24"/>
        </w:rPr>
        <w:t xml:space="preserve"> as consisting of discipline, stretch, support and trust. Based on empirical analysis, </w:t>
      </w:r>
      <w:r w:rsidRPr="00772391">
        <w:rPr>
          <w:rStyle w:val="fontstyle01"/>
          <w:rFonts w:ascii="Times New Roman" w:eastAsiaTheme="majorEastAsia" w:hAnsi="Times New Roman"/>
          <w:color w:val="000000" w:themeColor="text1"/>
          <w:sz w:val="24"/>
          <w:szCs w:val="24"/>
        </w:rPr>
        <w:fldChar w:fldCharType="begin"/>
      </w:r>
      <w:r w:rsidRPr="00772391">
        <w:rPr>
          <w:rStyle w:val="fontstyle01"/>
          <w:rFonts w:ascii="Times New Roman" w:eastAsiaTheme="majorEastAsia" w:hAnsi="Times New Roman"/>
          <w:color w:val="000000" w:themeColor="text1"/>
          <w:sz w:val="24"/>
          <w:szCs w:val="24"/>
        </w:rPr>
        <w:instrText xml:space="preserve"> ADDIN EN.CITE &lt;EndNote&gt;&lt;Cite AuthorYear="1"&gt;&lt;Author&gt;Gibson&lt;/Author&gt;&lt;Year&gt;2004&lt;/Year&gt;&lt;RecNum&gt;964&lt;/RecNum&gt;&lt;DisplayText&gt;Gibson and Birkinshaw (2004)&lt;/DisplayText&gt;&lt;record&gt;&lt;rec-number&gt;964&lt;/rec-number&gt;&lt;foreign-keys&gt;&lt;key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sidRPr="00772391">
        <w:rPr>
          <w:rStyle w:val="fontstyle01"/>
          <w:rFonts w:ascii="Times New Roman" w:eastAsiaTheme="majorEastAsia" w:hAnsi="Times New Roman"/>
          <w:color w:val="000000" w:themeColor="text1"/>
          <w:sz w:val="24"/>
          <w:szCs w:val="24"/>
        </w:rPr>
        <w:fldChar w:fldCharType="separate"/>
      </w:r>
      <w:r w:rsidRPr="00772391">
        <w:rPr>
          <w:rStyle w:val="fontstyle01"/>
          <w:rFonts w:ascii="Times New Roman" w:eastAsiaTheme="majorEastAsia" w:hAnsi="Times New Roman"/>
          <w:noProof/>
          <w:color w:val="000000" w:themeColor="text1"/>
          <w:sz w:val="24"/>
          <w:szCs w:val="24"/>
        </w:rPr>
        <w:t>Gibson and Birkinshaw (2004)</w:t>
      </w:r>
      <w:r w:rsidRPr="00772391">
        <w:rPr>
          <w:rStyle w:val="fontstyle01"/>
          <w:rFonts w:ascii="Times New Roman" w:eastAsiaTheme="majorEastAsia" w:hAnsi="Times New Roman"/>
          <w:color w:val="000000" w:themeColor="text1"/>
          <w:sz w:val="24"/>
          <w:szCs w:val="24"/>
        </w:rPr>
        <w:fldChar w:fldCharType="end"/>
      </w:r>
      <w:r w:rsidRPr="00772391">
        <w:rPr>
          <w:rStyle w:val="fontstyle01"/>
          <w:rFonts w:ascii="Times New Roman" w:eastAsiaTheme="majorEastAsia" w:hAnsi="Times New Roman"/>
          <w:color w:val="000000" w:themeColor="text1"/>
          <w:sz w:val="24"/>
          <w:szCs w:val="24"/>
        </w:rPr>
        <w:t xml:space="preserve"> classify discipline and stretch as </w:t>
      </w:r>
      <w:r w:rsidRPr="00772391">
        <w:rPr>
          <w:rStyle w:val="fontstyle01"/>
          <w:rFonts w:ascii="Times New Roman" w:eastAsiaTheme="majorEastAsia" w:hAnsi="Times New Roman"/>
          <w:i/>
          <w:color w:val="000000" w:themeColor="text1"/>
          <w:sz w:val="24"/>
          <w:szCs w:val="24"/>
        </w:rPr>
        <w:t>performance management context</w:t>
      </w:r>
      <w:r w:rsidRPr="00772391">
        <w:rPr>
          <w:rStyle w:val="fontstyle01"/>
          <w:rFonts w:ascii="Times New Roman" w:eastAsiaTheme="majorEastAsia" w:hAnsi="Times New Roman"/>
          <w:iCs/>
          <w:color w:val="000000" w:themeColor="text1"/>
          <w:sz w:val="24"/>
          <w:szCs w:val="24"/>
        </w:rPr>
        <w:t>,</w:t>
      </w:r>
      <w:r w:rsidRPr="00772391">
        <w:rPr>
          <w:rStyle w:val="fontstyle01"/>
          <w:rFonts w:ascii="Times New Roman" w:eastAsiaTheme="majorEastAsia" w:hAnsi="Times New Roman"/>
          <w:i/>
          <w:color w:val="000000" w:themeColor="text1"/>
          <w:sz w:val="24"/>
          <w:szCs w:val="24"/>
        </w:rPr>
        <w:t xml:space="preserve"> </w:t>
      </w:r>
      <w:r w:rsidRPr="00772391">
        <w:rPr>
          <w:rStyle w:val="fontstyle01"/>
          <w:rFonts w:ascii="Times New Roman" w:eastAsiaTheme="majorEastAsia" w:hAnsi="Times New Roman"/>
          <w:color w:val="000000" w:themeColor="text1"/>
          <w:sz w:val="24"/>
          <w:szCs w:val="24"/>
        </w:rPr>
        <w:t xml:space="preserve">measuring the degree to which organizational context – through management systems in supply chain function – sets challenging performance targets, issues creative challenges, focuses people toward task orientation and stretches its members to achieve higher </w:t>
      </w:r>
      <w:r w:rsidRPr="00772391">
        <w:rPr>
          <w:rStyle w:val="fontstyle01"/>
          <w:rFonts w:ascii="Times New Roman" w:eastAsiaTheme="majorEastAsia" w:hAnsi="Times New Roman"/>
          <w:color w:val="000000" w:themeColor="text1"/>
          <w:sz w:val="24"/>
          <w:szCs w:val="24"/>
        </w:rPr>
        <w:lastRenderedPageBreak/>
        <w:t xml:space="preserve">performance. Support and trust are classified as </w:t>
      </w:r>
      <w:r w:rsidRPr="00772391">
        <w:rPr>
          <w:rStyle w:val="fontstyle01"/>
          <w:rFonts w:ascii="Times New Roman" w:eastAsiaTheme="majorEastAsia" w:hAnsi="Times New Roman"/>
          <w:i/>
          <w:color w:val="000000" w:themeColor="text1"/>
          <w:sz w:val="24"/>
          <w:szCs w:val="24"/>
        </w:rPr>
        <w:t>social context</w:t>
      </w:r>
      <w:r w:rsidRPr="00772391">
        <w:rPr>
          <w:rStyle w:val="fontstyle01"/>
          <w:rFonts w:ascii="Times New Roman" w:eastAsiaTheme="majorEastAsia" w:hAnsi="Times New Roman"/>
          <w:iCs/>
          <w:color w:val="000000" w:themeColor="text1"/>
          <w:sz w:val="24"/>
          <w:szCs w:val="24"/>
        </w:rPr>
        <w:t>,</w:t>
      </w:r>
      <w:r w:rsidRPr="00772391">
        <w:rPr>
          <w:rStyle w:val="fontstyle01"/>
          <w:rFonts w:ascii="Times New Roman" w:eastAsiaTheme="majorEastAsia" w:hAnsi="Times New Roman"/>
          <w:i/>
          <w:color w:val="000000" w:themeColor="text1"/>
          <w:sz w:val="24"/>
          <w:szCs w:val="24"/>
        </w:rPr>
        <w:t xml:space="preserve"> </w:t>
      </w:r>
      <w:r w:rsidRPr="00772391">
        <w:rPr>
          <w:rStyle w:val="fontstyle01"/>
          <w:rFonts w:ascii="Times New Roman" w:eastAsiaTheme="majorEastAsia" w:hAnsi="Times New Roman"/>
          <w:color w:val="000000" w:themeColor="text1"/>
          <w:sz w:val="24"/>
          <w:szCs w:val="24"/>
        </w:rPr>
        <w:t>assessing how the context supports – through management systems in supply chain function – and processes by devoting considerable effort to developing subordinates of management staff, providing empowerment, giving information access and base decisions on facts, etc. These scales are adapted to represent the supply chain function of the responding firms.</w:t>
      </w:r>
    </w:p>
    <w:p w14:paraId="11F190B9" w14:textId="4276D17B" w:rsidR="007742CC" w:rsidRPr="00A93855" w:rsidRDefault="007742CC" w:rsidP="00A93855">
      <w:pPr>
        <w:pStyle w:val="ListParagraph"/>
        <w:numPr>
          <w:ilvl w:val="0"/>
          <w:numId w:val="11"/>
        </w:numPr>
        <w:tabs>
          <w:tab w:val="left" w:pos="284"/>
        </w:tabs>
        <w:spacing w:before="160" w:line="480" w:lineRule="auto"/>
        <w:ind w:left="0" w:firstLine="0"/>
        <w:jc w:val="both"/>
        <w:rPr>
          <w:rStyle w:val="fontstyle01"/>
          <w:rFonts w:ascii="Times New Roman" w:eastAsiaTheme="majorEastAsia" w:hAnsi="Times New Roman"/>
          <w:color w:val="000000" w:themeColor="text1"/>
          <w:sz w:val="24"/>
          <w:szCs w:val="24"/>
        </w:rPr>
      </w:pPr>
      <w:r w:rsidRPr="00A93855">
        <w:rPr>
          <w:rStyle w:val="fontstyle01"/>
          <w:rFonts w:ascii="Times New Roman" w:hAnsi="Times New Roman"/>
          <w:i/>
          <w:color w:val="000000" w:themeColor="text1"/>
          <w:sz w:val="24"/>
          <w:szCs w:val="24"/>
        </w:rPr>
        <w:t xml:space="preserve">Supply </w:t>
      </w:r>
      <w:r w:rsidR="001C15F7" w:rsidRPr="00A93855">
        <w:rPr>
          <w:rStyle w:val="fontstyle01"/>
          <w:rFonts w:ascii="Times New Roman" w:hAnsi="Times New Roman"/>
          <w:i/>
          <w:color w:val="000000" w:themeColor="text1"/>
          <w:sz w:val="24"/>
          <w:szCs w:val="24"/>
        </w:rPr>
        <w:t>c</w:t>
      </w:r>
      <w:r w:rsidRPr="00A93855">
        <w:rPr>
          <w:rStyle w:val="fontstyle01"/>
          <w:rFonts w:ascii="Times New Roman" w:hAnsi="Times New Roman"/>
          <w:i/>
          <w:color w:val="000000" w:themeColor="text1"/>
          <w:sz w:val="24"/>
          <w:szCs w:val="24"/>
        </w:rPr>
        <w:t xml:space="preserve">hain </w:t>
      </w:r>
      <w:r w:rsidR="001C15F7" w:rsidRPr="00A93855">
        <w:rPr>
          <w:rStyle w:val="fontstyle01"/>
          <w:rFonts w:ascii="Times New Roman" w:hAnsi="Times New Roman"/>
          <w:i/>
          <w:color w:val="000000" w:themeColor="text1"/>
          <w:sz w:val="24"/>
          <w:szCs w:val="24"/>
        </w:rPr>
        <w:t>a</w:t>
      </w:r>
      <w:r w:rsidRPr="00A93855">
        <w:rPr>
          <w:rStyle w:val="fontstyle01"/>
          <w:rFonts w:ascii="Times New Roman" w:hAnsi="Times New Roman"/>
          <w:i/>
          <w:color w:val="000000" w:themeColor="text1"/>
          <w:sz w:val="24"/>
          <w:szCs w:val="24"/>
        </w:rPr>
        <w:t>gility</w:t>
      </w:r>
      <w:r w:rsidR="0076143E" w:rsidRPr="00A93855">
        <w:rPr>
          <w:rStyle w:val="fontstyle01"/>
          <w:rFonts w:ascii="Times New Roman" w:hAnsi="Times New Roman"/>
          <w:i/>
          <w:color w:val="000000" w:themeColor="text1"/>
          <w:sz w:val="24"/>
          <w:szCs w:val="24"/>
        </w:rPr>
        <w:t xml:space="preserve">: </w:t>
      </w:r>
      <w:r w:rsidRPr="00A93855">
        <w:rPr>
          <w:rStyle w:val="fontstyle01"/>
          <w:rFonts w:ascii="Times New Roman" w:eastAsiaTheme="majorEastAsia" w:hAnsi="Times New Roman"/>
          <w:color w:val="000000" w:themeColor="text1"/>
          <w:sz w:val="24"/>
          <w:szCs w:val="24"/>
        </w:rPr>
        <w:t xml:space="preserve">We adapt the scale for SCA from </w:t>
      </w:r>
      <w:r w:rsidRPr="00A93855">
        <w:rPr>
          <w:rStyle w:val="fontstyle01"/>
          <w:rFonts w:ascii="Times New Roman" w:eastAsiaTheme="majorEastAsia" w:hAnsi="Times New Roman"/>
          <w:color w:val="000000" w:themeColor="text1"/>
          <w:sz w:val="24"/>
          <w:szCs w:val="24"/>
        </w:rPr>
        <w:fldChar w:fldCharType="begin"/>
      </w:r>
      <w:r w:rsidRPr="00A93855">
        <w:rPr>
          <w:rStyle w:val="fontstyle01"/>
          <w:rFonts w:ascii="Times New Roman" w:eastAsiaTheme="majorEastAsia" w:hAnsi="Times New Roman"/>
          <w:color w:val="000000" w:themeColor="text1"/>
          <w:sz w:val="24"/>
          <w:szCs w:val="24"/>
        </w:rPr>
        <w:instrText xml:space="preserve"> ADDIN EN.CITE &lt;EndNote&gt;&lt;Cite AuthorYear="1"&gt;&lt;Author&gt;Whitten&lt;/Author&gt;&lt;Year&gt;2012&lt;/Year&gt;&lt;RecNum&gt;479&lt;/RecNum&gt;&lt;DisplayText&gt;Whitten et al. (2012)&lt;/DisplayText&gt;&lt;record&gt;&lt;rec-number&gt;479&lt;/rec-number&gt;&lt;foreign-keys&gt;&lt;key app="EN" db-id="0ewd29dz4ds0vmee9zpx5s9udxtatsf5ffpw" timestamp="0"&gt;479&lt;/key&gt;&lt;/foreign-keys&gt;&lt;ref-type name="Journal Article"&gt;17&lt;/ref-type&gt;&lt;contributors&gt;&lt;authors&gt;&lt;author&gt;Whitten, Dwayne&lt;/author&gt;&lt;author&gt;Green Jr, Kenneth W&lt;/author&gt;&lt;author&gt;Zelbst, Pamela J&lt;/author&gt;&lt;/authors&gt;&lt;/contributors&gt;&lt;titles&gt;&lt;title&gt;Triple-A supply chain performance&lt;/title&gt;&lt;secondary-title&gt;International Journal of Operations &amp;amp; Production Management&lt;/secondary-title&gt;&lt;/titles&gt;&lt;periodical&gt;&lt;full-title&gt;International Journal of Operations &amp;amp; Production Management&lt;/full-title&gt;&lt;/periodical&gt;&lt;pages&gt;28-48&lt;/pages&gt;&lt;volume&gt;32&lt;/volume&gt;&lt;number&gt;1&lt;/number&gt;&lt;dates&gt;&lt;year&gt;2012&lt;/year&gt;&lt;/dates&gt;&lt;publisher&gt;Emerald Group Publishing Limited&lt;/publisher&gt;&lt;isbn&gt;0144-3577&lt;/isbn&gt;&lt;urls&gt;&lt;/urls&gt;&lt;/record&gt;&lt;/Cite&gt;&lt;/EndNote&gt;</w:instrText>
      </w:r>
      <w:r w:rsidRPr="00A93855">
        <w:rPr>
          <w:rStyle w:val="fontstyle01"/>
          <w:rFonts w:ascii="Times New Roman" w:eastAsiaTheme="majorEastAsia" w:hAnsi="Times New Roman"/>
          <w:color w:val="000000" w:themeColor="text1"/>
          <w:sz w:val="24"/>
          <w:szCs w:val="24"/>
        </w:rPr>
        <w:fldChar w:fldCharType="separate"/>
      </w:r>
      <w:r w:rsidRPr="00A93855">
        <w:rPr>
          <w:rStyle w:val="fontstyle01"/>
          <w:rFonts w:ascii="Times New Roman" w:eastAsiaTheme="majorEastAsia" w:hAnsi="Times New Roman"/>
          <w:noProof/>
          <w:color w:val="000000" w:themeColor="text1"/>
          <w:sz w:val="24"/>
          <w:szCs w:val="24"/>
        </w:rPr>
        <w:t>Whitten et al. (2012)</w:t>
      </w:r>
      <w:r w:rsidRPr="00A93855">
        <w:rPr>
          <w:rStyle w:val="fontstyle01"/>
          <w:rFonts w:ascii="Times New Roman" w:eastAsiaTheme="majorEastAsia" w:hAnsi="Times New Roman"/>
          <w:color w:val="000000" w:themeColor="text1"/>
          <w:sz w:val="24"/>
          <w:szCs w:val="24"/>
        </w:rPr>
        <w:fldChar w:fldCharType="end"/>
      </w:r>
      <w:r w:rsidRPr="00A93855">
        <w:rPr>
          <w:rStyle w:val="fontstyle01"/>
          <w:rFonts w:ascii="Times New Roman" w:eastAsiaTheme="majorEastAsia" w:hAnsi="Times New Roman"/>
          <w:color w:val="000000" w:themeColor="text1"/>
          <w:sz w:val="24"/>
          <w:szCs w:val="24"/>
        </w:rPr>
        <w:t xml:space="preserve">’s study who base their scale on the operationalization of Lee’s triple-A supply chain concept </w:t>
      </w:r>
      <w:r w:rsidRPr="00A93855">
        <w:rPr>
          <w:rStyle w:val="fontstyle01"/>
          <w:rFonts w:ascii="Times New Roman" w:eastAsiaTheme="majorEastAsia" w:hAnsi="Times New Roman"/>
          <w:color w:val="000000" w:themeColor="text1"/>
          <w:sz w:val="24"/>
          <w:szCs w:val="24"/>
        </w:rPr>
        <w:fldChar w:fldCharType="begin"/>
      </w:r>
      <w:r w:rsidRPr="00A93855">
        <w:rPr>
          <w:rStyle w:val="fontstyle01"/>
          <w:rFonts w:ascii="Times New Roman" w:eastAsiaTheme="majorEastAsia" w:hAnsi="Times New Roman"/>
          <w:color w:val="000000" w:themeColor="text1"/>
          <w:sz w:val="24"/>
          <w:szCs w:val="24"/>
        </w:rPr>
        <w:instrText xml:space="preserve"> ADDIN EN.CITE &lt;EndNote&gt;&lt;Cite&gt;&lt;Author&gt;Lee&lt;/Author&gt;&lt;Year&gt;2004&lt;/Year&gt;&lt;RecNum&gt;1372&lt;/RecNum&gt;&lt;DisplayText&gt;(Lee, 2004)&lt;/DisplayText&gt;&lt;record&gt;&lt;rec-number&gt;1372&lt;/rec-number&gt;&lt;foreign-keys&gt;&lt;key app="EN" db-id="0ewd29dz4ds0vmee9zpx5s9udxtatsf5ffpw" timestamp="0"&gt;1372&lt;/key&gt;&lt;/foreign-keys&gt;&lt;ref-type name="Journal Article"&gt;17&lt;/ref-type&gt;&lt;contributors&gt;&lt;authors&gt;&lt;author&gt;Hau Lee &lt;/author&gt;&lt;/authors&gt;&lt;/contributors&gt;&lt;auth-address&gt;Stanford Graduate School of Business, California, USA. haulee@stanford.edu&lt;/auth-address&gt;&lt;titles&gt;&lt;title&gt;The triple-A supply chain&lt;/title&gt;&lt;secondary-title&gt;Harvard Business Review&lt;/secondary-title&gt;&lt;alt-title&gt;Harvard business review&lt;/alt-title&gt;&lt;/titles&gt;&lt;pages&gt;102-113&lt;/pages&gt;&lt;volume&gt;82&lt;/volume&gt;&lt;number&gt;10&lt;/number&gt;&lt;edition&gt;2004/11/24&lt;/edition&gt;&lt;dates&gt;&lt;year&gt;2004&lt;/year&gt;&lt;pub-dates&gt;&lt;date&gt;Oct&lt;/date&gt;&lt;/pub-dates&gt;&lt;/dates&gt;&lt;isbn&gt;0017-8012 (Print)&amp;#xD;0017-8012&lt;/isbn&gt;&lt;accession-num&gt;15559579&lt;/accession-num&gt;&lt;urls&gt;&lt;/urls&gt;&lt;remote-database-provider&gt;Nlm&lt;/remote-database-provider&gt;&lt;language&gt;eng&lt;/language&gt;&lt;/record&gt;&lt;/Cite&gt;&lt;/EndNote&gt;</w:instrText>
      </w:r>
      <w:r w:rsidRPr="00A93855">
        <w:rPr>
          <w:rStyle w:val="fontstyle01"/>
          <w:rFonts w:ascii="Times New Roman" w:eastAsiaTheme="majorEastAsia" w:hAnsi="Times New Roman"/>
          <w:color w:val="000000" w:themeColor="text1"/>
          <w:sz w:val="24"/>
          <w:szCs w:val="24"/>
        </w:rPr>
        <w:fldChar w:fldCharType="separate"/>
      </w:r>
      <w:r w:rsidRPr="00A93855">
        <w:rPr>
          <w:rStyle w:val="fontstyle01"/>
          <w:rFonts w:ascii="Times New Roman" w:eastAsiaTheme="majorEastAsia" w:hAnsi="Times New Roman"/>
          <w:noProof/>
          <w:color w:val="000000" w:themeColor="text1"/>
          <w:sz w:val="24"/>
          <w:szCs w:val="24"/>
        </w:rPr>
        <w:t>(Lee, 2004)</w:t>
      </w:r>
      <w:r w:rsidRPr="00A93855">
        <w:rPr>
          <w:rStyle w:val="fontstyle01"/>
          <w:rFonts w:ascii="Times New Roman" w:eastAsiaTheme="majorEastAsia" w:hAnsi="Times New Roman"/>
          <w:color w:val="000000" w:themeColor="text1"/>
          <w:sz w:val="24"/>
          <w:szCs w:val="24"/>
        </w:rPr>
        <w:fldChar w:fldCharType="end"/>
      </w:r>
      <w:r w:rsidRPr="00A93855">
        <w:rPr>
          <w:rStyle w:val="fontstyle01"/>
          <w:rFonts w:ascii="Times New Roman" w:eastAsiaTheme="majorEastAsia" w:hAnsi="Times New Roman"/>
          <w:color w:val="000000" w:themeColor="text1"/>
          <w:sz w:val="24"/>
          <w:szCs w:val="24"/>
        </w:rPr>
        <w:t>. The scale measures the degree to which the organization promotes information flow with suppliers and customers, develops collaborative supplier relationships, makes contingency plans, etc.</w:t>
      </w:r>
      <w:r w:rsidR="00E95ECD" w:rsidRPr="00A93855">
        <w:rPr>
          <w:rStyle w:val="fontstyle01"/>
          <w:rFonts w:ascii="Times New Roman" w:eastAsiaTheme="majorEastAsia" w:hAnsi="Times New Roman"/>
          <w:color w:val="000000" w:themeColor="text1"/>
          <w:sz w:val="24"/>
          <w:szCs w:val="24"/>
        </w:rPr>
        <w:t xml:space="preserve"> </w:t>
      </w:r>
      <w:r w:rsidR="00E95ECD" w:rsidRPr="00A93855">
        <w:rPr>
          <w:rStyle w:val="fontstyle01"/>
          <w:rFonts w:ascii="Times New Roman" w:eastAsiaTheme="majorEastAsia" w:hAnsi="Times New Roman"/>
          <w:color w:val="FF0000"/>
          <w:sz w:val="24"/>
          <w:szCs w:val="24"/>
        </w:rPr>
        <w:t xml:space="preserve">The scale has been employed in </w:t>
      </w:r>
      <w:r w:rsidR="00772391" w:rsidRPr="00A93855">
        <w:rPr>
          <w:rStyle w:val="fontstyle01"/>
          <w:rFonts w:ascii="Times New Roman" w:eastAsiaTheme="majorEastAsia" w:hAnsi="Times New Roman"/>
          <w:color w:val="FF0000"/>
          <w:sz w:val="24"/>
          <w:szCs w:val="24"/>
        </w:rPr>
        <w:t>several</w:t>
      </w:r>
      <w:r w:rsidR="00E95ECD" w:rsidRPr="00A93855">
        <w:rPr>
          <w:rStyle w:val="fontstyle01"/>
          <w:rFonts w:ascii="Times New Roman" w:eastAsiaTheme="majorEastAsia" w:hAnsi="Times New Roman"/>
          <w:color w:val="FF0000"/>
          <w:sz w:val="24"/>
          <w:szCs w:val="24"/>
        </w:rPr>
        <w:t xml:space="preserve"> </w:t>
      </w:r>
      <w:r w:rsidR="00CD7898" w:rsidRPr="00A93855">
        <w:rPr>
          <w:rStyle w:val="fontstyle01"/>
          <w:rFonts w:ascii="Times New Roman" w:eastAsiaTheme="majorEastAsia" w:hAnsi="Times New Roman"/>
          <w:color w:val="FF0000"/>
          <w:sz w:val="24"/>
          <w:szCs w:val="24"/>
        </w:rPr>
        <w:t>previous</w:t>
      </w:r>
      <w:r w:rsidR="001C382B" w:rsidRPr="00A93855">
        <w:rPr>
          <w:rStyle w:val="fontstyle01"/>
          <w:rFonts w:ascii="Times New Roman" w:eastAsiaTheme="majorEastAsia" w:hAnsi="Times New Roman"/>
          <w:color w:val="FF0000"/>
          <w:sz w:val="24"/>
          <w:szCs w:val="24"/>
        </w:rPr>
        <w:t xml:space="preserve"> studies includ</w:t>
      </w:r>
      <w:r w:rsidR="00CD7898" w:rsidRPr="00A93855">
        <w:rPr>
          <w:rStyle w:val="fontstyle01"/>
          <w:rFonts w:ascii="Times New Roman" w:eastAsiaTheme="majorEastAsia" w:hAnsi="Times New Roman"/>
          <w:color w:val="FF0000"/>
          <w:sz w:val="24"/>
          <w:szCs w:val="24"/>
        </w:rPr>
        <w:t>ing</w:t>
      </w:r>
      <w:r w:rsidR="001C382B" w:rsidRPr="00A93855">
        <w:rPr>
          <w:rStyle w:val="fontstyle01"/>
          <w:rFonts w:ascii="Times New Roman" w:eastAsiaTheme="majorEastAsia" w:hAnsi="Times New Roman"/>
          <w:color w:val="FF0000"/>
          <w:sz w:val="24"/>
          <w:szCs w:val="24"/>
        </w:rPr>
        <w:t xml:space="preserve"> Dubey et al. (2018), Aslam et al. (2020), and Fosso Wamba and Akter (2019). </w:t>
      </w:r>
      <w:r w:rsidR="004D079E" w:rsidRPr="00A93855">
        <w:rPr>
          <w:rStyle w:val="fontstyle01"/>
          <w:rFonts w:ascii="Times New Roman" w:eastAsiaTheme="majorEastAsia" w:hAnsi="Times New Roman"/>
          <w:color w:val="FF0000"/>
          <w:sz w:val="24"/>
          <w:szCs w:val="24"/>
        </w:rPr>
        <w:t>The scale</w:t>
      </w:r>
      <w:r w:rsidR="001C382B" w:rsidRPr="00A93855">
        <w:rPr>
          <w:rStyle w:val="fontstyle01"/>
          <w:rFonts w:ascii="Times New Roman" w:eastAsiaTheme="majorEastAsia" w:hAnsi="Times New Roman"/>
          <w:color w:val="FF0000"/>
          <w:sz w:val="24"/>
          <w:szCs w:val="24"/>
        </w:rPr>
        <w:t xml:space="preserve"> capture</w:t>
      </w:r>
      <w:r w:rsidR="004D079E" w:rsidRPr="00A93855">
        <w:rPr>
          <w:rStyle w:val="fontstyle01"/>
          <w:rFonts w:ascii="Times New Roman" w:eastAsiaTheme="majorEastAsia" w:hAnsi="Times New Roman"/>
          <w:color w:val="FF0000"/>
          <w:sz w:val="24"/>
          <w:szCs w:val="24"/>
        </w:rPr>
        <w:t>s</w:t>
      </w:r>
      <w:r w:rsidR="001C382B" w:rsidRPr="00A93855">
        <w:rPr>
          <w:rStyle w:val="fontstyle01"/>
          <w:rFonts w:ascii="Times New Roman" w:eastAsiaTheme="majorEastAsia" w:hAnsi="Times New Roman"/>
          <w:color w:val="FF0000"/>
          <w:sz w:val="24"/>
          <w:szCs w:val="24"/>
        </w:rPr>
        <w:t xml:space="preserve"> the ability to respond to disruptions and </w:t>
      </w:r>
      <w:r w:rsidR="004D079E" w:rsidRPr="00A93855">
        <w:rPr>
          <w:rStyle w:val="fontstyle01"/>
          <w:rFonts w:ascii="Times New Roman" w:eastAsiaTheme="majorEastAsia" w:hAnsi="Times New Roman"/>
          <w:color w:val="FF0000"/>
          <w:sz w:val="24"/>
          <w:szCs w:val="24"/>
        </w:rPr>
        <w:t xml:space="preserve">provide </w:t>
      </w:r>
      <w:r w:rsidR="001C382B" w:rsidRPr="00A93855">
        <w:rPr>
          <w:rStyle w:val="fontstyle01"/>
          <w:rFonts w:ascii="Times New Roman" w:eastAsiaTheme="majorEastAsia" w:hAnsi="Times New Roman"/>
          <w:color w:val="FF0000"/>
          <w:sz w:val="24"/>
          <w:szCs w:val="24"/>
        </w:rPr>
        <w:t>shorter response times</w:t>
      </w:r>
      <w:r w:rsidR="004D079E" w:rsidRPr="00A93855">
        <w:rPr>
          <w:rStyle w:val="fontstyle01"/>
          <w:rFonts w:ascii="Times New Roman" w:eastAsiaTheme="majorEastAsia" w:hAnsi="Times New Roman"/>
          <w:color w:val="FF0000"/>
          <w:sz w:val="24"/>
          <w:szCs w:val="24"/>
        </w:rPr>
        <w:t xml:space="preserve"> through the </w:t>
      </w:r>
      <w:r w:rsidR="001C382B" w:rsidRPr="00A93855">
        <w:rPr>
          <w:rStyle w:val="fontstyle01"/>
          <w:rFonts w:ascii="Times New Roman" w:eastAsiaTheme="majorEastAsia" w:hAnsi="Times New Roman"/>
          <w:color w:val="FF0000"/>
          <w:sz w:val="24"/>
          <w:szCs w:val="24"/>
        </w:rPr>
        <w:t>“swift information sharing”</w:t>
      </w:r>
      <w:r w:rsidR="004D079E" w:rsidRPr="00A93855">
        <w:rPr>
          <w:rStyle w:val="fontstyle01"/>
          <w:rFonts w:ascii="Times New Roman" w:eastAsiaTheme="majorEastAsia" w:hAnsi="Times New Roman"/>
          <w:color w:val="FF0000"/>
          <w:sz w:val="24"/>
          <w:szCs w:val="24"/>
        </w:rPr>
        <w:t xml:space="preserve"> between the </w:t>
      </w:r>
      <w:r w:rsidR="00733A89" w:rsidRPr="00A93855">
        <w:rPr>
          <w:rStyle w:val="fontstyle01"/>
          <w:rFonts w:ascii="Times New Roman" w:eastAsiaTheme="majorEastAsia" w:hAnsi="Times New Roman"/>
          <w:color w:val="FF0000"/>
          <w:sz w:val="24"/>
          <w:szCs w:val="24"/>
        </w:rPr>
        <w:t>supply chain partners</w:t>
      </w:r>
      <w:r w:rsidR="009B6E3D" w:rsidRPr="00A93855">
        <w:rPr>
          <w:rStyle w:val="fontstyle01"/>
          <w:rFonts w:ascii="Times New Roman" w:eastAsiaTheme="majorEastAsia" w:hAnsi="Times New Roman"/>
          <w:color w:val="FF0000"/>
          <w:sz w:val="24"/>
          <w:szCs w:val="24"/>
        </w:rPr>
        <w:t xml:space="preserve">, </w:t>
      </w:r>
      <w:r w:rsidR="00485B1C" w:rsidRPr="00A93855">
        <w:rPr>
          <w:rStyle w:val="fontstyle01"/>
          <w:rFonts w:ascii="Times New Roman" w:eastAsiaTheme="majorEastAsia" w:hAnsi="Times New Roman"/>
          <w:color w:val="FF0000"/>
          <w:sz w:val="24"/>
          <w:szCs w:val="24"/>
        </w:rPr>
        <w:t>building contingency plans and forming crises management teams,</w:t>
      </w:r>
      <w:r w:rsidR="001C382B" w:rsidRPr="00A93855">
        <w:rPr>
          <w:rStyle w:val="fontstyle01"/>
          <w:rFonts w:ascii="Times New Roman" w:eastAsiaTheme="majorEastAsia" w:hAnsi="Times New Roman"/>
          <w:color w:val="FF0000"/>
          <w:sz w:val="24"/>
          <w:szCs w:val="24"/>
        </w:rPr>
        <w:t xml:space="preserve"> and collaborative relationships with suppliers </w:t>
      </w:r>
      <w:r w:rsidR="00733A89" w:rsidRPr="00A93855">
        <w:rPr>
          <w:rStyle w:val="fontstyle01"/>
          <w:rFonts w:ascii="Times New Roman" w:eastAsiaTheme="majorEastAsia" w:hAnsi="Times New Roman"/>
          <w:color w:val="FF0000"/>
          <w:sz w:val="24"/>
          <w:szCs w:val="24"/>
        </w:rPr>
        <w:t xml:space="preserve">that lead to </w:t>
      </w:r>
      <w:r w:rsidR="009B6E3D" w:rsidRPr="00A93855">
        <w:rPr>
          <w:rStyle w:val="fontstyle01"/>
          <w:rFonts w:ascii="Times New Roman" w:eastAsiaTheme="majorEastAsia" w:hAnsi="Times New Roman"/>
          <w:color w:val="FF0000"/>
          <w:sz w:val="24"/>
          <w:szCs w:val="24"/>
        </w:rPr>
        <w:t>quick</w:t>
      </w:r>
      <w:r w:rsidR="00733A89" w:rsidRPr="00A93855">
        <w:rPr>
          <w:rStyle w:val="fontstyle01"/>
          <w:rFonts w:ascii="Times New Roman" w:eastAsiaTheme="majorEastAsia" w:hAnsi="Times New Roman"/>
          <w:color w:val="FF0000"/>
          <w:sz w:val="24"/>
          <w:szCs w:val="24"/>
        </w:rPr>
        <w:t xml:space="preserve"> response from the upstream partners</w:t>
      </w:r>
      <w:r w:rsidR="001C382B" w:rsidRPr="00A93855">
        <w:rPr>
          <w:rStyle w:val="fontstyle01"/>
          <w:rFonts w:ascii="Times New Roman" w:eastAsiaTheme="majorEastAsia" w:hAnsi="Times New Roman"/>
          <w:color w:val="FF0000"/>
          <w:sz w:val="24"/>
          <w:szCs w:val="24"/>
        </w:rPr>
        <w:t xml:space="preserve"> (Lee, 2004; Whitten et al., 2012).</w:t>
      </w:r>
    </w:p>
    <w:p w14:paraId="59CF351A" w14:textId="7333DCD5" w:rsidR="007742CC" w:rsidRPr="00DA3FE1" w:rsidRDefault="007742CC" w:rsidP="00DA3FE1">
      <w:pPr>
        <w:pStyle w:val="ListParagraph"/>
        <w:numPr>
          <w:ilvl w:val="0"/>
          <w:numId w:val="11"/>
        </w:numPr>
        <w:tabs>
          <w:tab w:val="left" w:pos="284"/>
        </w:tabs>
        <w:spacing w:before="160" w:line="480" w:lineRule="auto"/>
        <w:ind w:left="0" w:firstLine="0"/>
        <w:jc w:val="both"/>
        <w:rPr>
          <w:rStyle w:val="fontstyle01"/>
          <w:rFonts w:ascii="Times New Roman" w:eastAsiaTheme="majorEastAsia" w:hAnsi="Times New Roman" w:cs="Times New Roman"/>
          <w:color w:val="FF0000"/>
          <w:sz w:val="24"/>
          <w:szCs w:val="24"/>
        </w:rPr>
      </w:pPr>
      <w:r w:rsidRPr="00C0664B">
        <w:rPr>
          <w:rStyle w:val="fontstyle01"/>
          <w:rFonts w:ascii="Times New Roman" w:hAnsi="Times New Roman"/>
          <w:i/>
          <w:color w:val="000000" w:themeColor="text1"/>
          <w:sz w:val="24"/>
          <w:szCs w:val="24"/>
        </w:rPr>
        <w:t xml:space="preserve">Organizational </w:t>
      </w:r>
      <w:r w:rsidR="001C15F7" w:rsidRPr="00C0664B">
        <w:rPr>
          <w:rStyle w:val="fontstyle01"/>
          <w:rFonts w:ascii="Times New Roman" w:hAnsi="Times New Roman"/>
          <w:i/>
          <w:color w:val="000000" w:themeColor="text1"/>
          <w:sz w:val="24"/>
          <w:szCs w:val="24"/>
        </w:rPr>
        <w:t>c</w:t>
      </w:r>
      <w:r w:rsidRPr="00C0664B">
        <w:rPr>
          <w:rStyle w:val="fontstyle01"/>
          <w:rFonts w:ascii="Times New Roman" w:hAnsi="Times New Roman"/>
          <w:i/>
          <w:color w:val="000000" w:themeColor="text1"/>
          <w:sz w:val="24"/>
          <w:szCs w:val="24"/>
        </w:rPr>
        <w:t>omplementarity</w:t>
      </w:r>
      <w:r w:rsidR="00C0664B" w:rsidRPr="00C0664B">
        <w:rPr>
          <w:rStyle w:val="fontstyle01"/>
          <w:rFonts w:ascii="Times New Roman" w:hAnsi="Times New Roman"/>
          <w:i/>
          <w:color w:val="000000" w:themeColor="text1"/>
          <w:sz w:val="24"/>
          <w:szCs w:val="24"/>
        </w:rPr>
        <w:t xml:space="preserve">: </w:t>
      </w:r>
      <w:r w:rsidRPr="00C0664B">
        <w:rPr>
          <w:rStyle w:val="fontstyle01"/>
          <w:rFonts w:ascii="Times New Roman" w:eastAsiaTheme="majorEastAsia" w:hAnsi="Times New Roman"/>
          <w:color w:val="000000" w:themeColor="text1"/>
          <w:sz w:val="24"/>
          <w:szCs w:val="24"/>
        </w:rPr>
        <w:t>The organizational complementarity scale measures the degree to which the resources brought to the relationship by the supply chain partners are valuable and significant in getting the job done. For this purpose, respondents were requested to consider their major supplier in terms of purchase volume and value. It measures the degree to which the combined abilities of the firm and its major supplier enable them to achieve goals that are out of reach for the individual firm</w:t>
      </w:r>
      <w:r w:rsidRPr="00A87BD0">
        <w:rPr>
          <w:rStyle w:val="fontstyle01"/>
          <w:rFonts w:ascii="Times New Roman" w:eastAsiaTheme="majorEastAsia" w:hAnsi="Times New Roman" w:cs="Times New Roman"/>
          <w:color w:val="000000" w:themeColor="text1"/>
          <w:sz w:val="24"/>
          <w:szCs w:val="24"/>
        </w:rPr>
        <w:t xml:space="preserve"> (</w:t>
      </w:r>
      <w:r w:rsidRPr="00A87BD0">
        <w:rPr>
          <w:rFonts w:ascii="Times New Roman" w:hAnsi="Times New Roman" w:cs="Times New Roman"/>
          <w:color w:val="000000" w:themeColor="text1"/>
          <w:sz w:val="24"/>
          <w:szCs w:val="24"/>
        </w:rPr>
        <w:fldChar w:fldCharType="begin"/>
      </w:r>
      <w:r w:rsidRPr="00A87BD0">
        <w:rPr>
          <w:rFonts w:ascii="Times New Roman" w:hAnsi="Times New Roman" w:cs="Times New Roman"/>
          <w:color w:val="000000" w:themeColor="text1"/>
          <w:sz w:val="24"/>
          <w:szCs w:val="24"/>
        </w:rPr>
        <w:instrText xml:space="preserve"> ADDIN EN.CITE &lt;EndNote&gt;&lt;Cite AuthorYear="1"&gt;&lt;Author&gt;Cheung&lt;/Author&gt;&lt;Year&gt;2010&lt;/Year&gt;&lt;RecNum&gt;1563&lt;/RecNum&gt;&lt;DisplayText&gt;Cheung et al. (2010)&lt;/DisplayText&gt;&lt;record&gt;&lt;rec-number&gt;1563&lt;/rec-number&gt;&lt;foreign-keys&gt;&lt;key app="EN" db-id="0ewd29dz4ds0vmee9zpx5s9udxtatsf5ffpw" timestamp="0"&gt;1563&lt;/key&gt;&lt;/foreign-keys&gt;&lt;ref-type name="Journal Article"&gt;17&lt;/ref-type&gt;&lt;contributors&gt;&lt;authors&gt;&lt;author&gt;Cheung, Mee-Shew&lt;/author&gt;&lt;author&gt;Myers, Matthew B&lt;/author&gt;&lt;author&gt;Mentzer, John T&lt;/author&gt;&lt;/authors&gt;&lt;/contributors&gt;&lt;titles&gt;&lt;title&gt;Does relationship learning lead to relationship value? A cross-national supply chain investigation&lt;/title&gt;&lt;secondary-title&gt;Journal of Operations Management&lt;/secondary-title&gt;&lt;/titles&gt;&lt;periodical&gt;&lt;full-title&gt;Journal of Operations Management&lt;/full-title&gt;&lt;/periodical&gt;&lt;pages&gt;472-487&lt;/pages&gt;&lt;volume&gt;28&lt;/volume&gt;&lt;number&gt;6&lt;/number&gt;&lt;dates&gt;&lt;year&gt;2010&lt;/year&gt;&lt;/dates&gt;&lt;isbn&gt;0272-6963&lt;/isbn&gt;&lt;urls&gt;&lt;/urls&gt;&lt;/record&gt;&lt;/Cite&gt;&lt;/EndNote&gt;</w:instrText>
      </w:r>
      <w:r w:rsidRPr="00A87BD0">
        <w:rPr>
          <w:rFonts w:ascii="Times New Roman" w:hAnsi="Times New Roman" w:cs="Times New Roman"/>
          <w:color w:val="000000" w:themeColor="text1"/>
          <w:sz w:val="24"/>
          <w:szCs w:val="24"/>
        </w:rPr>
        <w:fldChar w:fldCharType="separate"/>
      </w:r>
      <w:r w:rsidRPr="00A87BD0">
        <w:rPr>
          <w:rFonts w:ascii="Times New Roman" w:hAnsi="Times New Roman" w:cs="Times New Roman"/>
          <w:noProof/>
          <w:color w:val="000000" w:themeColor="text1"/>
          <w:sz w:val="24"/>
          <w:szCs w:val="24"/>
        </w:rPr>
        <w:t>Cheung et al. (2010)</w:t>
      </w:r>
      <w:r w:rsidRPr="00A87BD0">
        <w:rPr>
          <w:rFonts w:ascii="Times New Roman" w:hAnsi="Times New Roman" w:cs="Times New Roman"/>
          <w:color w:val="000000" w:themeColor="text1"/>
          <w:sz w:val="24"/>
          <w:szCs w:val="24"/>
        </w:rPr>
        <w:fldChar w:fldCharType="end"/>
      </w:r>
      <w:r w:rsidRPr="00A87BD0">
        <w:rPr>
          <w:rStyle w:val="fontstyle01"/>
          <w:rFonts w:ascii="Times New Roman" w:eastAsiaTheme="majorEastAsia" w:hAnsi="Times New Roman" w:cs="Times New Roman"/>
          <w:color w:val="000000" w:themeColor="text1"/>
          <w:sz w:val="24"/>
          <w:szCs w:val="24"/>
        </w:rPr>
        <w:t>.</w:t>
      </w:r>
      <w:r w:rsidR="00895535" w:rsidRPr="00A87BD0">
        <w:rPr>
          <w:rStyle w:val="fontstyle01"/>
          <w:rFonts w:ascii="Times New Roman" w:eastAsiaTheme="majorEastAsia" w:hAnsi="Times New Roman" w:cs="Times New Roman"/>
          <w:color w:val="000000" w:themeColor="text1"/>
          <w:sz w:val="24"/>
          <w:szCs w:val="24"/>
        </w:rPr>
        <w:t xml:space="preserve"> </w:t>
      </w:r>
      <w:r w:rsidR="008A1B28" w:rsidRPr="00A87BD0">
        <w:rPr>
          <w:rStyle w:val="fontstyle01"/>
          <w:rFonts w:ascii="Times New Roman" w:eastAsiaTheme="majorEastAsia" w:hAnsi="Times New Roman" w:cs="Times New Roman"/>
          <w:color w:val="FF0000"/>
          <w:sz w:val="24"/>
          <w:szCs w:val="24"/>
        </w:rPr>
        <w:t>This scale is in line with the previous studies measuring the resource comp</w:t>
      </w:r>
      <w:r w:rsidR="008A1B28" w:rsidRPr="00DA3FE1">
        <w:rPr>
          <w:rStyle w:val="fontstyle01"/>
          <w:rFonts w:ascii="Times New Roman" w:eastAsiaTheme="majorEastAsia" w:hAnsi="Times New Roman" w:cs="Times New Roman"/>
          <w:color w:val="FF0000"/>
          <w:sz w:val="24"/>
          <w:szCs w:val="24"/>
        </w:rPr>
        <w:t>lementarity between the alliance partners</w:t>
      </w:r>
      <w:r w:rsidR="00297F9B" w:rsidRPr="00DA3FE1">
        <w:rPr>
          <w:rStyle w:val="fontstyle01"/>
          <w:rFonts w:ascii="Times New Roman" w:eastAsiaTheme="majorEastAsia" w:hAnsi="Times New Roman" w:cs="Times New Roman"/>
          <w:color w:val="FF0000"/>
          <w:sz w:val="24"/>
          <w:szCs w:val="24"/>
        </w:rPr>
        <w:t xml:space="preserve"> </w:t>
      </w:r>
      <w:r w:rsidR="00297F9B" w:rsidRPr="00DA3FE1">
        <w:rPr>
          <w:rStyle w:val="fontstyle01"/>
          <w:rFonts w:ascii="Times New Roman" w:eastAsiaTheme="majorEastAsia" w:hAnsi="Times New Roman" w:cs="Times New Roman"/>
          <w:color w:val="FF0000"/>
          <w:sz w:val="24"/>
          <w:szCs w:val="24"/>
        </w:rPr>
        <w:fldChar w:fldCharType="begin"/>
      </w:r>
      <w:r w:rsidR="00F66EDA" w:rsidRPr="00DA3FE1">
        <w:rPr>
          <w:rStyle w:val="fontstyle01"/>
          <w:rFonts w:ascii="Times New Roman" w:eastAsiaTheme="majorEastAsia" w:hAnsi="Times New Roman" w:cs="Times New Roman"/>
          <w:color w:val="FF0000"/>
          <w:sz w:val="24"/>
          <w:szCs w:val="24"/>
        </w:rPr>
        <w:instrText xml:space="preserve"> ADDIN EN.CITE &lt;EndNote&gt;&lt;Cite&gt;&lt;Author&gt;Sarkar&lt;/Author&gt;&lt;Year&gt;2001&lt;/Year&gt;&lt;RecNum&gt;1783&lt;/RecNum&gt;&lt;Prefix&gt;e.g.`, &lt;/Prefix&gt;&lt;DisplayText&gt;(e.g., Sarkar et al., 2001)&lt;/DisplayText&gt;&lt;record&gt;&lt;rec-number&gt;1783&lt;/rec-number&gt;&lt;foreign-keys&gt;&lt;key app="EN" db-id="0ewd29dz4ds0vmee9zpx5s9udxtatsf5ffpw" timestamp="1699611757"&gt;1783&lt;/key&gt;&lt;/foreign-keys&gt;&lt;ref-type name="Journal Article"&gt;17&lt;/ref-type&gt;&lt;contributors&gt;&lt;authors&gt;&lt;author&gt;Sarkar, Mitrabarun B&lt;/author&gt;&lt;author&gt;Echambadi, Raj&lt;/author&gt;&lt;author&gt;Cavusgil, S Tamer&lt;/author&gt;&lt;author&gt;Aulakh, Preet S  &lt;/author&gt;&lt;/authors&gt;&lt;/contributors&gt;&lt;titles&gt;&lt;title&gt;The influence of complementarity, compatibility, and relationship capital on alliance performance&lt;/title&gt;&lt;secondary-title&gt;Journal of the Academy of Marketing Science&lt;/secondary-title&gt;&lt;/titles&gt;&lt;periodical&gt;&lt;full-title&gt;Journal of the Academy of Marketing Science&lt;/full-title&gt;&lt;/periodical&gt;&lt;pages&gt;358-373&lt;/pages&gt;&lt;volume&gt;29&lt;/volume&gt;&lt;number&gt;4&lt;/number&gt;&lt;dates&gt;&lt;year&gt;2001&lt;/year&gt;&lt;/dates&gt;&lt;isbn&gt;0092-0703&lt;/isbn&gt;&lt;urls&gt;&lt;/urls&gt;&lt;/record&gt;&lt;/Cite&gt;&lt;/EndNote&gt;</w:instrText>
      </w:r>
      <w:r w:rsidR="00297F9B" w:rsidRPr="00DA3FE1">
        <w:rPr>
          <w:rStyle w:val="fontstyle01"/>
          <w:rFonts w:ascii="Times New Roman" w:eastAsiaTheme="majorEastAsia" w:hAnsi="Times New Roman" w:cs="Times New Roman"/>
          <w:color w:val="FF0000"/>
          <w:sz w:val="24"/>
          <w:szCs w:val="24"/>
        </w:rPr>
        <w:fldChar w:fldCharType="separate"/>
      </w:r>
      <w:r w:rsidR="00F66EDA" w:rsidRPr="00DA3FE1">
        <w:rPr>
          <w:rStyle w:val="fontstyle01"/>
          <w:rFonts w:ascii="Times New Roman" w:eastAsiaTheme="majorEastAsia" w:hAnsi="Times New Roman" w:cs="Times New Roman"/>
          <w:noProof/>
          <w:color w:val="FF0000"/>
          <w:sz w:val="24"/>
          <w:szCs w:val="24"/>
        </w:rPr>
        <w:t>(e.g., Sarkar et al., 2001)</w:t>
      </w:r>
      <w:r w:rsidR="00297F9B" w:rsidRPr="00DA3FE1">
        <w:rPr>
          <w:rStyle w:val="fontstyle01"/>
          <w:rFonts w:ascii="Times New Roman" w:eastAsiaTheme="majorEastAsia" w:hAnsi="Times New Roman" w:cs="Times New Roman"/>
          <w:color w:val="FF0000"/>
          <w:sz w:val="24"/>
          <w:szCs w:val="24"/>
        </w:rPr>
        <w:fldChar w:fldCharType="end"/>
      </w:r>
      <w:r w:rsidR="008A1B28" w:rsidRPr="00DA3FE1">
        <w:rPr>
          <w:rStyle w:val="fontstyle01"/>
          <w:rFonts w:ascii="Times New Roman" w:eastAsiaTheme="majorEastAsia" w:hAnsi="Times New Roman" w:cs="Times New Roman"/>
          <w:color w:val="FF0000"/>
          <w:sz w:val="24"/>
          <w:szCs w:val="24"/>
        </w:rPr>
        <w:t>.</w:t>
      </w:r>
    </w:p>
    <w:p w14:paraId="78FC1849" w14:textId="1413DC00" w:rsidR="007742CC" w:rsidRPr="00DA3FE1" w:rsidRDefault="007742CC" w:rsidP="00566560">
      <w:pPr>
        <w:pStyle w:val="ListParagraph"/>
        <w:numPr>
          <w:ilvl w:val="0"/>
          <w:numId w:val="11"/>
        </w:numPr>
        <w:tabs>
          <w:tab w:val="left" w:pos="284"/>
          <w:tab w:val="left" w:pos="567"/>
        </w:tabs>
        <w:spacing w:before="160" w:after="120" w:line="480" w:lineRule="auto"/>
        <w:ind w:left="0" w:firstLine="0"/>
        <w:jc w:val="both"/>
        <w:rPr>
          <w:color w:val="000000" w:themeColor="text1"/>
        </w:rPr>
      </w:pPr>
      <w:r w:rsidRPr="00DA3FE1">
        <w:rPr>
          <w:rStyle w:val="fontstyle01"/>
          <w:rFonts w:ascii="Times New Roman" w:hAnsi="Times New Roman" w:cs="Times New Roman"/>
          <w:i/>
          <w:color w:val="000000" w:themeColor="text1"/>
          <w:sz w:val="24"/>
          <w:szCs w:val="24"/>
        </w:rPr>
        <w:lastRenderedPageBreak/>
        <w:t xml:space="preserve">Innovation </w:t>
      </w:r>
      <w:r w:rsidR="004357C5" w:rsidRPr="00DA3FE1">
        <w:rPr>
          <w:rStyle w:val="fontstyle01"/>
          <w:rFonts w:ascii="Times New Roman" w:hAnsi="Times New Roman" w:cs="Times New Roman"/>
          <w:i/>
          <w:color w:val="000000" w:themeColor="text1"/>
          <w:sz w:val="24"/>
          <w:szCs w:val="24"/>
        </w:rPr>
        <w:t>p</w:t>
      </w:r>
      <w:r w:rsidRPr="00DA3FE1">
        <w:rPr>
          <w:rStyle w:val="fontstyle01"/>
          <w:rFonts w:ascii="Times New Roman" w:hAnsi="Times New Roman" w:cs="Times New Roman"/>
          <w:i/>
          <w:color w:val="000000" w:themeColor="text1"/>
          <w:sz w:val="24"/>
          <w:szCs w:val="24"/>
        </w:rPr>
        <w:t>erformance</w:t>
      </w:r>
      <w:r w:rsidR="00DA3FE1" w:rsidRPr="00DA3FE1">
        <w:rPr>
          <w:rStyle w:val="fontstyle01"/>
          <w:rFonts w:ascii="Times New Roman" w:hAnsi="Times New Roman" w:cs="Times New Roman"/>
          <w:i/>
          <w:color w:val="000000" w:themeColor="text1"/>
          <w:sz w:val="24"/>
          <w:szCs w:val="24"/>
        </w:rPr>
        <w:t xml:space="preserve">: </w:t>
      </w:r>
      <w:r w:rsidRPr="00DA3FE1">
        <w:rPr>
          <w:rStyle w:val="fontstyle01"/>
          <w:rFonts w:ascii="Times New Roman" w:eastAsiaTheme="majorEastAsia" w:hAnsi="Times New Roman" w:cs="Times New Roman"/>
          <w:color w:val="000000" w:themeColor="text1"/>
          <w:sz w:val="24"/>
          <w:szCs w:val="24"/>
        </w:rPr>
        <w:t>Innovation performance measures the degree</w:t>
      </w:r>
      <w:r w:rsidRPr="00DA3FE1">
        <w:rPr>
          <w:rStyle w:val="fontstyle01"/>
          <w:rFonts w:ascii="Times New Roman" w:eastAsiaTheme="majorEastAsia" w:hAnsi="Times New Roman"/>
          <w:color w:val="000000" w:themeColor="text1"/>
          <w:sz w:val="24"/>
          <w:szCs w:val="24"/>
        </w:rPr>
        <w:t xml:space="preserve"> to which, compared to its competitors, focal firms: better and more effectively develop new products, introduced innovations and increased revenues from these innovations in the last three years, and quic</w:t>
      </w:r>
      <w:r w:rsidRPr="00566560">
        <w:rPr>
          <w:rStyle w:val="fontstyle01"/>
          <w:rFonts w:ascii="Times New Roman" w:eastAsiaTheme="majorEastAsia" w:hAnsi="Times New Roman" w:cs="Times New Roman"/>
          <w:color w:val="000000" w:themeColor="text1"/>
          <w:sz w:val="24"/>
          <w:szCs w:val="24"/>
        </w:rPr>
        <w:t xml:space="preserve">kly converted the concept of innovation into market place introduction </w:t>
      </w:r>
      <w:r w:rsidRPr="00566560">
        <w:rPr>
          <w:rFonts w:ascii="Times New Roman" w:hAnsi="Times New Roman" w:cs="Times New Roman"/>
          <w:color w:val="000000" w:themeColor="text1"/>
          <w:sz w:val="24"/>
          <w:szCs w:val="24"/>
        </w:rPr>
        <w:fldChar w:fldCharType="begin"/>
      </w:r>
      <w:r w:rsidRPr="00566560">
        <w:rPr>
          <w:rFonts w:ascii="Times New Roman" w:hAnsi="Times New Roman" w:cs="Times New Roman"/>
          <w:color w:val="000000" w:themeColor="text1"/>
          <w:sz w:val="24"/>
          <w:szCs w:val="24"/>
        </w:rPr>
        <w:instrText xml:space="preserve"> ADDIN EN.CITE &lt;EndNote&gt;&lt;Cite&gt;&lt;Author&gt;Oke&lt;/Author&gt;&lt;Year&gt;2013&lt;/Year&gt;&lt;RecNum&gt;1517&lt;/RecNum&gt;&lt;DisplayText&gt;(Oke, 2013)&lt;/DisplayText&gt;&lt;record&gt;&lt;rec-number&gt;1517&lt;/rec-number&gt;&lt;foreign-keys&gt;&lt;key app="EN" db-id="zw59vpadbtepfpef9t3pvzeot59fe2ptraw5" timestamp="0"&gt;1517&lt;/key&gt;&lt;/foreign-keys&gt;&lt;ref-type name="Journal Article"&gt;17&lt;/ref-type&gt;&lt;contributors&gt;&lt;authors&gt;&lt;author&gt;Oke, Adegoke&lt;/author&gt;&lt;/authors&gt;&lt;/contributors&gt;&lt;titles&gt;&lt;title&gt;Linking manufacturing flexibility to innovation performance in manufacturing plants&lt;/title&gt;&lt;secondary-title&gt;International Journal of Production Economics&lt;/secondary-title&gt;&lt;/titles&gt;&lt;periodical&gt;&lt;full-title&gt;International Journal of Production Economics&lt;/full-title&gt;&lt;/periodical&gt;&lt;pages&gt;242-247&lt;/pages&gt;&lt;volume&gt;143&lt;/volume&gt;&lt;number&gt;2&lt;/number&gt;&lt;dates&gt;&lt;year&gt;2013&lt;/year&gt;&lt;/dates&gt;&lt;isbn&gt;0925-5273&lt;/isbn&gt;&lt;urls&gt;&lt;/urls&gt;&lt;/record&gt;&lt;/Cite&gt;&lt;/EndNote&gt;</w:instrText>
      </w:r>
      <w:r w:rsidRPr="00566560">
        <w:rPr>
          <w:rFonts w:ascii="Times New Roman" w:hAnsi="Times New Roman" w:cs="Times New Roman"/>
          <w:color w:val="000000" w:themeColor="text1"/>
          <w:sz w:val="24"/>
          <w:szCs w:val="24"/>
        </w:rPr>
        <w:fldChar w:fldCharType="separate"/>
      </w:r>
      <w:r w:rsidRPr="00566560">
        <w:rPr>
          <w:rFonts w:ascii="Times New Roman" w:hAnsi="Times New Roman" w:cs="Times New Roman"/>
          <w:noProof/>
          <w:color w:val="000000" w:themeColor="text1"/>
          <w:sz w:val="24"/>
          <w:szCs w:val="24"/>
        </w:rPr>
        <w:t>(Oke, 2013)</w:t>
      </w:r>
      <w:r w:rsidRPr="00566560">
        <w:rPr>
          <w:rFonts w:ascii="Times New Roman" w:hAnsi="Times New Roman" w:cs="Times New Roman"/>
          <w:color w:val="000000" w:themeColor="text1"/>
          <w:sz w:val="24"/>
          <w:szCs w:val="24"/>
        </w:rPr>
        <w:fldChar w:fldCharType="end"/>
      </w:r>
      <w:r w:rsidRPr="00566560">
        <w:rPr>
          <w:rFonts w:ascii="Times New Roman" w:hAnsi="Times New Roman" w:cs="Times New Roman"/>
          <w:color w:val="000000" w:themeColor="text1"/>
          <w:sz w:val="24"/>
          <w:szCs w:val="24"/>
        </w:rPr>
        <w:t xml:space="preserve">. </w:t>
      </w:r>
      <w:r w:rsidRPr="00566560">
        <w:rPr>
          <w:rFonts w:ascii="Times New Roman" w:hAnsi="Times New Roman" w:cs="Times New Roman"/>
          <w:color w:val="000000" w:themeColor="text1"/>
          <w:sz w:val="24"/>
          <w:szCs w:val="24"/>
        </w:rPr>
        <w:fldChar w:fldCharType="begin"/>
      </w:r>
      <w:r w:rsidRPr="00566560">
        <w:rPr>
          <w:rFonts w:ascii="Times New Roman" w:hAnsi="Times New Roman" w:cs="Times New Roman"/>
          <w:color w:val="000000" w:themeColor="text1"/>
          <w:sz w:val="24"/>
          <w:szCs w:val="24"/>
        </w:rPr>
        <w:instrText xml:space="preserve"> ADDIN EN.CITE &lt;EndNote&gt;&lt;Cite AuthorYear="1"&gt;&lt;Author&gt;Oke&lt;/Author&gt;&lt;Year&gt;2013&lt;/Year&gt;&lt;RecNum&gt;1517&lt;/RecNum&gt;&lt;DisplayText&gt;Oke (2013)&lt;/DisplayText&gt;&lt;record&gt;&lt;rec-number&gt;1517&lt;/rec-number&gt;&lt;foreign-keys&gt;&lt;key app="EN" db-id="zw59vpadbtepfpef9t3pvzeot59fe2ptraw5" timestamp="0"&gt;1517&lt;/key&gt;&lt;/foreign-keys&gt;&lt;ref-type name="Journal Article"&gt;17&lt;/ref-type&gt;&lt;contributors&gt;&lt;authors&gt;&lt;author&gt;Oke, Adegoke&lt;/author&gt;&lt;/authors&gt;&lt;/contributors&gt;&lt;titles&gt;&lt;title&gt;Linking manufacturing flexibility to innovation performance in manufacturing plants&lt;/title&gt;&lt;secondary-title&gt;International Journal of Production Economics&lt;/secondary-title&gt;&lt;/titles&gt;&lt;periodical&gt;&lt;full-title&gt;International Journal of Production Economics&lt;/full-title&gt;&lt;/periodical&gt;&lt;pages&gt;242-247&lt;/pages&gt;&lt;volume&gt;143&lt;/volume&gt;&lt;number&gt;2&lt;/number&gt;&lt;dates&gt;&lt;year&gt;2013&lt;/year&gt;&lt;/dates&gt;&lt;isbn&gt;0925-5273&lt;/isbn&gt;&lt;urls&gt;&lt;/urls&gt;&lt;/record&gt;&lt;/Cite&gt;&lt;/EndNote&gt;</w:instrText>
      </w:r>
      <w:r w:rsidRPr="00566560">
        <w:rPr>
          <w:rFonts w:ascii="Times New Roman" w:hAnsi="Times New Roman" w:cs="Times New Roman"/>
          <w:color w:val="000000" w:themeColor="text1"/>
          <w:sz w:val="24"/>
          <w:szCs w:val="24"/>
        </w:rPr>
        <w:fldChar w:fldCharType="separate"/>
      </w:r>
      <w:r w:rsidRPr="00566560">
        <w:rPr>
          <w:rFonts w:ascii="Times New Roman" w:hAnsi="Times New Roman" w:cs="Times New Roman"/>
          <w:noProof/>
          <w:color w:val="000000" w:themeColor="text1"/>
          <w:sz w:val="24"/>
          <w:szCs w:val="24"/>
        </w:rPr>
        <w:t>Oke (2013)</w:t>
      </w:r>
      <w:r w:rsidRPr="00566560">
        <w:rPr>
          <w:rFonts w:ascii="Times New Roman" w:hAnsi="Times New Roman" w:cs="Times New Roman"/>
          <w:color w:val="000000" w:themeColor="text1"/>
          <w:sz w:val="24"/>
          <w:szCs w:val="24"/>
        </w:rPr>
        <w:fldChar w:fldCharType="end"/>
      </w:r>
      <w:r w:rsidRPr="00566560">
        <w:rPr>
          <w:rFonts w:ascii="Times New Roman" w:hAnsi="Times New Roman" w:cs="Times New Roman"/>
          <w:color w:val="000000" w:themeColor="text1"/>
          <w:sz w:val="24"/>
          <w:szCs w:val="24"/>
        </w:rPr>
        <w:t xml:space="preserve"> bases his scale on </w:t>
      </w:r>
      <w:r w:rsidRPr="00566560">
        <w:rPr>
          <w:rFonts w:ascii="Times New Roman" w:hAnsi="Times New Roman" w:cs="Times New Roman"/>
          <w:color w:val="000000" w:themeColor="text1"/>
          <w:sz w:val="24"/>
          <w:szCs w:val="24"/>
        </w:rPr>
        <w:fldChar w:fldCharType="begin"/>
      </w:r>
      <w:r w:rsidRPr="00566560">
        <w:rPr>
          <w:rFonts w:ascii="Times New Roman" w:hAnsi="Times New Roman" w:cs="Times New Roman"/>
          <w:color w:val="000000" w:themeColor="text1"/>
          <w:sz w:val="24"/>
          <w:szCs w:val="24"/>
        </w:rPr>
        <w:instrText xml:space="preserve"> ADDIN EN.CITE &lt;EndNote&gt;&lt;Cite AuthorYear="1"&gt;&lt;Author&gt;Cordero&lt;/Author&gt;&lt;Year&gt;1990&lt;/Year&gt;&lt;RecNum&gt;1534&lt;/RecNum&gt;&lt;DisplayText&gt;Cordero (1990)&lt;/DisplayText&gt;&lt;record&gt;&lt;rec-number&gt;1534&lt;/rec-number&gt;&lt;foreign-keys&gt;&lt;key app="EN" db-id="zw59vpadbtepfpef9t3pvzeot59fe2ptraw5" timestamp="0"&gt;1534&lt;/key&gt;&lt;/foreign-keys&gt;&lt;ref-type name="Journal Article"&gt;17&lt;/ref-type&gt;&lt;contributors&gt;&lt;authors&gt;&lt;author&gt;Cordero, Rene&lt;/author&gt;&lt;/authors&gt;&lt;/contributors&gt;&lt;titles&gt;&lt;title&gt;The measurement of innovation performance in the firm: an overview&lt;/title&gt;&lt;secondary-title&gt;Research Policy&lt;/secondary-title&gt;&lt;/titles&gt;&lt;pages&gt;185-192&lt;/pages&gt;&lt;volume&gt;19&lt;/volume&gt;&lt;number&gt;2&lt;/number&gt;&lt;dates&gt;&lt;year&gt;1990&lt;/year&gt;&lt;/dates&gt;&lt;urls&gt;&lt;/urls&gt;&lt;/record&gt;&lt;/Cite&gt;&lt;/EndNote&gt;</w:instrText>
      </w:r>
      <w:r w:rsidRPr="00566560">
        <w:rPr>
          <w:rFonts w:ascii="Times New Roman" w:hAnsi="Times New Roman" w:cs="Times New Roman"/>
          <w:color w:val="000000" w:themeColor="text1"/>
          <w:sz w:val="24"/>
          <w:szCs w:val="24"/>
        </w:rPr>
        <w:fldChar w:fldCharType="separate"/>
      </w:r>
      <w:r w:rsidRPr="00566560">
        <w:rPr>
          <w:rFonts w:ascii="Times New Roman" w:hAnsi="Times New Roman" w:cs="Times New Roman"/>
          <w:noProof/>
          <w:color w:val="000000" w:themeColor="text1"/>
          <w:sz w:val="24"/>
          <w:szCs w:val="24"/>
        </w:rPr>
        <w:t>Cordero (1990)</w:t>
      </w:r>
      <w:r w:rsidRPr="00566560">
        <w:rPr>
          <w:rFonts w:ascii="Times New Roman" w:hAnsi="Times New Roman" w:cs="Times New Roman"/>
          <w:color w:val="000000" w:themeColor="text1"/>
          <w:sz w:val="24"/>
          <w:szCs w:val="24"/>
        </w:rPr>
        <w:fldChar w:fldCharType="end"/>
      </w:r>
      <w:r w:rsidRPr="00566560">
        <w:rPr>
          <w:rFonts w:ascii="Times New Roman" w:hAnsi="Times New Roman" w:cs="Times New Roman"/>
          <w:color w:val="000000" w:themeColor="text1"/>
          <w:sz w:val="24"/>
          <w:szCs w:val="24"/>
        </w:rPr>
        <w:t xml:space="preserve"> as well as </w:t>
      </w:r>
      <w:r w:rsidRPr="00566560">
        <w:rPr>
          <w:rFonts w:ascii="Times New Roman" w:hAnsi="Times New Roman" w:cs="Times New Roman"/>
          <w:color w:val="000000" w:themeColor="text1"/>
          <w:sz w:val="24"/>
          <w:szCs w:val="24"/>
        </w:rPr>
        <w:fldChar w:fldCharType="begin"/>
      </w:r>
      <w:r w:rsidRPr="00566560">
        <w:rPr>
          <w:rFonts w:ascii="Times New Roman" w:hAnsi="Times New Roman" w:cs="Times New Roman"/>
          <w:color w:val="000000" w:themeColor="text1"/>
          <w:sz w:val="24"/>
          <w:szCs w:val="24"/>
        </w:rPr>
        <w:instrText xml:space="preserve"> ADDIN EN.CITE &lt;EndNote&gt;&lt;Cite AuthorYear="1"&gt;&lt;Author&gt;Scott&lt;/Author&gt;&lt;Year&gt;1994&lt;/Year&gt;&lt;RecNum&gt;1548&lt;/RecNum&gt;&lt;DisplayText&gt;Scott and Bruce (1994)&lt;/DisplayText&gt;&lt;record&gt;&lt;rec-number&gt;1548&lt;/rec-number&gt;&lt;foreign-keys&gt;&lt;key app="EN" db-id="0ewd29dz4ds0vmee9zpx5s9udxtatsf5ffpw" timestamp="0"&gt;1548&lt;/key&gt;&lt;/foreign-keys&gt;&lt;ref-type name="Journal Article"&gt;17&lt;/ref-type&gt;&lt;contributors&gt;&lt;authors&gt;&lt;author&gt;Scott, Susanne G&lt;/author&gt;&lt;author&gt;Bruce, Reginald A&lt;/author&gt;&lt;/authors&gt;&lt;/contributors&gt;&lt;titles&gt;&lt;title&gt;Determinants of innovative behavior: A path model of individual innovation in the workplace&lt;/title&gt;&lt;secondary-title&gt;Academy of management journal&lt;/secondary-title&gt;&lt;/titles&gt;&lt;periodical&gt;&lt;full-title&gt;Academy of Management Journal&lt;/full-title&gt;&lt;/periodical&gt;&lt;pages&gt;580-607&lt;/pages&gt;&lt;volume&gt;37&lt;/volume&gt;&lt;number&gt;3&lt;/number&gt;&lt;dates&gt;&lt;year&gt;1994&lt;/year&gt;&lt;/dates&gt;&lt;isbn&gt;0001-4273&lt;/isbn&gt;&lt;urls&gt;&lt;/urls&gt;&lt;/record&gt;&lt;/Cite&gt;&lt;/EndNote&gt;</w:instrText>
      </w:r>
      <w:r w:rsidRPr="00566560">
        <w:rPr>
          <w:rFonts w:ascii="Times New Roman" w:hAnsi="Times New Roman" w:cs="Times New Roman"/>
          <w:color w:val="000000" w:themeColor="text1"/>
          <w:sz w:val="24"/>
          <w:szCs w:val="24"/>
        </w:rPr>
        <w:fldChar w:fldCharType="separate"/>
      </w:r>
      <w:r w:rsidRPr="00566560">
        <w:rPr>
          <w:rFonts w:ascii="Times New Roman" w:hAnsi="Times New Roman" w:cs="Times New Roman"/>
          <w:noProof/>
          <w:color w:val="000000" w:themeColor="text1"/>
          <w:sz w:val="24"/>
          <w:szCs w:val="24"/>
        </w:rPr>
        <w:t>Scott and Bruce (1994)</w:t>
      </w:r>
      <w:r w:rsidRPr="00566560">
        <w:rPr>
          <w:rFonts w:ascii="Times New Roman" w:hAnsi="Times New Roman" w:cs="Times New Roman"/>
          <w:color w:val="000000" w:themeColor="text1"/>
          <w:sz w:val="24"/>
          <w:szCs w:val="24"/>
        </w:rPr>
        <w:fldChar w:fldCharType="end"/>
      </w:r>
      <w:r w:rsidRPr="00566560">
        <w:rPr>
          <w:rFonts w:ascii="Times New Roman" w:hAnsi="Times New Roman" w:cs="Times New Roman"/>
          <w:color w:val="000000" w:themeColor="text1"/>
          <w:sz w:val="24"/>
          <w:szCs w:val="24"/>
        </w:rPr>
        <w:t>.</w:t>
      </w:r>
    </w:p>
    <w:p w14:paraId="7A3CAFE9" w14:textId="79A7AF10" w:rsidR="007742CC" w:rsidRPr="008A4467" w:rsidRDefault="007742CC" w:rsidP="007742CC">
      <w:pPr>
        <w:spacing w:before="160" w:line="480" w:lineRule="auto"/>
        <w:jc w:val="both"/>
        <w:rPr>
          <w:rStyle w:val="fontstyle01"/>
          <w:rFonts w:ascii="Times New Roman" w:eastAsiaTheme="majorEastAsia" w:hAnsi="Times New Roman"/>
          <w:b/>
          <w:i/>
          <w:iCs/>
          <w:color w:val="000000" w:themeColor="text1"/>
          <w:sz w:val="24"/>
          <w:szCs w:val="24"/>
        </w:rPr>
      </w:pPr>
      <w:r>
        <w:rPr>
          <w:rStyle w:val="fontstyle01"/>
          <w:rFonts w:ascii="Times New Roman" w:eastAsiaTheme="majorEastAsia" w:hAnsi="Times New Roman"/>
          <w:b/>
          <w:i/>
          <w:iCs/>
          <w:color w:val="000000" w:themeColor="text1"/>
          <w:sz w:val="24"/>
          <w:szCs w:val="24"/>
        </w:rPr>
        <w:t>3.3</w:t>
      </w:r>
      <w:r w:rsidRPr="008A4467">
        <w:rPr>
          <w:rStyle w:val="fontstyle01"/>
          <w:rFonts w:ascii="Times New Roman" w:eastAsiaTheme="majorEastAsia" w:hAnsi="Times New Roman"/>
          <w:b/>
          <w:i/>
          <w:iCs/>
          <w:color w:val="000000" w:themeColor="text1"/>
          <w:sz w:val="24"/>
          <w:szCs w:val="24"/>
        </w:rPr>
        <w:t xml:space="preserve"> Common </w:t>
      </w:r>
      <w:r w:rsidR="00A90AAF">
        <w:rPr>
          <w:rStyle w:val="fontstyle01"/>
          <w:rFonts w:ascii="Times New Roman" w:eastAsiaTheme="majorEastAsia" w:hAnsi="Times New Roman"/>
          <w:b/>
          <w:i/>
          <w:iCs/>
          <w:color w:val="000000" w:themeColor="text1"/>
          <w:sz w:val="24"/>
          <w:szCs w:val="24"/>
        </w:rPr>
        <w:t>M</w:t>
      </w:r>
      <w:r w:rsidRPr="008A4467">
        <w:rPr>
          <w:rStyle w:val="fontstyle01"/>
          <w:rFonts w:ascii="Times New Roman" w:eastAsiaTheme="majorEastAsia" w:hAnsi="Times New Roman"/>
          <w:b/>
          <w:i/>
          <w:iCs/>
          <w:color w:val="000000" w:themeColor="text1"/>
          <w:sz w:val="24"/>
          <w:szCs w:val="24"/>
        </w:rPr>
        <w:t xml:space="preserve">ethod </w:t>
      </w:r>
      <w:r w:rsidR="00A90AAF">
        <w:rPr>
          <w:rStyle w:val="fontstyle01"/>
          <w:rFonts w:ascii="Times New Roman" w:eastAsiaTheme="majorEastAsia" w:hAnsi="Times New Roman"/>
          <w:b/>
          <w:i/>
          <w:iCs/>
          <w:color w:val="000000" w:themeColor="text1"/>
          <w:sz w:val="24"/>
          <w:szCs w:val="24"/>
        </w:rPr>
        <w:t>B</w:t>
      </w:r>
      <w:r w:rsidRPr="008A4467">
        <w:rPr>
          <w:rStyle w:val="fontstyle01"/>
          <w:rFonts w:ascii="Times New Roman" w:eastAsiaTheme="majorEastAsia" w:hAnsi="Times New Roman"/>
          <w:b/>
          <w:i/>
          <w:iCs/>
          <w:color w:val="000000" w:themeColor="text1"/>
          <w:sz w:val="24"/>
          <w:szCs w:val="24"/>
        </w:rPr>
        <w:t>ias</w:t>
      </w:r>
    </w:p>
    <w:p w14:paraId="0535868B" w14:textId="77777777" w:rsidR="007742CC" w:rsidRDefault="007742CC" w:rsidP="007742CC">
      <w:pPr>
        <w:spacing w:line="480" w:lineRule="auto"/>
        <w:jc w:val="both"/>
        <w:rPr>
          <w:rStyle w:val="fontstyle01"/>
          <w:rFonts w:ascii="Times New Roman" w:eastAsiaTheme="majorEastAsia" w:hAnsi="Times New Roman"/>
          <w:color w:val="000000" w:themeColor="text1"/>
          <w:sz w:val="24"/>
          <w:szCs w:val="24"/>
        </w:rPr>
      </w:pPr>
      <w:r w:rsidRPr="00CF39F6">
        <w:rPr>
          <w:rStyle w:val="fontstyle01"/>
          <w:rFonts w:ascii="Times New Roman" w:eastAsiaTheme="majorEastAsia" w:hAnsi="Times New Roman"/>
          <w:color w:val="000000" w:themeColor="text1"/>
          <w:sz w:val="24"/>
          <w:szCs w:val="24"/>
        </w:rPr>
        <w:t xml:space="preserve">We undertook several pre-emptive procedures to overcome the problem of common method bias (CMB) in this research and followed several guidelines in this respect </w:t>
      </w:r>
      <w:r w:rsidRPr="007F58F8">
        <w:rPr>
          <w:rStyle w:val="fontstyle01"/>
          <w:rFonts w:ascii="Times New Roman" w:eastAsiaTheme="majorEastAsia" w:hAnsi="Times New Roman"/>
          <w:color w:val="000000" w:themeColor="text1"/>
          <w:sz w:val="24"/>
          <w:szCs w:val="24"/>
        </w:rPr>
        <w:t xml:space="preserve">(Conway </w:t>
      </w:r>
      <w:r>
        <w:rPr>
          <w:rStyle w:val="fontstyle01"/>
          <w:rFonts w:ascii="Times New Roman" w:eastAsiaTheme="majorEastAsia" w:hAnsi="Times New Roman"/>
          <w:color w:val="000000" w:themeColor="text1"/>
          <w:sz w:val="24"/>
          <w:szCs w:val="24"/>
        </w:rPr>
        <w:t>&amp;</w:t>
      </w:r>
      <w:r w:rsidRPr="007F58F8">
        <w:rPr>
          <w:rStyle w:val="fontstyle01"/>
          <w:rFonts w:ascii="Times New Roman" w:eastAsiaTheme="majorEastAsia" w:hAnsi="Times New Roman"/>
          <w:color w:val="000000" w:themeColor="text1"/>
          <w:sz w:val="24"/>
          <w:szCs w:val="24"/>
        </w:rPr>
        <w:t xml:space="preserve"> Lance, 2010</w:t>
      </w:r>
      <w:r>
        <w:rPr>
          <w:rStyle w:val="fontstyle01"/>
          <w:rFonts w:ascii="Times New Roman" w:eastAsiaTheme="majorEastAsia" w:hAnsi="Times New Roman"/>
          <w:color w:val="000000" w:themeColor="text1"/>
          <w:sz w:val="24"/>
          <w:szCs w:val="24"/>
        </w:rPr>
        <w:t xml:space="preserve">; </w:t>
      </w:r>
      <w:r w:rsidRPr="007F58F8">
        <w:rPr>
          <w:rStyle w:val="fontstyle01"/>
          <w:rFonts w:ascii="Times New Roman" w:eastAsiaTheme="majorEastAsia" w:hAnsi="Times New Roman"/>
          <w:color w:val="000000" w:themeColor="text1"/>
          <w:sz w:val="24"/>
          <w:szCs w:val="24"/>
        </w:rPr>
        <w:t xml:space="preserve">MacKenzie </w:t>
      </w:r>
      <w:r>
        <w:rPr>
          <w:rStyle w:val="fontstyle01"/>
          <w:rFonts w:ascii="Times New Roman" w:eastAsiaTheme="majorEastAsia" w:hAnsi="Times New Roman"/>
          <w:color w:val="000000" w:themeColor="text1"/>
          <w:sz w:val="24"/>
          <w:szCs w:val="24"/>
        </w:rPr>
        <w:t>&amp;</w:t>
      </w:r>
      <w:r w:rsidRPr="007F58F8">
        <w:rPr>
          <w:rStyle w:val="fontstyle01"/>
          <w:rFonts w:ascii="Times New Roman" w:eastAsiaTheme="majorEastAsia" w:hAnsi="Times New Roman"/>
          <w:color w:val="000000" w:themeColor="text1"/>
          <w:sz w:val="24"/>
          <w:szCs w:val="24"/>
        </w:rPr>
        <w:t xml:space="preserve"> Podsakoff, 2012</w:t>
      </w:r>
      <w:r>
        <w:rPr>
          <w:rStyle w:val="fontstyle01"/>
          <w:rFonts w:ascii="Times New Roman" w:eastAsiaTheme="majorEastAsia" w:hAnsi="Times New Roman"/>
          <w:color w:val="000000" w:themeColor="text1"/>
          <w:sz w:val="24"/>
          <w:szCs w:val="24"/>
        </w:rPr>
        <w:t xml:space="preserve">; </w:t>
      </w:r>
      <w:r w:rsidRPr="007F58F8">
        <w:rPr>
          <w:rStyle w:val="fontstyle01"/>
          <w:rFonts w:ascii="Times New Roman" w:eastAsiaTheme="majorEastAsia" w:hAnsi="Times New Roman"/>
          <w:color w:val="000000" w:themeColor="text1"/>
          <w:sz w:val="24"/>
          <w:szCs w:val="24"/>
        </w:rPr>
        <w:t xml:space="preserve">Podsakoff et al., 2003). </w:t>
      </w:r>
      <w:r>
        <w:rPr>
          <w:rStyle w:val="fontstyle01"/>
          <w:rFonts w:ascii="Times New Roman" w:eastAsiaTheme="majorEastAsia" w:hAnsi="Times New Roman"/>
          <w:color w:val="000000" w:themeColor="text1"/>
          <w:sz w:val="24"/>
          <w:szCs w:val="24"/>
        </w:rPr>
        <w:t>The m</w:t>
      </w:r>
      <w:r w:rsidRPr="00CF39F6">
        <w:rPr>
          <w:rStyle w:val="fontstyle01"/>
          <w:rFonts w:ascii="Times New Roman" w:eastAsiaTheme="majorEastAsia" w:hAnsi="Times New Roman"/>
          <w:color w:val="000000" w:themeColor="text1"/>
          <w:sz w:val="24"/>
          <w:szCs w:val="24"/>
        </w:rPr>
        <w:t xml:space="preserve">ost important step taken to overcome </w:t>
      </w:r>
      <w:r>
        <w:rPr>
          <w:rStyle w:val="fontstyle01"/>
          <w:rFonts w:ascii="Times New Roman" w:eastAsiaTheme="majorEastAsia" w:hAnsi="Times New Roman"/>
          <w:color w:val="000000" w:themeColor="text1"/>
          <w:sz w:val="24"/>
          <w:szCs w:val="24"/>
        </w:rPr>
        <w:t xml:space="preserve">the </w:t>
      </w:r>
      <w:r w:rsidRPr="00CF39F6">
        <w:rPr>
          <w:rStyle w:val="fontstyle01"/>
          <w:rFonts w:ascii="Times New Roman" w:eastAsiaTheme="majorEastAsia" w:hAnsi="Times New Roman"/>
          <w:color w:val="000000" w:themeColor="text1"/>
          <w:sz w:val="24"/>
          <w:szCs w:val="24"/>
        </w:rPr>
        <w:t xml:space="preserve">CMB was to make a significant effort to receive two responses from each organization separated by an average time lag of about a month. </w:t>
      </w:r>
      <w:r w:rsidRPr="001A090D">
        <w:rPr>
          <w:rStyle w:val="fontstyle01"/>
          <w:rFonts w:ascii="Times New Roman" w:eastAsiaTheme="majorEastAsia" w:hAnsi="Times New Roman"/>
          <w:color w:val="000000" w:themeColor="text1"/>
          <w:sz w:val="24"/>
          <w:szCs w:val="24"/>
        </w:rPr>
        <w:fldChar w:fldCharType="begin"/>
      </w:r>
      <w:r>
        <w:rPr>
          <w:rStyle w:val="fontstyle01"/>
          <w:rFonts w:ascii="Times New Roman" w:eastAsiaTheme="majorEastAsia" w:hAnsi="Times New Roman"/>
          <w:color w:val="000000" w:themeColor="text1"/>
          <w:sz w:val="24"/>
          <w:szCs w:val="24"/>
        </w:rPr>
        <w:instrText xml:space="preserve"> ADDIN EN.CITE &lt;EndNote&gt;&lt;Cite AuthorYear="1"&gt;&lt;Author&gt;Ketokivi&lt;/Author&gt;&lt;Year&gt;2004&lt;/Year&gt;&lt;RecNum&gt;1227&lt;/RecNum&gt;&lt;DisplayText&gt;Ketokivi and Schroeder (2004)&lt;/DisplayText&gt;&lt;record&gt;&lt;rec-number&gt;1227&lt;/rec-number&gt;&lt;foreign-keys&gt;&lt;key app="EN" db-id="0ewd29dz4ds0vmee9zpx5s9udxtatsf5ffpw" timestamp="0"&gt;1227&lt;/key&gt;&lt;/foreign-keys&gt;&lt;ref-type name="Journal Article"&gt;17&lt;/ref-type&gt;&lt;contributors&gt;&lt;authors&gt;&lt;author&gt;Ketokivi, Mikko A&lt;/author&gt;&lt;author&gt;Schroeder, Roger G&lt;/author&gt;&lt;/authors&gt;&lt;/contributors&gt;&lt;titles&gt;&lt;title&gt;Perceptual measures of performance: fact or fiction?&lt;/title&gt;&lt;secondary-title&gt;Journal of Operations Management&lt;/secondary-title&gt;&lt;/titles&gt;&lt;periodical&gt;&lt;full-title&gt;Journal of Operations Management&lt;/full-title&gt;&lt;/periodical&gt;&lt;pages&gt;247-264&lt;/pages&gt;&lt;volume&gt;22&lt;/volume&gt;&lt;number&gt;3&lt;/number&gt;&lt;dates&gt;&lt;year&gt;2004&lt;/year&gt;&lt;/dates&gt;&lt;isbn&gt;0272-6963&lt;/isbn&gt;&lt;urls&gt;&lt;/urls&gt;&lt;/record&gt;&lt;/Cite&gt;&lt;/EndNote&gt;</w:instrText>
      </w:r>
      <w:r w:rsidRPr="001A090D">
        <w:rPr>
          <w:rStyle w:val="fontstyle01"/>
          <w:rFonts w:ascii="Times New Roman" w:eastAsiaTheme="majorEastAsia" w:hAnsi="Times New Roman"/>
          <w:color w:val="000000" w:themeColor="text1"/>
          <w:sz w:val="24"/>
          <w:szCs w:val="24"/>
        </w:rPr>
        <w:fldChar w:fldCharType="separate"/>
      </w:r>
      <w:r>
        <w:rPr>
          <w:rStyle w:val="fontstyle01"/>
          <w:rFonts w:ascii="Times New Roman" w:eastAsiaTheme="majorEastAsia" w:hAnsi="Times New Roman"/>
          <w:noProof/>
          <w:color w:val="000000" w:themeColor="text1"/>
          <w:sz w:val="24"/>
          <w:szCs w:val="24"/>
        </w:rPr>
        <w:t>Ketokivi and Schroeder (2004)</w:t>
      </w:r>
      <w:r w:rsidRPr="001A090D">
        <w:rPr>
          <w:rStyle w:val="fontstyle01"/>
          <w:rFonts w:ascii="Times New Roman" w:eastAsiaTheme="majorEastAsia" w:hAnsi="Times New Roman"/>
          <w:color w:val="000000" w:themeColor="text1"/>
          <w:sz w:val="24"/>
          <w:szCs w:val="24"/>
        </w:rPr>
        <w:fldChar w:fldCharType="end"/>
      </w:r>
      <w:r w:rsidRPr="00CF39F6">
        <w:rPr>
          <w:rStyle w:val="fontstyle01"/>
          <w:rFonts w:ascii="Times New Roman" w:eastAsiaTheme="majorEastAsia" w:hAnsi="Times New Roman"/>
          <w:color w:val="000000" w:themeColor="text1"/>
          <w:sz w:val="24"/>
          <w:szCs w:val="24"/>
        </w:rPr>
        <w:t xml:space="preserve"> suggest that multiple respondent</w:t>
      </w:r>
      <w:r>
        <w:rPr>
          <w:rStyle w:val="fontstyle01"/>
          <w:rFonts w:ascii="Times New Roman" w:eastAsiaTheme="majorEastAsia" w:hAnsi="Times New Roman"/>
          <w:color w:val="000000" w:themeColor="text1"/>
          <w:sz w:val="24"/>
          <w:szCs w:val="24"/>
        </w:rPr>
        <w:t>s</w:t>
      </w:r>
      <w:r w:rsidRPr="00CF39F6">
        <w:rPr>
          <w:rStyle w:val="fontstyle01"/>
          <w:rFonts w:ascii="Times New Roman" w:eastAsiaTheme="majorEastAsia" w:hAnsi="Times New Roman"/>
          <w:color w:val="000000" w:themeColor="text1"/>
          <w:sz w:val="24"/>
          <w:szCs w:val="24"/>
        </w:rPr>
        <w:t xml:space="preserve"> </w:t>
      </w:r>
      <w:r>
        <w:rPr>
          <w:rStyle w:val="fontstyle01"/>
          <w:rFonts w:ascii="Times New Roman" w:eastAsiaTheme="majorEastAsia" w:hAnsi="Times New Roman"/>
          <w:color w:val="000000" w:themeColor="text1"/>
          <w:sz w:val="24"/>
          <w:szCs w:val="24"/>
        </w:rPr>
        <w:t>are</w:t>
      </w:r>
      <w:r w:rsidRPr="00CF39F6">
        <w:rPr>
          <w:rStyle w:val="fontstyle01"/>
          <w:rFonts w:ascii="Times New Roman" w:eastAsiaTheme="majorEastAsia" w:hAnsi="Times New Roman"/>
          <w:color w:val="000000" w:themeColor="text1"/>
          <w:sz w:val="24"/>
          <w:szCs w:val="24"/>
        </w:rPr>
        <w:t xml:space="preserve"> a key measure to mitigate </w:t>
      </w:r>
      <w:r>
        <w:rPr>
          <w:rStyle w:val="fontstyle01"/>
          <w:rFonts w:ascii="Times New Roman" w:eastAsiaTheme="majorEastAsia" w:hAnsi="Times New Roman"/>
          <w:color w:val="000000" w:themeColor="text1"/>
          <w:sz w:val="24"/>
          <w:szCs w:val="24"/>
        </w:rPr>
        <w:t xml:space="preserve">the </w:t>
      </w:r>
      <w:r w:rsidRPr="00CF39F6">
        <w:rPr>
          <w:rStyle w:val="fontstyle01"/>
          <w:rFonts w:ascii="Times New Roman" w:eastAsiaTheme="majorEastAsia" w:hAnsi="Times New Roman"/>
          <w:color w:val="000000" w:themeColor="text1"/>
          <w:sz w:val="24"/>
          <w:szCs w:val="24"/>
        </w:rPr>
        <w:t xml:space="preserve">CMB. In our data collection effort, we were able to achieve two responses from more than 50 </w:t>
      </w:r>
      <w:r>
        <w:rPr>
          <w:rStyle w:val="fontstyle01"/>
          <w:rFonts w:ascii="Times New Roman" w:eastAsiaTheme="majorEastAsia" w:hAnsi="Times New Roman"/>
          <w:color w:val="000000" w:themeColor="text1"/>
          <w:sz w:val="24"/>
          <w:szCs w:val="24"/>
        </w:rPr>
        <w:t xml:space="preserve">% </w:t>
      </w:r>
      <w:r w:rsidRPr="00CF39F6">
        <w:rPr>
          <w:rStyle w:val="fontstyle01"/>
          <w:rFonts w:ascii="Times New Roman" w:eastAsiaTheme="majorEastAsia" w:hAnsi="Times New Roman"/>
          <w:color w:val="000000" w:themeColor="text1"/>
          <w:sz w:val="24"/>
          <w:szCs w:val="24"/>
        </w:rPr>
        <w:t>of the responding organizations (i.e.</w:t>
      </w:r>
      <w:r w:rsidRPr="008D4FBE">
        <w:rPr>
          <w:rStyle w:val="fontstyle01"/>
          <w:rFonts w:ascii="Times New Roman" w:eastAsiaTheme="majorEastAsia" w:hAnsi="Times New Roman"/>
          <w:color w:val="FF0000"/>
          <w:sz w:val="24"/>
          <w:szCs w:val="24"/>
        </w:rPr>
        <w:t>,</w:t>
      </w:r>
      <w:r w:rsidRPr="00CF39F6">
        <w:rPr>
          <w:rStyle w:val="fontstyle01"/>
          <w:rFonts w:ascii="Times New Roman" w:eastAsiaTheme="majorEastAsia" w:hAnsi="Times New Roman"/>
          <w:color w:val="000000" w:themeColor="text1"/>
          <w:sz w:val="24"/>
          <w:szCs w:val="24"/>
        </w:rPr>
        <w:t xml:space="preserve"> 126 out of 220). </w:t>
      </w:r>
    </w:p>
    <w:p w14:paraId="71773093" w14:textId="77777777" w:rsidR="007742CC" w:rsidRDefault="007742CC" w:rsidP="007742CC">
      <w:pPr>
        <w:spacing w:line="480" w:lineRule="auto"/>
        <w:ind w:firstLine="360"/>
        <w:jc w:val="both"/>
        <w:rPr>
          <w:rStyle w:val="fontstyle01"/>
          <w:rFonts w:ascii="Times New Roman" w:eastAsiaTheme="majorEastAsia" w:hAnsi="Times New Roman"/>
          <w:color w:val="000000" w:themeColor="text1"/>
          <w:sz w:val="24"/>
          <w:szCs w:val="24"/>
        </w:rPr>
      </w:pPr>
      <w:r w:rsidRPr="00CF39F6">
        <w:rPr>
          <w:rStyle w:val="fontstyle01"/>
          <w:rFonts w:ascii="Times New Roman" w:eastAsiaTheme="majorEastAsia" w:hAnsi="Times New Roman"/>
          <w:color w:val="000000" w:themeColor="text1"/>
          <w:sz w:val="24"/>
          <w:szCs w:val="24"/>
        </w:rPr>
        <w:t>As we had not achieved time-lagged multiple responses from all the sample organizations, we applied statistical procedures to detect the possibility of</w:t>
      </w:r>
      <w:r>
        <w:rPr>
          <w:rStyle w:val="fontstyle01"/>
          <w:rFonts w:ascii="Times New Roman" w:eastAsiaTheme="majorEastAsia" w:hAnsi="Times New Roman"/>
          <w:color w:val="000000" w:themeColor="text1"/>
          <w:sz w:val="24"/>
          <w:szCs w:val="24"/>
        </w:rPr>
        <w:t xml:space="preserve"> a</w:t>
      </w:r>
      <w:r w:rsidRPr="00CF39F6">
        <w:rPr>
          <w:rStyle w:val="fontstyle01"/>
          <w:rFonts w:ascii="Times New Roman" w:eastAsiaTheme="majorEastAsia" w:hAnsi="Times New Roman"/>
          <w:color w:val="000000" w:themeColor="text1"/>
          <w:sz w:val="24"/>
          <w:szCs w:val="24"/>
        </w:rPr>
        <w:t xml:space="preserve"> CMB. We used a theoretically unrelated marker variable to assess</w:t>
      </w:r>
      <w:r>
        <w:rPr>
          <w:rStyle w:val="fontstyle01"/>
          <w:rFonts w:ascii="Times New Roman" w:eastAsiaTheme="majorEastAsia" w:hAnsi="Times New Roman"/>
          <w:color w:val="000000" w:themeColor="text1"/>
          <w:sz w:val="24"/>
          <w:szCs w:val="24"/>
        </w:rPr>
        <w:t xml:space="preserve"> the</w:t>
      </w:r>
      <w:r w:rsidRPr="00CF39F6">
        <w:rPr>
          <w:rStyle w:val="fontstyle01"/>
          <w:rFonts w:ascii="Times New Roman" w:eastAsiaTheme="majorEastAsia" w:hAnsi="Times New Roman"/>
          <w:color w:val="000000" w:themeColor="text1"/>
          <w:sz w:val="24"/>
          <w:szCs w:val="24"/>
        </w:rPr>
        <w:t xml:space="preserve"> CMB </w:t>
      </w:r>
      <w:r w:rsidRPr="001A090D">
        <w:rPr>
          <w:rStyle w:val="fontstyle01"/>
          <w:rFonts w:ascii="Times New Roman" w:eastAsiaTheme="majorEastAsia" w:hAnsi="Times New Roman"/>
          <w:color w:val="000000" w:themeColor="text1"/>
          <w:sz w:val="24"/>
          <w:szCs w:val="24"/>
        </w:rPr>
        <w:fldChar w:fldCharType="begin"/>
      </w:r>
      <w:r>
        <w:rPr>
          <w:rStyle w:val="fontstyle01"/>
          <w:rFonts w:ascii="Times New Roman" w:eastAsiaTheme="majorEastAsia" w:hAnsi="Times New Roman"/>
          <w:color w:val="000000" w:themeColor="text1"/>
          <w:sz w:val="24"/>
          <w:szCs w:val="24"/>
        </w:rPr>
        <w:instrText xml:space="preserve"> ADDIN EN.CITE &lt;EndNote&gt;&lt;Cite&gt;&lt;Author&gt;Whitney&lt;/Author&gt;&lt;Year&gt;2001&lt;/Year&gt;&lt;RecNum&gt;1519&lt;/RecNum&gt;&lt;DisplayText&gt;(Whitney et al., 2001)&lt;/DisplayText&gt;&lt;record&gt;&lt;rec-number&gt;1519&lt;/rec-number&gt;&lt;foreign-keys&gt;&lt;key app="EN" db-id="0ewd29dz4ds0vmee9zpx5s9udxtatsf5ffpw" timestamp="0"&gt;1519&lt;/key&gt;&lt;/foreign-keys&gt;&lt;ref-type name="Journal Article"&gt;17&lt;/ref-type&gt;&lt;contributors&gt;&lt;authors&gt;&lt;author&gt;Whitney, David J&lt;/author&gt;&lt;author&gt;Dickerson, Andra&lt;/author&gt;&lt;author&gt;Lindell, Michael K&lt;/author&gt;&lt;/authors&gt;&lt;/contributors&gt;&lt;titles&gt;&lt;title&gt;Nonstructural seismic preparedness of Southern California hospitals&lt;/title&gt;&lt;secondary-title&gt;Earthquake Spectra&lt;/secondary-title&gt;&lt;/titles&gt;&lt;pages&gt;153-171&lt;/pages&gt;&lt;volume&gt;17&lt;/volume&gt;&lt;number&gt;1&lt;/number&gt;&lt;dates&gt;&lt;year&gt;2001&lt;/year&gt;&lt;/dates&gt;&lt;isbn&gt;8755-2930&lt;/isbn&gt;&lt;urls&gt;&lt;/urls&gt;&lt;/record&gt;&lt;/Cite&gt;&lt;/EndNote&gt;</w:instrText>
      </w:r>
      <w:r w:rsidRPr="001A090D">
        <w:rPr>
          <w:rStyle w:val="fontstyle01"/>
          <w:rFonts w:ascii="Times New Roman" w:eastAsiaTheme="majorEastAsia" w:hAnsi="Times New Roman"/>
          <w:color w:val="000000" w:themeColor="text1"/>
          <w:sz w:val="24"/>
          <w:szCs w:val="24"/>
        </w:rPr>
        <w:fldChar w:fldCharType="separate"/>
      </w:r>
      <w:r>
        <w:rPr>
          <w:rStyle w:val="fontstyle01"/>
          <w:rFonts w:ascii="Times New Roman" w:eastAsiaTheme="majorEastAsia" w:hAnsi="Times New Roman"/>
          <w:noProof/>
          <w:color w:val="000000" w:themeColor="text1"/>
          <w:sz w:val="24"/>
          <w:szCs w:val="24"/>
        </w:rPr>
        <w:t>(Whitney et al., 2001)</w:t>
      </w:r>
      <w:r w:rsidRPr="001A090D">
        <w:rPr>
          <w:rStyle w:val="fontstyle01"/>
          <w:rFonts w:ascii="Times New Roman" w:eastAsiaTheme="majorEastAsia" w:hAnsi="Times New Roman"/>
          <w:color w:val="000000" w:themeColor="text1"/>
          <w:sz w:val="24"/>
          <w:szCs w:val="24"/>
        </w:rPr>
        <w:fldChar w:fldCharType="end"/>
      </w:r>
      <w:r w:rsidRPr="00CF39F6">
        <w:rPr>
          <w:rStyle w:val="fontstyle01"/>
          <w:rFonts w:ascii="Times New Roman" w:eastAsiaTheme="majorEastAsia" w:hAnsi="Times New Roman"/>
          <w:color w:val="000000" w:themeColor="text1"/>
          <w:sz w:val="24"/>
          <w:szCs w:val="24"/>
        </w:rPr>
        <w:t xml:space="preserve">. Supply chain disruption </w:t>
      </w:r>
      <w:r w:rsidRPr="00EA5861">
        <w:rPr>
          <w:rStyle w:val="fontstyle01"/>
          <w:rFonts w:ascii="Times New Roman" w:eastAsiaTheme="majorEastAsia" w:hAnsi="Times New Roman"/>
          <w:color w:val="000000" w:themeColor="text1"/>
          <w:sz w:val="24"/>
          <w:szCs w:val="24"/>
        </w:rPr>
        <w:t xml:space="preserve">(Wagner </w:t>
      </w:r>
      <w:r>
        <w:rPr>
          <w:rStyle w:val="fontstyle01"/>
          <w:rFonts w:ascii="Times New Roman" w:eastAsiaTheme="majorEastAsia" w:hAnsi="Times New Roman"/>
          <w:color w:val="000000" w:themeColor="text1"/>
          <w:sz w:val="24"/>
          <w:szCs w:val="24"/>
        </w:rPr>
        <w:t>&amp;</w:t>
      </w:r>
      <w:r w:rsidRPr="00EA5861">
        <w:rPr>
          <w:rStyle w:val="fontstyle01"/>
          <w:rFonts w:ascii="Times New Roman" w:eastAsiaTheme="majorEastAsia" w:hAnsi="Times New Roman"/>
          <w:color w:val="000000" w:themeColor="text1"/>
          <w:sz w:val="24"/>
          <w:szCs w:val="24"/>
        </w:rPr>
        <w:t xml:space="preserve"> Bode, 2006)</w:t>
      </w:r>
      <w:r>
        <w:rPr>
          <w:rStyle w:val="fontstyle01"/>
          <w:rFonts w:ascii="Times New Roman" w:eastAsiaTheme="majorEastAsia" w:hAnsi="Times New Roman"/>
          <w:color w:val="000000" w:themeColor="text1"/>
          <w:sz w:val="24"/>
          <w:szCs w:val="24"/>
        </w:rPr>
        <w:t xml:space="preserve"> </w:t>
      </w:r>
      <w:r w:rsidRPr="00CF39F6">
        <w:rPr>
          <w:rStyle w:val="fontstyle01"/>
          <w:rFonts w:ascii="Times New Roman" w:eastAsiaTheme="majorEastAsia" w:hAnsi="Times New Roman"/>
          <w:color w:val="000000" w:themeColor="text1"/>
          <w:sz w:val="24"/>
          <w:szCs w:val="24"/>
        </w:rPr>
        <w:t>was chosen for this purpose. The variable showed good psychometric properties with the composite reliability</w:t>
      </w:r>
      <w:r>
        <w:rPr>
          <w:rStyle w:val="fontstyle01"/>
          <w:rFonts w:ascii="Times New Roman" w:eastAsiaTheme="majorEastAsia" w:hAnsi="Times New Roman"/>
          <w:color w:val="000000" w:themeColor="text1"/>
          <w:sz w:val="24"/>
          <w:szCs w:val="24"/>
        </w:rPr>
        <w:t xml:space="preserve"> (CR)</w:t>
      </w:r>
      <w:r w:rsidRPr="00CF39F6">
        <w:rPr>
          <w:rStyle w:val="fontstyle01"/>
          <w:rFonts w:ascii="Times New Roman" w:eastAsiaTheme="majorEastAsia" w:hAnsi="Times New Roman"/>
          <w:color w:val="000000" w:themeColor="text1"/>
          <w:sz w:val="24"/>
          <w:szCs w:val="24"/>
        </w:rPr>
        <w:t xml:space="preserve"> of 0.78 and average variance extracted </w:t>
      </w:r>
      <w:r w:rsidRPr="00CF39F6">
        <w:rPr>
          <w:color w:val="000000" w:themeColor="text1"/>
        </w:rPr>
        <w:t xml:space="preserve">(AVE) </w:t>
      </w:r>
      <w:r w:rsidRPr="00CF39F6">
        <w:rPr>
          <w:rStyle w:val="fontstyle01"/>
          <w:rFonts w:ascii="Times New Roman" w:eastAsiaTheme="majorEastAsia" w:hAnsi="Times New Roman"/>
          <w:color w:val="000000" w:themeColor="text1"/>
          <w:sz w:val="24"/>
          <w:szCs w:val="24"/>
        </w:rPr>
        <w:t xml:space="preserve">of 0.54. We </w:t>
      </w:r>
      <w:r>
        <w:rPr>
          <w:rStyle w:val="fontstyle01"/>
          <w:rFonts w:ascii="Times New Roman" w:eastAsiaTheme="majorEastAsia" w:hAnsi="Times New Roman"/>
          <w:color w:val="000000" w:themeColor="text1"/>
          <w:sz w:val="24"/>
          <w:szCs w:val="24"/>
        </w:rPr>
        <w:t>applied</w:t>
      </w:r>
      <w:r w:rsidRPr="00CF39F6">
        <w:rPr>
          <w:rStyle w:val="fontstyle01"/>
          <w:rFonts w:ascii="Times New Roman" w:eastAsiaTheme="majorEastAsia" w:hAnsi="Times New Roman"/>
          <w:color w:val="000000" w:themeColor="text1"/>
          <w:sz w:val="24"/>
          <w:szCs w:val="24"/>
        </w:rPr>
        <w:t xml:space="preserve"> its correlation with all other model variables. </w:t>
      </w:r>
      <w:r>
        <w:rPr>
          <w:rStyle w:val="fontstyle01"/>
          <w:rFonts w:ascii="Times New Roman" w:eastAsiaTheme="majorEastAsia" w:hAnsi="Times New Roman"/>
          <w:color w:val="000000" w:themeColor="text1"/>
          <w:sz w:val="24"/>
          <w:szCs w:val="24"/>
        </w:rPr>
        <w:t>The h</w:t>
      </w:r>
      <w:r w:rsidRPr="00CF39F6">
        <w:rPr>
          <w:rStyle w:val="fontstyle01"/>
          <w:rFonts w:ascii="Times New Roman" w:eastAsiaTheme="majorEastAsia" w:hAnsi="Times New Roman"/>
          <w:color w:val="000000" w:themeColor="text1"/>
          <w:sz w:val="24"/>
          <w:szCs w:val="24"/>
        </w:rPr>
        <w:t>ighest bi-variate correlation was with innovation (</w:t>
      </w:r>
      <w:r w:rsidRPr="00CF39F6">
        <w:rPr>
          <w:rStyle w:val="fontstyle01"/>
          <w:rFonts w:ascii="Times New Roman" w:eastAsiaTheme="majorEastAsia" w:hAnsi="Times New Roman"/>
          <w:i/>
          <w:color w:val="000000" w:themeColor="text1"/>
          <w:sz w:val="24"/>
          <w:szCs w:val="24"/>
        </w:rPr>
        <w:t>r</w:t>
      </w:r>
      <w:r w:rsidRPr="00CF39F6">
        <w:rPr>
          <w:rStyle w:val="fontstyle01"/>
          <w:rFonts w:ascii="Times New Roman" w:eastAsiaTheme="majorEastAsia" w:hAnsi="Times New Roman"/>
          <w:color w:val="000000" w:themeColor="text1"/>
          <w:sz w:val="24"/>
          <w:szCs w:val="24"/>
        </w:rPr>
        <w:t xml:space="preserve"> = 0.15, </w:t>
      </w:r>
      <w:r w:rsidRPr="00CF39F6">
        <w:rPr>
          <w:rStyle w:val="fontstyle01"/>
          <w:rFonts w:ascii="Times New Roman" w:eastAsiaTheme="majorEastAsia" w:hAnsi="Times New Roman"/>
          <w:i/>
          <w:color w:val="000000" w:themeColor="text1"/>
          <w:sz w:val="24"/>
          <w:szCs w:val="24"/>
        </w:rPr>
        <w:t>p</w:t>
      </w:r>
      <w:r w:rsidRPr="00CF39F6">
        <w:rPr>
          <w:rStyle w:val="fontstyle01"/>
          <w:rFonts w:ascii="Times New Roman" w:eastAsiaTheme="majorEastAsia" w:hAnsi="Times New Roman"/>
          <w:color w:val="000000" w:themeColor="text1"/>
          <w:sz w:val="24"/>
          <w:szCs w:val="24"/>
        </w:rPr>
        <w:t xml:space="preserve"> &lt; 0.05). All other bi-variate correlations were insignificant. Based on this</w:t>
      </w:r>
      <w:r>
        <w:rPr>
          <w:rStyle w:val="fontstyle01"/>
          <w:rFonts w:ascii="Times New Roman" w:eastAsiaTheme="majorEastAsia" w:hAnsi="Times New Roman"/>
          <w:color w:val="000000" w:themeColor="text1"/>
          <w:sz w:val="24"/>
          <w:szCs w:val="24"/>
        </w:rPr>
        <w:t xml:space="preserve"> </w:t>
      </w:r>
      <w:r w:rsidRPr="00CF39F6">
        <w:rPr>
          <w:rStyle w:val="fontstyle01"/>
          <w:rFonts w:ascii="Times New Roman" w:eastAsiaTheme="majorEastAsia" w:hAnsi="Times New Roman"/>
          <w:color w:val="000000" w:themeColor="text1"/>
          <w:sz w:val="24"/>
          <w:szCs w:val="24"/>
        </w:rPr>
        <w:t xml:space="preserve">we concluded that </w:t>
      </w:r>
      <w:r>
        <w:rPr>
          <w:rStyle w:val="fontstyle01"/>
          <w:rFonts w:ascii="Times New Roman" w:eastAsiaTheme="majorEastAsia" w:hAnsi="Times New Roman"/>
          <w:color w:val="000000" w:themeColor="text1"/>
          <w:sz w:val="24"/>
          <w:szCs w:val="24"/>
        </w:rPr>
        <w:t xml:space="preserve">a </w:t>
      </w:r>
      <w:r w:rsidRPr="00CF39F6">
        <w:rPr>
          <w:rStyle w:val="fontstyle01"/>
          <w:rFonts w:ascii="Times New Roman" w:eastAsiaTheme="majorEastAsia" w:hAnsi="Times New Roman"/>
          <w:color w:val="000000" w:themeColor="text1"/>
          <w:sz w:val="24"/>
          <w:szCs w:val="24"/>
        </w:rPr>
        <w:t xml:space="preserve">CMB was not a problem in </w:t>
      </w:r>
      <w:r>
        <w:rPr>
          <w:rStyle w:val="fontstyle01"/>
          <w:rFonts w:ascii="Times New Roman" w:eastAsiaTheme="majorEastAsia" w:hAnsi="Times New Roman"/>
          <w:color w:val="000000" w:themeColor="text1"/>
          <w:sz w:val="24"/>
          <w:szCs w:val="24"/>
        </w:rPr>
        <w:t>our</w:t>
      </w:r>
      <w:r w:rsidRPr="00CF39F6">
        <w:rPr>
          <w:rStyle w:val="fontstyle01"/>
          <w:rFonts w:ascii="Times New Roman" w:eastAsiaTheme="majorEastAsia" w:hAnsi="Times New Roman"/>
          <w:color w:val="000000" w:themeColor="text1"/>
          <w:sz w:val="24"/>
          <w:szCs w:val="24"/>
        </w:rPr>
        <w:t xml:space="preserve"> research.</w:t>
      </w:r>
    </w:p>
    <w:p w14:paraId="51226CD7" w14:textId="77777777" w:rsidR="002E52C5" w:rsidRPr="00CF39F6" w:rsidRDefault="002E52C5" w:rsidP="007742CC">
      <w:pPr>
        <w:spacing w:line="480" w:lineRule="auto"/>
        <w:ind w:firstLine="360"/>
        <w:jc w:val="both"/>
        <w:rPr>
          <w:rStyle w:val="fontstyle01"/>
          <w:rFonts w:ascii="Times New Roman" w:eastAsiaTheme="majorEastAsia" w:hAnsi="Times New Roman"/>
          <w:color w:val="000000" w:themeColor="text1"/>
          <w:sz w:val="24"/>
          <w:szCs w:val="24"/>
        </w:rPr>
      </w:pPr>
    </w:p>
    <w:p w14:paraId="048F6C72" w14:textId="77777777" w:rsidR="007742CC" w:rsidRPr="008A4467" w:rsidRDefault="007742CC" w:rsidP="007742CC">
      <w:pPr>
        <w:spacing w:before="160" w:line="480" w:lineRule="auto"/>
        <w:ind w:left="360"/>
        <w:jc w:val="center"/>
        <w:rPr>
          <w:rStyle w:val="fontstyle01"/>
          <w:rFonts w:ascii="Times New Roman" w:eastAsiaTheme="majorEastAsia" w:hAnsi="Times New Roman"/>
          <w:b/>
          <w:color w:val="000000" w:themeColor="text1"/>
          <w:sz w:val="24"/>
          <w:szCs w:val="24"/>
        </w:rPr>
      </w:pPr>
      <w:r>
        <w:rPr>
          <w:rStyle w:val="fontstyle01"/>
          <w:rFonts w:ascii="Times New Roman" w:eastAsiaTheme="majorEastAsia" w:hAnsi="Times New Roman"/>
          <w:b/>
          <w:color w:val="000000" w:themeColor="text1"/>
          <w:sz w:val="24"/>
          <w:szCs w:val="24"/>
        </w:rPr>
        <w:lastRenderedPageBreak/>
        <w:t>4.</w:t>
      </w:r>
      <w:r w:rsidRPr="008A4467">
        <w:rPr>
          <w:rStyle w:val="fontstyle01"/>
          <w:rFonts w:ascii="Times New Roman" w:eastAsiaTheme="majorEastAsia" w:hAnsi="Times New Roman"/>
          <w:b/>
          <w:color w:val="000000" w:themeColor="text1"/>
          <w:sz w:val="24"/>
          <w:szCs w:val="24"/>
        </w:rPr>
        <w:t xml:space="preserve"> RESULTS</w:t>
      </w:r>
    </w:p>
    <w:p w14:paraId="0D3FFA67" w14:textId="45FB4EAB" w:rsidR="007742CC" w:rsidRPr="008A4467" w:rsidRDefault="007742CC" w:rsidP="007742CC">
      <w:pPr>
        <w:spacing w:before="160" w:line="480" w:lineRule="auto"/>
        <w:rPr>
          <w:rStyle w:val="fontstyle01"/>
          <w:rFonts w:ascii="Times New Roman" w:eastAsiaTheme="majorEastAsia" w:hAnsi="Times New Roman"/>
          <w:b/>
          <w:i/>
          <w:iCs/>
          <w:color w:val="000000" w:themeColor="text1"/>
          <w:sz w:val="24"/>
          <w:szCs w:val="24"/>
        </w:rPr>
      </w:pPr>
      <w:r>
        <w:rPr>
          <w:rStyle w:val="fontstyle01"/>
          <w:rFonts w:ascii="Times New Roman" w:eastAsiaTheme="majorEastAsia" w:hAnsi="Times New Roman"/>
          <w:b/>
          <w:i/>
          <w:iCs/>
          <w:color w:val="000000" w:themeColor="text1"/>
          <w:sz w:val="24"/>
          <w:szCs w:val="24"/>
        </w:rPr>
        <w:t xml:space="preserve">4.1 </w:t>
      </w:r>
      <w:r w:rsidRPr="008A4467">
        <w:rPr>
          <w:rStyle w:val="fontstyle01"/>
          <w:rFonts w:ascii="Times New Roman" w:eastAsiaTheme="majorEastAsia" w:hAnsi="Times New Roman"/>
          <w:b/>
          <w:i/>
          <w:iCs/>
          <w:color w:val="000000" w:themeColor="text1"/>
          <w:sz w:val="24"/>
          <w:szCs w:val="24"/>
        </w:rPr>
        <w:t xml:space="preserve">Measurement </w:t>
      </w:r>
      <w:r w:rsidR="00071552">
        <w:rPr>
          <w:rStyle w:val="fontstyle01"/>
          <w:rFonts w:ascii="Times New Roman" w:eastAsiaTheme="majorEastAsia" w:hAnsi="Times New Roman"/>
          <w:b/>
          <w:i/>
          <w:iCs/>
          <w:color w:val="000000" w:themeColor="text1"/>
          <w:sz w:val="24"/>
          <w:szCs w:val="24"/>
        </w:rPr>
        <w:t>M</w:t>
      </w:r>
      <w:r w:rsidRPr="008A4467">
        <w:rPr>
          <w:rStyle w:val="fontstyle01"/>
          <w:rFonts w:ascii="Times New Roman" w:eastAsiaTheme="majorEastAsia" w:hAnsi="Times New Roman"/>
          <w:b/>
          <w:i/>
          <w:iCs/>
          <w:color w:val="000000" w:themeColor="text1"/>
          <w:sz w:val="24"/>
          <w:szCs w:val="24"/>
        </w:rPr>
        <w:t xml:space="preserve">odel </w:t>
      </w:r>
      <w:r w:rsidR="00071552">
        <w:rPr>
          <w:rStyle w:val="fontstyle01"/>
          <w:rFonts w:ascii="Times New Roman" w:eastAsiaTheme="majorEastAsia" w:hAnsi="Times New Roman"/>
          <w:b/>
          <w:i/>
          <w:iCs/>
          <w:color w:val="000000" w:themeColor="text1"/>
          <w:sz w:val="24"/>
          <w:szCs w:val="24"/>
        </w:rPr>
        <w:t>V</w:t>
      </w:r>
      <w:r w:rsidRPr="008A4467">
        <w:rPr>
          <w:rStyle w:val="fontstyle01"/>
          <w:rFonts w:ascii="Times New Roman" w:eastAsiaTheme="majorEastAsia" w:hAnsi="Times New Roman"/>
          <w:b/>
          <w:i/>
          <w:iCs/>
          <w:color w:val="000000" w:themeColor="text1"/>
          <w:sz w:val="24"/>
          <w:szCs w:val="24"/>
        </w:rPr>
        <w:t>alidation</w:t>
      </w:r>
    </w:p>
    <w:p w14:paraId="6A76029A" w14:textId="77777777" w:rsidR="007742CC" w:rsidRPr="00CF39F6" w:rsidRDefault="007742CC" w:rsidP="007742CC">
      <w:pPr>
        <w:spacing w:line="480" w:lineRule="auto"/>
        <w:jc w:val="both"/>
        <w:rPr>
          <w:color w:val="000000" w:themeColor="text1"/>
        </w:rPr>
      </w:pPr>
      <w:r w:rsidRPr="00CF39F6">
        <w:rPr>
          <w:rStyle w:val="fontstyle01"/>
          <w:rFonts w:ascii="Times New Roman" w:eastAsiaTheme="majorEastAsia" w:hAnsi="Times New Roman"/>
          <w:color w:val="000000" w:themeColor="text1"/>
          <w:sz w:val="24"/>
          <w:szCs w:val="24"/>
        </w:rPr>
        <w:t xml:space="preserve">We used confirmatory factor analysis (CFA) to validate the measurement model. </w:t>
      </w:r>
      <w:r>
        <w:rPr>
          <w:rStyle w:val="fontstyle01"/>
          <w:rFonts w:ascii="Times New Roman" w:eastAsiaTheme="majorEastAsia" w:hAnsi="Times New Roman"/>
          <w:color w:val="000000" w:themeColor="text1"/>
          <w:sz w:val="24"/>
          <w:szCs w:val="24"/>
        </w:rPr>
        <w:t>The m</w:t>
      </w:r>
      <w:r w:rsidRPr="00CF39F6">
        <w:rPr>
          <w:rStyle w:val="fontstyle01"/>
          <w:rFonts w:ascii="Times New Roman" w:eastAsiaTheme="majorEastAsia" w:hAnsi="Times New Roman"/>
          <w:color w:val="000000" w:themeColor="text1"/>
          <w:sz w:val="24"/>
          <w:szCs w:val="24"/>
        </w:rPr>
        <w:t xml:space="preserve">odel fit indices </w:t>
      </w:r>
      <w:r w:rsidRPr="00CF39F6">
        <w:rPr>
          <w:color w:val="000000" w:themeColor="text1"/>
        </w:rPr>
        <w:t>(</w:t>
      </w:r>
      <w:r w:rsidRPr="00CF39F6">
        <w:rPr>
          <w:i/>
          <w:color w:val="000000" w:themeColor="text1"/>
        </w:rPr>
        <w:t>χ</w:t>
      </w:r>
      <w:r w:rsidRPr="00CF39F6">
        <w:rPr>
          <w:color w:val="000000" w:themeColor="text1"/>
          <w:vertAlign w:val="superscript"/>
        </w:rPr>
        <w:t>2</w:t>
      </w:r>
      <w:r w:rsidRPr="00CF39F6">
        <w:rPr>
          <w:color w:val="000000" w:themeColor="text1"/>
        </w:rPr>
        <w:t xml:space="preserve"> = 1.37, </w:t>
      </w:r>
      <w:r w:rsidRPr="00CF39F6">
        <w:rPr>
          <w:i/>
          <w:color w:val="000000" w:themeColor="text1"/>
        </w:rPr>
        <w:t>p</w:t>
      </w:r>
      <w:r w:rsidRPr="00CF39F6">
        <w:rPr>
          <w:color w:val="000000" w:themeColor="text1"/>
        </w:rPr>
        <w:t xml:space="preserve"> &lt; 0.01; CFI = 0.97</w:t>
      </w:r>
      <w:r>
        <w:rPr>
          <w:color w:val="000000" w:themeColor="text1"/>
        </w:rPr>
        <w:t>;</w:t>
      </w:r>
      <w:r w:rsidRPr="00CF39F6">
        <w:rPr>
          <w:color w:val="000000" w:themeColor="text1"/>
        </w:rPr>
        <w:t xml:space="preserve"> SRMR = 0.06</w:t>
      </w:r>
      <w:r>
        <w:rPr>
          <w:color w:val="000000" w:themeColor="text1"/>
        </w:rPr>
        <w:t>;</w:t>
      </w:r>
      <w:r w:rsidRPr="00CF39F6">
        <w:rPr>
          <w:color w:val="000000" w:themeColor="text1"/>
        </w:rPr>
        <w:t xml:space="preserve"> RMSEA = 0.041) showed a good model fit</w:t>
      </w:r>
      <w:r>
        <w:rPr>
          <w:color w:val="000000" w:themeColor="text1"/>
        </w:rPr>
        <w:t xml:space="preserve"> </w:t>
      </w:r>
      <w:r w:rsidRPr="004863F6">
        <w:rPr>
          <w:color w:val="000000" w:themeColor="text1"/>
        </w:rPr>
        <w:t xml:space="preserve">(Hu </w:t>
      </w:r>
      <w:r>
        <w:rPr>
          <w:color w:val="000000" w:themeColor="text1"/>
        </w:rPr>
        <w:t>&amp;</w:t>
      </w:r>
      <w:r w:rsidRPr="004863F6">
        <w:rPr>
          <w:color w:val="000000" w:themeColor="text1"/>
        </w:rPr>
        <w:t xml:space="preserve"> Bentler, 1999)</w:t>
      </w:r>
      <w:r w:rsidRPr="00CF39F6">
        <w:rPr>
          <w:color w:val="000000" w:themeColor="text1"/>
        </w:rPr>
        <w:t xml:space="preserve">. </w:t>
      </w:r>
      <w:r>
        <w:rPr>
          <w:color w:val="000000" w:themeColor="text1"/>
        </w:rPr>
        <w:t>The f</w:t>
      </w:r>
      <w:r w:rsidRPr="00CF39F6">
        <w:rPr>
          <w:color w:val="000000" w:themeColor="text1"/>
        </w:rPr>
        <w:t xml:space="preserve">actor loadings for all constructs averaged </w:t>
      </w:r>
      <w:r>
        <w:rPr>
          <w:color w:val="000000" w:themeColor="text1"/>
        </w:rPr>
        <w:t>at</w:t>
      </w:r>
      <w:r w:rsidRPr="00CF39F6">
        <w:rPr>
          <w:color w:val="000000" w:themeColor="text1"/>
        </w:rPr>
        <w:t xml:space="preserve"> about 0.7, and the AVE values were greater than 0.5</w:t>
      </w:r>
      <w:r>
        <w:rPr>
          <w:color w:val="000000" w:themeColor="text1"/>
        </w:rPr>
        <w:t xml:space="preserve"> </w:t>
      </w:r>
      <w:r w:rsidRPr="004863F6">
        <w:rPr>
          <w:color w:val="000000" w:themeColor="text1"/>
        </w:rPr>
        <w:t xml:space="preserve">(Fornell </w:t>
      </w:r>
      <w:r>
        <w:rPr>
          <w:color w:val="000000" w:themeColor="text1"/>
        </w:rPr>
        <w:t>&amp;</w:t>
      </w:r>
      <w:r w:rsidRPr="004863F6">
        <w:rPr>
          <w:color w:val="000000" w:themeColor="text1"/>
        </w:rPr>
        <w:t xml:space="preserve"> Larcker, 1981)</w:t>
      </w:r>
      <w:r w:rsidRPr="00CF39F6">
        <w:rPr>
          <w:color w:val="000000" w:themeColor="text1"/>
        </w:rPr>
        <w:t xml:space="preserve">. In conjunction with the significant </w:t>
      </w:r>
      <w:r w:rsidRPr="00CF39F6">
        <w:rPr>
          <w:i/>
          <w:color w:val="000000" w:themeColor="text1"/>
        </w:rPr>
        <w:t>p</w:t>
      </w:r>
      <w:r w:rsidRPr="00CF39F6">
        <w:rPr>
          <w:color w:val="000000" w:themeColor="text1"/>
        </w:rPr>
        <w:t xml:space="preserve">-values for all items, this indicated adequate convergent validity. </w:t>
      </w:r>
    </w:p>
    <w:p w14:paraId="4C4ECF32" w14:textId="77777777" w:rsidR="007742CC" w:rsidRPr="00CF39F6" w:rsidRDefault="007742CC" w:rsidP="007742CC">
      <w:pPr>
        <w:spacing w:line="480" w:lineRule="auto"/>
        <w:ind w:firstLine="360"/>
        <w:jc w:val="both"/>
        <w:rPr>
          <w:color w:val="000000" w:themeColor="text1"/>
        </w:rPr>
      </w:pPr>
      <w:r w:rsidRPr="00CF39F6">
        <w:rPr>
          <w:color w:val="000000" w:themeColor="text1"/>
        </w:rPr>
        <w:t xml:space="preserve">To assess the discriminant validity, we compared the square-root of AVE for each variable with its bi-variate correlations with all other variables. In each scenario, </w:t>
      </w:r>
      <w:r>
        <w:rPr>
          <w:color w:val="000000" w:themeColor="text1"/>
        </w:rPr>
        <w:t xml:space="preserve">the </w:t>
      </w:r>
      <w:r w:rsidRPr="00CF39F6">
        <w:rPr>
          <w:color w:val="000000" w:themeColor="text1"/>
        </w:rPr>
        <w:t xml:space="preserve">square-root of AVE was greater than the associated correlations, providing evidence for discriminant validity </w:t>
      </w:r>
      <w:r w:rsidRPr="004863F6">
        <w:rPr>
          <w:color w:val="000000" w:themeColor="text1"/>
        </w:rPr>
        <w:t xml:space="preserve">(Fornell </w:t>
      </w:r>
      <w:r>
        <w:rPr>
          <w:color w:val="000000" w:themeColor="text1"/>
        </w:rPr>
        <w:t>&amp;</w:t>
      </w:r>
      <w:r w:rsidRPr="004863F6">
        <w:rPr>
          <w:color w:val="000000" w:themeColor="text1"/>
        </w:rPr>
        <w:t xml:space="preserve"> Larcker, 1981)</w:t>
      </w:r>
      <w:r w:rsidRPr="00CF39F6">
        <w:rPr>
          <w:color w:val="000000" w:themeColor="text1"/>
        </w:rPr>
        <w:t>. CR</w:t>
      </w:r>
      <w:r>
        <w:rPr>
          <w:color w:val="000000" w:themeColor="text1"/>
        </w:rPr>
        <w:t xml:space="preserve"> </w:t>
      </w:r>
      <w:r w:rsidRPr="00CF39F6">
        <w:rPr>
          <w:color w:val="000000" w:themeColor="text1"/>
        </w:rPr>
        <w:t>was used to estimate the internal consistency reliability of the constructs. All constructs showed suitable levels of reliability with CR coefficients higher than 0.8. Table III provides the standardized loadings, AVE</w:t>
      </w:r>
      <w:r w:rsidRPr="0026292D">
        <w:rPr>
          <w:color w:val="FF0000"/>
        </w:rPr>
        <w:t>,</w:t>
      </w:r>
      <w:r w:rsidRPr="00CF39F6">
        <w:rPr>
          <w:color w:val="000000" w:themeColor="text1"/>
        </w:rPr>
        <w:t xml:space="preserve"> and CR for all constructs. Table IV shows the comparisons between the correlations and the square-root of AVEs. Table IV also provides the means and standard deviations (SD) for the constructs of this study.</w:t>
      </w:r>
    </w:p>
    <w:p w14:paraId="066F97AB" w14:textId="77777777" w:rsidR="007742CC" w:rsidRDefault="007742CC" w:rsidP="007742CC">
      <w:pPr>
        <w:spacing w:before="160" w:after="160" w:line="480" w:lineRule="auto"/>
        <w:jc w:val="both"/>
      </w:pPr>
      <w:r w:rsidRPr="006A78A4">
        <w:t xml:space="preserve">------------------------------------Insert </w:t>
      </w:r>
      <w:r>
        <w:t>Table</w:t>
      </w:r>
      <w:r w:rsidRPr="006A78A4">
        <w:t xml:space="preserve"> </w:t>
      </w:r>
      <w:r>
        <w:t>III</w:t>
      </w:r>
      <w:r w:rsidRPr="006A78A4">
        <w:t xml:space="preserve"> Approximately Here-----------------------------------</w:t>
      </w:r>
    </w:p>
    <w:p w14:paraId="021A412F" w14:textId="77777777" w:rsidR="007742CC" w:rsidRPr="004863F6" w:rsidRDefault="007742CC" w:rsidP="007742CC">
      <w:pPr>
        <w:spacing w:before="160" w:after="160" w:line="480" w:lineRule="auto"/>
        <w:jc w:val="both"/>
      </w:pPr>
      <w:r w:rsidRPr="006A78A4">
        <w:t xml:space="preserve">------------------------------------Insert </w:t>
      </w:r>
      <w:r>
        <w:t>Table</w:t>
      </w:r>
      <w:r w:rsidRPr="006A78A4">
        <w:t xml:space="preserve"> </w:t>
      </w:r>
      <w:r>
        <w:t>IV</w:t>
      </w:r>
      <w:r w:rsidRPr="006A78A4">
        <w:t xml:space="preserve"> Approximately Here-----------------------------------</w:t>
      </w:r>
    </w:p>
    <w:p w14:paraId="4443552E" w14:textId="66C44A79" w:rsidR="007742CC" w:rsidRPr="00DB1AED" w:rsidRDefault="007742CC" w:rsidP="007742CC">
      <w:pPr>
        <w:spacing w:before="160" w:line="480" w:lineRule="auto"/>
        <w:rPr>
          <w:rStyle w:val="fontstyle01"/>
          <w:rFonts w:ascii="Times New Roman" w:eastAsiaTheme="majorEastAsia" w:hAnsi="Times New Roman"/>
          <w:b/>
          <w:i/>
          <w:color w:val="000000" w:themeColor="text1"/>
          <w:sz w:val="24"/>
          <w:szCs w:val="24"/>
        </w:rPr>
      </w:pPr>
      <w:r w:rsidRPr="00DB1AED">
        <w:rPr>
          <w:rStyle w:val="fontstyle01"/>
          <w:rFonts w:ascii="Times New Roman" w:eastAsiaTheme="majorEastAsia" w:hAnsi="Times New Roman"/>
          <w:b/>
          <w:i/>
          <w:color w:val="000000" w:themeColor="text1"/>
          <w:sz w:val="24"/>
          <w:szCs w:val="24"/>
        </w:rPr>
        <w:t xml:space="preserve">4.2 Structural </w:t>
      </w:r>
      <w:r w:rsidR="00071552">
        <w:rPr>
          <w:rStyle w:val="fontstyle01"/>
          <w:rFonts w:ascii="Times New Roman" w:eastAsiaTheme="majorEastAsia" w:hAnsi="Times New Roman"/>
          <w:b/>
          <w:i/>
          <w:color w:val="000000" w:themeColor="text1"/>
          <w:sz w:val="24"/>
          <w:szCs w:val="24"/>
        </w:rPr>
        <w:t>M</w:t>
      </w:r>
      <w:r w:rsidRPr="00DB1AED">
        <w:rPr>
          <w:rStyle w:val="fontstyle01"/>
          <w:rFonts w:ascii="Times New Roman" w:eastAsiaTheme="majorEastAsia" w:hAnsi="Times New Roman"/>
          <w:b/>
          <w:i/>
          <w:color w:val="000000" w:themeColor="text1"/>
          <w:sz w:val="24"/>
          <w:szCs w:val="24"/>
        </w:rPr>
        <w:t xml:space="preserve">odel </w:t>
      </w:r>
      <w:r w:rsidR="00071552">
        <w:rPr>
          <w:rStyle w:val="fontstyle01"/>
          <w:rFonts w:ascii="Times New Roman" w:eastAsiaTheme="majorEastAsia" w:hAnsi="Times New Roman"/>
          <w:b/>
          <w:i/>
          <w:color w:val="000000" w:themeColor="text1"/>
          <w:sz w:val="24"/>
          <w:szCs w:val="24"/>
        </w:rPr>
        <w:t>E</w:t>
      </w:r>
      <w:r w:rsidRPr="00DB1AED">
        <w:rPr>
          <w:rStyle w:val="fontstyle01"/>
          <w:rFonts w:ascii="Times New Roman" w:eastAsiaTheme="majorEastAsia" w:hAnsi="Times New Roman"/>
          <w:b/>
          <w:i/>
          <w:color w:val="000000" w:themeColor="text1"/>
          <w:sz w:val="24"/>
          <w:szCs w:val="24"/>
        </w:rPr>
        <w:t>valuation</w:t>
      </w:r>
    </w:p>
    <w:p w14:paraId="6627ACE3" w14:textId="77777777" w:rsidR="007742CC" w:rsidRPr="00CF39F6" w:rsidRDefault="007742CC" w:rsidP="007742CC">
      <w:pPr>
        <w:spacing w:line="480" w:lineRule="auto"/>
        <w:jc w:val="both"/>
        <w:rPr>
          <w:rStyle w:val="fontstyle01"/>
          <w:rFonts w:ascii="Times New Roman" w:eastAsiaTheme="majorEastAsia" w:hAnsi="Times New Roman"/>
          <w:color w:val="000000" w:themeColor="text1"/>
          <w:sz w:val="24"/>
          <w:szCs w:val="24"/>
        </w:rPr>
      </w:pPr>
      <w:r w:rsidRPr="00CF39F6">
        <w:rPr>
          <w:rStyle w:val="fontstyle01"/>
          <w:rFonts w:ascii="Times New Roman" w:eastAsiaTheme="majorEastAsia" w:hAnsi="Times New Roman"/>
          <w:color w:val="000000" w:themeColor="text1"/>
          <w:sz w:val="24"/>
          <w:szCs w:val="24"/>
        </w:rPr>
        <w:t>Before testing the structural model, we tested assumptions of multivariate tests. Mahalanobis distances were used to estimate multivariate outliers. Based on the chi-square</w:t>
      </w:r>
      <w:r w:rsidRPr="0026292D">
        <w:rPr>
          <w:rStyle w:val="fontstyle01"/>
          <w:rFonts w:ascii="Times New Roman" w:eastAsiaTheme="majorEastAsia" w:hAnsi="Times New Roman"/>
          <w:color w:val="FF0000"/>
          <w:sz w:val="24"/>
          <w:szCs w:val="24"/>
        </w:rPr>
        <w:t>d</w:t>
      </w:r>
      <w:r w:rsidRPr="00CF39F6">
        <w:rPr>
          <w:rStyle w:val="fontstyle01"/>
          <w:rFonts w:ascii="Times New Roman" w:eastAsiaTheme="majorEastAsia" w:hAnsi="Times New Roman"/>
          <w:color w:val="000000" w:themeColor="text1"/>
          <w:sz w:val="24"/>
          <w:szCs w:val="24"/>
        </w:rPr>
        <w:t xml:space="preserve"> test, only one significant outlier was observed in the data set. We did not consider it influential in the analysis and kept it in the data set. We tested the univariate normality through the coefficients of skewness </w:t>
      </w:r>
      <w:r w:rsidRPr="00CF39F6">
        <w:rPr>
          <w:rStyle w:val="fontstyle01"/>
          <w:rFonts w:ascii="Times New Roman" w:eastAsiaTheme="majorEastAsia" w:hAnsi="Times New Roman"/>
          <w:color w:val="000000" w:themeColor="text1"/>
          <w:sz w:val="24"/>
          <w:szCs w:val="24"/>
        </w:rPr>
        <w:lastRenderedPageBreak/>
        <w:t xml:space="preserve">and kurtosis while the multivariate normality and homoscedasticity were tested through the residual plots by predicted values. The highest values of skewness and kurtosis coefficients (-0.94 and 1.37 respectively) were well within acceptable limits </w:t>
      </w:r>
      <w:r w:rsidRPr="001A090D">
        <w:rPr>
          <w:rStyle w:val="fontstyle01"/>
          <w:rFonts w:ascii="Times New Roman" w:eastAsiaTheme="majorEastAsia" w:hAnsi="Times New Roman"/>
          <w:color w:val="000000" w:themeColor="text1"/>
          <w:sz w:val="24"/>
          <w:szCs w:val="24"/>
        </w:rPr>
        <w:fldChar w:fldCharType="begin"/>
      </w:r>
      <w:r>
        <w:rPr>
          <w:rStyle w:val="fontstyle01"/>
          <w:rFonts w:ascii="Times New Roman" w:eastAsiaTheme="majorEastAsia" w:hAnsi="Times New Roman"/>
          <w:color w:val="000000" w:themeColor="text1"/>
          <w:sz w:val="24"/>
          <w:szCs w:val="24"/>
        </w:rPr>
        <w:instrText xml:space="preserve"> ADDIN EN.CITE &lt;EndNote&gt;&lt;Cite&gt;&lt;Author&gt;Curran&lt;/Author&gt;&lt;Year&gt;1996&lt;/Year&gt;&lt;RecNum&gt;1105&lt;/RecNum&gt;&lt;DisplayText&gt;(Curran et al., 1996)&lt;/DisplayText&gt;&lt;record&gt;&lt;rec-number&gt;1105&lt;/rec-number&gt;&lt;foreign-keys&gt;&lt;key app="EN" db-id="0ewd29dz4ds0vmee9zpx5s9udxtatsf5ffpw" timestamp="0"&gt;1105&lt;/key&gt;&lt;/foreign-keys&gt;&lt;ref-type name="Journal Article"&gt;17&lt;/ref-type&gt;&lt;contributors&gt;&lt;authors&gt;&lt;author&gt;Curran, Patrick J&lt;/author&gt;&lt;author&gt;West, Stephen G&lt;/author&gt;&lt;author&gt;Finch, John F&lt;/author&gt;&lt;/authors&gt;&lt;/contributors&gt;&lt;titles&gt;&lt;title&gt;The robustness of test statistics to nonnormality and specification error in confirmatory factor analysis&lt;/title&gt;&lt;secondary-title&gt;Psychological methods&lt;/secondary-title&gt;&lt;/titles&gt;&lt;pages&gt;16&lt;/pages&gt;&lt;volume&gt;1&lt;/volume&gt;&lt;number&gt;1&lt;/number&gt;&lt;dates&gt;&lt;year&gt;1996&lt;/year&gt;&lt;/dates&gt;&lt;isbn&gt;1939-1463&lt;/isbn&gt;&lt;urls&gt;&lt;/urls&gt;&lt;/record&gt;&lt;/Cite&gt;&lt;/EndNote&gt;</w:instrText>
      </w:r>
      <w:r w:rsidRPr="001A090D">
        <w:rPr>
          <w:rStyle w:val="fontstyle01"/>
          <w:rFonts w:ascii="Times New Roman" w:eastAsiaTheme="majorEastAsia" w:hAnsi="Times New Roman"/>
          <w:color w:val="000000" w:themeColor="text1"/>
          <w:sz w:val="24"/>
          <w:szCs w:val="24"/>
        </w:rPr>
        <w:fldChar w:fldCharType="separate"/>
      </w:r>
      <w:r>
        <w:rPr>
          <w:rStyle w:val="fontstyle01"/>
          <w:rFonts w:ascii="Times New Roman" w:eastAsiaTheme="majorEastAsia" w:hAnsi="Times New Roman"/>
          <w:noProof/>
          <w:color w:val="000000" w:themeColor="text1"/>
          <w:sz w:val="24"/>
          <w:szCs w:val="24"/>
        </w:rPr>
        <w:t>(Curran et al., 1996)</w:t>
      </w:r>
      <w:r w:rsidRPr="001A090D">
        <w:rPr>
          <w:rStyle w:val="fontstyle01"/>
          <w:rFonts w:ascii="Times New Roman" w:eastAsiaTheme="majorEastAsia" w:hAnsi="Times New Roman"/>
          <w:color w:val="000000" w:themeColor="text1"/>
          <w:sz w:val="24"/>
          <w:szCs w:val="24"/>
        </w:rPr>
        <w:fldChar w:fldCharType="end"/>
      </w:r>
      <w:r w:rsidRPr="00CF39F6">
        <w:rPr>
          <w:rStyle w:val="fontstyle01"/>
          <w:rFonts w:ascii="Times New Roman" w:eastAsiaTheme="majorEastAsia" w:hAnsi="Times New Roman"/>
          <w:color w:val="000000" w:themeColor="text1"/>
          <w:sz w:val="24"/>
          <w:szCs w:val="24"/>
        </w:rPr>
        <w:t>. Furthermore, residual plots did not raise any cause for concern regarding multivariate normality or homoscedasticity. The scatter plots between endogenous and exogenous constructs provided strong indication of linear relationship, hence the linearity assumption was also met. Finally, we tested multicollinearity through the assessment of variance inflation factors (VIFs). All factors were below three, well below the threshold of 10. Hence</w:t>
      </w:r>
      <w:r>
        <w:rPr>
          <w:rStyle w:val="fontstyle01"/>
          <w:rFonts w:ascii="Times New Roman" w:eastAsiaTheme="majorEastAsia" w:hAnsi="Times New Roman"/>
          <w:color w:val="000000" w:themeColor="text1"/>
          <w:sz w:val="24"/>
          <w:szCs w:val="24"/>
        </w:rPr>
        <w:t>,</w:t>
      </w:r>
      <w:r w:rsidRPr="00CF39F6">
        <w:rPr>
          <w:rStyle w:val="fontstyle01"/>
          <w:rFonts w:ascii="Times New Roman" w:eastAsiaTheme="majorEastAsia" w:hAnsi="Times New Roman"/>
          <w:color w:val="000000" w:themeColor="text1"/>
          <w:sz w:val="24"/>
          <w:szCs w:val="24"/>
        </w:rPr>
        <w:t xml:space="preserve"> we concluded multicollinearity was not a problem </w:t>
      </w:r>
      <w:r w:rsidRPr="001A090D">
        <w:rPr>
          <w:rStyle w:val="fontstyle01"/>
          <w:rFonts w:ascii="Times New Roman" w:eastAsiaTheme="majorEastAsia" w:hAnsi="Times New Roman"/>
          <w:color w:val="000000" w:themeColor="text1"/>
          <w:sz w:val="24"/>
          <w:szCs w:val="24"/>
        </w:rPr>
        <w:fldChar w:fldCharType="begin"/>
      </w:r>
      <w:r>
        <w:rPr>
          <w:rStyle w:val="fontstyle01"/>
          <w:rFonts w:ascii="Times New Roman" w:eastAsiaTheme="majorEastAsia" w:hAnsi="Times New Roman"/>
          <w:color w:val="000000" w:themeColor="text1"/>
          <w:sz w:val="24"/>
          <w:szCs w:val="24"/>
        </w:rPr>
        <w:instrText xml:space="preserve"> ADDIN EN.CITE &lt;EndNote&gt;&lt;Cite&gt;&lt;Author&gt;Hair&lt;/Author&gt;&lt;Year&gt;2014&lt;/Year&gt;&lt;RecNum&gt;1340&lt;/RecNum&gt;&lt;DisplayText&gt;(Hair et al., 2014)&lt;/DisplayText&gt;&lt;record&gt;&lt;rec-number&gt;1340&lt;/rec-number&gt;&lt;foreign-keys&gt;&lt;key app="EN" db-id="zw59vpadbtepfpef9t3pvzeot59fe2ptraw5" timestamp="0"&gt;1340&lt;/key&gt;&lt;/foreign-keys&gt;&lt;ref-type name="Book"&gt;6&lt;/ref-type&gt;&lt;contributors&gt;&lt;authors&gt;&lt;author&gt;Hair, &lt;/author&gt;&lt;author&gt;Black,&lt;/author&gt;&lt;author&gt;Babin, &lt;/author&gt;&lt;author&gt;Anderson,&lt;/author&gt;&lt;/authors&gt;&lt;/contributors&gt;&lt;titles&gt;&lt;title&gt;Multivariate Data Analysis&lt;/title&gt;&lt;/titles&gt;&lt;dates&gt;&lt;year&gt;2014&lt;/year&gt;&lt;/dates&gt;&lt;publisher&gt;Pearson Education Limited, Essex&lt;/publisher&gt;&lt;urls&gt;&lt;/urls&gt;&lt;/record&gt;&lt;/Cite&gt;&lt;/EndNote&gt;</w:instrText>
      </w:r>
      <w:r w:rsidRPr="001A090D">
        <w:rPr>
          <w:rStyle w:val="fontstyle01"/>
          <w:rFonts w:ascii="Times New Roman" w:eastAsiaTheme="majorEastAsia" w:hAnsi="Times New Roman"/>
          <w:color w:val="000000" w:themeColor="text1"/>
          <w:sz w:val="24"/>
          <w:szCs w:val="24"/>
        </w:rPr>
        <w:fldChar w:fldCharType="separate"/>
      </w:r>
      <w:r>
        <w:rPr>
          <w:rStyle w:val="fontstyle01"/>
          <w:rFonts w:ascii="Times New Roman" w:eastAsiaTheme="majorEastAsia" w:hAnsi="Times New Roman"/>
          <w:noProof/>
          <w:color w:val="000000" w:themeColor="text1"/>
          <w:sz w:val="24"/>
          <w:szCs w:val="24"/>
        </w:rPr>
        <w:t>(Hair et al., 2014)</w:t>
      </w:r>
      <w:r w:rsidRPr="001A090D">
        <w:rPr>
          <w:rStyle w:val="fontstyle01"/>
          <w:rFonts w:ascii="Times New Roman" w:eastAsiaTheme="majorEastAsia" w:hAnsi="Times New Roman"/>
          <w:color w:val="000000" w:themeColor="text1"/>
          <w:sz w:val="24"/>
          <w:szCs w:val="24"/>
        </w:rPr>
        <w:fldChar w:fldCharType="end"/>
      </w:r>
      <w:r w:rsidRPr="00CF39F6">
        <w:rPr>
          <w:rStyle w:val="fontstyle01"/>
          <w:rFonts w:ascii="Times New Roman" w:eastAsiaTheme="majorEastAsia" w:hAnsi="Times New Roman"/>
          <w:color w:val="000000" w:themeColor="text1"/>
          <w:sz w:val="24"/>
          <w:szCs w:val="24"/>
        </w:rPr>
        <w:t xml:space="preserve">. </w:t>
      </w:r>
    </w:p>
    <w:p w14:paraId="1B2075E1" w14:textId="77777777" w:rsidR="007742CC" w:rsidRPr="009255AC" w:rsidRDefault="007742CC" w:rsidP="007742CC">
      <w:pPr>
        <w:spacing w:line="480" w:lineRule="auto"/>
        <w:ind w:firstLine="360"/>
        <w:jc w:val="both"/>
        <w:rPr>
          <w:color w:val="000000" w:themeColor="text1"/>
        </w:rPr>
      </w:pPr>
      <w:r w:rsidRPr="009255AC">
        <w:rPr>
          <w:rStyle w:val="fontstyle01"/>
          <w:rFonts w:ascii="Times New Roman" w:eastAsiaTheme="majorEastAsia" w:hAnsi="Times New Roman"/>
          <w:color w:val="000000" w:themeColor="text1"/>
          <w:sz w:val="24"/>
          <w:szCs w:val="24"/>
        </w:rPr>
        <w:t xml:space="preserve">The results of the structural model are provided in Table V. </w:t>
      </w:r>
      <w:r w:rsidRPr="009255AC">
        <w:rPr>
          <w:b/>
          <w:bCs/>
          <w:color w:val="000000" w:themeColor="text1"/>
        </w:rPr>
        <w:t>H1</w:t>
      </w:r>
      <w:r w:rsidRPr="009255AC">
        <w:rPr>
          <w:color w:val="000000" w:themeColor="text1"/>
        </w:rPr>
        <w:t xml:space="preserve"> and </w:t>
      </w:r>
      <w:r w:rsidRPr="009255AC">
        <w:rPr>
          <w:b/>
          <w:bCs/>
          <w:color w:val="000000" w:themeColor="text1"/>
        </w:rPr>
        <w:t>H2</w:t>
      </w:r>
      <w:r w:rsidRPr="009255AC">
        <w:rPr>
          <w:color w:val="000000" w:themeColor="text1"/>
        </w:rPr>
        <w:t xml:space="preserve"> </w:t>
      </w:r>
      <w:r w:rsidRPr="009255AC">
        <w:rPr>
          <w:rStyle w:val="fontstyle01"/>
          <w:rFonts w:ascii="Times New Roman" w:eastAsiaTheme="majorEastAsia" w:hAnsi="Times New Roman"/>
          <w:color w:val="000000" w:themeColor="text1"/>
          <w:sz w:val="24"/>
          <w:szCs w:val="24"/>
        </w:rPr>
        <w:t xml:space="preserve">postulated a direct effect of social and performance management context on innovation performance. The results show that both performance management context </w:t>
      </w:r>
      <w:r w:rsidRPr="009255AC">
        <w:rPr>
          <w:color w:val="000000" w:themeColor="text1"/>
        </w:rPr>
        <w:t>(</w:t>
      </w:r>
      <w:r w:rsidRPr="009255AC">
        <w:rPr>
          <w:i/>
          <w:color w:val="000000" w:themeColor="text1"/>
        </w:rPr>
        <w:t>β</w:t>
      </w:r>
      <w:r w:rsidRPr="009255AC">
        <w:rPr>
          <w:color w:val="000000" w:themeColor="text1"/>
        </w:rPr>
        <w:t xml:space="preserve"> = 0.30; </w:t>
      </w:r>
      <w:r w:rsidRPr="009255AC">
        <w:rPr>
          <w:i/>
          <w:color w:val="000000" w:themeColor="text1"/>
        </w:rPr>
        <w:t xml:space="preserve">p &lt; </w:t>
      </w:r>
      <w:r w:rsidRPr="009255AC">
        <w:rPr>
          <w:color w:val="000000" w:themeColor="text1"/>
        </w:rPr>
        <w:t xml:space="preserve">0.10) and </w:t>
      </w:r>
      <w:r w:rsidRPr="009255AC">
        <w:rPr>
          <w:rStyle w:val="fontstyle01"/>
          <w:rFonts w:ascii="Times New Roman" w:eastAsiaTheme="majorEastAsia" w:hAnsi="Times New Roman"/>
          <w:color w:val="000000" w:themeColor="text1"/>
          <w:sz w:val="24"/>
          <w:szCs w:val="24"/>
        </w:rPr>
        <w:t xml:space="preserve">social context </w:t>
      </w:r>
      <w:r w:rsidRPr="009255AC">
        <w:rPr>
          <w:color w:val="000000" w:themeColor="text1"/>
        </w:rPr>
        <w:t>(</w:t>
      </w:r>
      <w:r w:rsidRPr="009255AC">
        <w:rPr>
          <w:i/>
          <w:color w:val="000000" w:themeColor="text1"/>
        </w:rPr>
        <w:t>β</w:t>
      </w:r>
      <w:r w:rsidRPr="009255AC">
        <w:rPr>
          <w:color w:val="000000" w:themeColor="text1"/>
        </w:rPr>
        <w:t xml:space="preserve"> = 0.51; </w:t>
      </w:r>
      <w:r w:rsidRPr="009255AC">
        <w:rPr>
          <w:i/>
          <w:color w:val="000000" w:themeColor="text1"/>
        </w:rPr>
        <w:t xml:space="preserve">p &lt; </w:t>
      </w:r>
      <w:r w:rsidRPr="009255AC">
        <w:rPr>
          <w:color w:val="000000" w:themeColor="text1"/>
        </w:rPr>
        <w:t xml:space="preserve">0.01) have a significant positive impact on innovation performance. Hence, hypotheses </w:t>
      </w:r>
      <w:r w:rsidRPr="009255AC">
        <w:rPr>
          <w:b/>
          <w:bCs/>
          <w:color w:val="000000" w:themeColor="text1"/>
        </w:rPr>
        <w:t xml:space="preserve">H1 </w:t>
      </w:r>
      <w:r w:rsidRPr="009255AC">
        <w:rPr>
          <w:color w:val="000000" w:themeColor="text1"/>
        </w:rPr>
        <w:t xml:space="preserve">and </w:t>
      </w:r>
      <w:r w:rsidRPr="009255AC">
        <w:rPr>
          <w:b/>
          <w:bCs/>
          <w:color w:val="000000" w:themeColor="text1"/>
        </w:rPr>
        <w:t>H2</w:t>
      </w:r>
      <w:r w:rsidRPr="009255AC">
        <w:rPr>
          <w:color w:val="000000" w:themeColor="text1"/>
        </w:rPr>
        <w:t xml:space="preserve"> are supported. However, the relationship is much weaker for performance management context than for the social context. </w:t>
      </w:r>
      <w:r w:rsidRPr="009255AC">
        <w:rPr>
          <w:rStyle w:val="fontstyle01"/>
          <w:rFonts w:ascii="Times New Roman" w:eastAsiaTheme="majorEastAsia" w:hAnsi="Times New Roman"/>
          <w:color w:val="000000" w:themeColor="text1"/>
          <w:sz w:val="24"/>
          <w:szCs w:val="24"/>
        </w:rPr>
        <w:t xml:space="preserve">Our </w:t>
      </w:r>
      <w:r w:rsidRPr="009255AC">
        <w:rPr>
          <w:rStyle w:val="fontstyle01"/>
          <w:rFonts w:ascii="Times New Roman" w:eastAsiaTheme="majorEastAsia" w:hAnsi="Times New Roman"/>
          <w:b/>
          <w:bCs/>
          <w:color w:val="000000" w:themeColor="text1"/>
          <w:sz w:val="24"/>
          <w:szCs w:val="24"/>
        </w:rPr>
        <w:t>H3</w:t>
      </w:r>
      <w:r w:rsidRPr="009255AC">
        <w:rPr>
          <w:rStyle w:val="fontstyle01"/>
          <w:rFonts w:ascii="Times New Roman" w:eastAsiaTheme="majorEastAsia" w:hAnsi="Times New Roman"/>
          <w:color w:val="000000" w:themeColor="text1"/>
          <w:sz w:val="24"/>
          <w:szCs w:val="24"/>
        </w:rPr>
        <w:t xml:space="preserve"> claimed a positive relationship between SCA and innovation performance. The results of the study confirm this relationship </w:t>
      </w:r>
      <w:r w:rsidRPr="009255AC">
        <w:rPr>
          <w:color w:val="000000" w:themeColor="text1"/>
        </w:rPr>
        <w:t>(</w:t>
      </w:r>
      <w:r w:rsidRPr="009255AC">
        <w:rPr>
          <w:i/>
          <w:color w:val="000000" w:themeColor="text1"/>
        </w:rPr>
        <w:t>β</w:t>
      </w:r>
      <w:r w:rsidRPr="009255AC">
        <w:rPr>
          <w:color w:val="000000" w:themeColor="text1"/>
        </w:rPr>
        <w:t xml:space="preserve"> = 0.36; </w:t>
      </w:r>
      <w:r w:rsidRPr="009255AC">
        <w:rPr>
          <w:i/>
          <w:color w:val="000000" w:themeColor="text1"/>
        </w:rPr>
        <w:t xml:space="preserve">p &lt; </w:t>
      </w:r>
      <w:r w:rsidRPr="009255AC">
        <w:rPr>
          <w:color w:val="000000" w:themeColor="text1"/>
        </w:rPr>
        <w:t xml:space="preserve">0.01). Hence, </w:t>
      </w:r>
      <w:r w:rsidRPr="009255AC">
        <w:rPr>
          <w:b/>
          <w:bCs/>
          <w:color w:val="000000" w:themeColor="text1"/>
        </w:rPr>
        <w:t>H3</w:t>
      </w:r>
      <w:r w:rsidRPr="009255AC">
        <w:rPr>
          <w:color w:val="000000" w:themeColor="text1"/>
        </w:rPr>
        <w:t xml:space="preserve"> is supported, too. Hypotheses </w:t>
      </w:r>
      <w:r w:rsidRPr="009255AC">
        <w:rPr>
          <w:b/>
          <w:bCs/>
          <w:color w:val="000000" w:themeColor="text1"/>
        </w:rPr>
        <w:t>H4</w:t>
      </w:r>
      <w:r w:rsidRPr="009255AC">
        <w:rPr>
          <w:color w:val="000000" w:themeColor="text1"/>
        </w:rPr>
        <w:t xml:space="preserve"> and </w:t>
      </w:r>
      <w:r w:rsidRPr="009255AC">
        <w:rPr>
          <w:b/>
          <w:bCs/>
          <w:color w:val="000000" w:themeColor="text1"/>
        </w:rPr>
        <w:t>H5</w:t>
      </w:r>
      <w:r w:rsidRPr="009255AC">
        <w:rPr>
          <w:color w:val="000000" w:themeColor="text1"/>
        </w:rPr>
        <w:t xml:space="preserve"> postulated an indirect effect of social and performance management context on innovation performance through SCA. We used bootstrapping procedures </w:t>
      </w:r>
      <w:r w:rsidRPr="009255AC">
        <w:rPr>
          <w:color w:val="000000" w:themeColor="text1"/>
        </w:rPr>
        <w:fldChar w:fldCharType="begin"/>
      </w:r>
      <w:r w:rsidRPr="009255AC">
        <w:rPr>
          <w:color w:val="000000" w:themeColor="text1"/>
        </w:rPr>
        <w:instrText xml:space="preserve"> ADDIN EN.CITE &lt;EndNote&gt;&lt;Cite&gt;&lt;Author&gt;Hayes&lt;/Author&gt;&lt;Year&gt;2018&lt;/Year&gt;&lt;RecNum&gt;958&lt;/RecNum&gt;&lt;DisplayText&gt;(Hayes, 2018)&lt;/DisplayText&gt;&lt;record&gt;&lt;rec-number&gt;958&lt;/rec-number&gt;&lt;foreign-keys&gt;&lt;key app="EN" db-id="0ewd29dz4ds0vmee9zpx5s9udxtatsf5ffpw" timestamp="0"&gt;958&lt;/key&gt;&lt;/foreign-keys&gt;&lt;ref-type name="Book"&gt;6&lt;/ref-type&gt;&lt;contributors&gt;&lt;authors&gt;&lt;author&gt;Hayes, Andrew F&lt;/author&gt;&lt;/authors&gt;&lt;/contributors&gt;&lt;titles&gt;&lt;title&gt;Introduction to Mediation, Moderation, and Conditional Process Analysis: A Regression-Based Approach&lt;/title&gt;&lt;/titles&gt;&lt;edition&gt;2nd&lt;/edition&gt;&lt;dates&gt;&lt;year&gt;2018&lt;/year&gt;&lt;/dates&gt;&lt;publisher&gt;Guilford Press&lt;/publisher&gt;&lt;isbn&gt;1609182308&lt;/isbn&gt;&lt;urls&gt;&lt;/urls&gt;&lt;/record&gt;&lt;/Cite&gt;&lt;/EndNote&gt;</w:instrText>
      </w:r>
      <w:r w:rsidRPr="009255AC">
        <w:rPr>
          <w:color w:val="000000" w:themeColor="text1"/>
        </w:rPr>
        <w:fldChar w:fldCharType="separate"/>
      </w:r>
      <w:r w:rsidRPr="009255AC">
        <w:rPr>
          <w:noProof/>
          <w:color w:val="000000" w:themeColor="text1"/>
        </w:rPr>
        <w:t>(Hayes, 2018)</w:t>
      </w:r>
      <w:r w:rsidRPr="009255AC">
        <w:rPr>
          <w:color w:val="000000" w:themeColor="text1"/>
        </w:rPr>
        <w:fldChar w:fldCharType="end"/>
      </w:r>
      <w:r w:rsidRPr="009255AC">
        <w:rPr>
          <w:color w:val="000000" w:themeColor="text1"/>
        </w:rPr>
        <w:t xml:space="preserve"> with 5,000 bootstrap samples and 90% confidence intervals to test the indirect effect significance. Our results show that performance management context has a weak but significant impact on innovation performance through SCA (</w:t>
      </w:r>
      <w:r w:rsidRPr="009255AC">
        <w:rPr>
          <w:i/>
          <w:color w:val="000000" w:themeColor="text1"/>
        </w:rPr>
        <w:t>β</w:t>
      </w:r>
      <w:r w:rsidRPr="009255AC">
        <w:rPr>
          <w:color w:val="000000" w:themeColor="text1"/>
        </w:rPr>
        <w:t xml:space="preserve"> = 0.11; </w:t>
      </w:r>
      <w:r w:rsidRPr="009255AC">
        <w:rPr>
          <w:i/>
          <w:color w:val="000000" w:themeColor="text1"/>
        </w:rPr>
        <w:t xml:space="preserve">p &lt; </w:t>
      </w:r>
      <w:r w:rsidRPr="009255AC">
        <w:rPr>
          <w:color w:val="000000" w:themeColor="text1"/>
        </w:rPr>
        <w:t xml:space="preserve">0.10; lower confidence limit = 0.009; upper confidence limit = 0.270). Social context on the other hand has a strong indirect influence on innovation performance through the mediating role of SCA </w:t>
      </w:r>
      <w:r w:rsidRPr="009255AC">
        <w:rPr>
          <w:color w:val="000000" w:themeColor="text1"/>
        </w:rPr>
        <w:lastRenderedPageBreak/>
        <w:t>(</w:t>
      </w:r>
      <w:r w:rsidRPr="009255AC">
        <w:rPr>
          <w:i/>
          <w:color w:val="000000" w:themeColor="text1"/>
        </w:rPr>
        <w:t>β</w:t>
      </w:r>
      <w:r w:rsidRPr="009255AC">
        <w:rPr>
          <w:color w:val="000000" w:themeColor="text1"/>
        </w:rPr>
        <w:t xml:space="preserve"> = 0.19; </w:t>
      </w:r>
      <w:r w:rsidRPr="009255AC">
        <w:rPr>
          <w:i/>
          <w:color w:val="000000" w:themeColor="text1"/>
        </w:rPr>
        <w:t xml:space="preserve">p &lt; </w:t>
      </w:r>
      <w:r w:rsidRPr="009255AC">
        <w:rPr>
          <w:color w:val="000000" w:themeColor="text1"/>
        </w:rPr>
        <w:t xml:space="preserve">0.05; lower confidence limit = 0.042; upper confidence limit = 0.404). Hence hypotheses </w:t>
      </w:r>
      <w:r w:rsidRPr="009255AC">
        <w:rPr>
          <w:b/>
          <w:bCs/>
          <w:color w:val="000000" w:themeColor="text1"/>
        </w:rPr>
        <w:t>H4</w:t>
      </w:r>
      <w:r w:rsidRPr="009255AC">
        <w:rPr>
          <w:color w:val="000000" w:themeColor="text1"/>
        </w:rPr>
        <w:t xml:space="preserve"> and </w:t>
      </w:r>
      <w:r w:rsidRPr="009255AC">
        <w:rPr>
          <w:b/>
          <w:bCs/>
          <w:color w:val="000000" w:themeColor="text1"/>
        </w:rPr>
        <w:t>H5</w:t>
      </w:r>
      <w:r w:rsidRPr="009255AC">
        <w:rPr>
          <w:color w:val="000000" w:themeColor="text1"/>
        </w:rPr>
        <w:t xml:space="preserve"> are supported, which leads to the conclusion that SCA positively mediates the relationship between social/performance management context and innovation performance. Finally, hypothesis </w:t>
      </w:r>
      <w:r w:rsidRPr="009255AC">
        <w:rPr>
          <w:b/>
          <w:bCs/>
          <w:color w:val="000000" w:themeColor="text1"/>
        </w:rPr>
        <w:t>H6</w:t>
      </w:r>
      <w:r w:rsidRPr="009255AC">
        <w:rPr>
          <w:color w:val="000000" w:themeColor="text1"/>
        </w:rPr>
        <w:t xml:space="preserve"> suggested a positive moderation effect of complementarity between the effect of SCA and innovation performance. Our findings indicate that, although significant, the relationship between these has an opposite direction (</w:t>
      </w:r>
      <w:r w:rsidRPr="009255AC">
        <w:rPr>
          <w:i/>
          <w:color w:val="000000" w:themeColor="text1"/>
        </w:rPr>
        <w:t>β</w:t>
      </w:r>
      <w:r w:rsidRPr="009255AC">
        <w:rPr>
          <w:color w:val="000000" w:themeColor="text1"/>
        </w:rPr>
        <w:t xml:space="preserve"> = 0.13, </w:t>
      </w:r>
      <w:r w:rsidRPr="009255AC">
        <w:rPr>
          <w:i/>
          <w:color w:val="000000" w:themeColor="text1"/>
        </w:rPr>
        <w:t xml:space="preserve">p &lt; </w:t>
      </w:r>
      <w:r w:rsidRPr="009255AC">
        <w:rPr>
          <w:color w:val="000000" w:themeColor="text1"/>
        </w:rPr>
        <w:t xml:space="preserve">0.05), i.e., complementarity has a negative influence on the relationship between SCA and innovation performance. Hence, hypothesis </w:t>
      </w:r>
      <w:r w:rsidRPr="009255AC">
        <w:rPr>
          <w:b/>
          <w:bCs/>
          <w:color w:val="000000" w:themeColor="text1"/>
        </w:rPr>
        <w:t>H6</w:t>
      </w:r>
      <w:r w:rsidRPr="009255AC">
        <w:rPr>
          <w:color w:val="000000" w:themeColor="text1"/>
        </w:rPr>
        <w:t xml:space="preserve"> is not supported.</w:t>
      </w:r>
    </w:p>
    <w:p w14:paraId="4757046A" w14:textId="77777777" w:rsidR="007742CC" w:rsidRPr="005760B3" w:rsidRDefault="007742CC" w:rsidP="007742CC">
      <w:pPr>
        <w:spacing w:before="160" w:after="160" w:line="480" w:lineRule="auto"/>
        <w:jc w:val="both"/>
      </w:pPr>
      <w:r w:rsidRPr="006A78A4">
        <w:t xml:space="preserve">------------------------------------Insert </w:t>
      </w:r>
      <w:r>
        <w:t>Table</w:t>
      </w:r>
      <w:r w:rsidRPr="006A78A4">
        <w:t xml:space="preserve"> </w:t>
      </w:r>
      <w:r>
        <w:t>V</w:t>
      </w:r>
      <w:r w:rsidRPr="006A78A4">
        <w:t xml:space="preserve"> Approximately Here----------------------------------</w:t>
      </w:r>
      <w:r w:rsidRPr="00342A1A">
        <w:t>-</w:t>
      </w:r>
    </w:p>
    <w:p w14:paraId="705141E1" w14:textId="77777777" w:rsidR="007742CC" w:rsidRPr="00DB1AED" w:rsidRDefault="007742CC" w:rsidP="007742CC">
      <w:pPr>
        <w:spacing w:before="160" w:line="480" w:lineRule="auto"/>
        <w:jc w:val="center"/>
        <w:rPr>
          <w:b/>
          <w:color w:val="000000" w:themeColor="text1"/>
        </w:rPr>
      </w:pPr>
      <w:r w:rsidRPr="00DB1AED">
        <w:rPr>
          <w:b/>
          <w:color w:val="000000" w:themeColor="text1"/>
        </w:rPr>
        <w:t>5. DISCUSSION</w:t>
      </w:r>
    </w:p>
    <w:p w14:paraId="785939BD" w14:textId="77777777" w:rsidR="007742CC" w:rsidRDefault="007742CC" w:rsidP="007742CC">
      <w:pPr>
        <w:spacing w:line="480" w:lineRule="auto"/>
        <w:jc w:val="both"/>
        <w:rPr>
          <w:rFonts w:asciiTheme="majorBidi" w:hAnsiTheme="majorBidi" w:cstheme="majorBidi"/>
          <w:iCs/>
          <w:color w:val="000000" w:themeColor="text1"/>
        </w:rPr>
      </w:pPr>
      <w:r>
        <w:rPr>
          <w:rFonts w:asciiTheme="majorBidi" w:hAnsiTheme="majorBidi" w:cstheme="majorBidi"/>
          <w:iCs/>
          <w:color w:val="000000" w:themeColor="text1"/>
        </w:rPr>
        <w:t xml:space="preserve">In this study we developed a hypothesized model to assess the relationship between elements of organizational context, SCA, and innovation performance. We also investigated the potential moderating effect of organizations’ complementarity with their leading suppliers and postulated that SCA will mediate the effects of organizational context on innovation performance. By testing these hypotheses and our model with data from supply chain managers in the Pakistani manufacturing industry, we found overall support for the role of organizational context in influencing SCA and innovation performance. </w:t>
      </w:r>
    </w:p>
    <w:p w14:paraId="1209022C" w14:textId="6B0BBBAB" w:rsidR="007742CC" w:rsidRDefault="007742CC" w:rsidP="007742CC">
      <w:pPr>
        <w:spacing w:line="480" w:lineRule="auto"/>
        <w:ind w:firstLine="360"/>
        <w:jc w:val="both"/>
        <w:rPr>
          <w:rFonts w:asciiTheme="majorBidi" w:hAnsiTheme="majorBidi" w:cstheme="majorBidi"/>
          <w:iCs/>
          <w:color w:val="000000" w:themeColor="text1"/>
        </w:rPr>
      </w:pPr>
      <w:r>
        <w:rPr>
          <w:rFonts w:asciiTheme="majorBidi" w:hAnsiTheme="majorBidi" w:cstheme="majorBidi"/>
          <w:iCs/>
          <w:color w:val="000000" w:themeColor="text1"/>
        </w:rPr>
        <w:t>Addressing SCA on the firm level, o</w:t>
      </w:r>
      <w:r w:rsidRPr="00342A1A">
        <w:rPr>
          <w:rFonts w:asciiTheme="majorBidi" w:hAnsiTheme="majorBidi" w:cstheme="majorBidi"/>
          <w:iCs/>
          <w:color w:val="000000" w:themeColor="text1"/>
        </w:rPr>
        <w:t xml:space="preserve">ur results </w:t>
      </w:r>
      <w:r>
        <w:rPr>
          <w:rFonts w:asciiTheme="majorBidi" w:hAnsiTheme="majorBidi" w:cstheme="majorBidi"/>
          <w:iCs/>
          <w:color w:val="000000" w:themeColor="text1"/>
        </w:rPr>
        <w:t>highlight</w:t>
      </w:r>
      <w:r w:rsidRPr="00342A1A">
        <w:rPr>
          <w:rFonts w:asciiTheme="majorBidi" w:hAnsiTheme="majorBidi" w:cstheme="majorBidi"/>
          <w:iCs/>
          <w:color w:val="000000" w:themeColor="text1"/>
        </w:rPr>
        <w:t xml:space="preserve"> that SCA is essential for </w:t>
      </w:r>
      <w:r>
        <w:rPr>
          <w:rFonts w:asciiTheme="majorBidi" w:hAnsiTheme="majorBidi" w:cstheme="majorBidi"/>
          <w:iCs/>
          <w:color w:val="000000" w:themeColor="text1"/>
        </w:rPr>
        <w:t>firm</w:t>
      </w:r>
      <w:r w:rsidRPr="00342A1A">
        <w:rPr>
          <w:rFonts w:asciiTheme="majorBidi" w:hAnsiTheme="majorBidi" w:cstheme="majorBidi"/>
          <w:iCs/>
          <w:color w:val="000000" w:themeColor="text1"/>
        </w:rPr>
        <w:t>s to perform well in the face of complex and uncertain business environments</w:t>
      </w:r>
      <w:r>
        <w:rPr>
          <w:rFonts w:asciiTheme="majorBidi" w:hAnsiTheme="majorBidi" w:cstheme="majorBidi"/>
          <w:iCs/>
          <w:color w:val="000000" w:themeColor="text1"/>
        </w:rPr>
        <w:t xml:space="preserve"> </w:t>
      </w:r>
      <w:r w:rsidRPr="00CF1D5D">
        <w:rPr>
          <w:rFonts w:asciiTheme="majorBidi" w:hAnsiTheme="majorBidi" w:cstheme="majorBidi"/>
          <w:iCs/>
          <w:color w:val="000000" w:themeColor="text1"/>
        </w:rPr>
        <w:t>(Blome et al., 2013; Braunscheidel &amp; Suresh, 2009;</w:t>
      </w:r>
      <w:r w:rsidR="003B3C1A">
        <w:rPr>
          <w:rFonts w:asciiTheme="majorBidi" w:hAnsiTheme="majorBidi" w:cstheme="majorBidi"/>
          <w:iCs/>
          <w:color w:val="000000" w:themeColor="text1"/>
        </w:rPr>
        <w:t xml:space="preserve"> </w:t>
      </w:r>
      <w:r>
        <w:rPr>
          <w:rFonts w:asciiTheme="majorBidi" w:hAnsiTheme="majorBidi" w:cstheme="majorBidi"/>
          <w:iCs/>
          <w:color w:val="000000" w:themeColor="text1"/>
        </w:rPr>
        <w:t>Müller et al., 2023</w:t>
      </w:r>
      <w:r w:rsidRPr="00CF1D5D">
        <w:rPr>
          <w:rFonts w:asciiTheme="majorBidi" w:hAnsiTheme="majorBidi" w:cstheme="majorBidi"/>
          <w:iCs/>
          <w:color w:val="000000" w:themeColor="text1"/>
        </w:rPr>
        <w:t>)</w:t>
      </w:r>
      <w:r>
        <w:rPr>
          <w:rFonts w:asciiTheme="majorBidi" w:hAnsiTheme="majorBidi" w:cstheme="majorBidi"/>
          <w:iCs/>
          <w:color w:val="000000" w:themeColor="text1"/>
        </w:rPr>
        <w:t xml:space="preserve"> by contributing to their enhanced ability to innovate</w:t>
      </w:r>
      <w:r w:rsidRPr="00342A1A">
        <w:rPr>
          <w:rFonts w:asciiTheme="majorBidi" w:hAnsiTheme="majorBidi" w:cstheme="majorBidi"/>
          <w:iCs/>
          <w:color w:val="000000" w:themeColor="text1"/>
        </w:rPr>
        <w:t>.</w:t>
      </w:r>
      <w:r>
        <w:rPr>
          <w:rFonts w:asciiTheme="majorBidi" w:hAnsiTheme="majorBidi" w:cstheme="majorBidi"/>
          <w:iCs/>
          <w:color w:val="000000" w:themeColor="text1"/>
        </w:rPr>
        <w:t xml:space="preserve"> The results thus extend earlier findings assessing the effects of SCA on various </w:t>
      </w:r>
      <w:r w:rsidRPr="00342A1A">
        <w:rPr>
          <w:rFonts w:asciiTheme="majorBidi" w:hAnsiTheme="majorBidi" w:cstheme="majorBidi"/>
          <w:iCs/>
          <w:color w:val="000000" w:themeColor="text1"/>
        </w:rPr>
        <w:t xml:space="preserve">performance </w:t>
      </w:r>
      <w:r>
        <w:rPr>
          <w:rFonts w:asciiTheme="majorBidi" w:hAnsiTheme="majorBidi" w:cstheme="majorBidi"/>
          <w:iCs/>
          <w:color w:val="000000" w:themeColor="text1"/>
        </w:rPr>
        <w:t xml:space="preserve">outcomes </w:t>
      </w:r>
      <w:r w:rsidRPr="00CF1D5D">
        <w:rPr>
          <w:rFonts w:asciiTheme="majorBidi" w:hAnsiTheme="majorBidi" w:cstheme="majorBidi"/>
          <w:iCs/>
          <w:color w:val="000000" w:themeColor="text1"/>
        </w:rPr>
        <w:t>(</w:t>
      </w:r>
      <w:hyperlink r:id="rId7" w:tooltip="Rafaela Alfalla-Luque" w:history="1">
        <w:r w:rsidRPr="00CF1D5D">
          <w:rPr>
            <w:rFonts w:asciiTheme="majorBidi" w:hAnsiTheme="majorBidi" w:cstheme="majorBidi"/>
            <w:iCs/>
            <w:color w:val="FF0000"/>
          </w:rPr>
          <w:t>Alfalla-Luque</w:t>
        </w:r>
      </w:hyperlink>
      <w:r w:rsidRPr="00CF1D5D">
        <w:rPr>
          <w:rFonts w:asciiTheme="majorBidi" w:hAnsiTheme="majorBidi" w:cstheme="majorBidi"/>
          <w:iCs/>
          <w:color w:val="FF0000"/>
        </w:rPr>
        <w:t xml:space="preserve"> et al.,</w:t>
      </w:r>
      <w:r w:rsidRPr="00CF1D5D">
        <w:rPr>
          <w:color w:val="FF0000"/>
        </w:rPr>
        <w:t xml:space="preserve"> 2023</w:t>
      </w:r>
      <w:r w:rsidRPr="00CF1D5D">
        <w:rPr>
          <w:rFonts w:asciiTheme="majorBidi" w:hAnsiTheme="majorBidi" w:cstheme="majorBidi"/>
          <w:iCs/>
          <w:color w:val="000000" w:themeColor="text1"/>
        </w:rPr>
        <w:t>)</w:t>
      </w:r>
      <w:r>
        <w:rPr>
          <w:rFonts w:asciiTheme="majorBidi" w:hAnsiTheme="majorBidi" w:cstheme="majorBidi"/>
          <w:iCs/>
          <w:color w:val="000000" w:themeColor="text1"/>
        </w:rPr>
        <w:t xml:space="preserve"> by investigating the SCA-innovation relationship. </w:t>
      </w:r>
    </w:p>
    <w:p w14:paraId="7EA504DB" w14:textId="69AD398B" w:rsidR="007742CC" w:rsidRPr="007C0B7F" w:rsidRDefault="007742CC" w:rsidP="007742CC">
      <w:pPr>
        <w:spacing w:line="480" w:lineRule="auto"/>
        <w:ind w:firstLine="360"/>
        <w:jc w:val="both"/>
        <w:rPr>
          <w:rFonts w:asciiTheme="majorBidi" w:hAnsiTheme="majorBidi" w:cstheme="majorBidi"/>
          <w:iCs/>
          <w:color w:val="000000" w:themeColor="text1"/>
        </w:rPr>
      </w:pPr>
      <w:r>
        <w:rPr>
          <w:rFonts w:asciiTheme="majorBidi" w:hAnsiTheme="majorBidi" w:cstheme="majorBidi"/>
          <w:iCs/>
          <w:color w:val="000000" w:themeColor="text1"/>
        </w:rPr>
        <w:lastRenderedPageBreak/>
        <w:t xml:space="preserve">A further interesting finding in this study relates to the moderating role of complementarity with suppliers. </w:t>
      </w:r>
      <w:r w:rsidRPr="007C0B7F">
        <w:rPr>
          <w:rFonts w:asciiTheme="majorBidi" w:hAnsiTheme="majorBidi" w:cstheme="majorBidi"/>
          <w:iCs/>
          <w:color w:val="000000" w:themeColor="text1"/>
        </w:rPr>
        <w:t xml:space="preserve">Our results </w:t>
      </w:r>
      <w:r>
        <w:rPr>
          <w:rFonts w:asciiTheme="majorBidi" w:hAnsiTheme="majorBidi" w:cstheme="majorBidi"/>
          <w:iCs/>
          <w:color w:val="000000" w:themeColor="text1"/>
        </w:rPr>
        <w:t xml:space="preserve">counterintuitively </w:t>
      </w:r>
      <w:r w:rsidRPr="007C0B7F">
        <w:rPr>
          <w:rFonts w:asciiTheme="majorBidi" w:hAnsiTheme="majorBidi" w:cstheme="majorBidi"/>
          <w:iCs/>
          <w:color w:val="000000" w:themeColor="text1"/>
        </w:rPr>
        <w:t xml:space="preserve">show that complementarity negatively moderates the relationship of SCA </w:t>
      </w:r>
      <w:r>
        <w:rPr>
          <w:rFonts w:asciiTheme="majorBidi" w:hAnsiTheme="majorBidi" w:cstheme="majorBidi"/>
          <w:iCs/>
          <w:color w:val="000000" w:themeColor="text1"/>
        </w:rPr>
        <w:t>and</w:t>
      </w:r>
      <w:r w:rsidRPr="007C0B7F">
        <w:rPr>
          <w:rFonts w:asciiTheme="majorBidi" w:hAnsiTheme="majorBidi" w:cstheme="majorBidi"/>
          <w:iCs/>
          <w:color w:val="000000" w:themeColor="text1"/>
        </w:rPr>
        <w:t xml:space="preserve"> innovative performance</w:t>
      </w:r>
      <w:r>
        <w:rPr>
          <w:rFonts w:asciiTheme="majorBidi" w:hAnsiTheme="majorBidi" w:cstheme="majorBidi"/>
          <w:iCs/>
          <w:color w:val="000000" w:themeColor="text1"/>
        </w:rPr>
        <w:t xml:space="preserve"> (Figure 2)</w:t>
      </w:r>
      <w:r w:rsidRPr="007C0B7F">
        <w:rPr>
          <w:rFonts w:asciiTheme="majorBidi" w:hAnsiTheme="majorBidi" w:cstheme="majorBidi"/>
          <w:iCs/>
          <w:color w:val="000000" w:themeColor="text1"/>
        </w:rPr>
        <w:t xml:space="preserve">. This finding adds to the emerging </w:t>
      </w:r>
      <w:r>
        <w:rPr>
          <w:rFonts w:asciiTheme="majorBidi" w:hAnsiTheme="majorBidi" w:cstheme="majorBidi"/>
          <w:iCs/>
          <w:color w:val="000000" w:themeColor="text1"/>
        </w:rPr>
        <w:t>discourse</w:t>
      </w:r>
      <w:r w:rsidRPr="007C0B7F">
        <w:rPr>
          <w:rFonts w:asciiTheme="majorBidi" w:hAnsiTheme="majorBidi" w:cstheme="majorBidi"/>
          <w:iCs/>
          <w:color w:val="000000" w:themeColor="text1"/>
        </w:rPr>
        <w:t xml:space="preserve"> about the role of complementarity and close ties between</w:t>
      </w:r>
      <w:r>
        <w:rPr>
          <w:rFonts w:asciiTheme="majorBidi" w:hAnsiTheme="majorBidi" w:cstheme="majorBidi"/>
          <w:iCs/>
          <w:color w:val="000000" w:themeColor="text1"/>
        </w:rPr>
        <w:t xml:space="preserve"> firms and their </w:t>
      </w:r>
      <w:r w:rsidRPr="007C0B7F">
        <w:rPr>
          <w:rFonts w:asciiTheme="majorBidi" w:hAnsiTheme="majorBidi" w:cstheme="majorBidi"/>
          <w:iCs/>
          <w:color w:val="000000" w:themeColor="text1"/>
        </w:rPr>
        <w:t>suppliers. One stream of literature posits that collaborations and complementarities with suppliers provide collaborative advantage</w:t>
      </w:r>
      <w:r>
        <w:rPr>
          <w:rFonts w:asciiTheme="majorBidi" w:hAnsiTheme="majorBidi" w:cstheme="majorBidi"/>
          <w:iCs/>
          <w:color w:val="000000" w:themeColor="text1"/>
        </w:rPr>
        <w:t xml:space="preserve">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&lt;EndNote&gt;&lt;Cite&gt;&lt;Author&gt;Dyer&lt;/Author&gt;&lt;Year&gt;2000&lt;/Year&gt;&lt;RecNum&gt;1216&lt;/RecNum&gt;&lt;DisplayText&gt;(Dyer &amp;amp; Nobeoka, 2000)&lt;/DisplayText&gt;&lt;record&gt;&lt;rec-number&gt;1216&lt;/rec-number&gt;&lt;foreign-keys&gt;&lt;key app="EN" db-id="0ewd29dz4ds0vmee9zpx5s9udxtatsf5ffpw" timestamp="0"&gt;1216&lt;/key&gt;&lt;/foreign-keys&gt;&lt;ref-type name="Journal Article"&gt;17&lt;/ref-type&gt;&lt;contributors&gt;&lt;authors&gt;&lt;author&gt;Dyer, Jeffrey H&lt;/author&gt;&lt;author&gt;Nobeoka, Kentaro&lt;/author&gt;&lt;/authors&gt;&lt;/contributors&gt;&lt;titles&gt;&lt;title&gt;Creating and managing a high‐performance knowledge‐sharing network: the Toyota case&lt;/title&gt;&lt;secondary-title&gt;Strategic Management Journal&lt;/secondary-title&gt;&lt;/titles&gt;&lt;periodical&gt;&lt;full-title&gt;Strategic Management Journal&lt;/full-title&gt;&lt;/periodical&gt;&lt;pages&gt;345-367&lt;/pages&gt;&lt;volume&gt;21&lt;/volume&gt;&lt;number&gt;3&lt;/number&gt;&lt;dates&gt;&lt;year&gt;2000&lt;/year&gt;&lt;/dates&gt;&lt;isbn&gt;0143-2095&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(Dyer &amp; Nobeoka, 2000)</w:t>
      </w:r>
      <w:r>
        <w:rPr>
          <w:rFonts w:asciiTheme="majorBidi" w:hAnsiTheme="majorBidi" w:cstheme="majorBidi"/>
          <w:iCs/>
          <w:color w:val="000000" w:themeColor="text1"/>
        </w:rPr>
        <w:fldChar w:fldCharType="end"/>
      </w:r>
      <w:r>
        <w:rPr>
          <w:rFonts w:asciiTheme="majorBidi" w:hAnsiTheme="majorBidi" w:cstheme="majorBidi"/>
          <w:iCs/>
          <w:color w:val="000000" w:themeColor="text1"/>
        </w:rPr>
        <w:t xml:space="preserve"> </w:t>
      </w:r>
      <w:r w:rsidRPr="007C0B7F">
        <w:rPr>
          <w:rFonts w:asciiTheme="majorBidi" w:hAnsiTheme="majorBidi" w:cstheme="majorBidi"/>
          <w:iCs/>
          <w:color w:val="000000" w:themeColor="text1"/>
        </w:rPr>
        <w:t>and generate</w:t>
      </w:r>
      <w:r>
        <w:rPr>
          <w:rFonts w:asciiTheme="majorBidi" w:hAnsiTheme="majorBidi" w:cstheme="majorBidi"/>
          <w:iCs/>
          <w:color w:val="000000" w:themeColor="text1"/>
        </w:rPr>
        <w:t>s</w:t>
      </w:r>
      <w:r w:rsidRPr="007C0B7F">
        <w:rPr>
          <w:rFonts w:asciiTheme="majorBidi" w:hAnsiTheme="majorBidi" w:cstheme="majorBidi"/>
          <w:iCs/>
          <w:color w:val="000000" w:themeColor="text1"/>
        </w:rPr>
        <w:t xml:space="preserve"> value that enhances the innovation p</w:t>
      </w:r>
      <w:r>
        <w:rPr>
          <w:rFonts w:asciiTheme="majorBidi" w:hAnsiTheme="majorBidi" w:cstheme="majorBidi"/>
          <w:iCs/>
          <w:color w:val="000000" w:themeColor="text1"/>
        </w:rPr>
        <w:t xml:space="preserve">ropensity of both partners </w:t>
      </w:r>
      <w:r w:rsidRPr="00EF5BB4">
        <w:rPr>
          <w:rFonts w:asciiTheme="majorBidi" w:hAnsiTheme="majorBidi" w:cstheme="majorBidi"/>
          <w:iCs/>
          <w:color w:val="000000" w:themeColor="text1"/>
        </w:rPr>
        <w:t>(Andersson et al., 2002; Ndubisi et al., 2020)</w:t>
      </w:r>
      <w:r w:rsidRPr="00176631">
        <w:rPr>
          <w:rFonts w:asciiTheme="majorBidi" w:hAnsiTheme="majorBidi" w:cstheme="majorBidi"/>
          <w:iCs/>
          <w:color w:val="000000" w:themeColor="text1"/>
        </w:rPr>
        <w:t>.</w:t>
      </w:r>
      <w:r>
        <w:rPr>
          <w:rFonts w:asciiTheme="majorBidi" w:hAnsiTheme="majorBidi" w:cstheme="majorBidi"/>
          <w:iCs/>
          <w:color w:val="000000" w:themeColor="text1"/>
        </w:rPr>
        <w:t xml:space="preserve"> This argument is based on the fact that </w:t>
      </w:r>
      <w:r w:rsidRPr="007C0B7F">
        <w:rPr>
          <w:rFonts w:asciiTheme="majorBidi" w:hAnsiTheme="majorBidi" w:cstheme="majorBidi"/>
          <w:iCs/>
          <w:color w:val="000000" w:themeColor="text1"/>
        </w:rPr>
        <w:t>capitaliz</w:t>
      </w:r>
      <w:r>
        <w:rPr>
          <w:rFonts w:asciiTheme="majorBidi" w:hAnsiTheme="majorBidi" w:cstheme="majorBidi"/>
          <w:iCs/>
          <w:color w:val="000000" w:themeColor="text1"/>
        </w:rPr>
        <w:t>ing</w:t>
      </w:r>
      <w:r w:rsidRPr="007C0B7F">
        <w:rPr>
          <w:rFonts w:asciiTheme="majorBidi" w:hAnsiTheme="majorBidi" w:cstheme="majorBidi"/>
          <w:iCs/>
          <w:color w:val="000000" w:themeColor="text1"/>
        </w:rPr>
        <w:t xml:space="preserve"> </w:t>
      </w:r>
      <w:r>
        <w:rPr>
          <w:rFonts w:asciiTheme="majorBidi" w:hAnsiTheme="majorBidi" w:cstheme="majorBidi"/>
          <w:iCs/>
          <w:color w:val="000000" w:themeColor="text1"/>
        </w:rPr>
        <w:t>on</w:t>
      </w:r>
      <w:r w:rsidRPr="007C0B7F">
        <w:rPr>
          <w:rFonts w:asciiTheme="majorBidi" w:hAnsiTheme="majorBidi" w:cstheme="majorBidi"/>
          <w:iCs/>
          <w:color w:val="000000" w:themeColor="text1"/>
        </w:rPr>
        <w:t xml:space="preserve"> each other’s distinctive resources and competencies</w:t>
      </w:r>
      <w:r>
        <w:rPr>
          <w:rFonts w:asciiTheme="majorBidi" w:hAnsiTheme="majorBidi" w:cstheme="majorBidi"/>
          <w:iCs/>
          <w:color w:val="000000" w:themeColor="text1"/>
        </w:rPr>
        <w:t xml:space="preserve"> </w:t>
      </w:r>
      <w:r w:rsidRPr="007C0B7F">
        <w:rPr>
          <w:rFonts w:asciiTheme="majorBidi" w:hAnsiTheme="majorBidi" w:cstheme="majorBidi"/>
          <w:iCs/>
          <w:color w:val="000000" w:themeColor="text1"/>
        </w:rPr>
        <w:t>provides opportunit</w:t>
      </w:r>
      <w:r>
        <w:rPr>
          <w:rFonts w:asciiTheme="majorBidi" w:hAnsiTheme="majorBidi" w:cstheme="majorBidi"/>
          <w:iCs/>
          <w:color w:val="000000" w:themeColor="text1"/>
        </w:rPr>
        <w:t>ies for supply chain partners to</w:t>
      </w:r>
      <w:r w:rsidRPr="007C0B7F">
        <w:rPr>
          <w:rFonts w:asciiTheme="majorBidi" w:hAnsiTheme="majorBidi" w:cstheme="majorBidi"/>
          <w:iCs/>
          <w:color w:val="000000" w:themeColor="text1"/>
        </w:rPr>
        <w:t xml:space="preserve"> </w:t>
      </w:r>
      <w:r>
        <w:rPr>
          <w:rFonts w:asciiTheme="majorBidi" w:hAnsiTheme="majorBidi" w:cstheme="majorBidi"/>
          <w:iCs/>
          <w:color w:val="000000" w:themeColor="text1"/>
        </w:rPr>
        <w:t>achieve</w:t>
      </w:r>
      <w:r w:rsidRPr="007C0B7F">
        <w:rPr>
          <w:rFonts w:asciiTheme="majorBidi" w:hAnsiTheme="majorBidi" w:cstheme="majorBidi"/>
          <w:iCs/>
          <w:color w:val="000000" w:themeColor="text1"/>
        </w:rPr>
        <w:t xml:space="preserve"> process and product innovation</w:t>
      </w:r>
      <w:r>
        <w:rPr>
          <w:rFonts w:asciiTheme="majorBidi" w:hAnsiTheme="majorBidi" w:cstheme="majorBidi"/>
          <w:iCs/>
          <w:color w:val="000000" w:themeColor="text1"/>
        </w:rPr>
        <w:t>s</w:t>
      </w:r>
      <w:r w:rsidRPr="007C0B7F">
        <w:rPr>
          <w:rFonts w:asciiTheme="majorBidi" w:hAnsiTheme="majorBidi" w:cstheme="majorBidi"/>
          <w:iCs/>
          <w:color w:val="000000" w:themeColor="text1"/>
        </w:rPr>
        <w:t xml:space="preserve">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&lt;EndNote&gt;&lt;Cite&gt;&lt;Author&gt;Cheung&lt;/Author&gt;&lt;Year&gt;2010&lt;/Year&gt;&lt;RecNum&gt;1563&lt;/RecNum&gt;&lt;DisplayText&gt;(Cheung et al., 2010)&lt;/DisplayText&gt;&lt;record&gt;&lt;rec-number&gt;1563&lt;/rec-number&gt;&lt;foreign-keys&gt;&lt;key app="EN" db-id="0ewd29dz4ds0vmee9zpx5s9udxtatsf5ffpw" timestamp="0"&gt;1563&lt;/key&gt;&lt;/foreign-keys&gt;&lt;ref-type name="Journal Article"&gt;17&lt;/ref-type&gt;&lt;contributors&gt;&lt;authors&gt;&lt;author&gt;Cheung, Mee-Shew&lt;/author&gt;&lt;author&gt;Myers, Matthew B&lt;/author&gt;&lt;author&gt;Mentzer, John T&lt;/author&gt;&lt;/authors&gt;&lt;/contributors&gt;&lt;titles&gt;&lt;title&gt;Does relationship learning lead to relationship value? A cross-national supply chain investigation&lt;/title&gt;&lt;secondary-title&gt;Journal of Operations Management&lt;/secondary-title&gt;&lt;/titles&gt;&lt;periodical&gt;&lt;full-title&gt;Journal of Operations Management&lt;/full-title&gt;&lt;/periodical&gt;&lt;pages&gt;472-487&lt;/pages&gt;&lt;volume&gt;28&lt;/volume&gt;&lt;number&gt;6&lt;/number&gt;&lt;dates&gt;&lt;year&gt;2010&lt;/year&gt;&lt;/dates&gt;&lt;isbn&gt;0272-6963&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(Cheung et al., 2010)</w:t>
      </w:r>
      <w:r>
        <w:rPr>
          <w:rFonts w:asciiTheme="majorBidi" w:hAnsiTheme="majorBidi" w:cstheme="majorBidi"/>
          <w:iCs/>
          <w:color w:val="000000" w:themeColor="text1"/>
        </w:rPr>
        <w:fldChar w:fldCharType="end"/>
      </w:r>
      <w:r w:rsidRPr="007C0B7F">
        <w:rPr>
          <w:rFonts w:asciiTheme="majorBidi" w:hAnsiTheme="majorBidi" w:cstheme="majorBidi"/>
          <w:iCs/>
          <w:color w:val="000000" w:themeColor="text1"/>
        </w:rPr>
        <w:t xml:space="preserve">. </w:t>
      </w:r>
      <w:r w:rsidR="00A72FE3" w:rsidRPr="007C0B7F">
        <w:rPr>
          <w:rFonts w:asciiTheme="majorBidi" w:hAnsiTheme="majorBidi" w:cstheme="majorBidi"/>
          <w:iCs/>
          <w:color w:val="000000" w:themeColor="text1"/>
        </w:rPr>
        <w:t>Villena et al.</w:t>
      </w:r>
      <w:r w:rsidR="00A72FE3">
        <w:rPr>
          <w:rFonts w:asciiTheme="majorBidi" w:hAnsiTheme="majorBidi" w:cstheme="majorBidi"/>
          <w:iCs/>
          <w:color w:val="000000" w:themeColor="text1"/>
        </w:rPr>
        <w:t xml:space="preserve"> (2011)</w:t>
      </w:r>
      <w:r w:rsidR="00A72FE3" w:rsidRPr="007C0B7F">
        <w:rPr>
          <w:rFonts w:asciiTheme="majorBidi" w:hAnsiTheme="majorBidi" w:cstheme="majorBidi"/>
          <w:iCs/>
          <w:color w:val="000000" w:themeColor="text1"/>
        </w:rPr>
        <w:t xml:space="preserve"> propose that such embedded relations with suppliers</w:t>
      </w:r>
      <w:r w:rsidR="00A72FE3">
        <w:rPr>
          <w:rFonts w:asciiTheme="majorBidi" w:hAnsiTheme="majorBidi" w:cstheme="majorBidi"/>
          <w:iCs/>
          <w:color w:val="000000" w:themeColor="text1"/>
        </w:rPr>
        <w:t xml:space="preserve"> are subject to diminishing </w:t>
      </w:r>
      <w:r w:rsidR="00A72FE3" w:rsidRPr="007C0B7F">
        <w:rPr>
          <w:rFonts w:asciiTheme="majorBidi" w:hAnsiTheme="majorBidi" w:cstheme="majorBidi"/>
          <w:iCs/>
          <w:color w:val="000000" w:themeColor="text1"/>
        </w:rPr>
        <w:t>return</w:t>
      </w:r>
      <w:r w:rsidR="00A72FE3">
        <w:rPr>
          <w:rFonts w:asciiTheme="majorBidi" w:hAnsiTheme="majorBidi" w:cstheme="majorBidi"/>
          <w:iCs/>
          <w:color w:val="000000" w:themeColor="text1"/>
        </w:rPr>
        <w:t>s where they provide</w:t>
      </w:r>
      <w:r w:rsidR="00A72FE3" w:rsidRPr="007C0B7F">
        <w:rPr>
          <w:rFonts w:asciiTheme="majorBidi" w:hAnsiTheme="majorBidi" w:cstheme="majorBidi"/>
          <w:iCs/>
          <w:color w:val="000000" w:themeColor="text1"/>
        </w:rPr>
        <w:t xml:space="preserve"> positive results up to a certain threshold, after which they become negative and limit learning as well </w:t>
      </w:r>
      <w:r w:rsidR="00A72FE3">
        <w:rPr>
          <w:rFonts w:asciiTheme="majorBidi" w:hAnsiTheme="majorBidi" w:cstheme="majorBidi"/>
          <w:iCs/>
          <w:color w:val="000000" w:themeColor="text1"/>
        </w:rPr>
        <w:t xml:space="preserve">the </w:t>
      </w:r>
      <w:r w:rsidR="00A72FE3" w:rsidRPr="007C0B7F">
        <w:rPr>
          <w:rFonts w:asciiTheme="majorBidi" w:hAnsiTheme="majorBidi" w:cstheme="majorBidi"/>
          <w:iCs/>
          <w:color w:val="000000" w:themeColor="text1"/>
        </w:rPr>
        <w:t>innovation propensity of the organization.</w:t>
      </w:r>
      <w:r>
        <w:rPr>
          <w:rFonts w:asciiTheme="majorBidi" w:hAnsiTheme="majorBidi" w:cstheme="majorBidi"/>
          <w:iCs/>
          <w:color w:val="000000" w:themeColor="text1"/>
        </w:rPr>
        <w:t xml:space="preserve"> </w:t>
      </w:r>
      <w:r w:rsidR="000B71F5">
        <w:rPr>
          <w:rFonts w:asciiTheme="majorBidi" w:hAnsiTheme="majorBidi" w:cstheme="majorBidi"/>
          <w:iCs/>
          <w:color w:val="000000" w:themeColor="text1"/>
        </w:rPr>
        <w:t>Thus a second stream of literature has formed suggest</w:t>
      </w:r>
      <w:r w:rsidR="00ED5C23">
        <w:rPr>
          <w:rFonts w:asciiTheme="majorBidi" w:hAnsiTheme="majorBidi" w:cstheme="majorBidi"/>
          <w:iCs/>
          <w:color w:val="000000" w:themeColor="text1"/>
        </w:rPr>
        <w:t>ing</w:t>
      </w:r>
      <w:r>
        <w:rPr>
          <w:rFonts w:asciiTheme="majorBidi" w:hAnsiTheme="majorBidi" w:cstheme="majorBidi"/>
          <w:iCs/>
          <w:color w:val="000000" w:themeColor="text1"/>
        </w:rPr>
        <w:t xml:space="preserve"> </w:t>
      </w:r>
      <w:r w:rsidR="00ED5C23">
        <w:rPr>
          <w:rFonts w:asciiTheme="majorBidi" w:hAnsiTheme="majorBidi" w:cstheme="majorBidi"/>
          <w:iCs/>
          <w:color w:val="000000" w:themeColor="text1"/>
        </w:rPr>
        <w:t>that</w:t>
      </w:r>
      <w:r w:rsidR="00ED5C23" w:rsidRPr="007C0B7F">
        <w:rPr>
          <w:rFonts w:asciiTheme="majorBidi" w:hAnsiTheme="majorBidi" w:cstheme="majorBidi"/>
          <w:iCs/>
          <w:color w:val="000000" w:themeColor="text1"/>
        </w:rPr>
        <w:t xml:space="preserve"> </w:t>
      </w:r>
      <w:r w:rsidRPr="007C0B7F">
        <w:rPr>
          <w:rFonts w:asciiTheme="majorBidi" w:hAnsiTheme="majorBidi" w:cstheme="majorBidi"/>
          <w:iCs/>
          <w:color w:val="000000" w:themeColor="text1"/>
        </w:rPr>
        <w:t>collaborations could invoke partner opportunism, spill-over of knowledge to competitors, loss of objectivity and even redundancy of knowledge</w:t>
      </w:r>
      <w:r>
        <w:rPr>
          <w:rFonts w:asciiTheme="majorBidi" w:hAnsiTheme="majorBidi" w:cstheme="majorBidi"/>
          <w:iCs/>
          <w:color w:val="000000" w:themeColor="text1"/>
        </w:rPr>
        <w:t xml:space="preserve">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&lt;EndNote&gt;&lt;Cite&gt;&lt;Author&gt;Noordhoff&lt;/Author&gt;&lt;Year&gt;2011&lt;/Year&gt;&lt;RecNum&gt;1679&lt;/RecNum&gt;&lt;DisplayText&gt;(Noordhoff et al., 2011; Villena et al., 2011)&lt;/DisplayText&gt;&lt;record&gt;&lt;rec-number&gt;1679&lt;/rec-number&gt;&lt;foreign-keys&gt;&lt;key app="EN" db-id="0ewd29dz4ds0vmee9zpx5s9udxtatsf5ffpw" timestamp="1677665593"&gt;1679&lt;/key&gt;&lt;/foreign-keys&gt;&lt;ref-type name="Journal Article"&gt;17&lt;/ref-type&gt;&lt;contributors&gt;&lt;authors&gt;&lt;author&gt;Noordhoff, Corine S&lt;/author&gt;&lt;author&gt;Kyriakopoulos, Kyriakos&lt;/author&gt;&lt;author&gt;Moorman, Christine&lt;/author&gt;&lt;author&gt;Pauwels, Pieter&lt;/author&gt;&lt;author&gt;Dellaert, Benedict GC&lt;/author&gt;&lt;/authors&gt;&lt;/contributors&gt;&lt;titles&gt;&lt;title&gt;The bright side and dark side of embedded ties in business-to-business innovation&lt;/title&gt;&lt;secondary-title&gt; Journal of Marketing&lt;/secondary-title&gt;&lt;/titles&gt;&lt;pages&gt;34-52&lt;/pages&gt;&lt;volume&gt;75&lt;/volume&gt;&lt;number&gt;5&lt;/number&gt;&lt;dates&gt;&lt;year&gt;2011&lt;/year&gt;&lt;/dates&gt;&lt;isbn&gt;0022-2429&lt;/isbn&gt;&lt;urls&gt;&lt;/urls&gt;&lt;/record&gt;&lt;/Cite&gt;&lt;Cite&gt;&lt;Author&gt;Villena&lt;/Author&gt;&lt;Year&gt;2011&lt;/Year&gt;&lt;RecNum&gt;1680&lt;/RecNum&gt;&lt;record&gt;&lt;rec-number&gt;1680&lt;/rec-number&gt;&lt;foreign-keys&gt;&lt;key app="EN" db-id="0ewd29dz4ds0vmee9zpx5s9udxtatsf5ffpw" timestamp="1677665646"&gt;1680&lt;/key&gt;&lt;/foreign-keys&gt;&lt;ref-type name="Journal Article"&gt;17&lt;/ref-type&gt;&lt;contributors&gt;&lt;authors&gt;&lt;author&gt;Villena, Verónica H&lt;/author&gt;&lt;author&gt;Revilla, Elena&lt;/author&gt;&lt;author&gt;Choi, Thomas Y&lt;/author&gt;&lt;/authors&gt;&lt;/contributors&gt;&lt;titles&gt;&lt;title&gt;The dark side of buyer–supplier relationships: A social capital perspective&lt;/title&gt;&lt;secondary-title&gt;Journal of Operations Management&lt;/secondary-title&gt;&lt;/titles&gt;&lt;periodical&gt;&lt;full-title&gt;Journal of Operations Management&lt;/full-title&gt;&lt;/periodical&gt;&lt;pages&gt;561-576&lt;/pages&gt;&lt;volume&gt;29&lt;/volume&gt;&lt;number&gt;6&lt;/number&gt;&lt;dates&gt;&lt;year&gt;2011&lt;/year&gt;&lt;/dates&gt;&lt;isbn&gt;0272-6963&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(Noordhoff et al., 2011; Villena et al., 2011)</w:t>
      </w:r>
      <w:r>
        <w:rPr>
          <w:rFonts w:asciiTheme="majorBidi" w:hAnsiTheme="majorBidi" w:cstheme="majorBidi"/>
          <w:iCs/>
          <w:color w:val="000000" w:themeColor="text1"/>
        </w:rPr>
        <w:fldChar w:fldCharType="end"/>
      </w:r>
      <w:r w:rsidRPr="007C0B7F">
        <w:rPr>
          <w:rFonts w:asciiTheme="majorBidi" w:hAnsiTheme="majorBidi" w:cstheme="majorBidi"/>
          <w:iCs/>
          <w:color w:val="000000" w:themeColor="text1"/>
        </w:rPr>
        <w:t xml:space="preserve">. Our </w:t>
      </w:r>
      <w:r w:rsidR="00EC404D">
        <w:rPr>
          <w:rFonts w:asciiTheme="majorBidi" w:hAnsiTheme="majorBidi" w:cstheme="majorBidi"/>
          <w:iCs/>
          <w:color w:val="000000" w:themeColor="text1"/>
        </w:rPr>
        <w:t>results</w:t>
      </w:r>
      <w:r w:rsidRPr="007C0B7F">
        <w:rPr>
          <w:rFonts w:asciiTheme="majorBidi" w:hAnsiTheme="majorBidi" w:cstheme="majorBidi"/>
          <w:iCs/>
          <w:color w:val="000000" w:themeColor="text1"/>
        </w:rPr>
        <w:t xml:space="preserve"> support this</w:t>
      </w:r>
      <w:r>
        <w:rPr>
          <w:rFonts w:asciiTheme="majorBidi" w:hAnsiTheme="majorBidi" w:cstheme="majorBidi"/>
          <w:iCs/>
          <w:color w:val="000000" w:themeColor="text1"/>
        </w:rPr>
        <w:t xml:space="preserve"> second</w:t>
      </w:r>
      <w:r w:rsidRPr="007C0B7F">
        <w:rPr>
          <w:rFonts w:asciiTheme="majorBidi" w:hAnsiTheme="majorBidi" w:cstheme="majorBidi"/>
          <w:iCs/>
          <w:color w:val="000000" w:themeColor="text1"/>
        </w:rPr>
        <w:t xml:space="preserve"> line of inquiry because it shows that prevalence of complementarity with suppliers ha</w:t>
      </w:r>
      <w:r>
        <w:rPr>
          <w:rFonts w:asciiTheme="majorBidi" w:hAnsiTheme="majorBidi" w:cstheme="majorBidi"/>
          <w:iCs/>
          <w:color w:val="000000" w:themeColor="text1"/>
        </w:rPr>
        <w:t>s a</w:t>
      </w:r>
      <w:r w:rsidRPr="007C0B7F">
        <w:rPr>
          <w:rFonts w:asciiTheme="majorBidi" w:hAnsiTheme="majorBidi" w:cstheme="majorBidi"/>
          <w:iCs/>
          <w:color w:val="000000" w:themeColor="text1"/>
        </w:rPr>
        <w:t xml:space="preserve"> negative impact on </w:t>
      </w:r>
      <w:r>
        <w:rPr>
          <w:rFonts w:asciiTheme="majorBidi" w:hAnsiTheme="majorBidi" w:cstheme="majorBidi"/>
          <w:iCs/>
          <w:color w:val="000000" w:themeColor="text1"/>
        </w:rPr>
        <w:t xml:space="preserve">the </w:t>
      </w:r>
      <w:r w:rsidRPr="007C0B7F">
        <w:rPr>
          <w:rFonts w:asciiTheme="majorBidi" w:hAnsiTheme="majorBidi" w:cstheme="majorBidi"/>
          <w:iCs/>
          <w:color w:val="000000" w:themeColor="text1"/>
        </w:rPr>
        <w:t xml:space="preserve">relationship between SCA and </w:t>
      </w:r>
      <w:r>
        <w:rPr>
          <w:rFonts w:asciiTheme="majorBidi" w:hAnsiTheme="majorBidi" w:cstheme="majorBidi"/>
          <w:iCs/>
          <w:color w:val="000000" w:themeColor="text1"/>
        </w:rPr>
        <w:t xml:space="preserve">the firm’s </w:t>
      </w:r>
      <w:r w:rsidRPr="007C0B7F">
        <w:rPr>
          <w:rFonts w:asciiTheme="majorBidi" w:hAnsiTheme="majorBidi" w:cstheme="majorBidi"/>
          <w:iCs/>
          <w:color w:val="000000" w:themeColor="text1"/>
        </w:rPr>
        <w:t>innovative performance</w:t>
      </w:r>
      <w:r>
        <w:rPr>
          <w:rFonts w:asciiTheme="majorBidi" w:hAnsiTheme="majorBidi" w:cstheme="majorBidi"/>
          <w:iCs/>
          <w:color w:val="000000" w:themeColor="text1"/>
        </w:rPr>
        <w:t>.</w:t>
      </w:r>
    </w:p>
    <w:p w14:paraId="1BB85294" w14:textId="7E4D8C52" w:rsidR="007742CC" w:rsidRDefault="007742CC" w:rsidP="00953252">
      <w:pPr>
        <w:spacing w:line="480" w:lineRule="auto"/>
        <w:ind w:firstLine="567"/>
        <w:jc w:val="both"/>
        <w:rPr>
          <w:rFonts w:asciiTheme="majorBidi" w:hAnsiTheme="majorBidi" w:cstheme="majorBidi"/>
          <w:iCs/>
          <w:color w:val="000000" w:themeColor="text1"/>
        </w:rPr>
      </w:pPr>
      <w:r>
        <w:rPr>
          <w:rFonts w:asciiTheme="majorBidi" w:hAnsiTheme="majorBidi" w:cstheme="majorBidi"/>
          <w:iCs/>
          <w:color w:val="000000" w:themeColor="text1"/>
        </w:rPr>
        <w:t xml:space="preserve">Furthermore, we find that SCA mediates the relationship between organizational context and innovation performance. Both performance management context and social support context influence innovation performance through SCA. </w:t>
      </w:r>
      <w:r w:rsidRPr="007C0B7F">
        <w:rPr>
          <w:rFonts w:asciiTheme="majorBidi" w:hAnsiTheme="majorBidi" w:cstheme="majorBidi"/>
          <w:iCs/>
          <w:color w:val="000000" w:themeColor="text1"/>
        </w:rPr>
        <w:t>Th</w:t>
      </w:r>
      <w:r>
        <w:rPr>
          <w:rFonts w:asciiTheme="majorBidi" w:hAnsiTheme="majorBidi" w:cstheme="majorBidi"/>
          <w:iCs/>
          <w:color w:val="000000" w:themeColor="text1"/>
        </w:rPr>
        <w:t>e</w:t>
      </w:r>
      <w:r w:rsidRPr="007C0B7F">
        <w:rPr>
          <w:rFonts w:asciiTheme="majorBidi" w:hAnsiTheme="majorBidi" w:cstheme="majorBidi"/>
          <w:iCs/>
          <w:color w:val="000000" w:themeColor="text1"/>
        </w:rPr>
        <w:t>s</w:t>
      </w:r>
      <w:r>
        <w:rPr>
          <w:rFonts w:asciiTheme="majorBidi" w:hAnsiTheme="majorBidi" w:cstheme="majorBidi"/>
          <w:iCs/>
          <w:color w:val="000000" w:themeColor="text1"/>
        </w:rPr>
        <w:t>e</w:t>
      </w:r>
      <w:r w:rsidRPr="007C0B7F">
        <w:rPr>
          <w:rFonts w:asciiTheme="majorBidi" w:hAnsiTheme="majorBidi" w:cstheme="majorBidi"/>
          <w:iCs/>
          <w:color w:val="000000" w:themeColor="text1"/>
        </w:rPr>
        <w:t xml:space="preserve"> finding</w:t>
      </w:r>
      <w:r>
        <w:rPr>
          <w:rFonts w:asciiTheme="majorBidi" w:hAnsiTheme="majorBidi" w:cstheme="majorBidi"/>
          <w:iCs/>
          <w:color w:val="000000" w:themeColor="text1"/>
        </w:rPr>
        <w:t>s</w:t>
      </w:r>
      <w:r w:rsidRPr="007C0B7F">
        <w:rPr>
          <w:rFonts w:asciiTheme="majorBidi" w:hAnsiTheme="majorBidi" w:cstheme="majorBidi"/>
          <w:iCs/>
          <w:color w:val="000000" w:themeColor="text1"/>
        </w:rPr>
        <w:t xml:space="preserve"> extend the work of Gibson and Birkinshaw</w:t>
      </w:r>
      <w:r>
        <w:rPr>
          <w:rFonts w:asciiTheme="majorBidi" w:hAnsiTheme="majorBidi" w:cstheme="majorBidi"/>
          <w:iCs/>
          <w:color w:val="000000" w:themeColor="text1"/>
        </w:rPr>
        <w:t xml:space="preserve"> (2004) </w:t>
      </w:r>
      <w:r w:rsidRPr="007C0B7F">
        <w:rPr>
          <w:rFonts w:asciiTheme="majorBidi" w:hAnsiTheme="majorBidi" w:cstheme="majorBidi"/>
          <w:iCs/>
          <w:color w:val="000000" w:themeColor="text1"/>
        </w:rPr>
        <w:t xml:space="preserve">and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 AuthorYear="1"&gt;&lt;Author&gt;Úbeda-García&lt;/Author&gt;&lt;Year&gt;2020&lt;/Year&gt;&lt;RecNum&gt;1669&lt;/RecNum&gt;&lt;DisplayText&gt;Úbeda-García et al. (2020)&lt;/DisplayText&gt;&lt;record&gt;&lt;rec-number&gt;1669&lt;/rec-number&gt;&lt;foreign-keys&gt;&lt;key app="EN" db-id="0ewd29dz4ds0vmee9zpx5s9udxtatsf5ffpw" timestamp="1677565605"&gt;1669&lt;/key&gt;&lt;/foreign-keys&gt;&lt;ref-type name="Journal Article"&gt;17&lt;/ref-type&gt;&lt;contributors&gt;&lt;authors&gt;&lt;author&gt;Úbeda-García, Mercedes&lt;/author&gt;&lt;author&gt;Claver-Cortés, Enrique&lt;/author&gt;&lt;author&gt;Marco-Lajara, Bartolomé&lt;/author&gt;&lt;author&gt;Zaragoza-Sáez, Patrocinio&lt;/author&gt;&lt;/authors&gt;&lt;/contributors&gt;&lt;titles&gt;&lt;title&gt;Toward a dynamic construction of organizational ambidexterity: Exploring the synergies between structural differentiation, organizational context, and interorganizational relations&lt;/title&gt;&lt;secondary-title&gt;Journal of Business Research&lt;/secondary-title&gt;&lt;/titles&gt;&lt;periodical&gt;&lt;full-title&gt;Journal of Business Research&lt;/full-title&gt;&lt;/periodical&gt;&lt;pages&gt;363-372&lt;/pages&gt;&lt;volume&gt;112&lt;/volume&gt;&lt;dates&gt;&lt;year&gt;2020&lt;/year&gt;&lt;/dates&gt;&lt;isbn&gt;0148-2963&lt;/isbn&gt;&lt;urls&gt;&lt;/urls&gt;&lt;/record&gt;&lt;/Cite&gt;&lt;/EndNote&gt;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Úbeda-García et al. (2020)</w:t>
      </w:r>
      <w:r>
        <w:rPr>
          <w:rFonts w:asciiTheme="majorBidi" w:hAnsiTheme="majorBidi" w:cstheme="majorBidi"/>
          <w:iCs/>
          <w:color w:val="000000" w:themeColor="text1"/>
        </w:rPr>
        <w:fldChar w:fldCharType="end"/>
      </w:r>
      <w:r>
        <w:rPr>
          <w:rFonts w:asciiTheme="majorBidi" w:hAnsiTheme="majorBidi" w:cstheme="majorBidi"/>
          <w:iCs/>
          <w:color w:val="000000" w:themeColor="text1"/>
        </w:rPr>
        <w:t xml:space="preserve"> </w:t>
      </w:r>
      <w:r w:rsidRPr="007C0B7F">
        <w:rPr>
          <w:rFonts w:asciiTheme="majorBidi" w:hAnsiTheme="majorBidi" w:cstheme="majorBidi"/>
          <w:iCs/>
          <w:color w:val="000000" w:themeColor="text1"/>
        </w:rPr>
        <w:t>who show that organizational context positively influence</w:t>
      </w:r>
      <w:r>
        <w:rPr>
          <w:rFonts w:asciiTheme="majorBidi" w:hAnsiTheme="majorBidi" w:cstheme="majorBidi"/>
          <w:iCs/>
          <w:color w:val="000000" w:themeColor="text1"/>
        </w:rPr>
        <w:t>s</w:t>
      </w:r>
      <w:r w:rsidRPr="007C0B7F">
        <w:rPr>
          <w:rFonts w:asciiTheme="majorBidi" w:hAnsiTheme="majorBidi" w:cstheme="majorBidi"/>
          <w:iCs/>
          <w:color w:val="000000" w:themeColor="text1"/>
        </w:rPr>
        <w:t xml:space="preserve"> organizational performance</w:t>
      </w:r>
      <w:r>
        <w:rPr>
          <w:rFonts w:asciiTheme="majorBidi" w:hAnsiTheme="majorBidi" w:cstheme="majorBidi"/>
          <w:iCs/>
          <w:color w:val="000000" w:themeColor="text1"/>
        </w:rPr>
        <w:t xml:space="preserve"> through intermediate outcomes</w:t>
      </w:r>
      <w:r w:rsidRPr="007C0B7F">
        <w:rPr>
          <w:rFonts w:asciiTheme="majorBidi" w:hAnsiTheme="majorBidi" w:cstheme="majorBidi"/>
          <w:iCs/>
          <w:color w:val="000000" w:themeColor="text1"/>
        </w:rPr>
        <w:t xml:space="preserve">. Our findings substantiate these studies </w:t>
      </w:r>
      <w:r>
        <w:rPr>
          <w:rFonts w:asciiTheme="majorBidi" w:hAnsiTheme="majorBidi" w:cstheme="majorBidi"/>
          <w:iCs/>
          <w:color w:val="000000" w:themeColor="text1"/>
        </w:rPr>
        <w:t>by showing a</w:t>
      </w:r>
      <w:r w:rsidRPr="007C0B7F">
        <w:rPr>
          <w:rFonts w:asciiTheme="majorBidi" w:hAnsiTheme="majorBidi" w:cstheme="majorBidi"/>
          <w:iCs/>
          <w:color w:val="000000" w:themeColor="text1"/>
        </w:rPr>
        <w:t xml:space="preserve"> </w:t>
      </w:r>
      <w:r w:rsidRPr="007C0B7F">
        <w:rPr>
          <w:rStyle w:val="fontstyle01"/>
          <w:rFonts w:asciiTheme="majorBidi" w:eastAsiaTheme="majorEastAsia" w:hAnsiTheme="majorBidi"/>
          <w:iCs/>
          <w:color w:val="000000" w:themeColor="text1"/>
          <w:sz w:val="24"/>
          <w:szCs w:val="24"/>
        </w:rPr>
        <w:t xml:space="preserve">positive effect of social and performance contexts on innovation </w:t>
      </w:r>
      <w:r w:rsidRPr="007C0B7F">
        <w:rPr>
          <w:rStyle w:val="fontstyle01"/>
          <w:rFonts w:asciiTheme="majorBidi" w:eastAsiaTheme="majorEastAsia" w:hAnsiTheme="majorBidi"/>
          <w:iCs/>
          <w:color w:val="000000" w:themeColor="text1"/>
          <w:sz w:val="24"/>
          <w:szCs w:val="24"/>
        </w:rPr>
        <w:lastRenderedPageBreak/>
        <w:t>performance</w:t>
      </w:r>
      <w:r>
        <w:rPr>
          <w:rStyle w:val="fontstyle01"/>
          <w:rFonts w:asciiTheme="majorBidi" w:eastAsiaTheme="majorEastAsia" w:hAnsiTheme="majorBidi"/>
          <w:iCs/>
          <w:color w:val="000000" w:themeColor="text1"/>
          <w:sz w:val="24"/>
          <w:szCs w:val="24"/>
        </w:rPr>
        <w:t xml:space="preserve"> through SCA</w:t>
      </w:r>
      <w:r w:rsidRPr="007C0B7F">
        <w:rPr>
          <w:rStyle w:val="fontstyle01"/>
          <w:rFonts w:asciiTheme="majorBidi" w:eastAsiaTheme="majorEastAsia" w:hAnsiTheme="majorBidi"/>
          <w:iCs/>
          <w:color w:val="000000" w:themeColor="text1"/>
          <w:sz w:val="24"/>
          <w:szCs w:val="24"/>
        </w:rPr>
        <w:t xml:space="preserve">. </w:t>
      </w:r>
      <w:r>
        <w:rPr>
          <w:rFonts w:asciiTheme="majorBidi" w:hAnsiTheme="majorBidi" w:cstheme="majorBidi"/>
          <w:iCs/>
          <w:color w:val="000000" w:themeColor="text1"/>
        </w:rPr>
        <w:t>However, our results differ from these studies as they investigate the combined effects of organizational context, whereas we also estimate the differential effect of performance management context and social support context on innovative performance. We find that social support context has a more salient relationship compared to performance management context. It leads to the conclusion that people focused management practices in organizations are more likely to develop agile practices and lead to superior performance outcomes. This is in line with prior research showing that trust and support (i.e.</w:t>
      </w:r>
      <w:r w:rsidRPr="008D4FBE">
        <w:rPr>
          <w:rFonts w:asciiTheme="majorBidi" w:hAnsiTheme="majorBidi" w:cstheme="majorBidi"/>
          <w:iCs/>
          <w:color w:val="FF0000"/>
        </w:rPr>
        <w:t>,</w:t>
      </w:r>
      <w:r>
        <w:rPr>
          <w:rFonts w:asciiTheme="majorBidi" w:hAnsiTheme="majorBidi" w:cstheme="majorBidi"/>
          <w:iCs/>
          <w:color w:val="000000" w:themeColor="text1"/>
        </w:rPr>
        <w:t xml:space="preserve"> social context) are linked with firms’ innovation propensity. Innovation demands creativity and risk-taking behavior that requires supporting organizational environment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&lt;EndNote&gt;&lt;Cite&gt;&lt;Author&gt;Naldi&lt;/Author&gt;&lt;Year&gt;2007&lt;/Year&gt;&lt;RecNum&gt;1618&lt;/RecNum&gt;&lt;DisplayText&gt;(Naldi et al., 2007)&lt;/DisplayText&gt;&lt;record&gt;&lt;rec-number&gt;1618&lt;/rec-number&gt;&lt;foreign-keys&gt;&lt;key app="EN" db-id="zw59vpadbtepfpef9t3pvzeot59fe2ptraw5" timestamp="0"&gt;1618&lt;/key&gt;&lt;/foreign-keys&gt;&lt;ref-type name="Journal Article"&gt;17&lt;/ref-type&gt;&lt;contributors&gt;&lt;authors&gt;&lt;author&gt;Naldi, Lucia&lt;/author&gt;&lt;author&gt;Nordqvist, Mattias&lt;/author&gt;&lt;author&gt;Sjöberg, Karin&lt;/author&gt;&lt;author&gt;Wiklund, Johan&lt;/author&gt;&lt;/authors&gt;&lt;/contributors&gt;&lt;titles&gt;&lt;title&gt;Entrepreneurial orientation, risk taking, and performance in family firms&lt;/title&gt;&lt;secondary-title&gt;Family business review&lt;/secondary-title&gt;&lt;/titles&gt;&lt;pages&gt;33-47&lt;/pages&gt;&lt;volume&gt;20&lt;/volume&gt;&lt;number&gt;1&lt;/number&gt;&lt;dates&gt;&lt;year&gt;2007&lt;/year&gt;&lt;/dates&gt;&lt;isbn&gt;0894-4865&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(Naldi et al., 2007)</w:t>
      </w:r>
      <w:r>
        <w:rPr>
          <w:rFonts w:asciiTheme="majorBidi" w:hAnsiTheme="majorBidi" w:cstheme="majorBidi"/>
          <w:iCs/>
          <w:color w:val="000000" w:themeColor="text1"/>
        </w:rPr>
        <w:fldChar w:fldCharType="end"/>
      </w:r>
      <w:r>
        <w:rPr>
          <w:rFonts w:asciiTheme="majorBidi" w:hAnsiTheme="majorBidi" w:cstheme="majorBidi"/>
          <w:iCs/>
          <w:color w:val="000000" w:themeColor="text1"/>
        </w:rPr>
        <w:t>.</w:t>
      </w:r>
    </w:p>
    <w:p w14:paraId="0944A58D" w14:textId="4A26EDD6" w:rsidR="007742CC" w:rsidRPr="00DB1AED" w:rsidRDefault="007742CC" w:rsidP="007742CC">
      <w:pPr>
        <w:spacing w:before="160" w:after="160" w:line="480" w:lineRule="auto"/>
        <w:jc w:val="both"/>
        <w:rPr>
          <w:rFonts w:asciiTheme="majorBidi" w:hAnsiTheme="majorBidi" w:cstheme="majorBidi"/>
          <w:b/>
          <w:bCs/>
          <w:i/>
          <w:iCs/>
          <w:color w:val="000000" w:themeColor="text1"/>
        </w:rPr>
      </w:pPr>
      <w:r>
        <w:rPr>
          <w:rFonts w:asciiTheme="majorBidi" w:hAnsiTheme="majorBidi" w:cstheme="majorBidi"/>
          <w:b/>
          <w:bCs/>
          <w:i/>
          <w:iCs/>
          <w:color w:val="000000" w:themeColor="text1"/>
        </w:rPr>
        <w:t>5.1</w:t>
      </w:r>
      <w:r w:rsidRPr="00DB1AED">
        <w:rPr>
          <w:rFonts w:asciiTheme="majorBidi" w:hAnsiTheme="majorBidi" w:cstheme="majorBidi"/>
          <w:b/>
          <w:bCs/>
          <w:i/>
          <w:iCs/>
          <w:color w:val="000000" w:themeColor="text1"/>
        </w:rPr>
        <w:t xml:space="preserve"> Theoretical </w:t>
      </w:r>
      <w:r w:rsidR="00F66EDA">
        <w:rPr>
          <w:rFonts w:asciiTheme="majorBidi" w:hAnsiTheme="majorBidi" w:cstheme="majorBidi"/>
          <w:b/>
          <w:bCs/>
          <w:i/>
          <w:iCs/>
          <w:color w:val="000000" w:themeColor="text1"/>
        </w:rPr>
        <w:t>I</w:t>
      </w:r>
      <w:r w:rsidRPr="00DB1AED">
        <w:rPr>
          <w:rFonts w:asciiTheme="majorBidi" w:hAnsiTheme="majorBidi" w:cstheme="majorBidi"/>
          <w:b/>
          <w:bCs/>
          <w:i/>
          <w:iCs/>
          <w:color w:val="000000" w:themeColor="text1"/>
        </w:rPr>
        <w:t xml:space="preserve">mplications </w:t>
      </w:r>
    </w:p>
    <w:p w14:paraId="298FC507" w14:textId="77777777" w:rsidR="007742CC" w:rsidRDefault="007742CC" w:rsidP="007742CC">
      <w:pPr>
        <w:spacing w:line="480" w:lineRule="auto"/>
        <w:jc w:val="both"/>
        <w:rPr>
          <w:rFonts w:asciiTheme="majorBidi" w:hAnsiTheme="majorBidi" w:cstheme="majorBidi"/>
          <w:iCs/>
          <w:color w:val="000000" w:themeColor="text1"/>
        </w:rPr>
      </w:pPr>
      <w:r>
        <w:rPr>
          <w:rFonts w:asciiTheme="majorBidi" w:hAnsiTheme="majorBidi" w:cstheme="majorBidi"/>
          <w:iCs/>
          <w:color w:val="000000" w:themeColor="text1"/>
        </w:rPr>
        <w:t xml:space="preserve">Our research contributes to the discourses </w:t>
      </w:r>
      <w:r w:rsidRPr="00EF5BB4">
        <w:rPr>
          <w:rFonts w:asciiTheme="majorBidi" w:hAnsiTheme="majorBidi" w:cstheme="majorBidi"/>
          <w:iCs/>
          <w:color w:val="FF0000"/>
        </w:rPr>
        <w:t xml:space="preserve">around </w:t>
      </w:r>
      <w:r>
        <w:rPr>
          <w:rFonts w:asciiTheme="majorBidi" w:hAnsiTheme="majorBidi" w:cstheme="majorBidi"/>
          <w:iCs/>
          <w:color w:val="000000" w:themeColor="text1"/>
        </w:rPr>
        <w:t xml:space="preserve">dynamic capabilities in general and SCA in particular in the following four ways. First, previous research has shown that dynamic capabilities enable firms to successfully compete in modern unpredictable business environments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&lt;EndNote&gt;&lt;Cite&gt;&lt;Author&gt;Aslam&lt;/Author&gt;&lt;Year&gt;2018&lt;/Year&gt;&lt;RecNum&gt;1281&lt;/RecNum&gt;&lt;DisplayText&gt;(Aslam et al., 2018; Helfat &amp;amp; Winter, 2011)&lt;/DisplayText&gt;&lt;record&gt;&lt;rec-number&gt;1281&lt;/rec-number&gt;&lt;foreign-keys&gt;&lt;key app="EN" db-id="0ewd29dz4ds0vmee9zpx5s9udxtatsf5ffpw" timestamp="0"&gt;1281&lt;/key&gt;&lt;/foreign-keys&gt;&lt;ref-type name="Journal Article"&gt;17&lt;/ref-type&gt;&lt;contributors&gt;&lt;authors&gt;&lt;author&gt;Aslam, Haris&lt;/author&gt;&lt;author&gt;Blome, Constantin&lt;/author&gt;&lt;author&gt;Roscoe, Samuel&lt;/author&gt;&lt;author&gt;Azhar, Tashfeen M&lt;/author&gt;&lt;/authors&gt;&lt;/contributors&gt;&lt;titles&gt;&lt;title&gt;Dynamic supply chain capabilities: How market sensing, supply chain agility and adaptability affect supply chain ambidexterity&lt;/title&gt;&lt;secondary-title&gt;International Journal of Operations &amp;amp; Production Management&lt;/secondary-title&gt;&lt;/titles&gt;&lt;periodical&gt;&lt;full-title&gt;International Journal of Operations &amp;amp; Production Management&lt;/full-title&gt;&lt;/periodical&gt;&lt;pages&gt;2266-2285&lt;/pages&gt;&lt;volume&gt;38&lt;/volume&gt;&lt;number&gt;12&lt;/number&gt;&lt;dates&gt;&lt;year&gt;2018&lt;/year&gt;&lt;/dates&gt;&lt;isbn&gt;0144-3577&lt;/isbn&gt;&lt;urls&gt;&lt;/urls&gt;&lt;/record&gt;&lt;/Cite&gt;&lt;Cite&gt;&lt;Author&gt;Helfat&lt;/Author&gt;&lt;Year&gt;2011&lt;/Year&gt;&lt;RecNum&gt;115&lt;/RecNum&gt;&lt;record&gt;&lt;rec-number&gt;115&lt;/rec-number&gt;&lt;foreign-keys&gt;&lt;key app="EN" db-id="0ewd29dz4ds0vmee9zpx5s9udxtatsf5ffpw" timestamp="0"&gt;115&lt;/key&gt;&lt;/foreign-keys&gt;&lt;ref-type name="Journal Article"&gt;17&lt;/ref-type&gt;&lt;contributors&gt;&lt;authors&gt;&lt;author&gt;Helfat, Constance E&lt;/author&gt;&lt;author&gt;Winter, Sidney G&lt;/author&gt;&lt;/authors&gt;&lt;/contributors&gt;&lt;titles&gt;&lt;title&gt;Untangling dynamic and operational capabilities: Strategy for the (N)ever‐changing world&lt;/title&gt;&lt;secondary-title&gt;Strategic Management Journal&lt;/secondary-title&gt;&lt;/titles&gt;&lt;periodical&gt;&lt;full-title&gt;Strategic Management Journal&lt;/full-title&gt;&lt;/periodical&gt;&lt;pages&gt;1243-1250&lt;/pages&gt;&lt;volume&gt;32&lt;/volume&gt;&lt;number&gt;11&lt;/number&gt;&lt;dates&gt;&lt;year&gt;2011&lt;/year&gt;&lt;/dates&gt;&lt;publisher&gt;Wiley Online Library&lt;/publisher&gt;&lt;isbn&gt;1097-0266&lt;/isbn&gt;&lt;urls&gt;&lt;/urls&gt;&lt;/record&gt;&lt;/Cite&gt;&lt;/EndNote&gt;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(Aslam et al., 2018; Helfat &amp; Winter, 2011)</w:t>
      </w:r>
      <w:r>
        <w:rPr>
          <w:rFonts w:asciiTheme="majorBidi" w:hAnsiTheme="majorBidi" w:cstheme="majorBidi"/>
          <w:iCs/>
          <w:color w:val="000000" w:themeColor="text1"/>
        </w:rPr>
        <w:fldChar w:fldCharType="end"/>
      </w:r>
      <w:r>
        <w:rPr>
          <w:rFonts w:asciiTheme="majorBidi" w:hAnsiTheme="majorBidi" w:cstheme="majorBidi"/>
          <w:iCs/>
          <w:color w:val="000000" w:themeColor="text1"/>
        </w:rPr>
        <w:t xml:space="preserve">. In addition, </w:t>
      </w:r>
      <w:r w:rsidRPr="00EF5BB4">
        <w:rPr>
          <w:rFonts w:asciiTheme="majorBidi" w:hAnsiTheme="majorBidi" w:cstheme="majorBidi"/>
          <w:iCs/>
          <w:color w:val="FF0000"/>
        </w:rPr>
        <w:t xml:space="preserve">several </w:t>
      </w:r>
      <w:r>
        <w:rPr>
          <w:rFonts w:asciiTheme="majorBidi" w:hAnsiTheme="majorBidi" w:cstheme="majorBidi"/>
          <w:iCs/>
          <w:color w:val="000000" w:themeColor="text1"/>
        </w:rPr>
        <w:t>studies have evaluated the importance of SCA – a firm level dynamic capability – for firm performance. Yet, previous studies have not been able to identify the context in which SCA is nurtured. A major contribution of this study is to explain the context in which SCA capability can be developed.</w:t>
      </w:r>
    </w:p>
    <w:p w14:paraId="5D0FF134" w14:textId="667DD9B6" w:rsidR="00160211" w:rsidRDefault="007742CC" w:rsidP="007742CC">
      <w:pPr>
        <w:spacing w:line="480" w:lineRule="auto"/>
        <w:ind w:firstLine="360"/>
        <w:jc w:val="both"/>
        <w:rPr>
          <w:rFonts w:asciiTheme="majorBidi" w:hAnsiTheme="majorBidi" w:cstheme="majorBidi"/>
          <w:iCs/>
          <w:color w:val="000000" w:themeColor="text1"/>
        </w:rPr>
      </w:pPr>
      <w:r>
        <w:rPr>
          <w:rFonts w:asciiTheme="majorBidi" w:hAnsiTheme="majorBidi" w:cstheme="majorBidi"/>
          <w:iCs/>
          <w:color w:val="000000" w:themeColor="text1"/>
        </w:rPr>
        <w:t>Second, a</w:t>
      </w:r>
      <w:r w:rsidRPr="007C0B7F">
        <w:rPr>
          <w:rFonts w:asciiTheme="majorBidi" w:hAnsiTheme="majorBidi" w:cstheme="majorBidi"/>
          <w:iCs/>
          <w:color w:val="000000" w:themeColor="text1"/>
        </w:rPr>
        <w:t xml:space="preserve">nother important </w:t>
      </w:r>
      <w:r>
        <w:rPr>
          <w:rFonts w:asciiTheme="majorBidi" w:hAnsiTheme="majorBidi" w:cstheme="majorBidi"/>
          <w:iCs/>
          <w:color w:val="000000" w:themeColor="text1"/>
        </w:rPr>
        <w:t>implication of this</w:t>
      </w:r>
      <w:r w:rsidRPr="007C0B7F">
        <w:rPr>
          <w:rFonts w:asciiTheme="majorBidi" w:hAnsiTheme="majorBidi" w:cstheme="majorBidi"/>
          <w:iCs/>
          <w:color w:val="000000" w:themeColor="text1"/>
        </w:rPr>
        <w:t xml:space="preserve"> study is to highlight the role of context in organization</w:t>
      </w:r>
      <w:r>
        <w:rPr>
          <w:rFonts w:asciiTheme="majorBidi" w:hAnsiTheme="majorBidi" w:cstheme="majorBidi"/>
          <w:iCs/>
          <w:color w:val="000000" w:themeColor="text1"/>
        </w:rPr>
        <w:t>s</w:t>
      </w:r>
      <w:r w:rsidRPr="007C0B7F">
        <w:rPr>
          <w:rFonts w:asciiTheme="majorBidi" w:hAnsiTheme="majorBidi" w:cstheme="majorBidi"/>
          <w:iCs/>
          <w:color w:val="000000" w:themeColor="text1"/>
        </w:rPr>
        <w:t xml:space="preserve">’ ability to develop and exploit dynamic capabilities. </w:t>
      </w:r>
      <w:r>
        <w:rPr>
          <w:rFonts w:asciiTheme="majorBidi" w:hAnsiTheme="majorBidi" w:cstheme="majorBidi"/>
          <w:iCs/>
          <w:color w:val="000000" w:themeColor="text1"/>
        </w:rPr>
        <w:t>We find that both performance</w:t>
      </w:r>
      <w:r w:rsidR="0035232B">
        <w:rPr>
          <w:rFonts w:asciiTheme="majorBidi" w:hAnsiTheme="majorBidi" w:cstheme="majorBidi"/>
          <w:iCs/>
          <w:color w:val="000000" w:themeColor="text1"/>
        </w:rPr>
        <w:t xml:space="preserve"> management</w:t>
      </w:r>
      <w:r>
        <w:rPr>
          <w:rFonts w:asciiTheme="majorBidi" w:hAnsiTheme="majorBidi" w:cstheme="majorBidi"/>
          <w:iCs/>
          <w:color w:val="000000" w:themeColor="text1"/>
        </w:rPr>
        <w:t xml:space="preserve"> and social context foster the development of SCA. Previous literature on organization theory suggests that development, configuration</w:t>
      </w:r>
      <w:r w:rsidRPr="00EF5BB4">
        <w:rPr>
          <w:rFonts w:asciiTheme="majorBidi" w:hAnsiTheme="majorBidi" w:cstheme="majorBidi"/>
          <w:iCs/>
          <w:color w:val="FF0000"/>
        </w:rPr>
        <w:t>,</w:t>
      </w:r>
      <w:r>
        <w:rPr>
          <w:rFonts w:asciiTheme="majorBidi" w:hAnsiTheme="majorBidi" w:cstheme="majorBidi"/>
          <w:iCs/>
          <w:color w:val="000000" w:themeColor="text1"/>
        </w:rPr>
        <w:t xml:space="preserve"> and exploitation of resources, competencies, processes</w:t>
      </w:r>
      <w:r w:rsidRPr="00EF5BB4">
        <w:rPr>
          <w:rFonts w:asciiTheme="majorBidi" w:hAnsiTheme="majorBidi" w:cstheme="majorBidi"/>
          <w:iCs/>
          <w:color w:val="FF0000"/>
        </w:rPr>
        <w:t>,</w:t>
      </w:r>
      <w:r>
        <w:rPr>
          <w:rFonts w:asciiTheme="majorBidi" w:hAnsiTheme="majorBidi" w:cstheme="majorBidi"/>
          <w:iCs/>
          <w:color w:val="000000" w:themeColor="text1"/>
        </w:rPr>
        <w:t xml:space="preserve"> and routines require a supporting context. In other words, even if different resources are available that could lead towards the development of a specific dynamic capability, a supportive </w:t>
      </w:r>
      <w:r>
        <w:rPr>
          <w:rFonts w:asciiTheme="majorBidi" w:hAnsiTheme="majorBidi" w:cstheme="majorBidi"/>
          <w:iCs/>
          <w:color w:val="000000" w:themeColor="text1"/>
        </w:rPr>
        <w:lastRenderedPageBreak/>
        <w:t>organizational context – that includes systems, beliefs</w:t>
      </w:r>
      <w:r w:rsidRPr="00EF5BB4">
        <w:rPr>
          <w:rFonts w:asciiTheme="majorBidi" w:hAnsiTheme="majorBidi" w:cstheme="majorBidi"/>
          <w:iCs/>
          <w:color w:val="FF0000"/>
        </w:rPr>
        <w:t>,</w:t>
      </w:r>
      <w:r>
        <w:rPr>
          <w:rFonts w:asciiTheme="majorBidi" w:hAnsiTheme="majorBidi" w:cstheme="majorBidi"/>
          <w:iCs/>
          <w:color w:val="000000" w:themeColor="text1"/>
        </w:rPr>
        <w:t xml:space="preserve"> and practices that influence the individual behavior – would be needed</w:t>
      </w:r>
      <w:r w:rsidR="000E5BE3">
        <w:rPr>
          <w:rFonts w:asciiTheme="majorBidi" w:hAnsiTheme="majorBidi" w:cstheme="majorBidi"/>
          <w:iCs/>
          <w:color w:val="000000" w:themeColor="text1"/>
        </w:rPr>
        <w:t xml:space="preserve"> </w:t>
      </w:r>
      <w:r w:rsidR="00E87C88">
        <w:rPr>
          <w:rFonts w:asciiTheme="majorBidi" w:hAnsiTheme="majorBidi" w:cstheme="majorBidi"/>
          <w:iCs/>
          <w:color w:val="000000" w:themeColor="text1"/>
        </w:rPr>
        <w:fldChar w:fldCharType="begin"/>
      </w:r>
      <w:r w:rsidR="008F3B58">
        <w:rPr>
          <w:rFonts w:asciiTheme="majorBidi" w:hAnsiTheme="majorBidi" w:cstheme="majorBidi"/>
          <w:iCs/>
          <w:color w:val="000000" w:themeColor="text1"/>
        </w:rPr>
        <w:instrText xml:space="preserve"> ADDIN EN.CITE &lt;EndNote&gt;&lt;Cite&gt;&lt;Author&gt;Ghoshal&lt;/Author&gt;&lt;Year&gt;1994&lt;/Year&gt;&lt;RecNum&gt;1264&lt;/RecNum&gt;&lt;DisplayText&gt;(Ghoshal &amp;amp; Bartlett, 1994; Gibson &amp;amp; Birkinshaw, 2004)&lt;/DisplayText&gt;&lt;record&gt;&lt;rec-number&gt;1264&lt;/rec-number&gt;&lt;foreign-keys&gt;&lt;key app="EN" db-id="0ewd29dz4ds0vmee9zpx5s9udxtatsf5ffpw" timestamp="0"&gt;1264&lt;/key&gt;&lt;/foreign-keys&gt;&lt;ref-type name="Journal Article"&gt;17&lt;/ref-type&gt;&lt;contributors&gt;&lt;authors&gt;&lt;author&gt;Ghoshal, Sumantra&lt;/author&gt;&lt;author&gt;Bartlett, Christopher A&lt;/author&gt;&lt;/authors&gt;&lt;/contributors&gt;&lt;titles&gt;&lt;title&gt;Linking organizational context and managerial action: The dimensions of quality of management&lt;/title&gt;&lt;secondary-title&gt;Strategic management journal&lt;/secondary-title&gt;&lt;/titles&gt;&lt;periodical&gt;&lt;full-title&gt;Strategic Management Journal&lt;/full-title&gt;&lt;/periodical&gt;&lt;pages&gt;91-112&lt;/pages&gt;&lt;volume&gt;15&lt;/volume&gt;&lt;number&gt;S2&lt;/number&gt;&lt;dates&gt;&lt;year&gt;1994&lt;/year&gt;&lt;/dates&gt;&lt;isbn&gt;0143-2095&lt;/isbn&gt;&lt;urls&gt;&lt;/urls&gt;&lt;/record&gt;&lt;/Cite&gt;&lt;Cite&gt;&lt;Author&gt;Gibson&lt;/Author&gt;&lt;Year&gt;2004&lt;/Year&gt;&lt;RecNum&gt;964&lt;/RecNum&gt;&lt;record&gt;&lt;rec-number&gt;964&lt;/rec-number&gt;&lt;foreign-keys&gt;&lt;key app="EN" db-id="0ewd29dz4ds0vmee9zpx5s9udxtatsf5ffpw" timestamp="0"&gt;964&lt;/key&gt;&lt;/foreign-keys&gt;&lt;ref-type name="Journal Article"&gt;17&lt;/ref-type&gt;&lt;contributors&gt;&lt;authors&gt;&lt;author&gt;Gibson, Cristina B&lt;/author&gt;&lt;author&gt;Birkinshaw, Julian&lt;/author&gt;&lt;/authors&gt;&lt;/contributors&gt;&lt;titles&gt;&lt;title&gt;The antecedents, consequences, and mediating role of organizational ambidexterity&lt;/title&gt;&lt;secondary-title&gt;Academy of Management Journal&lt;/secondary-title&gt;&lt;/titles&gt;&lt;periodical&gt;&lt;full-title&gt;Academy of Management Journal&lt;/full-title&gt;&lt;/periodical&gt;&lt;pages&gt;209-226&lt;/pages&gt;&lt;volume&gt;47&lt;/volume&gt;&lt;number&gt;2&lt;/number&gt;&lt;dates&gt;&lt;year&gt;2004&lt;/year&gt;&lt;/dates&gt;&lt;publisher&gt;Academy of Management&lt;/publisher&gt;&lt;isbn&gt;0001-4273&lt;/isbn&gt;&lt;urls&gt;&lt;/urls&gt;&lt;/record&gt;&lt;/Cite&gt;&lt;/EndNote&gt;</w:instrText>
      </w:r>
      <w:r w:rsidR="00E87C88">
        <w:rPr>
          <w:rFonts w:asciiTheme="majorBidi" w:hAnsiTheme="majorBidi" w:cstheme="majorBidi"/>
          <w:iCs/>
          <w:color w:val="000000" w:themeColor="text1"/>
        </w:rPr>
        <w:fldChar w:fldCharType="separate"/>
      </w:r>
      <w:r w:rsidR="008F3B58">
        <w:rPr>
          <w:rFonts w:asciiTheme="majorBidi" w:hAnsiTheme="majorBidi" w:cstheme="majorBidi"/>
          <w:iCs/>
          <w:noProof/>
          <w:color w:val="000000" w:themeColor="text1"/>
        </w:rPr>
        <w:t>(Ghoshal &amp; Bartlett, 1994; Gibson &amp; Birkinshaw, 2004)</w:t>
      </w:r>
      <w:r w:rsidR="00E87C88">
        <w:rPr>
          <w:rFonts w:asciiTheme="majorBidi" w:hAnsiTheme="majorBidi" w:cstheme="majorBidi"/>
          <w:iCs/>
          <w:color w:val="000000" w:themeColor="text1"/>
        </w:rPr>
        <w:fldChar w:fldCharType="end"/>
      </w:r>
      <w:r>
        <w:rPr>
          <w:rFonts w:asciiTheme="majorBidi" w:hAnsiTheme="majorBidi" w:cstheme="majorBidi"/>
          <w:iCs/>
          <w:color w:val="000000" w:themeColor="text1"/>
        </w:rPr>
        <w:t xml:space="preserve">. </w:t>
      </w:r>
    </w:p>
    <w:p w14:paraId="0B8656DE" w14:textId="37538648" w:rsidR="007742CC" w:rsidRPr="00160211" w:rsidRDefault="007742CC" w:rsidP="007742CC">
      <w:pPr>
        <w:spacing w:line="480" w:lineRule="auto"/>
        <w:ind w:firstLine="360"/>
        <w:jc w:val="both"/>
        <w:rPr>
          <w:rFonts w:asciiTheme="majorBidi" w:hAnsiTheme="majorBidi" w:cstheme="majorBidi"/>
          <w:iCs/>
          <w:color w:val="000000" w:themeColor="text1"/>
        </w:rPr>
      </w:pPr>
      <w:r w:rsidRPr="00160211">
        <w:rPr>
          <w:rFonts w:asciiTheme="majorBidi" w:hAnsiTheme="majorBidi" w:cstheme="majorBidi"/>
          <w:iCs/>
          <w:color w:val="FF0000"/>
        </w:rPr>
        <w:t>Given th</w:t>
      </w:r>
      <w:r w:rsidR="00160211" w:rsidRPr="00160211">
        <w:rPr>
          <w:rFonts w:asciiTheme="majorBidi" w:hAnsiTheme="majorBidi" w:cstheme="majorBidi"/>
          <w:iCs/>
          <w:color w:val="FF0000"/>
        </w:rPr>
        <w:t>e</w:t>
      </w:r>
      <w:r w:rsidRPr="00160211">
        <w:rPr>
          <w:rFonts w:asciiTheme="majorBidi" w:hAnsiTheme="majorBidi" w:cstheme="majorBidi"/>
          <w:iCs/>
          <w:color w:val="FF0000"/>
        </w:rPr>
        <w:t xml:space="preserve"> importance of context, it is interesting to note that in studying antecedents of SCA and other dynamic capabilities, the focus of research on the </w:t>
      </w:r>
      <w:r w:rsidRPr="00160211">
        <w:rPr>
          <w:rFonts w:asciiTheme="majorBidi" w:hAnsiTheme="majorBidi" w:cstheme="majorBidi"/>
          <w:i/>
          <w:color w:val="FF0000"/>
        </w:rPr>
        <w:t>context</w:t>
      </w:r>
      <w:r w:rsidRPr="00160211">
        <w:rPr>
          <w:rFonts w:asciiTheme="majorBidi" w:hAnsiTheme="majorBidi" w:cstheme="majorBidi"/>
          <w:iCs/>
          <w:color w:val="FF0000"/>
        </w:rPr>
        <w:t xml:space="preserve"> as preliminary and essential requirement for dynamic capabilities remains underemphasized. </w:t>
      </w:r>
      <w:r w:rsidR="009C5676">
        <w:rPr>
          <w:rFonts w:asciiTheme="majorBidi" w:hAnsiTheme="majorBidi" w:cstheme="majorBidi"/>
          <w:iCs/>
          <w:color w:val="FF0000"/>
        </w:rPr>
        <w:t xml:space="preserve">Our study also provides credence to </w:t>
      </w:r>
      <w:r w:rsidR="00A936F0">
        <w:rPr>
          <w:rFonts w:asciiTheme="majorBidi" w:hAnsiTheme="majorBidi" w:cstheme="majorBidi"/>
          <w:iCs/>
          <w:color w:val="FF0000"/>
        </w:rPr>
        <w:t xml:space="preserve">the framework presented by </w:t>
      </w:r>
      <w:r w:rsidR="00A936F0">
        <w:rPr>
          <w:rFonts w:asciiTheme="majorBidi" w:hAnsiTheme="majorBidi" w:cstheme="majorBidi"/>
          <w:iCs/>
          <w:color w:val="FF0000"/>
        </w:rPr>
        <w:fldChar w:fldCharType="begin"/>
      </w:r>
      <w:r w:rsidR="00A936F0">
        <w:rPr>
          <w:rFonts w:asciiTheme="majorBidi" w:hAnsiTheme="majorBidi" w:cstheme="majorBidi"/>
          <w:iCs/>
          <w:color w:val="FF0000"/>
        </w:rPr>
        <w:instrText xml:space="preserve"> ADDIN EN.CITE &lt;EndNote&gt;&lt;Cite AuthorYear="1"&gt;&lt;Author&gt;Collis&lt;/Author&gt;&lt;Year&gt;1994&lt;/Year&gt;&lt;RecNum&gt;316&lt;/RecNum&gt;&lt;DisplayText&gt;Collis (1994)&lt;/DisplayText&gt;&lt;record&gt;&lt;rec-number&gt;316&lt;/rec-number&gt;&lt;foreign-keys&gt;&lt;key app="EN" db-id="0ewd29dz4ds0vmee9zpx5s9udxtatsf5ffpw" timestamp="0"&gt;316&lt;/key&gt;&lt;/foreign-keys&gt;&lt;ref-type name="Journal Article"&gt;17&lt;/ref-type&gt;&lt;contributors&gt;&lt;authors&gt;&lt;author&gt;Collis, David J&lt;/author&gt;&lt;/authors&gt;&lt;/contributors&gt;&lt;titles&gt;&lt;title&gt;Research note: how valuable are organizational capabilities?&lt;/title&gt;&lt;secondary-title&gt;Strategic Management Journal&lt;/secondary-title&gt;&lt;/titles&gt;&lt;periodical&gt;&lt;full-title&gt;Strategic Management Journal&lt;/full-title&gt;&lt;/periodical&gt;&lt;pages&gt;143-152&lt;/pages&gt;&lt;volume&gt;15&lt;/volume&gt;&lt;number&gt;S1&lt;/number&gt;&lt;dates&gt;&lt;year&gt;1994&lt;/year&gt;&lt;/dates&gt;&lt;publisher&gt;Wiley Online Library&lt;/publisher&gt;&lt;isbn&gt;1097-0266&lt;/isbn&gt;&lt;urls&gt;&lt;/urls&gt;&lt;/record&gt;&lt;/Cite&gt;&lt;/EndNote&gt;</w:instrText>
      </w:r>
      <w:r w:rsidR="00A936F0">
        <w:rPr>
          <w:rFonts w:asciiTheme="majorBidi" w:hAnsiTheme="majorBidi" w:cstheme="majorBidi"/>
          <w:iCs/>
          <w:color w:val="FF0000"/>
        </w:rPr>
        <w:fldChar w:fldCharType="separate"/>
      </w:r>
      <w:r w:rsidR="00A936F0">
        <w:rPr>
          <w:rFonts w:asciiTheme="majorBidi" w:hAnsiTheme="majorBidi" w:cstheme="majorBidi"/>
          <w:iCs/>
          <w:noProof/>
          <w:color w:val="FF0000"/>
        </w:rPr>
        <w:t>Collis (1994)</w:t>
      </w:r>
      <w:r w:rsidR="00A936F0">
        <w:rPr>
          <w:rFonts w:asciiTheme="majorBidi" w:hAnsiTheme="majorBidi" w:cstheme="majorBidi"/>
          <w:iCs/>
          <w:color w:val="FF0000"/>
        </w:rPr>
        <w:fldChar w:fldCharType="end"/>
      </w:r>
      <w:r w:rsidR="00A936F0">
        <w:rPr>
          <w:rFonts w:asciiTheme="majorBidi" w:hAnsiTheme="majorBidi" w:cstheme="majorBidi"/>
          <w:iCs/>
          <w:color w:val="FF0000"/>
        </w:rPr>
        <w:t xml:space="preserve">, </w:t>
      </w:r>
      <w:r w:rsidR="008E2385">
        <w:rPr>
          <w:rFonts w:asciiTheme="majorBidi" w:hAnsiTheme="majorBidi" w:cstheme="majorBidi"/>
          <w:iCs/>
          <w:color w:val="FF0000"/>
        </w:rPr>
        <w:t xml:space="preserve">which suggested the existence of dynamic capabilities at various levels. Our research </w:t>
      </w:r>
      <w:r w:rsidR="00751DC2">
        <w:rPr>
          <w:rFonts w:asciiTheme="majorBidi" w:hAnsiTheme="majorBidi" w:cstheme="majorBidi"/>
          <w:iCs/>
          <w:color w:val="FF0000"/>
        </w:rPr>
        <w:t xml:space="preserve">confirms SCA as a first-order dynamic capability that directly influences the performance outcomes </w:t>
      </w:r>
      <w:r w:rsidR="00507A9E">
        <w:rPr>
          <w:rFonts w:asciiTheme="majorBidi" w:hAnsiTheme="majorBidi" w:cstheme="majorBidi"/>
          <w:iCs/>
          <w:color w:val="FF0000"/>
        </w:rPr>
        <w:fldChar w:fldCharType="begin">
          <w:fldData xml:space="preserve">PEVuZE5vdGU+PENpdGU+PEF1dGhvcj5UZWVjZTwvQXV0aG9yPjxZZWFyPjIwMTQ8L1llYXI+PFJl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</w:fldData>
        </w:fldChar>
      </w:r>
      <w:r w:rsidR="000D27CF">
        <w:rPr>
          <w:rFonts w:asciiTheme="majorBidi" w:hAnsiTheme="majorBidi" w:cstheme="majorBidi"/>
          <w:iCs/>
          <w:color w:val="FF0000"/>
        </w:rPr>
        <w:instrText xml:space="preserve"> ADDIN EN.CITE </w:instrText>
      </w:r>
      <w:r w:rsidR="000D27CF">
        <w:rPr>
          <w:rFonts w:asciiTheme="majorBidi" w:hAnsiTheme="majorBidi" w:cstheme="majorBidi"/>
          <w:iCs/>
          <w:color w:val="FF0000"/>
        </w:rPr>
        <w:fldChar w:fldCharType="begin">
          <w:fldData xml:space="preserve">PEVuZE5vdGU+PENpdGU+PEF1dGhvcj5UZWVjZTwvQXV0aG9yPjxZZWFyPjIwMTQ8L1llYXI+PFJl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</w:fldData>
        </w:fldChar>
      </w:r>
      <w:r w:rsidR="000D27CF">
        <w:rPr>
          <w:rFonts w:asciiTheme="majorBidi" w:hAnsiTheme="majorBidi" w:cstheme="majorBidi"/>
          <w:iCs/>
          <w:color w:val="FF0000"/>
        </w:rPr>
        <w:instrText xml:space="preserve"> ADDIN EN.CITE.DATA </w:instrText>
      </w:r>
      <w:r w:rsidR="000D27CF">
        <w:rPr>
          <w:rFonts w:asciiTheme="majorBidi" w:hAnsiTheme="majorBidi" w:cstheme="majorBidi"/>
          <w:iCs/>
          <w:color w:val="FF0000"/>
        </w:rPr>
      </w:r>
      <w:r w:rsidR="000D27CF">
        <w:rPr>
          <w:rFonts w:asciiTheme="majorBidi" w:hAnsiTheme="majorBidi" w:cstheme="majorBidi"/>
          <w:iCs/>
          <w:color w:val="FF0000"/>
        </w:rPr>
        <w:fldChar w:fldCharType="end"/>
      </w:r>
      <w:r w:rsidR="00507A9E">
        <w:rPr>
          <w:rFonts w:asciiTheme="majorBidi" w:hAnsiTheme="majorBidi" w:cstheme="majorBidi"/>
          <w:iCs/>
          <w:color w:val="FF0000"/>
        </w:rPr>
      </w:r>
      <w:r w:rsidR="00507A9E">
        <w:rPr>
          <w:rFonts w:asciiTheme="majorBidi" w:hAnsiTheme="majorBidi" w:cstheme="majorBidi"/>
          <w:iCs/>
          <w:color w:val="FF0000"/>
        </w:rPr>
        <w:fldChar w:fldCharType="separate"/>
      </w:r>
      <w:r w:rsidR="000D27CF">
        <w:rPr>
          <w:rFonts w:asciiTheme="majorBidi" w:hAnsiTheme="majorBidi" w:cstheme="majorBidi"/>
          <w:iCs/>
          <w:noProof/>
          <w:color w:val="FF0000"/>
        </w:rPr>
        <w:t>(Aslam et al., 2018; Aslam et al., 2023; Teece, 2014)</w:t>
      </w:r>
      <w:r w:rsidR="00507A9E">
        <w:rPr>
          <w:rFonts w:asciiTheme="majorBidi" w:hAnsiTheme="majorBidi" w:cstheme="majorBidi"/>
          <w:iCs/>
          <w:color w:val="FF0000"/>
        </w:rPr>
        <w:fldChar w:fldCharType="end"/>
      </w:r>
      <w:r w:rsidRPr="00160211">
        <w:rPr>
          <w:rFonts w:asciiTheme="majorBidi" w:hAnsiTheme="majorBidi" w:cstheme="majorBidi"/>
          <w:iCs/>
          <w:color w:val="000000" w:themeColor="text1"/>
        </w:rPr>
        <w:t xml:space="preserve"> </w:t>
      </w:r>
    </w:p>
    <w:p w14:paraId="3BBF3467" w14:textId="05E8064C" w:rsidR="007742CC" w:rsidRDefault="007742CC" w:rsidP="007742CC">
      <w:pPr>
        <w:spacing w:line="480" w:lineRule="auto"/>
        <w:ind w:firstLine="360"/>
        <w:jc w:val="both"/>
        <w:rPr>
          <w:rFonts w:asciiTheme="majorBidi" w:hAnsiTheme="majorBidi" w:cstheme="majorBidi"/>
          <w:iCs/>
          <w:color w:val="000000" w:themeColor="text1"/>
        </w:rPr>
      </w:pPr>
      <w:r>
        <w:rPr>
          <w:rFonts w:asciiTheme="majorBidi" w:hAnsiTheme="majorBidi" w:cstheme="majorBidi"/>
          <w:iCs/>
          <w:color w:val="000000" w:themeColor="text1"/>
        </w:rPr>
        <w:t>Third, i</w:t>
      </w:r>
      <w:r w:rsidRPr="007C0B7F">
        <w:rPr>
          <w:rFonts w:asciiTheme="majorBidi" w:hAnsiTheme="majorBidi" w:cstheme="majorBidi"/>
          <w:iCs/>
          <w:color w:val="000000" w:themeColor="text1"/>
        </w:rPr>
        <w:t>t is worth noting that different type</w:t>
      </w:r>
      <w:r>
        <w:rPr>
          <w:rFonts w:asciiTheme="majorBidi" w:hAnsiTheme="majorBidi" w:cstheme="majorBidi"/>
          <w:iCs/>
          <w:color w:val="000000" w:themeColor="text1"/>
        </w:rPr>
        <w:t>s</w:t>
      </w:r>
      <w:r w:rsidRPr="007C0B7F">
        <w:rPr>
          <w:rFonts w:asciiTheme="majorBidi" w:hAnsiTheme="majorBidi" w:cstheme="majorBidi"/>
          <w:iCs/>
          <w:color w:val="000000" w:themeColor="text1"/>
        </w:rPr>
        <w:t xml:space="preserve"> of dynamic capabilities might have different antecedents and outcomes. For example,</w:t>
      </w:r>
      <w:r>
        <w:rPr>
          <w:rFonts w:asciiTheme="majorBidi" w:hAnsiTheme="majorBidi" w:cstheme="majorBidi"/>
          <w:iCs/>
          <w:color w:val="000000" w:themeColor="text1"/>
        </w:rPr>
        <w:t xml:space="preserve">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 AuthorYear="1"&gt;&lt;Author&gt;Aslam&lt;/Author&gt;&lt;Year&gt;2020&lt;/Year&gt;&lt;RecNum&gt;1615&lt;/RecNum&gt;&lt;DisplayText&gt;Aslam et al. (2020)&lt;/DisplayText&gt;&lt;record&gt;&lt;rec-number&gt;1615&lt;/rec-number&gt;&lt;foreign-keys&gt;&lt;key app="EN" db-id="0ewd29dz4ds0vmee9zpx5s9udxtatsf5ffpw" timestamp="1674553919"&gt;1615&lt;/key&gt;&lt;/foreign-keys&gt;&lt;ref-type name="Journal Article"&gt;17&lt;/ref-type&gt;&lt;contributors&gt;&lt;authors&gt;&lt;author&gt;Aslam, Haris&lt;/author&gt;&lt;author&gt;Blome, Constantin&lt;/author&gt;&lt;author&gt;Roscoe, Samuel&lt;/author&gt;&lt;author&gt;Azhar, Tashfeen Mehmood&lt;/author&gt;&lt;/authors&gt;&lt;/contributors&gt;&lt;titles&gt;&lt;title&gt;Determining the antecedents of dynamic supply chain capabilities&lt;/title&gt;&lt;secondary-title&gt;Supply Chain Management: An International Journal&lt;/secondary-title&gt;&lt;/titles&gt;&lt;periodical&gt;&lt;full-title&gt;Supply Chain Management: An International Journal&lt;/full-title&gt;&lt;/periodical&gt;&lt;pages&gt;427-442&lt;/pages&gt;&lt;volume&gt;25&lt;/volume&gt;&lt;number&gt;4&lt;/number&gt;&lt;dates&gt;&lt;year&gt;2020&lt;/year&gt;&lt;/dates&gt;&lt;publisher&gt;Emerald Publishing Limited&lt;/publisher&gt;&lt;isbn&gt;1359-8546&lt;/isbn&gt;&lt;urls&gt;&lt;related-urls&gt;&lt;url&gt;https://doi.org/10.1108/SCM-02-2019-0074&lt;/url&gt;&lt;/related-urls&gt;&lt;/urls&gt;&lt;electronic-resource-num&gt;10.1108/SCM-02-2019-0074&lt;/electronic-resource-num&gt;&lt;access-date&gt;2023/01/24&lt;/access-date&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Aslam et al. (2020)</w:t>
      </w:r>
      <w:r>
        <w:rPr>
          <w:rFonts w:asciiTheme="majorBidi" w:hAnsiTheme="majorBidi" w:cstheme="majorBidi"/>
          <w:iCs/>
          <w:color w:val="000000" w:themeColor="text1"/>
        </w:rPr>
        <w:fldChar w:fldCharType="end"/>
      </w:r>
      <w:r>
        <w:rPr>
          <w:rFonts w:asciiTheme="majorBidi" w:hAnsiTheme="majorBidi" w:cstheme="majorBidi"/>
          <w:iCs/>
          <w:color w:val="000000" w:themeColor="text1"/>
        </w:rPr>
        <w:t xml:space="preserve"> find that </w:t>
      </w:r>
      <w:r w:rsidRPr="007C0B7F">
        <w:rPr>
          <w:rFonts w:asciiTheme="majorBidi" w:hAnsiTheme="majorBidi" w:cstheme="majorBidi"/>
          <w:iCs/>
          <w:color w:val="000000" w:themeColor="text1"/>
        </w:rPr>
        <w:t>entrepreneurial orientation and supply chain learning orientation antecede supply chain dynamic capabilit</w:t>
      </w:r>
      <w:r>
        <w:rPr>
          <w:rFonts w:asciiTheme="majorBidi" w:hAnsiTheme="majorBidi" w:cstheme="majorBidi"/>
          <w:iCs/>
          <w:color w:val="000000" w:themeColor="text1"/>
        </w:rPr>
        <w:t>ies</w:t>
      </w:r>
      <w:r w:rsidRPr="007C0B7F">
        <w:rPr>
          <w:rFonts w:asciiTheme="majorBidi" w:hAnsiTheme="majorBidi" w:cstheme="majorBidi"/>
          <w:iCs/>
          <w:color w:val="000000" w:themeColor="text1"/>
        </w:rPr>
        <w:t xml:space="preserve">, while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 AuthorYear="1"&gt;&lt;Author&gt;Wu&lt;/Author&gt;&lt;Year&gt;2019&lt;/Year&gt;&lt;RecNum&gt;1619&lt;/RecNum&gt;&lt;DisplayText&gt;Wu and Nguyen (2019)&lt;/DisplayText&gt;&lt;record&gt;&lt;rec-number&gt;1619&lt;/rec-number&gt;&lt;foreign-keys&gt;&lt;key app="EN" db-id="zw59vpadbtepfpef9t3pvzeot59fe2ptraw5" timestamp="0"&gt;1619&lt;/key&gt;&lt;/foreign-keys&gt;&lt;ref-type name="Journal Article"&gt;17&lt;/ref-type&gt;&lt;contributors&gt;&lt;authors&gt;&lt;author&gt;Wu, Wann Yih&lt;/author&gt;&lt;author&gt;Nguyen, Phuoc Thien&lt;/author&gt;&lt;/authors&gt;&lt;/contributors&gt;&lt;titles&gt;&lt;title&gt;The antecedents of dynamic service innovation capabilities: The moderating roles of market dynamism and market orientation&lt;/title&gt;&lt;secondary-title&gt;International journal of innovation management&lt;/secondary-title&gt;&lt;/titles&gt;&lt;pages&gt;1950066&lt;/pages&gt;&lt;volume&gt;23&lt;/volume&gt;&lt;number&gt;07&lt;/number&gt;&lt;dates&gt;&lt;year&gt;2019&lt;/year&gt;&lt;/dates&gt;&lt;isbn&gt;1363-9196&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Wu and Nguyen (2019)</w:t>
      </w:r>
      <w:r>
        <w:rPr>
          <w:rFonts w:asciiTheme="majorBidi" w:hAnsiTheme="majorBidi" w:cstheme="majorBidi"/>
          <w:iCs/>
          <w:color w:val="000000" w:themeColor="text1"/>
        </w:rPr>
        <w:fldChar w:fldCharType="end"/>
      </w:r>
      <w:r w:rsidRPr="007C0B7F">
        <w:rPr>
          <w:rFonts w:asciiTheme="majorBidi" w:hAnsiTheme="majorBidi" w:cstheme="majorBidi"/>
          <w:iCs/>
          <w:color w:val="000000" w:themeColor="text1"/>
        </w:rPr>
        <w:t xml:space="preserve"> </w:t>
      </w:r>
      <w:r>
        <w:rPr>
          <w:rFonts w:asciiTheme="majorBidi" w:hAnsiTheme="majorBidi" w:cstheme="majorBidi"/>
          <w:iCs/>
          <w:color w:val="000000" w:themeColor="text1"/>
        </w:rPr>
        <w:t>highlight</w:t>
      </w:r>
      <w:r w:rsidRPr="007C0B7F">
        <w:rPr>
          <w:rFonts w:asciiTheme="majorBidi" w:hAnsiTheme="majorBidi" w:cstheme="majorBidi"/>
          <w:iCs/>
          <w:color w:val="000000" w:themeColor="text1"/>
        </w:rPr>
        <w:t xml:space="preserve"> that knowledge resources and relationship based assets </w:t>
      </w:r>
      <w:r>
        <w:rPr>
          <w:rFonts w:asciiTheme="majorBidi" w:hAnsiTheme="majorBidi" w:cstheme="majorBidi"/>
          <w:iCs/>
          <w:color w:val="000000" w:themeColor="text1"/>
        </w:rPr>
        <w:t>lead to</w:t>
      </w:r>
      <w:r w:rsidRPr="007C0B7F">
        <w:rPr>
          <w:rFonts w:asciiTheme="majorBidi" w:hAnsiTheme="majorBidi" w:cstheme="majorBidi"/>
          <w:iCs/>
          <w:color w:val="000000" w:themeColor="text1"/>
        </w:rPr>
        <w:t xml:space="preserve"> dynamic service innovation capabilities. Therefore, contrary to some attempts of identifying antecedents of dynamic capabilities</w:t>
      </w:r>
      <w:r>
        <w:rPr>
          <w:rFonts w:asciiTheme="majorBidi" w:hAnsiTheme="majorBidi" w:cstheme="majorBidi"/>
          <w:iCs/>
          <w:color w:val="000000" w:themeColor="text1"/>
        </w:rPr>
        <w:t xml:space="preserve"> </w:t>
      </w:r>
      <w:r w:rsidRPr="007C0B7F">
        <w:rPr>
          <w:rFonts w:asciiTheme="majorBidi" w:hAnsiTheme="majorBidi" w:cstheme="majorBidi"/>
          <w:iCs/>
          <w:color w:val="000000" w:themeColor="text1"/>
        </w:rPr>
        <w:t>as a g</w:t>
      </w:r>
      <w:r>
        <w:rPr>
          <w:rFonts w:asciiTheme="majorBidi" w:hAnsiTheme="majorBidi" w:cstheme="majorBidi"/>
          <w:iCs/>
          <w:color w:val="000000" w:themeColor="text1"/>
        </w:rPr>
        <w:t xml:space="preserve">eneral construct </w:t>
      </w:r>
      <w:r>
        <w:rPr>
          <w:rFonts w:asciiTheme="majorBidi" w:hAnsiTheme="majorBidi" w:cstheme="majorBidi"/>
          <w:iCs/>
          <w:color w:val="000000" w:themeColor="text1"/>
        </w:rPr>
        <w:fldChar w:fldCharType="begin"/>
      </w:r>
      <w:r>
        <w:rPr>
          <w:rFonts w:asciiTheme="majorBidi" w:hAnsiTheme="majorBidi" w:cstheme="majorBidi"/>
          <w:iCs/>
          <w:color w:val="000000" w:themeColor="text1"/>
        </w:rPr>
        <w:instrText xml:space="preserve"> ADDIN EN.CITE &lt;EndNote&gt;&lt;Cite&gt;&lt;Author&gt;Bitencourt&lt;/Author&gt;&lt;Year&gt;2020&lt;/Year&gt;&lt;RecNum&gt;1620&lt;/RecNum&gt;&lt;Prefix&gt;e.g. &lt;/Prefix&gt;&lt;DisplayText&gt;(e.g. Bitencourt et al., 2020)&lt;/DisplayText&gt;&lt;record&gt;&lt;rec-number&gt;1620&lt;/rec-number&gt;&lt;foreign-keys&gt;&lt;key app="EN" db-id="zw59vpadbtepfpef9t3pvzeot59fe2ptraw5" timestamp="0"&gt;1620&lt;/key&gt;&lt;/foreign-keys&gt;&lt;ref-type name="Journal Article"&gt;17&lt;/ref-type&gt;&lt;contributors&gt;&lt;authors&gt;&lt;author&gt;Bitencourt, Claudia Cristina&lt;/author&gt;&lt;author&gt;de Oliveira Santini, Fernando&lt;/author&gt;&lt;author&gt;Ladeira, Wagner Junior&lt;/author&gt;&lt;author&gt;Santos, Ana Clarissa&lt;/author&gt;&lt;author&gt;Teixeira, Eduardo Kunzel&lt;/author&gt;&lt;/authors&gt;&lt;/contributors&gt;&lt;titles&gt;&lt;title&gt;The extended dynamic capabilities model: A meta-analysis&lt;/title&gt;&lt;secondary-title&gt;European Management Journal&lt;/secondary-title&gt;&lt;/titles&gt;&lt;pages&gt;108-120&lt;/pages&gt;&lt;volume&gt;38&lt;/volume&gt;&lt;number&gt;1&lt;/number&gt;&lt;dates&gt;&lt;year&gt;2020&lt;/year&gt;&lt;/dates&gt;&lt;isbn&gt;0263-2373&lt;/isbn&gt;&lt;urls&gt;&lt;/urls&gt;&lt;/record&gt;&lt;/Cite&gt;&lt;/EndNote&gt;</w:instrText>
      </w:r>
      <w:r>
        <w:rPr>
          <w:rFonts w:asciiTheme="majorBidi" w:hAnsiTheme="majorBidi" w:cstheme="majorBidi"/>
          <w:iCs/>
          <w:color w:val="000000" w:themeColor="text1"/>
        </w:rPr>
        <w:fldChar w:fldCharType="separate"/>
      </w:r>
      <w:r>
        <w:rPr>
          <w:rFonts w:asciiTheme="majorBidi" w:hAnsiTheme="majorBidi" w:cstheme="majorBidi"/>
          <w:iCs/>
          <w:noProof/>
          <w:color w:val="000000" w:themeColor="text1"/>
        </w:rPr>
        <w:t>(e.g. Bitencourt et al., 2020)</w:t>
      </w:r>
      <w:r>
        <w:rPr>
          <w:rFonts w:asciiTheme="majorBidi" w:hAnsiTheme="majorBidi" w:cstheme="majorBidi"/>
          <w:iCs/>
          <w:color w:val="000000" w:themeColor="text1"/>
        </w:rPr>
        <w:fldChar w:fldCharType="end"/>
      </w:r>
      <w:r>
        <w:rPr>
          <w:rFonts w:asciiTheme="majorBidi" w:hAnsiTheme="majorBidi" w:cstheme="majorBidi"/>
          <w:iCs/>
          <w:color w:val="000000" w:themeColor="text1"/>
        </w:rPr>
        <w:t>,</w:t>
      </w:r>
      <w:r w:rsidRPr="007C0B7F">
        <w:rPr>
          <w:rFonts w:asciiTheme="majorBidi" w:hAnsiTheme="majorBidi" w:cstheme="majorBidi"/>
          <w:iCs/>
          <w:color w:val="000000" w:themeColor="text1"/>
        </w:rPr>
        <w:t xml:space="preserve"> it is useful to identify antecedents of different dynamic capabilities. Accordingly, our study identif</w:t>
      </w:r>
      <w:r>
        <w:rPr>
          <w:rFonts w:asciiTheme="majorBidi" w:hAnsiTheme="majorBidi" w:cstheme="majorBidi"/>
          <w:iCs/>
          <w:color w:val="000000" w:themeColor="text1"/>
        </w:rPr>
        <w:t>ies</w:t>
      </w:r>
      <w:r w:rsidRPr="007C0B7F">
        <w:rPr>
          <w:rFonts w:asciiTheme="majorBidi" w:hAnsiTheme="majorBidi" w:cstheme="majorBidi"/>
          <w:iCs/>
          <w:color w:val="000000" w:themeColor="text1"/>
        </w:rPr>
        <w:t xml:space="preserve"> new antecedents (i.e., performance</w:t>
      </w:r>
      <w:r w:rsidR="0029736A">
        <w:rPr>
          <w:rFonts w:asciiTheme="majorBidi" w:hAnsiTheme="majorBidi" w:cstheme="majorBidi"/>
          <w:iCs/>
          <w:color w:val="000000" w:themeColor="text1"/>
        </w:rPr>
        <w:t xml:space="preserve"> manage</w:t>
      </w:r>
      <w:r w:rsidR="00F93F28">
        <w:rPr>
          <w:rFonts w:asciiTheme="majorBidi" w:hAnsiTheme="majorBidi" w:cstheme="majorBidi"/>
          <w:iCs/>
          <w:color w:val="000000" w:themeColor="text1"/>
        </w:rPr>
        <w:t>ment</w:t>
      </w:r>
      <w:r w:rsidRPr="007C0B7F">
        <w:rPr>
          <w:rFonts w:asciiTheme="majorBidi" w:hAnsiTheme="majorBidi" w:cstheme="majorBidi"/>
          <w:iCs/>
          <w:color w:val="000000" w:themeColor="text1"/>
        </w:rPr>
        <w:t xml:space="preserve"> and social </w:t>
      </w:r>
      <w:r w:rsidR="008065D1">
        <w:rPr>
          <w:rFonts w:asciiTheme="majorBidi" w:hAnsiTheme="majorBidi" w:cstheme="majorBidi"/>
          <w:iCs/>
          <w:color w:val="000000" w:themeColor="text1"/>
        </w:rPr>
        <w:t>support</w:t>
      </w:r>
      <w:r w:rsidRPr="007C0B7F">
        <w:rPr>
          <w:rFonts w:asciiTheme="majorBidi" w:hAnsiTheme="majorBidi" w:cstheme="majorBidi"/>
          <w:iCs/>
          <w:color w:val="000000" w:themeColor="text1"/>
        </w:rPr>
        <w:t xml:space="preserve">) and outcomes (i.e., innovative performance) of SCA. </w:t>
      </w:r>
    </w:p>
    <w:p w14:paraId="314A1E46" w14:textId="77777777" w:rsidR="007742CC" w:rsidRDefault="007742CC" w:rsidP="007742CC">
      <w:pPr>
        <w:spacing w:line="480" w:lineRule="auto"/>
        <w:ind w:firstLine="360"/>
        <w:jc w:val="both"/>
        <w:rPr>
          <w:rFonts w:asciiTheme="majorBidi" w:hAnsiTheme="majorBidi" w:cstheme="majorBidi"/>
          <w:iCs/>
          <w:color w:val="000000" w:themeColor="text1"/>
        </w:rPr>
      </w:pPr>
      <w:r>
        <w:rPr>
          <w:rFonts w:asciiTheme="majorBidi" w:hAnsiTheme="majorBidi" w:cstheme="majorBidi"/>
          <w:iCs/>
          <w:color w:val="000000" w:themeColor="text1"/>
        </w:rPr>
        <w:t xml:space="preserve">Finally, our results indicate that complementarity between organizations and their suppliers negatively moderates the relationship between SCA and innovative performance. This unexpected finding highlights the importance of external context for dynamic capabilities to yield positive results. We thus suggest that even if there is complementarity between firms and their suppliers, other contextual factors like opportunism and knowledge spillovers to competitors could prove to </w:t>
      </w:r>
      <w:r>
        <w:rPr>
          <w:rFonts w:asciiTheme="majorBidi" w:hAnsiTheme="majorBidi" w:cstheme="majorBidi"/>
          <w:iCs/>
          <w:color w:val="000000" w:themeColor="text1"/>
        </w:rPr>
        <w:lastRenderedPageBreak/>
        <w:t xml:space="preserve">be </w:t>
      </w:r>
      <w:r w:rsidRPr="00827C9D">
        <w:rPr>
          <w:rFonts w:asciiTheme="majorBidi" w:hAnsiTheme="majorBidi" w:cstheme="majorBidi"/>
          <w:iCs/>
          <w:color w:val="000000" w:themeColor="text1"/>
        </w:rPr>
        <w:t>detrimental</w:t>
      </w:r>
      <w:r>
        <w:rPr>
          <w:rFonts w:asciiTheme="majorBidi" w:hAnsiTheme="majorBidi" w:cstheme="majorBidi"/>
          <w:iCs/>
          <w:color w:val="000000" w:themeColor="text1"/>
        </w:rPr>
        <w:t xml:space="preserve"> for innovation outcomes of dynamic capabilities. In other words, for complementarity to yield positive results other supportive factors must be present in the context.   </w:t>
      </w:r>
    </w:p>
    <w:p w14:paraId="03782885" w14:textId="45337F89" w:rsidR="007742CC" w:rsidRPr="00DB1AED" w:rsidRDefault="007742CC" w:rsidP="007742CC">
      <w:pPr>
        <w:spacing w:before="160" w:after="160" w:line="480" w:lineRule="auto"/>
        <w:jc w:val="both"/>
        <w:rPr>
          <w:rFonts w:asciiTheme="majorBidi" w:hAnsiTheme="majorBidi" w:cstheme="majorBidi"/>
          <w:b/>
          <w:bCs/>
          <w:i/>
          <w:iCs/>
          <w:color w:val="000000" w:themeColor="text1"/>
        </w:rPr>
      </w:pPr>
      <w:r>
        <w:rPr>
          <w:rFonts w:asciiTheme="majorBidi" w:hAnsiTheme="majorBidi" w:cstheme="majorBidi"/>
          <w:b/>
          <w:bCs/>
          <w:i/>
          <w:iCs/>
          <w:color w:val="000000" w:themeColor="text1"/>
        </w:rPr>
        <w:t>5.2</w:t>
      </w:r>
      <w:r w:rsidRPr="00DB1AED">
        <w:rPr>
          <w:rFonts w:asciiTheme="majorBidi" w:hAnsiTheme="majorBidi" w:cstheme="majorBidi"/>
          <w:b/>
          <w:bCs/>
          <w:i/>
          <w:iCs/>
          <w:color w:val="000000" w:themeColor="text1"/>
        </w:rPr>
        <w:t xml:space="preserve"> Managerial </w:t>
      </w:r>
      <w:r w:rsidR="00A2566F">
        <w:rPr>
          <w:rFonts w:asciiTheme="majorBidi" w:hAnsiTheme="majorBidi" w:cstheme="majorBidi"/>
          <w:b/>
          <w:bCs/>
          <w:i/>
          <w:iCs/>
          <w:color w:val="000000" w:themeColor="text1"/>
        </w:rPr>
        <w:t>i</w:t>
      </w:r>
      <w:r w:rsidRPr="00DB1AED">
        <w:rPr>
          <w:rFonts w:asciiTheme="majorBidi" w:hAnsiTheme="majorBidi" w:cstheme="majorBidi"/>
          <w:b/>
          <w:bCs/>
          <w:i/>
          <w:iCs/>
          <w:color w:val="000000" w:themeColor="text1"/>
        </w:rPr>
        <w:t xml:space="preserve">mplications </w:t>
      </w:r>
    </w:p>
    <w:p w14:paraId="6D538806" w14:textId="2F3DD7EC" w:rsidR="00AB5F42" w:rsidRDefault="007742CC" w:rsidP="007742CC">
      <w:pPr>
        <w:spacing w:line="480" w:lineRule="auto"/>
        <w:jc w:val="both"/>
        <w:rPr>
          <w:rFonts w:asciiTheme="majorBidi" w:hAnsiTheme="majorBidi" w:cstheme="majorBidi"/>
        </w:rPr>
      </w:pPr>
      <w:r w:rsidRPr="0041514C">
        <w:rPr>
          <w:rFonts w:asciiTheme="majorBidi" w:hAnsiTheme="majorBidi" w:cstheme="majorBidi"/>
        </w:rPr>
        <w:t>In today’s exceedingly competitive and uncertain business environment</w:t>
      </w:r>
      <w:r>
        <w:rPr>
          <w:rFonts w:asciiTheme="majorBidi" w:hAnsiTheme="majorBidi" w:cstheme="majorBidi"/>
        </w:rPr>
        <w:t>,</w:t>
      </w:r>
      <w:r w:rsidRPr="0041514C">
        <w:rPr>
          <w:rFonts w:asciiTheme="majorBidi" w:hAnsiTheme="majorBidi" w:cstheme="majorBidi"/>
        </w:rPr>
        <w:t xml:space="preserve"> continuous adaptation and offering innovative solutions to customers ha</w:t>
      </w:r>
      <w:r>
        <w:rPr>
          <w:rFonts w:asciiTheme="majorBidi" w:hAnsiTheme="majorBidi" w:cstheme="majorBidi"/>
        </w:rPr>
        <w:t>ve</w:t>
      </w:r>
      <w:r w:rsidRPr="0041514C">
        <w:rPr>
          <w:rFonts w:asciiTheme="majorBidi" w:hAnsiTheme="majorBidi" w:cstheme="majorBidi"/>
        </w:rPr>
        <w:t xml:space="preserve"> become essential for organizational success and survival. </w:t>
      </w:r>
      <w:r>
        <w:rPr>
          <w:rFonts w:asciiTheme="majorBidi" w:hAnsiTheme="majorBidi" w:cstheme="majorBidi"/>
        </w:rPr>
        <w:t>M</w:t>
      </w:r>
      <w:r w:rsidRPr="0041514C">
        <w:rPr>
          <w:rFonts w:asciiTheme="majorBidi" w:hAnsiTheme="majorBidi" w:cstheme="majorBidi"/>
        </w:rPr>
        <w:t>anagers</w:t>
      </w:r>
      <w:r>
        <w:rPr>
          <w:rFonts w:asciiTheme="majorBidi" w:hAnsiTheme="majorBidi" w:cstheme="majorBidi"/>
        </w:rPr>
        <w:t xml:space="preserve"> must</w:t>
      </w:r>
      <w:r w:rsidRPr="0041514C">
        <w:rPr>
          <w:rFonts w:asciiTheme="majorBidi" w:hAnsiTheme="majorBidi" w:cstheme="majorBidi"/>
        </w:rPr>
        <w:t xml:space="preserve"> make effective decisions </w:t>
      </w:r>
      <w:r>
        <w:rPr>
          <w:rFonts w:asciiTheme="majorBidi" w:hAnsiTheme="majorBidi" w:cstheme="majorBidi"/>
        </w:rPr>
        <w:t>to</w:t>
      </w:r>
      <w:r w:rsidRPr="0041514C">
        <w:rPr>
          <w:rFonts w:asciiTheme="majorBidi" w:hAnsiTheme="majorBidi" w:cstheme="majorBidi"/>
        </w:rPr>
        <w:t xml:space="preserve"> </w:t>
      </w:r>
      <w:r>
        <w:rPr>
          <w:rFonts w:asciiTheme="majorBidi" w:hAnsiTheme="majorBidi" w:cstheme="majorBidi"/>
        </w:rPr>
        <w:t xml:space="preserve">enable and foster </w:t>
      </w:r>
      <w:r w:rsidRPr="0041514C">
        <w:rPr>
          <w:rFonts w:asciiTheme="majorBidi" w:hAnsiTheme="majorBidi" w:cstheme="majorBidi"/>
        </w:rPr>
        <w:t>environment</w:t>
      </w:r>
      <w:r>
        <w:rPr>
          <w:rFonts w:asciiTheme="majorBidi" w:hAnsiTheme="majorBidi" w:cstheme="majorBidi"/>
        </w:rPr>
        <w:t>s</w:t>
      </w:r>
      <w:r w:rsidRPr="0041514C">
        <w:rPr>
          <w:rFonts w:asciiTheme="majorBidi" w:hAnsiTheme="majorBidi" w:cstheme="majorBidi"/>
        </w:rPr>
        <w:t xml:space="preserve"> </w:t>
      </w:r>
      <w:r>
        <w:rPr>
          <w:rFonts w:asciiTheme="majorBidi" w:hAnsiTheme="majorBidi" w:cstheme="majorBidi"/>
        </w:rPr>
        <w:t xml:space="preserve">that allow their </w:t>
      </w:r>
      <w:r w:rsidRPr="0041514C">
        <w:rPr>
          <w:rFonts w:asciiTheme="majorBidi" w:hAnsiTheme="majorBidi" w:cstheme="majorBidi"/>
        </w:rPr>
        <w:t xml:space="preserve">employees </w:t>
      </w:r>
      <w:r>
        <w:rPr>
          <w:rFonts w:asciiTheme="majorBidi" w:hAnsiTheme="majorBidi" w:cstheme="majorBidi"/>
        </w:rPr>
        <w:t>to</w:t>
      </w:r>
      <w:r w:rsidRPr="0041514C">
        <w:rPr>
          <w:rFonts w:asciiTheme="majorBidi" w:hAnsiTheme="majorBidi" w:cstheme="majorBidi"/>
        </w:rPr>
        <w:t xml:space="preserve"> sens</w:t>
      </w:r>
      <w:r>
        <w:rPr>
          <w:rFonts w:asciiTheme="majorBidi" w:hAnsiTheme="majorBidi" w:cstheme="majorBidi"/>
        </w:rPr>
        <w:t>e</w:t>
      </w:r>
      <w:r w:rsidRPr="0041514C">
        <w:rPr>
          <w:rFonts w:asciiTheme="majorBidi" w:hAnsiTheme="majorBidi" w:cstheme="majorBidi"/>
        </w:rPr>
        <w:t xml:space="preserve"> environmental changes</w:t>
      </w:r>
      <w:r>
        <w:rPr>
          <w:rFonts w:asciiTheme="majorBidi" w:hAnsiTheme="majorBidi" w:cstheme="majorBidi"/>
        </w:rPr>
        <w:t xml:space="preserve"> and actively adapt to these changes. </w:t>
      </w:r>
      <w:r w:rsidR="009F511E" w:rsidRPr="009F511E">
        <w:rPr>
          <w:rFonts w:asciiTheme="majorBidi" w:hAnsiTheme="majorBidi" w:cstheme="majorBidi"/>
          <w:color w:val="FF0000"/>
        </w:rPr>
        <w:t xml:space="preserve">The well-known clothing </w:t>
      </w:r>
      <w:r w:rsidR="00503FB6">
        <w:rPr>
          <w:rFonts w:asciiTheme="majorBidi" w:hAnsiTheme="majorBidi" w:cstheme="majorBidi"/>
          <w:color w:val="FF0000"/>
        </w:rPr>
        <w:t>brand</w:t>
      </w:r>
      <w:r w:rsidR="009F511E" w:rsidRPr="009F511E">
        <w:rPr>
          <w:rFonts w:asciiTheme="majorBidi" w:hAnsiTheme="majorBidi" w:cstheme="majorBidi"/>
          <w:color w:val="FF0000"/>
        </w:rPr>
        <w:t xml:space="preserve"> Zara is </w:t>
      </w:r>
      <w:r w:rsidR="001E6A6B">
        <w:rPr>
          <w:rFonts w:asciiTheme="majorBidi" w:hAnsiTheme="majorBidi" w:cstheme="majorBidi"/>
          <w:color w:val="FF0000"/>
        </w:rPr>
        <w:t>a</w:t>
      </w:r>
      <w:r w:rsidR="009F511E" w:rsidRPr="009F511E">
        <w:rPr>
          <w:rFonts w:asciiTheme="majorBidi" w:hAnsiTheme="majorBidi" w:cstheme="majorBidi"/>
          <w:color w:val="FF0000"/>
        </w:rPr>
        <w:t xml:space="preserve"> prime example of achieving supply chain agility. Thanks to its capability of sensing the shifts in fashion trends and realigning its process</w:t>
      </w:r>
      <w:r w:rsidR="00457B46">
        <w:rPr>
          <w:rFonts w:asciiTheme="majorBidi" w:hAnsiTheme="majorBidi" w:cstheme="majorBidi"/>
          <w:color w:val="FF0000"/>
        </w:rPr>
        <w:t>es</w:t>
      </w:r>
      <w:r w:rsidR="009F511E" w:rsidRPr="009F511E">
        <w:rPr>
          <w:rFonts w:asciiTheme="majorBidi" w:hAnsiTheme="majorBidi" w:cstheme="majorBidi"/>
          <w:color w:val="FF0000"/>
        </w:rPr>
        <w:t xml:space="preserve"> and capabilities Zara has successfully developed an agile overseas and in-house network that enables it to manage its diverse product market in a </w:t>
      </w:r>
      <w:r w:rsidR="00457B46">
        <w:rPr>
          <w:rFonts w:asciiTheme="majorBidi" w:hAnsiTheme="majorBidi" w:cstheme="majorBidi"/>
          <w:color w:val="FF0000"/>
        </w:rPr>
        <w:t>two</w:t>
      </w:r>
      <w:r w:rsidR="009F511E" w:rsidRPr="009F511E">
        <w:rPr>
          <w:rFonts w:asciiTheme="majorBidi" w:hAnsiTheme="majorBidi" w:cstheme="majorBidi"/>
          <w:color w:val="FF0000"/>
        </w:rPr>
        <w:t xml:space="preserve"> weeks’ time to serve cycle</w:t>
      </w:r>
      <w:r w:rsidR="00650B25">
        <w:rPr>
          <w:rFonts w:asciiTheme="majorBidi" w:hAnsiTheme="majorBidi" w:cstheme="majorBidi"/>
          <w:color w:val="FF0000"/>
        </w:rPr>
        <w:t xml:space="preserve"> </w:t>
      </w:r>
      <w:r w:rsidR="00650B25">
        <w:rPr>
          <w:rFonts w:asciiTheme="majorBidi" w:hAnsiTheme="majorBidi" w:cstheme="majorBidi"/>
          <w:color w:val="FF0000"/>
        </w:rPr>
        <w:fldChar w:fldCharType="begin"/>
      </w:r>
      <w:r w:rsidR="00650B25">
        <w:rPr>
          <w:rFonts w:asciiTheme="majorBidi" w:hAnsiTheme="majorBidi" w:cstheme="majorBidi"/>
          <w:color w:val="FF0000"/>
        </w:rPr>
        <w:instrText xml:space="preserve"> ADDIN EN.CITE &lt;EndNote&gt;&lt;Cite&gt;&lt;Author&gt;Lyons&lt;/Author&gt;&lt;Year&gt;2012&lt;/Year&gt;&lt;RecNum&gt;1792&lt;/RecNum&gt;&lt;DisplayText&gt;(Lyons et al., 2012)&lt;/DisplayText&gt;&lt;record&gt;&lt;rec-number&gt;1792&lt;/rec-number&gt;&lt;foreign-keys&gt;&lt;key app="EN" db-id="0ewd29dz4ds0vmee9zpx5s9udxtatsf5ffpw" timestamp="1700371106"&gt;1792&lt;/key&gt;&lt;/foreign-keys&gt;&lt;ref-type name="Book"&gt;6&lt;/ref-type&gt;&lt;contributors&gt;&lt;authors&gt;&lt;author&gt;Lyons, Andrew C&lt;/author&gt;&lt;author&gt;Mondragon, Adrian E Coronado&lt;/author&gt;&lt;author&gt;Piller, Frank&lt;/author&gt;&lt;author&gt;Poler, Raúl&lt;/author&gt;&lt;/authors&gt;&lt;/contributors&gt;&lt;titles&gt;&lt;title&gt;Customer-driven supply chains: from glass pipelines to open innovation networks&lt;/title&gt;&lt;/titles&gt;&lt;dates&gt;&lt;year&gt;2012&lt;/year&gt;&lt;/dates&gt;&lt;pub-location&gt;London&lt;/pub-location&gt;&lt;publisher&gt;Springer Science &amp;amp; Business Media&lt;/publisher&gt;&lt;isbn&gt;1846288762&lt;/isbn&gt;&lt;urls&gt;&lt;/urls&gt;&lt;/record&gt;&lt;/Cite&gt;&lt;/EndNote&gt;</w:instrText>
      </w:r>
      <w:r w:rsidR="00650B25">
        <w:rPr>
          <w:rFonts w:asciiTheme="majorBidi" w:hAnsiTheme="majorBidi" w:cstheme="majorBidi"/>
          <w:color w:val="FF0000"/>
        </w:rPr>
        <w:fldChar w:fldCharType="separate"/>
      </w:r>
      <w:r w:rsidR="00650B25">
        <w:rPr>
          <w:rFonts w:asciiTheme="majorBidi" w:hAnsiTheme="majorBidi" w:cstheme="majorBidi"/>
          <w:noProof/>
          <w:color w:val="FF0000"/>
        </w:rPr>
        <w:t>(Lyons et al., 2012)</w:t>
      </w:r>
      <w:r w:rsidR="00650B25">
        <w:rPr>
          <w:rFonts w:asciiTheme="majorBidi" w:hAnsiTheme="majorBidi" w:cstheme="majorBidi"/>
          <w:color w:val="FF0000"/>
        </w:rPr>
        <w:fldChar w:fldCharType="end"/>
      </w:r>
      <w:r w:rsidR="009F511E" w:rsidRPr="009F511E">
        <w:rPr>
          <w:rFonts w:asciiTheme="majorBidi" w:hAnsiTheme="majorBidi" w:cstheme="majorBidi"/>
          <w:color w:val="FF0000"/>
        </w:rPr>
        <w:t xml:space="preserve">. Among other factors, this agility </w:t>
      </w:r>
      <w:r w:rsidR="00650B25">
        <w:rPr>
          <w:rFonts w:asciiTheme="majorBidi" w:hAnsiTheme="majorBidi" w:cstheme="majorBidi"/>
          <w:color w:val="FF0000"/>
        </w:rPr>
        <w:t>stems</w:t>
      </w:r>
      <w:r w:rsidR="009F511E" w:rsidRPr="009F511E">
        <w:rPr>
          <w:rFonts w:asciiTheme="majorBidi" w:hAnsiTheme="majorBidi" w:cstheme="majorBidi"/>
          <w:color w:val="FF0000"/>
        </w:rPr>
        <w:t xml:space="preserve"> </w:t>
      </w:r>
      <w:r w:rsidR="00650B25">
        <w:rPr>
          <w:rFonts w:asciiTheme="majorBidi" w:hAnsiTheme="majorBidi" w:cstheme="majorBidi"/>
          <w:color w:val="FF0000"/>
        </w:rPr>
        <w:t>from</w:t>
      </w:r>
      <w:r w:rsidR="009F511E" w:rsidRPr="009F511E">
        <w:rPr>
          <w:rFonts w:asciiTheme="majorBidi" w:hAnsiTheme="majorBidi" w:cstheme="majorBidi"/>
          <w:color w:val="FF0000"/>
        </w:rPr>
        <w:t xml:space="preserve"> the effective integration of its cross functional teams of fashion specialist – who are expert in sensing the pulse on the street, commercial specialists – who assess financial viability of products, and production experts who manage inventory, production</w:t>
      </w:r>
      <w:r w:rsidR="00B6260C">
        <w:rPr>
          <w:rFonts w:asciiTheme="majorBidi" w:hAnsiTheme="majorBidi" w:cstheme="majorBidi"/>
          <w:color w:val="FF0000"/>
        </w:rPr>
        <w:t>,</w:t>
      </w:r>
      <w:r w:rsidR="009F511E" w:rsidRPr="009F511E">
        <w:rPr>
          <w:rFonts w:asciiTheme="majorBidi" w:hAnsiTheme="majorBidi" w:cstheme="majorBidi"/>
          <w:color w:val="FF0000"/>
        </w:rPr>
        <w:t xml:space="preserve"> and logistical operations</w:t>
      </w:r>
      <w:r w:rsidR="00296789">
        <w:rPr>
          <w:rFonts w:asciiTheme="majorBidi" w:hAnsiTheme="majorBidi" w:cstheme="majorBidi"/>
          <w:color w:val="FF0000"/>
        </w:rPr>
        <w:t xml:space="preserve"> </w:t>
      </w:r>
      <w:r w:rsidR="00296789">
        <w:rPr>
          <w:rFonts w:asciiTheme="majorBidi" w:hAnsiTheme="majorBidi" w:cstheme="majorBidi"/>
          <w:color w:val="FF0000"/>
        </w:rPr>
        <w:fldChar w:fldCharType="begin"/>
      </w:r>
      <w:r w:rsidR="00296789">
        <w:rPr>
          <w:rFonts w:asciiTheme="majorBidi" w:hAnsiTheme="majorBidi" w:cstheme="majorBidi"/>
          <w:color w:val="FF0000"/>
        </w:rPr>
        <w:instrText xml:space="preserve"> ADDIN EN.CITE &lt;EndNote&gt;&lt;Cite&gt;&lt;Author&gt;Aftab&lt;/Author&gt;&lt;Year&gt;2018&lt;/Year&gt;&lt;RecNum&gt;1793&lt;/RecNum&gt;&lt;DisplayText&gt;(Aftab et al., 2018)&lt;/DisplayText&gt;&lt;record&gt;&lt;rec-number&gt;1793&lt;/rec-number&gt;&lt;foreign-keys&gt;&lt;key app="EN" db-id="0ewd29dz4ds0vmee9zpx5s9udxtatsf5ffpw" timestamp="1700371427"&gt;1793&lt;/key&gt;&lt;/foreign-keys&gt;&lt;ref-type name="Journal Article"&gt;17&lt;/ref-type&gt;&lt;contributors&gt;&lt;authors&gt;&lt;author&gt;Aftab, Md Afzalul&lt;/author&gt;&lt;author&gt;Yuanjian, Qin&lt;/author&gt;&lt;author&gt;Kabir, Nadia&lt;/author&gt;&lt;author&gt;Barua, Zapan &lt;/author&gt;&lt;/authors&gt;&lt;/contributors&gt;&lt;titles&gt;&lt;title&gt;Super responsive supply chain: The case of Spanish fast fashion retailer Inditex-Zara&lt;/title&gt;&lt;secondary-title&gt;International Journal of Business and Management  &lt;/secondary-title&gt;&lt;/titles&gt;&lt;periodical&gt;&lt;full-title&gt;International Journal of Business and Management&lt;/full-title&gt;&lt;/periodical&gt;&lt;pages&gt;212-227&lt;/pages&gt;&lt;volume&gt;13&lt;/volume&gt;&lt;number&gt;5&lt;/number&gt;&lt;dates&gt;&lt;year&gt;2018&lt;/year&gt;&lt;/dates&gt;&lt;urls&gt;&lt;/urls&gt;&lt;/record&gt;&lt;/Cite&gt;&lt;/EndNote&gt;</w:instrText>
      </w:r>
      <w:r w:rsidR="00296789">
        <w:rPr>
          <w:rFonts w:asciiTheme="majorBidi" w:hAnsiTheme="majorBidi" w:cstheme="majorBidi"/>
          <w:color w:val="FF0000"/>
        </w:rPr>
        <w:fldChar w:fldCharType="separate"/>
      </w:r>
      <w:r w:rsidR="00296789">
        <w:rPr>
          <w:rFonts w:asciiTheme="majorBidi" w:hAnsiTheme="majorBidi" w:cstheme="majorBidi"/>
          <w:noProof/>
          <w:color w:val="FF0000"/>
        </w:rPr>
        <w:t>(Aftab et al., 2018)</w:t>
      </w:r>
      <w:r w:rsidR="00296789">
        <w:rPr>
          <w:rFonts w:asciiTheme="majorBidi" w:hAnsiTheme="majorBidi" w:cstheme="majorBidi"/>
          <w:color w:val="FF0000"/>
        </w:rPr>
        <w:fldChar w:fldCharType="end"/>
      </w:r>
      <w:r w:rsidR="009F511E" w:rsidRPr="009F511E">
        <w:rPr>
          <w:rFonts w:asciiTheme="majorBidi" w:hAnsiTheme="majorBidi" w:cstheme="majorBidi"/>
          <w:color w:val="FF0000"/>
        </w:rPr>
        <w:t xml:space="preserve">. </w:t>
      </w:r>
    </w:p>
    <w:p w14:paraId="33B71590" w14:textId="07AC0549" w:rsidR="007742CC" w:rsidRDefault="007742CC" w:rsidP="00AB5F42">
      <w:pPr>
        <w:spacing w:line="480" w:lineRule="auto"/>
        <w:ind w:firstLine="567"/>
        <w:jc w:val="both"/>
        <w:rPr>
          <w:rFonts w:asciiTheme="majorBidi" w:hAnsiTheme="majorBidi" w:cstheme="majorBidi"/>
        </w:rPr>
      </w:pPr>
      <w:r w:rsidRPr="0041514C">
        <w:rPr>
          <w:rFonts w:asciiTheme="majorBidi" w:hAnsiTheme="majorBidi" w:cstheme="majorBidi"/>
        </w:rPr>
        <w:t xml:space="preserve">The findings </w:t>
      </w:r>
      <w:r>
        <w:rPr>
          <w:rFonts w:asciiTheme="majorBidi" w:hAnsiTheme="majorBidi" w:cstheme="majorBidi"/>
        </w:rPr>
        <w:t xml:space="preserve">of this study </w:t>
      </w:r>
      <w:r w:rsidRPr="0041514C">
        <w:rPr>
          <w:rFonts w:asciiTheme="majorBidi" w:hAnsiTheme="majorBidi" w:cstheme="majorBidi"/>
        </w:rPr>
        <w:t xml:space="preserve">suggest that innovative performance is an inter-organizational phenomenon which hinges on </w:t>
      </w:r>
      <w:r>
        <w:rPr>
          <w:rFonts w:asciiTheme="majorBidi" w:hAnsiTheme="majorBidi" w:cstheme="majorBidi"/>
        </w:rPr>
        <w:t xml:space="preserve">the </w:t>
      </w:r>
      <w:r w:rsidRPr="0041514C">
        <w:rPr>
          <w:rFonts w:asciiTheme="majorBidi" w:hAnsiTheme="majorBidi" w:cstheme="majorBidi"/>
        </w:rPr>
        <w:t>organization</w:t>
      </w:r>
      <w:r>
        <w:rPr>
          <w:rFonts w:asciiTheme="majorBidi" w:hAnsiTheme="majorBidi" w:cstheme="majorBidi"/>
        </w:rPr>
        <w:t xml:space="preserve">al context </w:t>
      </w:r>
      <w:r w:rsidRPr="0041514C">
        <w:rPr>
          <w:rFonts w:asciiTheme="majorBidi" w:hAnsiTheme="majorBidi" w:cstheme="majorBidi"/>
        </w:rPr>
        <w:t>in the face of dynamic environment</w:t>
      </w:r>
      <w:r>
        <w:rPr>
          <w:rFonts w:asciiTheme="majorBidi" w:hAnsiTheme="majorBidi" w:cstheme="majorBidi"/>
        </w:rPr>
        <w:t>s</w:t>
      </w:r>
      <w:r w:rsidRPr="0041514C">
        <w:rPr>
          <w:rFonts w:asciiTheme="majorBidi" w:hAnsiTheme="majorBidi" w:cstheme="majorBidi"/>
        </w:rPr>
        <w:t>. In other words, mangers must appreciate that innovative performance requires</w:t>
      </w:r>
      <w:r>
        <w:rPr>
          <w:rFonts w:asciiTheme="majorBidi" w:hAnsiTheme="majorBidi" w:cstheme="majorBidi"/>
        </w:rPr>
        <w:t xml:space="preserve"> the</w:t>
      </w:r>
      <w:r w:rsidRPr="0041514C">
        <w:rPr>
          <w:rFonts w:asciiTheme="majorBidi" w:hAnsiTheme="majorBidi" w:cstheme="majorBidi"/>
        </w:rPr>
        <w:t xml:space="preserve"> ability to </w:t>
      </w:r>
      <w:r>
        <w:rPr>
          <w:rFonts w:asciiTheme="majorBidi" w:hAnsiTheme="majorBidi" w:cstheme="majorBidi"/>
        </w:rPr>
        <w:t>sense</w:t>
      </w:r>
      <w:r w:rsidRPr="0041514C">
        <w:rPr>
          <w:rFonts w:asciiTheme="majorBidi" w:hAnsiTheme="majorBidi" w:cstheme="majorBidi"/>
        </w:rPr>
        <w:t xml:space="preserve"> forthcoming environmental changes and</w:t>
      </w:r>
      <w:r>
        <w:rPr>
          <w:rFonts w:asciiTheme="majorBidi" w:hAnsiTheme="majorBidi" w:cstheme="majorBidi"/>
        </w:rPr>
        <w:t xml:space="preserve"> to</w:t>
      </w:r>
      <w:r w:rsidRPr="0041514C">
        <w:rPr>
          <w:rFonts w:asciiTheme="majorBidi" w:hAnsiTheme="majorBidi" w:cstheme="majorBidi"/>
        </w:rPr>
        <w:t xml:space="preserve"> adapt across supply chain</w:t>
      </w:r>
      <w:r>
        <w:rPr>
          <w:rFonts w:asciiTheme="majorBidi" w:hAnsiTheme="majorBidi" w:cstheme="majorBidi"/>
        </w:rPr>
        <w:t>s</w:t>
      </w:r>
      <w:r w:rsidRPr="0041514C">
        <w:rPr>
          <w:rFonts w:asciiTheme="majorBidi" w:hAnsiTheme="majorBidi" w:cstheme="majorBidi"/>
        </w:rPr>
        <w:t xml:space="preserve">. </w:t>
      </w:r>
      <w:r>
        <w:rPr>
          <w:rFonts w:asciiTheme="majorBidi" w:hAnsiTheme="majorBidi" w:cstheme="majorBidi"/>
        </w:rPr>
        <w:t>Our</w:t>
      </w:r>
      <w:r w:rsidRPr="0041514C">
        <w:rPr>
          <w:rFonts w:asciiTheme="majorBidi" w:hAnsiTheme="majorBidi" w:cstheme="majorBidi"/>
        </w:rPr>
        <w:t xml:space="preserve"> result</w:t>
      </w:r>
      <w:r>
        <w:rPr>
          <w:rFonts w:asciiTheme="majorBidi" w:hAnsiTheme="majorBidi" w:cstheme="majorBidi"/>
        </w:rPr>
        <w:t>s</w:t>
      </w:r>
      <w:r w:rsidRPr="0041514C">
        <w:rPr>
          <w:rFonts w:asciiTheme="majorBidi" w:hAnsiTheme="majorBidi" w:cstheme="majorBidi"/>
        </w:rPr>
        <w:t xml:space="preserve"> </w:t>
      </w:r>
      <w:r>
        <w:rPr>
          <w:rFonts w:asciiTheme="majorBidi" w:hAnsiTheme="majorBidi" w:cstheme="majorBidi"/>
        </w:rPr>
        <w:t>emphasize that</w:t>
      </w:r>
      <w:r w:rsidRPr="0041514C">
        <w:rPr>
          <w:rFonts w:asciiTheme="majorBidi" w:hAnsiTheme="majorBidi" w:cstheme="majorBidi"/>
        </w:rPr>
        <w:t xml:space="preserve"> </w:t>
      </w:r>
      <w:r>
        <w:rPr>
          <w:rFonts w:asciiTheme="majorBidi" w:hAnsiTheme="majorBidi" w:cstheme="majorBidi"/>
        </w:rPr>
        <w:t>SCA</w:t>
      </w:r>
      <w:r w:rsidRPr="0041514C">
        <w:rPr>
          <w:rFonts w:asciiTheme="majorBidi" w:hAnsiTheme="majorBidi" w:cstheme="majorBidi"/>
        </w:rPr>
        <w:t xml:space="preserve"> is directly linked </w:t>
      </w:r>
      <w:r>
        <w:rPr>
          <w:rFonts w:asciiTheme="majorBidi" w:hAnsiTheme="majorBidi" w:cstheme="majorBidi"/>
        </w:rPr>
        <w:t>to</w:t>
      </w:r>
      <w:r w:rsidRPr="0041514C">
        <w:rPr>
          <w:rFonts w:asciiTheme="majorBidi" w:hAnsiTheme="majorBidi" w:cstheme="majorBidi"/>
        </w:rPr>
        <w:t xml:space="preserve"> </w:t>
      </w:r>
      <w:r>
        <w:rPr>
          <w:rFonts w:asciiTheme="majorBidi" w:hAnsiTheme="majorBidi" w:cstheme="majorBidi"/>
        </w:rPr>
        <w:t xml:space="preserve">an </w:t>
      </w:r>
      <w:r w:rsidRPr="0041514C">
        <w:rPr>
          <w:rFonts w:asciiTheme="majorBidi" w:hAnsiTheme="majorBidi" w:cstheme="majorBidi"/>
        </w:rPr>
        <w:t>organization</w:t>
      </w:r>
      <w:r>
        <w:rPr>
          <w:rFonts w:asciiTheme="majorBidi" w:hAnsiTheme="majorBidi" w:cstheme="majorBidi"/>
        </w:rPr>
        <w:t xml:space="preserve">’s </w:t>
      </w:r>
      <w:r w:rsidRPr="0041514C">
        <w:rPr>
          <w:rFonts w:asciiTheme="majorBidi" w:hAnsiTheme="majorBidi" w:cstheme="majorBidi"/>
        </w:rPr>
        <w:t>innovative performanc</w:t>
      </w:r>
      <w:r>
        <w:rPr>
          <w:rFonts w:asciiTheme="majorBidi" w:hAnsiTheme="majorBidi" w:cstheme="majorBidi"/>
        </w:rPr>
        <w:t>e</w:t>
      </w:r>
      <w:r w:rsidRPr="0041514C">
        <w:rPr>
          <w:rFonts w:asciiTheme="majorBidi" w:hAnsiTheme="majorBidi" w:cstheme="majorBidi"/>
        </w:rPr>
        <w:t xml:space="preserve">. </w:t>
      </w:r>
      <w:r>
        <w:rPr>
          <w:rFonts w:asciiTheme="majorBidi" w:hAnsiTheme="majorBidi" w:cstheme="majorBidi"/>
        </w:rPr>
        <w:t>This is the case mainly because</w:t>
      </w:r>
      <w:r w:rsidRPr="0041514C">
        <w:rPr>
          <w:rFonts w:asciiTheme="majorBidi" w:hAnsiTheme="majorBidi" w:cstheme="majorBidi"/>
        </w:rPr>
        <w:t xml:space="preserve"> organizations are interdependent in terms of</w:t>
      </w:r>
      <w:r>
        <w:rPr>
          <w:rFonts w:asciiTheme="majorBidi" w:hAnsiTheme="majorBidi" w:cstheme="majorBidi"/>
        </w:rPr>
        <w:t xml:space="preserve"> the</w:t>
      </w:r>
      <w:r w:rsidRPr="0041514C">
        <w:rPr>
          <w:rFonts w:asciiTheme="majorBidi" w:hAnsiTheme="majorBidi" w:cstheme="majorBidi"/>
        </w:rPr>
        <w:t xml:space="preserve"> resource acquisition necessary for their functioning</w:t>
      </w:r>
      <w:r>
        <w:rPr>
          <w:rFonts w:asciiTheme="majorBidi" w:hAnsiTheme="majorBidi" w:cstheme="majorBidi"/>
        </w:rPr>
        <w:t xml:space="preserve">, and any change in </w:t>
      </w:r>
      <w:r w:rsidRPr="0041514C">
        <w:rPr>
          <w:rFonts w:asciiTheme="majorBidi" w:hAnsiTheme="majorBidi" w:cstheme="majorBidi"/>
        </w:rPr>
        <w:t>processes, routines, technology</w:t>
      </w:r>
      <w:r w:rsidRPr="00EF5BB4">
        <w:rPr>
          <w:rFonts w:asciiTheme="majorBidi" w:hAnsiTheme="majorBidi" w:cstheme="majorBidi"/>
          <w:color w:val="FF0000"/>
        </w:rPr>
        <w:t>,</w:t>
      </w:r>
      <w:r w:rsidRPr="0041514C">
        <w:rPr>
          <w:rFonts w:asciiTheme="majorBidi" w:hAnsiTheme="majorBidi" w:cstheme="majorBidi"/>
        </w:rPr>
        <w:t xml:space="preserve"> </w:t>
      </w:r>
      <w:r>
        <w:rPr>
          <w:rFonts w:asciiTheme="majorBidi" w:hAnsiTheme="majorBidi" w:cstheme="majorBidi"/>
        </w:rPr>
        <w:t>or</w:t>
      </w:r>
      <w:r w:rsidRPr="0041514C">
        <w:rPr>
          <w:rFonts w:asciiTheme="majorBidi" w:hAnsiTheme="majorBidi" w:cstheme="majorBidi"/>
        </w:rPr>
        <w:t xml:space="preserve"> strategy </w:t>
      </w:r>
      <w:r>
        <w:rPr>
          <w:rFonts w:asciiTheme="majorBidi" w:hAnsiTheme="majorBidi" w:cstheme="majorBidi"/>
        </w:rPr>
        <w:t xml:space="preserve">of an organization </w:t>
      </w:r>
      <w:r w:rsidRPr="0041514C">
        <w:rPr>
          <w:rFonts w:asciiTheme="majorBidi" w:hAnsiTheme="majorBidi" w:cstheme="majorBidi"/>
        </w:rPr>
        <w:t>would require support</w:t>
      </w:r>
      <w:r>
        <w:rPr>
          <w:rFonts w:asciiTheme="majorBidi" w:hAnsiTheme="majorBidi" w:cstheme="majorBidi"/>
        </w:rPr>
        <w:t xml:space="preserve"> from</w:t>
      </w:r>
      <w:r w:rsidRPr="0041514C">
        <w:rPr>
          <w:rFonts w:asciiTheme="majorBidi" w:hAnsiTheme="majorBidi" w:cstheme="majorBidi"/>
        </w:rPr>
        <w:t xml:space="preserve"> and alignment </w:t>
      </w:r>
      <w:r>
        <w:rPr>
          <w:rFonts w:asciiTheme="majorBidi" w:hAnsiTheme="majorBidi" w:cstheme="majorBidi"/>
        </w:rPr>
        <w:t xml:space="preserve">with </w:t>
      </w:r>
      <w:r w:rsidRPr="0041514C">
        <w:rPr>
          <w:rFonts w:asciiTheme="majorBidi" w:hAnsiTheme="majorBidi" w:cstheme="majorBidi"/>
        </w:rPr>
        <w:t xml:space="preserve">other value chain partners. </w:t>
      </w:r>
    </w:p>
    <w:p w14:paraId="11C30557" w14:textId="409E36C7" w:rsidR="007742CC" w:rsidRDefault="007742CC" w:rsidP="007742CC">
      <w:pPr>
        <w:spacing w:line="480" w:lineRule="auto"/>
        <w:ind w:firstLine="360"/>
        <w:jc w:val="both"/>
        <w:rPr>
          <w:rFonts w:asciiTheme="majorBidi" w:hAnsiTheme="majorBidi" w:cstheme="majorBidi"/>
        </w:rPr>
      </w:pPr>
      <w:r>
        <w:rPr>
          <w:rFonts w:asciiTheme="majorBidi" w:hAnsiTheme="majorBidi" w:cstheme="majorBidi"/>
        </w:rPr>
        <w:lastRenderedPageBreak/>
        <w:t xml:space="preserve">Furthermore, the study shows that the development of dynamic capabilities like SCA owe a great deal to the context of the organization. Although both the performance and social context are important for the development of dynamic capabilities and in turn innovative performance, managers </w:t>
      </w:r>
      <w:r w:rsidR="00B01F23">
        <w:rPr>
          <w:rFonts w:asciiTheme="majorBidi" w:hAnsiTheme="majorBidi" w:cstheme="majorBidi"/>
        </w:rPr>
        <w:t>need to pay more attention to</w:t>
      </w:r>
      <w:r>
        <w:rPr>
          <w:rFonts w:asciiTheme="majorBidi" w:hAnsiTheme="majorBidi" w:cstheme="majorBidi"/>
        </w:rPr>
        <w:t xml:space="preserve"> the social</w:t>
      </w:r>
      <w:r w:rsidR="00B01F23">
        <w:rPr>
          <w:rFonts w:asciiTheme="majorBidi" w:hAnsiTheme="majorBidi" w:cstheme="majorBidi"/>
        </w:rPr>
        <w:t xml:space="preserve"> support</w:t>
      </w:r>
      <w:r>
        <w:rPr>
          <w:rFonts w:asciiTheme="majorBidi" w:hAnsiTheme="majorBidi" w:cstheme="majorBidi"/>
        </w:rPr>
        <w:t xml:space="preserve"> context. SCA and innovation require an organizational setting characterized by trust and organizational support. This provides psychological safety and motivation for employees in being vigilant to changing environments and fosters adaptation and reconfiguration of their collaboration with supply chain partners. Moreover, we suggest that managers must be vigilant that complementarity with suppliers may not necessarily yield positive outcomes for SCA and innovative performance relationship. Although the data </w:t>
      </w:r>
      <w:r w:rsidRPr="00EF5BB4">
        <w:rPr>
          <w:rFonts w:asciiTheme="majorBidi" w:hAnsiTheme="majorBidi" w:cstheme="majorBidi"/>
          <w:color w:val="FF0000"/>
        </w:rPr>
        <w:t>do</w:t>
      </w:r>
      <w:r>
        <w:rPr>
          <w:rFonts w:asciiTheme="majorBidi" w:hAnsiTheme="majorBidi" w:cstheme="majorBidi"/>
        </w:rPr>
        <w:t xml:space="preserve"> not explicitly show the reason, interpreting our findings in view of the literature on buyer-suppliers relationship provides indication to the managers that various factors like opportunism, pilferage of knowledge and complacency may even cause negative effect of complementarity between organizations and their suppliers.      </w:t>
      </w:r>
    </w:p>
    <w:p w14:paraId="01B08DC9" w14:textId="77777777" w:rsidR="007742CC" w:rsidRPr="00DB1AED" w:rsidRDefault="007742CC" w:rsidP="007742CC">
      <w:pPr>
        <w:spacing w:before="160" w:after="160" w:line="480" w:lineRule="auto"/>
        <w:jc w:val="both"/>
        <w:rPr>
          <w:rFonts w:asciiTheme="majorBidi" w:hAnsiTheme="majorBidi" w:cstheme="majorBidi"/>
          <w:b/>
          <w:bCs/>
          <w:i/>
        </w:rPr>
      </w:pPr>
      <w:r>
        <w:rPr>
          <w:rFonts w:asciiTheme="majorBidi" w:hAnsiTheme="majorBidi" w:cstheme="majorBidi"/>
          <w:b/>
          <w:bCs/>
          <w:i/>
        </w:rPr>
        <w:t>5.3</w:t>
      </w:r>
      <w:r w:rsidRPr="00DB1AED">
        <w:rPr>
          <w:rFonts w:asciiTheme="majorBidi" w:hAnsiTheme="majorBidi" w:cstheme="majorBidi"/>
          <w:b/>
          <w:bCs/>
          <w:i/>
        </w:rPr>
        <w:t xml:space="preserve"> Limitations and Future Research </w:t>
      </w:r>
    </w:p>
    <w:p w14:paraId="6D3C0DD1" w14:textId="6BFD7AC2" w:rsidR="007742CC" w:rsidRDefault="007742CC" w:rsidP="007742CC">
      <w:pPr>
        <w:spacing w:line="480" w:lineRule="auto"/>
        <w:jc w:val="both"/>
        <w:rPr>
          <w:rFonts w:asciiTheme="majorBidi" w:hAnsiTheme="majorBidi" w:cstheme="majorBidi"/>
        </w:rPr>
      </w:pPr>
      <w:r w:rsidRPr="006A74FB">
        <w:rPr>
          <w:rFonts w:asciiTheme="majorBidi" w:hAnsiTheme="majorBidi" w:cstheme="majorBidi"/>
        </w:rPr>
        <w:t>Interpretation and generalization of the findings</w:t>
      </w:r>
      <w:r>
        <w:rPr>
          <w:rFonts w:asciiTheme="majorBidi" w:hAnsiTheme="majorBidi" w:cstheme="majorBidi"/>
        </w:rPr>
        <w:t xml:space="preserve"> of</w:t>
      </w:r>
      <w:r w:rsidRPr="006A74FB">
        <w:rPr>
          <w:rFonts w:asciiTheme="majorBidi" w:hAnsiTheme="majorBidi" w:cstheme="majorBidi"/>
        </w:rPr>
        <w:t xml:space="preserve"> our research should be made in the purview of the limitations of the study. First, self-reported measures have been used to collect the dat</w:t>
      </w:r>
      <w:r>
        <w:rPr>
          <w:rFonts w:asciiTheme="majorBidi" w:hAnsiTheme="majorBidi" w:cstheme="majorBidi"/>
        </w:rPr>
        <w:t>a</w:t>
      </w:r>
      <w:r w:rsidRPr="006A74FB">
        <w:rPr>
          <w:rFonts w:asciiTheme="majorBidi" w:hAnsiTheme="majorBidi" w:cstheme="majorBidi"/>
        </w:rPr>
        <w:t xml:space="preserve"> mainly because objective data on innovative performance and other variables was not accessible in the study settings. </w:t>
      </w:r>
      <w:r w:rsidR="00D65225">
        <w:rPr>
          <w:rFonts w:asciiTheme="majorBidi" w:hAnsiTheme="majorBidi" w:cstheme="majorBidi"/>
        </w:rPr>
        <w:t>Second</w:t>
      </w:r>
      <w:r w:rsidR="00A011FD">
        <w:rPr>
          <w:rFonts w:asciiTheme="majorBidi" w:hAnsiTheme="majorBidi" w:cstheme="majorBidi"/>
        </w:rPr>
        <w:t xml:space="preserve">, to </w:t>
      </w:r>
      <w:r w:rsidRPr="006A74FB">
        <w:rPr>
          <w:rFonts w:asciiTheme="majorBidi" w:hAnsiTheme="majorBidi" w:cstheme="majorBidi"/>
        </w:rPr>
        <w:t>mitigat</w:t>
      </w:r>
      <w:r>
        <w:rPr>
          <w:rFonts w:asciiTheme="majorBidi" w:hAnsiTheme="majorBidi" w:cstheme="majorBidi"/>
        </w:rPr>
        <w:t>e</w:t>
      </w:r>
      <w:r w:rsidRPr="006A74FB">
        <w:rPr>
          <w:rFonts w:asciiTheme="majorBidi" w:hAnsiTheme="majorBidi" w:cstheme="majorBidi"/>
        </w:rPr>
        <w:t xml:space="preserve"> the concerns of common method variance, we envisaged </w:t>
      </w:r>
      <w:r w:rsidR="00DF6114" w:rsidRPr="006A74FB">
        <w:rPr>
          <w:rFonts w:asciiTheme="majorBidi" w:hAnsiTheme="majorBidi" w:cstheme="majorBidi"/>
        </w:rPr>
        <w:t>collecting</w:t>
      </w:r>
      <w:r w:rsidRPr="006A74FB">
        <w:rPr>
          <w:rFonts w:asciiTheme="majorBidi" w:hAnsiTheme="majorBidi" w:cstheme="majorBidi"/>
        </w:rPr>
        <w:t xml:space="preserve"> two responses per organization</w:t>
      </w:r>
      <w:r>
        <w:rPr>
          <w:rFonts w:asciiTheme="majorBidi" w:hAnsiTheme="majorBidi" w:cstheme="majorBidi"/>
        </w:rPr>
        <w:t>, however succeeded only</w:t>
      </w:r>
      <w:r w:rsidRPr="006A74FB">
        <w:rPr>
          <w:rFonts w:asciiTheme="majorBidi" w:hAnsiTheme="majorBidi" w:cstheme="majorBidi"/>
        </w:rPr>
        <w:t xml:space="preserve"> </w:t>
      </w:r>
      <w:r>
        <w:rPr>
          <w:rFonts w:asciiTheme="majorBidi" w:hAnsiTheme="majorBidi" w:cstheme="majorBidi"/>
        </w:rPr>
        <w:t>with</w:t>
      </w:r>
      <w:r w:rsidRPr="006A74FB">
        <w:rPr>
          <w:rFonts w:asciiTheme="majorBidi" w:hAnsiTheme="majorBidi" w:cstheme="majorBidi"/>
        </w:rPr>
        <w:t xml:space="preserve"> 126 paired response</w:t>
      </w:r>
      <w:r>
        <w:rPr>
          <w:rFonts w:asciiTheme="majorBidi" w:hAnsiTheme="majorBidi" w:cstheme="majorBidi"/>
        </w:rPr>
        <w:t>s</w:t>
      </w:r>
      <w:r w:rsidRPr="006A74FB">
        <w:rPr>
          <w:rFonts w:asciiTheme="majorBidi" w:hAnsiTheme="majorBidi" w:cstheme="majorBidi"/>
        </w:rPr>
        <w:t xml:space="preserve"> and 95</w:t>
      </w:r>
      <w:r w:rsidR="003A068C">
        <w:rPr>
          <w:rFonts w:asciiTheme="majorBidi" w:hAnsiTheme="majorBidi" w:cstheme="majorBidi"/>
        </w:rPr>
        <w:t xml:space="preserve"> single</w:t>
      </w:r>
      <w:r w:rsidRPr="006A74FB">
        <w:rPr>
          <w:rFonts w:asciiTheme="majorBidi" w:hAnsiTheme="majorBidi" w:cstheme="majorBidi"/>
        </w:rPr>
        <w:t xml:space="preserve"> responses. </w:t>
      </w:r>
      <w:r>
        <w:rPr>
          <w:rFonts w:asciiTheme="majorBidi" w:hAnsiTheme="majorBidi" w:cstheme="majorBidi"/>
        </w:rPr>
        <w:t>To enhance the methodological rigor in future studies, we therefore suggest using objective measures, probability sampling</w:t>
      </w:r>
      <w:r w:rsidR="0005417F">
        <w:rPr>
          <w:rFonts w:asciiTheme="majorBidi" w:hAnsiTheme="majorBidi" w:cstheme="majorBidi"/>
        </w:rPr>
        <w:t>,</w:t>
      </w:r>
      <w:r>
        <w:rPr>
          <w:rFonts w:asciiTheme="majorBidi" w:hAnsiTheme="majorBidi" w:cstheme="majorBidi"/>
        </w:rPr>
        <w:t xml:space="preserve"> and the collection of multiple responses from organizations.  </w:t>
      </w:r>
    </w:p>
    <w:p w14:paraId="30C339F1" w14:textId="77777777" w:rsidR="003A068C" w:rsidRDefault="003A068C" w:rsidP="007742CC">
      <w:pPr>
        <w:spacing w:line="480" w:lineRule="auto"/>
        <w:ind w:firstLine="360"/>
        <w:jc w:val="both"/>
        <w:rPr>
          <w:rFonts w:asciiTheme="majorBidi" w:hAnsiTheme="majorBidi" w:cstheme="majorBidi"/>
        </w:rPr>
      </w:pPr>
      <w:r>
        <w:rPr>
          <w:rFonts w:asciiTheme="majorBidi" w:hAnsiTheme="majorBidi" w:cstheme="majorBidi"/>
        </w:rPr>
        <w:lastRenderedPageBreak/>
        <w:t>Third</w:t>
      </w:r>
      <w:r w:rsidR="007742CC">
        <w:rPr>
          <w:rFonts w:asciiTheme="majorBidi" w:hAnsiTheme="majorBidi" w:cstheme="majorBidi"/>
        </w:rPr>
        <w:t xml:space="preserve">, our study found an unexpected negative moderating effect of complementarity on the relationship between SCA and innovative performance. Although prior literature provides some explanation for this apparently inverse finding, our data do not show how complementarity turns this link into the opposite direction. We thus call for further research to investigate under what conditions and how complementarity could hamper the relationship between SCA and innovative performance. Moreover, we only studied complementarity between an organization and its supplier, which invites researchers to study SCA in relation to other supply chain actors, too. </w:t>
      </w:r>
    </w:p>
    <w:p w14:paraId="33EAF4CE" w14:textId="047DAB35" w:rsidR="007742CC" w:rsidRPr="003A068C" w:rsidRDefault="007742CC" w:rsidP="007742CC">
      <w:pPr>
        <w:spacing w:line="480" w:lineRule="auto"/>
        <w:ind w:firstLine="360"/>
        <w:jc w:val="both"/>
        <w:rPr>
          <w:rFonts w:asciiTheme="majorBidi" w:hAnsiTheme="majorBidi" w:cstheme="majorBidi"/>
          <w:color w:val="FF0000"/>
        </w:rPr>
      </w:pPr>
      <w:r>
        <w:rPr>
          <w:rFonts w:asciiTheme="majorBidi" w:hAnsiTheme="majorBidi" w:cstheme="majorBidi"/>
        </w:rPr>
        <w:t xml:space="preserve">    </w:t>
      </w:r>
      <w:r w:rsidR="003A068C" w:rsidRPr="003A068C">
        <w:rPr>
          <w:rFonts w:asciiTheme="majorBidi" w:hAnsiTheme="majorBidi" w:cstheme="majorBidi"/>
          <w:color w:val="FF0000"/>
        </w:rPr>
        <w:t>The data for this study was collected in 2020, before the onset of the global pandemic. During the pandemic, substantial shifts occurred in the demand, sourcing, production, and logistical patterns of organizations, prompting a comprehensive redesign of supply chains. This period underscored the critical imperative for agility in supply chains within a disrupted world (Saarinen et al., 2020).</w:t>
      </w:r>
      <w:r w:rsidR="006D150E">
        <w:rPr>
          <w:rFonts w:asciiTheme="majorBidi" w:hAnsiTheme="majorBidi" w:cstheme="majorBidi"/>
          <w:color w:val="FF0000"/>
        </w:rPr>
        <w:t xml:space="preserve"> This could have affected some of our results. However, it needs to be </w:t>
      </w:r>
      <w:r w:rsidR="00EA3AA4">
        <w:rPr>
          <w:rFonts w:asciiTheme="majorBidi" w:hAnsiTheme="majorBidi" w:cstheme="majorBidi"/>
          <w:color w:val="FF0000"/>
        </w:rPr>
        <w:t>noted</w:t>
      </w:r>
      <w:r w:rsidR="006D150E">
        <w:rPr>
          <w:rFonts w:asciiTheme="majorBidi" w:hAnsiTheme="majorBidi" w:cstheme="majorBidi"/>
          <w:color w:val="FF0000"/>
        </w:rPr>
        <w:t xml:space="preserve"> that t</w:t>
      </w:r>
      <w:r w:rsidR="003A068C" w:rsidRPr="003A068C">
        <w:rPr>
          <w:rFonts w:asciiTheme="majorBidi" w:hAnsiTheme="majorBidi" w:cstheme="majorBidi"/>
          <w:color w:val="FF0000"/>
        </w:rPr>
        <w:t>here is a consensus that post-pandemic supply chains will undergo profound transformation compared to their pre-pandemic state. This transformation is driven by factors such as increased surveillance and collaboration, widespread subcontracting, improved demand forecasting capabilities facilitated by advanced tools like machine learning and artificial intelligence, the emergence of micro supply chains, and adjustments in last-mile delivery channels (Panwar et al., 2022). Consequently, the evolution of the supply chain is ongoing, demanding an increased focus on dynamic capabilities such as SCA (Frederico, 2021).</w:t>
      </w:r>
      <w:r w:rsidRPr="003A068C">
        <w:rPr>
          <w:rFonts w:asciiTheme="majorBidi" w:hAnsiTheme="majorBidi" w:cstheme="majorBidi"/>
          <w:color w:val="FF0000"/>
        </w:rPr>
        <w:t xml:space="preserve">    </w:t>
      </w:r>
    </w:p>
    <w:p w14:paraId="57BE4033" w14:textId="77777777" w:rsidR="007742CC" w:rsidRPr="007C0B7F" w:rsidRDefault="007742CC" w:rsidP="007742CC">
      <w:pPr>
        <w:spacing w:line="360" w:lineRule="auto"/>
        <w:rPr>
          <w:rFonts w:asciiTheme="majorBidi" w:hAnsiTheme="majorBidi" w:cstheme="majorBidi"/>
        </w:rPr>
      </w:pPr>
    </w:p>
    <w:p w14:paraId="38B1DBAA" w14:textId="77777777" w:rsidR="007742CC" w:rsidRPr="002662C4" w:rsidRDefault="007742CC" w:rsidP="007742CC">
      <w:pPr>
        <w:spacing w:after="120" w:line="360" w:lineRule="auto"/>
        <w:jc w:val="center"/>
        <w:rPr>
          <w:rStyle w:val="fontstyle01"/>
          <w:rFonts w:ascii="Times New Roman" w:eastAsiaTheme="majorEastAsia" w:hAnsi="Times New Roman"/>
          <w:b/>
          <w:color w:val="000000" w:themeColor="text1"/>
          <w:sz w:val="24"/>
          <w:szCs w:val="24"/>
        </w:rPr>
      </w:pPr>
      <w:r w:rsidRPr="002662C4">
        <w:rPr>
          <w:rStyle w:val="fontstyle01"/>
          <w:rFonts w:ascii="Times New Roman" w:eastAsiaTheme="majorEastAsia" w:hAnsi="Times New Roman"/>
          <w:b/>
          <w:color w:val="000000" w:themeColor="text1"/>
          <w:sz w:val="24"/>
          <w:szCs w:val="24"/>
        </w:rPr>
        <w:t>REFERENCES</w:t>
      </w:r>
    </w:p>
    <w:p w14:paraId="6D6B3E40" w14:textId="77777777" w:rsidR="00344387" w:rsidRPr="00344387" w:rsidRDefault="007742CC" w:rsidP="00A36CED">
      <w:pPr>
        <w:pStyle w:val="EndNoteBibliography"/>
        <w:spacing w:after="0"/>
        <w:ind w:left="720" w:hanging="720"/>
      </w:pPr>
      <w:r w:rsidRPr="00B86D8D">
        <w:rPr>
          <w:color w:val="000000" w:themeColor="text1"/>
          <w:szCs w:val="24"/>
        </w:rPr>
        <w:fldChar w:fldCharType="begin"/>
      </w:r>
      <w:r w:rsidRPr="00B86D8D">
        <w:rPr>
          <w:color w:val="000000" w:themeColor="text1"/>
          <w:szCs w:val="24"/>
        </w:rPr>
        <w:instrText xml:space="preserve"> ADDIN EN.REFLIST </w:instrText>
      </w:r>
      <w:r w:rsidRPr="00B86D8D">
        <w:rPr>
          <w:color w:val="000000" w:themeColor="text1"/>
          <w:szCs w:val="24"/>
        </w:rPr>
        <w:fldChar w:fldCharType="separate"/>
      </w:r>
      <w:r w:rsidR="00344387" w:rsidRPr="00344387">
        <w:t xml:space="preserve">Aftab, M. A., Yuanjian, Q., Kabir, N., &amp; Barua, Z. (2018). Super responsive supply chain: The case of Spanish fast fashion retailer Inditex-Zara. </w:t>
      </w:r>
      <w:r w:rsidR="00344387" w:rsidRPr="00344387">
        <w:rPr>
          <w:i/>
        </w:rPr>
        <w:t>International Journal of Business and Management, 13</w:t>
      </w:r>
      <w:r w:rsidR="00344387" w:rsidRPr="00344387">
        <w:t xml:space="preserve">(5), 212-227. </w:t>
      </w:r>
    </w:p>
    <w:p w14:paraId="20C2EA6A" w14:textId="77777777" w:rsidR="00344387" w:rsidRPr="00344387" w:rsidRDefault="00344387" w:rsidP="00A36CED">
      <w:pPr>
        <w:pStyle w:val="EndNoteBibliography"/>
        <w:spacing w:after="0"/>
      </w:pPr>
    </w:p>
    <w:p w14:paraId="752A34CA" w14:textId="3456E483" w:rsidR="00344387" w:rsidRPr="00344387" w:rsidRDefault="00344387" w:rsidP="00A36CED">
      <w:pPr>
        <w:pStyle w:val="EndNoteBibliography"/>
        <w:spacing w:after="0"/>
        <w:ind w:left="720" w:hanging="720"/>
      </w:pPr>
      <w:r w:rsidRPr="00344387">
        <w:lastRenderedPageBreak/>
        <w:t xml:space="preserve">Alfalla-Luque, R., Luján García, D. E., &amp; Marin-Garcia, J. A. (2023). Supply chain agility and performance: evidence from a meta-analysis. </w:t>
      </w:r>
      <w:r w:rsidRPr="00344387">
        <w:rPr>
          <w:i/>
        </w:rPr>
        <w:t>International Journal of Operations &amp; Production Management, 43</w:t>
      </w:r>
      <w:r w:rsidRPr="00344387">
        <w:t xml:space="preserve">(10), 1587-1633. </w:t>
      </w:r>
      <w:hyperlink r:id="rId8" w:history="1">
        <w:r w:rsidRPr="00344387">
          <w:rPr>
            <w:rStyle w:val="Hyperlink"/>
          </w:rPr>
          <w:t>https://doi.org/10.1108/IJOPM-05-2022-0316</w:t>
        </w:r>
      </w:hyperlink>
      <w:r w:rsidRPr="00344387">
        <w:t xml:space="preserve"> </w:t>
      </w:r>
    </w:p>
    <w:p w14:paraId="576C9F00" w14:textId="77777777" w:rsidR="00344387" w:rsidRPr="00344387" w:rsidRDefault="00344387" w:rsidP="00A36CED">
      <w:pPr>
        <w:pStyle w:val="EndNoteBibliography"/>
        <w:spacing w:after="0"/>
      </w:pPr>
    </w:p>
    <w:p w14:paraId="3CB601B8" w14:textId="77777777" w:rsidR="00344387" w:rsidRPr="00344387" w:rsidRDefault="00344387" w:rsidP="00A36CED">
      <w:pPr>
        <w:pStyle w:val="EndNoteBibliography"/>
        <w:spacing w:after="0"/>
        <w:ind w:left="720" w:hanging="720"/>
      </w:pPr>
      <w:r w:rsidRPr="00344387">
        <w:t xml:space="preserve">Anand, G., Ward, P. T., Tatikonda, M. V., &amp; Schilling, D. A. (2009). Dynamic capabilities through continuous improvement infrastructure. </w:t>
      </w:r>
      <w:r w:rsidRPr="00344387">
        <w:rPr>
          <w:i/>
        </w:rPr>
        <w:t>Journal of Operations Management, 27</w:t>
      </w:r>
      <w:r w:rsidRPr="00344387">
        <w:t xml:space="preserve">(6), 444-461. </w:t>
      </w:r>
    </w:p>
    <w:p w14:paraId="3E885285" w14:textId="77777777" w:rsidR="00344387" w:rsidRPr="00344387" w:rsidRDefault="00344387" w:rsidP="00A36CED">
      <w:pPr>
        <w:pStyle w:val="EndNoteBibliography"/>
        <w:spacing w:after="0"/>
      </w:pPr>
    </w:p>
    <w:p w14:paraId="142B6ECA" w14:textId="0F14F1A0" w:rsidR="00344387" w:rsidRPr="00344387" w:rsidRDefault="00344387" w:rsidP="00A36CED">
      <w:pPr>
        <w:pStyle w:val="EndNoteBibliography"/>
        <w:spacing w:after="0"/>
        <w:ind w:left="720" w:hanging="720"/>
      </w:pPr>
      <w:r w:rsidRPr="00344387">
        <w:t xml:space="preserve">Anker, T. B. (2021, 2021/04/01/). At the boundary: Post-COVID agenda for business and management research in Europe and beyond. </w:t>
      </w:r>
      <w:r w:rsidRPr="00344387">
        <w:rPr>
          <w:i/>
        </w:rPr>
        <w:t>European Management Journal, 39</w:t>
      </w:r>
      <w:r w:rsidRPr="00344387">
        <w:t xml:space="preserve">(2), 171-178. </w:t>
      </w:r>
      <w:hyperlink r:id="rId9" w:history="1">
        <w:r w:rsidRPr="00344387">
          <w:rPr>
            <w:rStyle w:val="Hyperlink"/>
          </w:rPr>
          <w:t>https://doi.org/https://doi.org/10.1016/j.emj.2021.01.003</w:t>
        </w:r>
      </w:hyperlink>
      <w:r w:rsidRPr="00344387">
        <w:t xml:space="preserve"> </w:t>
      </w:r>
    </w:p>
    <w:p w14:paraId="52C10167" w14:textId="77777777" w:rsidR="00344387" w:rsidRPr="00344387" w:rsidRDefault="00344387" w:rsidP="00A36CED">
      <w:pPr>
        <w:pStyle w:val="EndNoteBibliography"/>
        <w:spacing w:after="0"/>
      </w:pPr>
    </w:p>
    <w:p w14:paraId="3A3B0D24" w14:textId="77777777" w:rsidR="00344387" w:rsidRPr="00344387" w:rsidRDefault="00344387" w:rsidP="00A36CED">
      <w:pPr>
        <w:pStyle w:val="EndNoteBibliography"/>
        <w:spacing w:after="0"/>
        <w:ind w:left="720" w:hanging="720"/>
      </w:pPr>
      <w:r w:rsidRPr="00344387">
        <w:t xml:space="preserve">Armstrong, J. S., &amp; Overton, T. S. (1977). Estimating nonresponse bias in mail surveys. </w:t>
      </w:r>
      <w:r w:rsidRPr="00344387">
        <w:rPr>
          <w:i/>
        </w:rPr>
        <w:t>Journal of Marketing Research, 3</w:t>
      </w:r>
      <w:r w:rsidRPr="00344387">
        <w:t xml:space="preserve">(14), 396-402. </w:t>
      </w:r>
    </w:p>
    <w:p w14:paraId="2AE39992" w14:textId="77777777" w:rsidR="00344387" w:rsidRPr="00344387" w:rsidRDefault="00344387" w:rsidP="00A36CED">
      <w:pPr>
        <w:pStyle w:val="EndNoteBibliography"/>
        <w:spacing w:after="0"/>
      </w:pPr>
    </w:p>
    <w:p w14:paraId="21856785" w14:textId="77777777" w:rsidR="00344387" w:rsidRPr="00344387" w:rsidRDefault="00344387" w:rsidP="00A36CED">
      <w:pPr>
        <w:pStyle w:val="EndNoteBibliography"/>
        <w:spacing w:after="0"/>
        <w:ind w:left="720" w:hanging="720"/>
      </w:pPr>
      <w:r w:rsidRPr="00344387">
        <w:t xml:space="preserve">Aslam, H., Blome, C., Roscoe, S., &amp; Azhar, T. M. (2018). Dynamic supply chain capabilities: How market sensing, supply chain agility and adaptability affect supply chain ambidexterity. </w:t>
      </w:r>
      <w:r w:rsidRPr="00344387">
        <w:rPr>
          <w:i/>
        </w:rPr>
        <w:t>International Journal of Operations &amp; Production Management, 38</w:t>
      </w:r>
      <w:r w:rsidRPr="00344387">
        <w:t xml:space="preserve">(12), 2266-2285. </w:t>
      </w:r>
    </w:p>
    <w:p w14:paraId="77864477" w14:textId="77777777" w:rsidR="00344387" w:rsidRPr="00344387" w:rsidRDefault="00344387" w:rsidP="00A36CED">
      <w:pPr>
        <w:pStyle w:val="EndNoteBibliography"/>
        <w:spacing w:after="0"/>
      </w:pPr>
    </w:p>
    <w:p w14:paraId="41E09727" w14:textId="6B99A987" w:rsidR="00344387" w:rsidRPr="00344387" w:rsidRDefault="00344387" w:rsidP="00A36CED">
      <w:pPr>
        <w:pStyle w:val="EndNoteBibliography"/>
        <w:spacing w:after="0"/>
        <w:ind w:left="720" w:hanging="720"/>
      </w:pPr>
      <w:r w:rsidRPr="00344387">
        <w:t xml:space="preserve">Aslam, H., Blome, C., Roscoe, S., &amp; Azhar, T. M. (2020). Determining the antecedents of dynamic supply chain capabilities. </w:t>
      </w:r>
      <w:r w:rsidRPr="00344387">
        <w:rPr>
          <w:i/>
        </w:rPr>
        <w:t>Supply Chain Management: An International Journal, 25</w:t>
      </w:r>
      <w:r w:rsidRPr="00344387">
        <w:t xml:space="preserve">(4), 427-442. </w:t>
      </w:r>
      <w:hyperlink r:id="rId10" w:history="1">
        <w:r w:rsidRPr="00344387">
          <w:rPr>
            <w:rStyle w:val="Hyperlink"/>
          </w:rPr>
          <w:t>https://doi.org/10.1108/SCM-02-2019-0074</w:t>
        </w:r>
      </w:hyperlink>
      <w:r w:rsidRPr="00344387">
        <w:t xml:space="preserve"> </w:t>
      </w:r>
    </w:p>
    <w:p w14:paraId="675D8B2F" w14:textId="77777777" w:rsidR="00344387" w:rsidRPr="00344387" w:rsidRDefault="00344387" w:rsidP="00A36CED">
      <w:pPr>
        <w:pStyle w:val="EndNoteBibliography"/>
        <w:spacing w:after="0"/>
      </w:pPr>
    </w:p>
    <w:p w14:paraId="492583E0" w14:textId="77777777" w:rsidR="00344387" w:rsidRPr="00344387" w:rsidRDefault="00344387" w:rsidP="00A36CED">
      <w:pPr>
        <w:pStyle w:val="EndNoteBibliography"/>
        <w:spacing w:after="0"/>
        <w:ind w:left="720" w:hanging="720"/>
      </w:pPr>
      <w:r w:rsidRPr="00344387">
        <w:t xml:space="preserve">Aslam, H., Waseem, M., Muneeb, D., Ali, Z., Roubaud, D., &amp; Grebinevych, O. (2023). Customer integration in the supply chain: the role of market orientation and supply chain strategy in the age of digital revolution. </w:t>
      </w:r>
      <w:r w:rsidRPr="00344387">
        <w:rPr>
          <w:i/>
        </w:rPr>
        <w:t>Annals of Operations Research</w:t>
      </w:r>
      <w:r w:rsidRPr="00344387">
        <w:t xml:space="preserve">, 1-25. </w:t>
      </w:r>
    </w:p>
    <w:p w14:paraId="3AF095CF" w14:textId="77777777" w:rsidR="00344387" w:rsidRPr="00344387" w:rsidRDefault="00344387" w:rsidP="00A36CED">
      <w:pPr>
        <w:pStyle w:val="EndNoteBibliography"/>
        <w:spacing w:after="0"/>
      </w:pPr>
    </w:p>
    <w:p w14:paraId="0D7CCB9E" w14:textId="77777777" w:rsidR="00344387" w:rsidRPr="00344387" w:rsidRDefault="00344387" w:rsidP="00A36CED">
      <w:pPr>
        <w:pStyle w:val="EndNoteBibliography"/>
        <w:spacing w:after="0"/>
        <w:ind w:left="720" w:hanging="720"/>
      </w:pPr>
      <w:r w:rsidRPr="00344387">
        <w:t xml:space="preserve">Augier, &amp; Teece. (2009). Dynamic capabilities and the role of managers in business strategy and economic performance. </w:t>
      </w:r>
      <w:r w:rsidRPr="00344387">
        <w:rPr>
          <w:i/>
        </w:rPr>
        <w:t>Organization Science, 20</w:t>
      </w:r>
      <w:r w:rsidRPr="00344387">
        <w:t xml:space="preserve">(2), 410-421. </w:t>
      </w:r>
    </w:p>
    <w:p w14:paraId="0D00D4B8" w14:textId="77777777" w:rsidR="00344387" w:rsidRPr="00344387" w:rsidRDefault="00344387" w:rsidP="00A36CED">
      <w:pPr>
        <w:pStyle w:val="EndNoteBibliography"/>
        <w:spacing w:after="0"/>
      </w:pPr>
    </w:p>
    <w:p w14:paraId="0BCE302C" w14:textId="77777777" w:rsidR="00344387" w:rsidRPr="00344387" w:rsidRDefault="00344387" w:rsidP="00A36CED">
      <w:pPr>
        <w:pStyle w:val="EndNoteBibliography"/>
        <w:spacing w:after="0"/>
        <w:ind w:left="720" w:hanging="720"/>
      </w:pPr>
      <w:r w:rsidRPr="00344387">
        <w:t xml:space="preserve">Bartlett, C. A., &amp; Ghoshal, S. (1995). Rebuilding behavioral context: turn process reengineering into people rejuvenation. </w:t>
      </w:r>
      <w:r w:rsidRPr="00344387">
        <w:rPr>
          <w:i/>
        </w:rPr>
        <w:t>MIT Sloan Management Review, 37</w:t>
      </w:r>
      <w:r w:rsidRPr="00344387">
        <w:t xml:space="preserve">(1), 11. </w:t>
      </w:r>
    </w:p>
    <w:p w14:paraId="1CC46D79" w14:textId="77777777" w:rsidR="00344387" w:rsidRPr="00344387" w:rsidRDefault="00344387" w:rsidP="00A36CED">
      <w:pPr>
        <w:pStyle w:val="EndNoteBibliography"/>
        <w:spacing w:after="0"/>
      </w:pPr>
    </w:p>
    <w:p w14:paraId="782E2688" w14:textId="77777777" w:rsidR="00344387" w:rsidRPr="00344387" w:rsidRDefault="00344387" w:rsidP="00A36CED">
      <w:pPr>
        <w:pStyle w:val="EndNoteBibliography"/>
        <w:spacing w:after="0"/>
        <w:ind w:left="720" w:hanging="720"/>
      </w:pPr>
      <w:r w:rsidRPr="00344387">
        <w:t xml:space="preserve">Bartlett, C. A., &amp; Ghoshal, S. (1997). The myth of the generic manager: new personal competencies for new management roles. </w:t>
      </w:r>
      <w:r w:rsidRPr="00344387">
        <w:rPr>
          <w:i/>
        </w:rPr>
        <w:t>California Management Review, 40</w:t>
      </w:r>
      <w:r w:rsidRPr="00344387">
        <w:t xml:space="preserve">(1), 92-116. </w:t>
      </w:r>
    </w:p>
    <w:p w14:paraId="332DC2D5" w14:textId="77777777" w:rsidR="00344387" w:rsidRPr="00344387" w:rsidRDefault="00344387" w:rsidP="00A36CED">
      <w:pPr>
        <w:pStyle w:val="EndNoteBibliography"/>
        <w:spacing w:after="0"/>
      </w:pPr>
    </w:p>
    <w:p w14:paraId="1AFC89CC" w14:textId="7326CF74" w:rsidR="00344387" w:rsidRPr="00344387" w:rsidRDefault="00344387" w:rsidP="00A36CED">
      <w:pPr>
        <w:pStyle w:val="EndNoteBibliography"/>
        <w:spacing w:after="0"/>
        <w:ind w:left="720" w:hanging="720"/>
      </w:pPr>
      <w:r w:rsidRPr="00344387">
        <w:t xml:space="preserve">Batistič, S., Černe, M., Kaše, R., &amp; Zupic, I. (2016). The role of organizational context in fostering employee proactive behavior: The interplay between HR system configurations and relational climates. </w:t>
      </w:r>
      <w:r w:rsidRPr="00344387">
        <w:rPr>
          <w:i/>
        </w:rPr>
        <w:t>European Management Journal, 34</w:t>
      </w:r>
      <w:r w:rsidRPr="00344387">
        <w:t xml:space="preserve">(5), 579-588. </w:t>
      </w:r>
      <w:hyperlink r:id="rId11" w:history="1">
        <w:r w:rsidRPr="00344387">
          <w:rPr>
            <w:rStyle w:val="Hyperlink"/>
          </w:rPr>
          <w:t>https://doi.org/https://doi.org/10.1016/j.emj.2016.01.008</w:t>
        </w:r>
      </w:hyperlink>
      <w:r w:rsidRPr="00344387">
        <w:t xml:space="preserve"> </w:t>
      </w:r>
    </w:p>
    <w:p w14:paraId="417CCC06" w14:textId="77777777" w:rsidR="00344387" w:rsidRPr="00344387" w:rsidRDefault="00344387" w:rsidP="00A36CED">
      <w:pPr>
        <w:pStyle w:val="EndNoteBibliography"/>
        <w:spacing w:after="0"/>
      </w:pPr>
    </w:p>
    <w:p w14:paraId="39025610" w14:textId="77777777" w:rsidR="00344387" w:rsidRPr="00344387" w:rsidRDefault="00344387" w:rsidP="00A36CED">
      <w:pPr>
        <w:pStyle w:val="EndNoteBibliography"/>
        <w:spacing w:after="0"/>
        <w:ind w:left="720" w:hanging="720"/>
      </w:pPr>
      <w:r w:rsidRPr="00344387">
        <w:t xml:space="preserve">Bitencourt, C. C., de Oliveira Santini, F., Ladeira, W. J., Santos, A. C., &amp; Teixeira, E. K. (2020). The extended dynamic capabilities model: A meta-analysis. </w:t>
      </w:r>
      <w:r w:rsidRPr="00344387">
        <w:rPr>
          <w:i/>
        </w:rPr>
        <w:t>European Management Journal, 38</w:t>
      </w:r>
      <w:r w:rsidRPr="00344387">
        <w:t xml:space="preserve">(1), 108-120. </w:t>
      </w:r>
    </w:p>
    <w:p w14:paraId="55E7E92C" w14:textId="77777777" w:rsidR="00344387" w:rsidRPr="00344387" w:rsidRDefault="00344387" w:rsidP="00A36CED">
      <w:pPr>
        <w:pStyle w:val="EndNoteBibliography"/>
        <w:spacing w:after="0"/>
      </w:pPr>
    </w:p>
    <w:p w14:paraId="51CC6D6D" w14:textId="2E779067" w:rsidR="00344387" w:rsidRPr="00344387" w:rsidRDefault="00344387" w:rsidP="00A36CED">
      <w:pPr>
        <w:pStyle w:val="EndNoteBibliography"/>
        <w:spacing w:after="0"/>
        <w:ind w:left="720" w:hanging="720"/>
      </w:pPr>
      <w:r w:rsidRPr="00344387">
        <w:t xml:space="preserve">Blome, C., Schoenherr, T., &amp; Rexhausen, D. (2013, 2013/02/15). Antecedents and enablers of supply chain agility and its effect on performance: a dynamic capabilities perspective. </w:t>
      </w:r>
      <w:r w:rsidRPr="00344387">
        <w:rPr>
          <w:i/>
        </w:rPr>
        <w:t>International Journal of Production Research, 51</w:t>
      </w:r>
      <w:r w:rsidRPr="00344387">
        <w:t xml:space="preserve">(4), 1295-1318. </w:t>
      </w:r>
      <w:hyperlink r:id="rId12" w:history="1">
        <w:r w:rsidRPr="00344387">
          <w:rPr>
            <w:rStyle w:val="Hyperlink"/>
          </w:rPr>
          <w:t>https://doi.org/10.1080/00207543.2012.728011</w:t>
        </w:r>
      </w:hyperlink>
      <w:r w:rsidRPr="00344387">
        <w:t xml:space="preserve"> </w:t>
      </w:r>
    </w:p>
    <w:p w14:paraId="4380F8CA" w14:textId="77777777" w:rsidR="00344387" w:rsidRPr="00344387" w:rsidRDefault="00344387" w:rsidP="00A36CED">
      <w:pPr>
        <w:pStyle w:val="EndNoteBibliography"/>
        <w:spacing w:after="0"/>
      </w:pPr>
    </w:p>
    <w:p w14:paraId="1FEDD4CB" w14:textId="77777777" w:rsidR="00344387" w:rsidRPr="00344387" w:rsidRDefault="00344387" w:rsidP="00A36CED">
      <w:pPr>
        <w:pStyle w:val="EndNoteBibliography"/>
        <w:spacing w:after="0"/>
        <w:ind w:left="720" w:hanging="720"/>
      </w:pPr>
      <w:r w:rsidRPr="00344387">
        <w:t xml:space="preserve">Braunscheidel, M. J., &amp; Suresh, N. C. (2009). The organizational antecedents of a firm’s supply chain agility for risk mitigation and response. </w:t>
      </w:r>
      <w:r w:rsidRPr="00344387">
        <w:rPr>
          <w:i/>
        </w:rPr>
        <w:t>Journal of Operations Management, 27</w:t>
      </w:r>
      <w:r w:rsidRPr="00344387">
        <w:t xml:space="preserve">(2), 119-140. </w:t>
      </w:r>
    </w:p>
    <w:p w14:paraId="386D1BC5" w14:textId="77777777" w:rsidR="00344387" w:rsidRPr="00344387" w:rsidRDefault="00344387" w:rsidP="00A36CED">
      <w:pPr>
        <w:pStyle w:val="EndNoteBibliography"/>
        <w:spacing w:after="0"/>
      </w:pPr>
    </w:p>
    <w:p w14:paraId="78323832" w14:textId="77777777" w:rsidR="00344387" w:rsidRPr="00344387" w:rsidRDefault="00344387" w:rsidP="00A36CED">
      <w:pPr>
        <w:pStyle w:val="EndNoteBibliography"/>
        <w:spacing w:after="0"/>
        <w:ind w:left="720" w:hanging="720"/>
      </w:pPr>
      <w:r w:rsidRPr="00344387">
        <w:t xml:space="preserve">Burgelman, R. A. (1983). A model of the interaction of strategic behavior, corporate context, and the concept of strategy. </w:t>
      </w:r>
      <w:r w:rsidRPr="00344387">
        <w:rPr>
          <w:i/>
        </w:rPr>
        <w:t>Academy of management Review, 8</w:t>
      </w:r>
      <w:r w:rsidRPr="00344387">
        <w:t xml:space="preserve">(1), 61-70. </w:t>
      </w:r>
    </w:p>
    <w:p w14:paraId="3551B98E" w14:textId="77777777" w:rsidR="00344387" w:rsidRPr="00344387" w:rsidRDefault="00344387" w:rsidP="00A36CED">
      <w:pPr>
        <w:pStyle w:val="EndNoteBibliography"/>
        <w:spacing w:after="0"/>
      </w:pPr>
    </w:p>
    <w:p w14:paraId="1111938F" w14:textId="77777777" w:rsidR="00344387" w:rsidRPr="00344387" w:rsidRDefault="00344387" w:rsidP="00A36CED">
      <w:pPr>
        <w:pStyle w:val="EndNoteBibliography"/>
        <w:spacing w:after="0"/>
        <w:ind w:left="720" w:hanging="720"/>
      </w:pPr>
      <w:r w:rsidRPr="00344387">
        <w:t xml:space="preserve">Cai, Z., Liu, H., Huang, Q., &amp; Liang, L. (2019). Developing organizational agility in product innovation: the roles of IT capability, KM capability, and innovative climate. </w:t>
      </w:r>
      <w:r w:rsidRPr="00344387">
        <w:rPr>
          <w:i/>
        </w:rPr>
        <w:t>R&amp;D Management, 49</w:t>
      </w:r>
      <w:r w:rsidRPr="00344387">
        <w:t xml:space="preserve">(4), 421-438. </w:t>
      </w:r>
    </w:p>
    <w:p w14:paraId="15D082DB" w14:textId="77777777" w:rsidR="00344387" w:rsidRPr="00344387" w:rsidRDefault="00344387" w:rsidP="00A36CED">
      <w:pPr>
        <w:pStyle w:val="EndNoteBibliography"/>
        <w:spacing w:after="0"/>
      </w:pPr>
    </w:p>
    <w:p w14:paraId="3A4E4E1C" w14:textId="285233B5" w:rsidR="00344387" w:rsidRPr="00344387" w:rsidRDefault="00344387" w:rsidP="00A36CED">
      <w:pPr>
        <w:pStyle w:val="EndNoteBibliography"/>
        <w:spacing w:after="0"/>
        <w:ind w:left="720" w:hanging="720"/>
      </w:pPr>
      <w:r w:rsidRPr="00344387">
        <w:t xml:space="preserve">Calza, F., Aliane, N., &amp; Cannavale, C. (2010). Cross‐cultural differences and Italian firms' internationalization in Algeria. </w:t>
      </w:r>
      <w:r w:rsidRPr="00344387">
        <w:rPr>
          <w:i/>
        </w:rPr>
        <w:t>European Business Review, 22</w:t>
      </w:r>
      <w:r w:rsidRPr="00344387">
        <w:t xml:space="preserve">(2), 246-272. </w:t>
      </w:r>
      <w:hyperlink r:id="rId13" w:history="1">
        <w:r w:rsidRPr="00344387">
          <w:rPr>
            <w:rStyle w:val="Hyperlink"/>
          </w:rPr>
          <w:t>https://doi.org/10.1108/09555341011023551</w:t>
        </w:r>
      </w:hyperlink>
      <w:r w:rsidRPr="00344387">
        <w:t xml:space="preserve"> </w:t>
      </w:r>
    </w:p>
    <w:p w14:paraId="4187F9B8" w14:textId="77777777" w:rsidR="00344387" w:rsidRPr="00344387" w:rsidRDefault="00344387" w:rsidP="00A36CED">
      <w:pPr>
        <w:pStyle w:val="EndNoteBibliography"/>
        <w:spacing w:after="0"/>
      </w:pPr>
    </w:p>
    <w:p w14:paraId="613B5789" w14:textId="77777777" w:rsidR="00344387" w:rsidRPr="00344387" w:rsidRDefault="00344387" w:rsidP="00A36CED">
      <w:pPr>
        <w:pStyle w:val="EndNoteBibliography"/>
        <w:spacing w:after="0"/>
        <w:ind w:left="720" w:hanging="720"/>
      </w:pPr>
      <w:r w:rsidRPr="00344387">
        <w:t xml:space="preserve">Cheng, J.-H., Chen, M.-C., &amp; Huang, C.-M. (2014). Assessing inter-organizational innovation performance through relational governance and dynamic capabilities in supply chains. </w:t>
      </w:r>
      <w:r w:rsidRPr="00344387">
        <w:rPr>
          <w:i/>
        </w:rPr>
        <w:t>Supply Chain Management: An International Journal, 19</w:t>
      </w:r>
      <w:r w:rsidRPr="00344387">
        <w:t xml:space="preserve">(2), 173-186. </w:t>
      </w:r>
    </w:p>
    <w:p w14:paraId="7E76508F" w14:textId="77777777" w:rsidR="00344387" w:rsidRPr="00344387" w:rsidRDefault="00344387" w:rsidP="00A36CED">
      <w:pPr>
        <w:pStyle w:val="EndNoteBibliography"/>
        <w:spacing w:after="0"/>
      </w:pPr>
    </w:p>
    <w:p w14:paraId="66A3F280" w14:textId="77777777" w:rsidR="00344387" w:rsidRPr="00344387" w:rsidRDefault="00344387" w:rsidP="00A36CED">
      <w:pPr>
        <w:pStyle w:val="EndNoteBibliography"/>
        <w:spacing w:after="0"/>
        <w:ind w:left="720" w:hanging="720"/>
      </w:pPr>
      <w:r w:rsidRPr="00344387">
        <w:t xml:space="preserve">Cheung, M.-S., Myers, M. B., &amp; Mentzer, J. T. (2010). Does relationship learning lead to relationship value? A cross-national supply chain investigation. </w:t>
      </w:r>
      <w:r w:rsidRPr="00344387">
        <w:rPr>
          <w:i/>
        </w:rPr>
        <w:t>Journal of Operations Management, 28</w:t>
      </w:r>
      <w:r w:rsidRPr="00344387">
        <w:t xml:space="preserve">(6), 472-487. </w:t>
      </w:r>
    </w:p>
    <w:p w14:paraId="67245032" w14:textId="77777777" w:rsidR="00344387" w:rsidRPr="00344387" w:rsidRDefault="00344387" w:rsidP="00A36CED">
      <w:pPr>
        <w:pStyle w:val="EndNoteBibliography"/>
        <w:spacing w:after="0"/>
      </w:pPr>
    </w:p>
    <w:p w14:paraId="271E49F3" w14:textId="77777777" w:rsidR="00344387" w:rsidRPr="00344387" w:rsidRDefault="00344387" w:rsidP="00A36CED">
      <w:pPr>
        <w:pStyle w:val="EndNoteBibliography"/>
        <w:spacing w:after="0"/>
        <w:ind w:left="720" w:hanging="720"/>
      </w:pPr>
      <w:r w:rsidRPr="00344387">
        <w:t xml:space="preserve">Chiang, C.-Y., Kocabasoglu-Hillmer, C., &amp; Suresh, N. (2012). An empirical investigation of the impact of strategic sourcing and flexibility on firm's supply chain agility. </w:t>
      </w:r>
      <w:r w:rsidRPr="00344387">
        <w:rPr>
          <w:i/>
        </w:rPr>
        <w:t>International Journal of Operations &amp; Production Management, 32</w:t>
      </w:r>
      <w:r w:rsidRPr="00344387">
        <w:t xml:space="preserve">(1), 49-78. </w:t>
      </w:r>
    </w:p>
    <w:p w14:paraId="518E05AE" w14:textId="77777777" w:rsidR="00344387" w:rsidRPr="00344387" w:rsidRDefault="00344387" w:rsidP="00A36CED">
      <w:pPr>
        <w:pStyle w:val="EndNoteBibliography"/>
        <w:spacing w:after="0"/>
      </w:pPr>
    </w:p>
    <w:p w14:paraId="79A19CEC" w14:textId="77777777" w:rsidR="00344387" w:rsidRPr="00344387" w:rsidRDefault="00344387" w:rsidP="00A36CED">
      <w:pPr>
        <w:pStyle w:val="EndNoteBibliography"/>
        <w:spacing w:after="0"/>
        <w:ind w:left="720" w:hanging="720"/>
      </w:pPr>
      <w:r w:rsidRPr="00344387">
        <w:t xml:space="preserve">Chung, S., Singh, H., &amp; Lee, K. (2000). Complementarity, status similarity and social capital as drivers of alliance formation. </w:t>
      </w:r>
      <w:r w:rsidRPr="00344387">
        <w:rPr>
          <w:i/>
        </w:rPr>
        <w:t>Strategic Management Journal, 21</w:t>
      </w:r>
      <w:r w:rsidRPr="00344387">
        <w:t xml:space="preserve">(1), 1-22. </w:t>
      </w:r>
    </w:p>
    <w:p w14:paraId="5A6CD2DE" w14:textId="77777777" w:rsidR="00344387" w:rsidRPr="00344387" w:rsidRDefault="00344387" w:rsidP="00A36CED">
      <w:pPr>
        <w:pStyle w:val="EndNoteBibliography"/>
        <w:spacing w:after="0"/>
      </w:pPr>
    </w:p>
    <w:p w14:paraId="7552D7E0" w14:textId="77777777" w:rsidR="00344387" w:rsidRPr="00344387" w:rsidRDefault="00344387" w:rsidP="00A36CED">
      <w:pPr>
        <w:pStyle w:val="EndNoteBibliography"/>
        <w:spacing w:after="0"/>
        <w:ind w:left="720" w:hanging="720"/>
      </w:pPr>
      <w:r w:rsidRPr="00344387">
        <w:t xml:space="preserve">Collis, D. J. (1994). Research note: how valuable are organizational capabilities? </w:t>
      </w:r>
      <w:r w:rsidRPr="00344387">
        <w:rPr>
          <w:i/>
        </w:rPr>
        <w:t>Strategic Management Journal, 15</w:t>
      </w:r>
      <w:r w:rsidRPr="00344387">
        <w:t xml:space="preserve">(S1), 143-152. </w:t>
      </w:r>
    </w:p>
    <w:p w14:paraId="11A79A8E" w14:textId="77777777" w:rsidR="00344387" w:rsidRPr="00344387" w:rsidRDefault="00344387" w:rsidP="00A36CED">
      <w:pPr>
        <w:pStyle w:val="EndNoteBibliography"/>
        <w:spacing w:after="0"/>
      </w:pPr>
    </w:p>
    <w:p w14:paraId="00AB73B9" w14:textId="77777777" w:rsidR="00344387" w:rsidRPr="00344387" w:rsidRDefault="00344387" w:rsidP="00A36CED">
      <w:pPr>
        <w:pStyle w:val="EndNoteBibliography"/>
        <w:spacing w:after="0"/>
        <w:ind w:left="720" w:hanging="720"/>
      </w:pPr>
      <w:r w:rsidRPr="00344387">
        <w:t xml:space="preserve">Cordero, R. (1990). The measurement of innovation performance in the firm: an overview. </w:t>
      </w:r>
      <w:r w:rsidRPr="00344387">
        <w:rPr>
          <w:i/>
        </w:rPr>
        <w:t>Research Policy, 19</w:t>
      </w:r>
      <w:r w:rsidRPr="00344387">
        <w:t xml:space="preserve">(2), 185-192. </w:t>
      </w:r>
    </w:p>
    <w:p w14:paraId="5E8287D8" w14:textId="77777777" w:rsidR="00344387" w:rsidRPr="00344387" w:rsidRDefault="00344387" w:rsidP="00A36CED">
      <w:pPr>
        <w:pStyle w:val="EndNoteBibliography"/>
        <w:spacing w:after="0"/>
      </w:pPr>
    </w:p>
    <w:p w14:paraId="2BC5B438" w14:textId="77777777" w:rsidR="00344387" w:rsidRPr="00344387" w:rsidRDefault="00344387" w:rsidP="00A36CED">
      <w:pPr>
        <w:pStyle w:val="EndNoteBibliography"/>
        <w:spacing w:after="0"/>
        <w:ind w:left="720" w:hanging="720"/>
      </w:pPr>
      <w:r w:rsidRPr="00344387">
        <w:t xml:space="preserve">Curran, P. J., West, S. G., &amp; Finch, J. F. (1996). The robustness of test statistics to nonnormality and specification error in confirmatory factor analysis. </w:t>
      </w:r>
      <w:r w:rsidRPr="00344387">
        <w:rPr>
          <w:i/>
        </w:rPr>
        <w:t>Psychological methods, 1</w:t>
      </w:r>
      <w:r w:rsidRPr="00344387">
        <w:t xml:space="preserve">(1), 16. </w:t>
      </w:r>
    </w:p>
    <w:p w14:paraId="382681DE" w14:textId="77777777" w:rsidR="00344387" w:rsidRPr="00344387" w:rsidRDefault="00344387" w:rsidP="00A36CED">
      <w:pPr>
        <w:pStyle w:val="EndNoteBibliography"/>
        <w:spacing w:after="0"/>
      </w:pPr>
    </w:p>
    <w:p w14:paraId="62404655" w14:textId="26F46B60" w:rsidR="00344387" w:rsidRPr="00344387" w:rsidRDefault="00344387" w:rsidP="00A36CED">
      <w:pPr>
        <w:pStyle w:val="EndNoteBibliography"/>
        <w:spacing w:after="0"/>
        <w:ind w:left="720" w:hanging="720"/>
      </w:pPr>
      <w:r w:rsidRPr="00344387">
        <w:lastRenderedPageBreak/>
        <w:t xml:space="preserve">Daronco, E. L., Silva, D. S., Seibel, M. K., &amp; Cortimiglia, M. N. (2023). A new framework of firm-level innovation capability: A propensity–ability perspective. </w:t>
      </w:r>
      <w:r w:rsidRPr="00344387">
        <w:rPr>
          <w:i/>
        </w:rPr>
        <w:t>European Management Journal, 41</w:t>
      </w:r>
      <w:r w:rsidRPr="00344387">
        <w:t xml:space="preserve">(2), 236-250. </w:t>
      </w:r>
      <w:hyperlink r:id="rId14" w:history="1">
        <w:r w:rsidRPr="00344387">
          <w:rPr>
            <w:rStyle w:val="Hyperlink"/>
          </w:rPr>
          <w:t>https://doi.org/https://doi.org/10.1016/j.emj.2022.02.002</w:t>
        </w:r>
      </w:hyperlink>
      <w:r w:rsidRPr="00344387">
        <w:t xml:space="preserve"> </w:t>
      </w:r>
    </w:p>
    <w:p w14:paraId="16A2818E" w14:textId="77777777" w:rsidR="00344387" w:rsidRPr="00344387" w:rsidRDefault="00344387" w:rsidP="00A36CED">
      <w:pPr>
        <w:pStyle w:val="EndNoteBibliography"/>
        <w:spacing w:after="0"/>
      </w:pPr>
    </w:p>
    <w:p w14:paraId="3CCABCD1" w14:textId="4CC81108" w:rsidR="00344387" w:rsidRPr="00344387" w:rsidRDefault="00344387" w:rsidP="00A36CED">
      <w:pPr>
        <w:pStyle w:val="EndNoteBibliography"/>
        <w:spacing w:after="0"/>
        <w:ind w:left="720" w:hanging="720"/>
      </w:pPr>
      <w:r w:rsidRPr="00344387">
        <w:t xml:space="preserve">Dawn. (2023). Pakistan can become leading raw material supplier. </w:t>
      </w:r>
      <w:r w:rsidRPr="00344387">
        <w:rPr>
          <w:i/>
        </w:rPr>
        <w:t>Daily Dawn</w:t>
      </w:r>
      <w:r w:rsidRPr="00344387">
        <w:t xml:space="preserve">(23rd October, 2023). Retrieved 19th November, 2023, from </w:t>
      </w:r>
      <w:hyperlink r:id="rId15" w:history="1">
        <w:r w:rsidRPr="00344387">
          <w:rPr>
            <w:rStyle w:val="Hyperlink"/>
          </w:rPr>
          <w:t>https://www.dawn.com/news/1782197</w:t>
        </w:r>
      </w:hyperlink>
      <w:r w:rsidRPr="00344387">
        <w:t xml:space="preserve"> </w:t>
      </w:r>
    </w:p>
    <w:p w14:paraId="31F97537" w14:textId="77777777" w:rsidR="00344387" w:rsidRPr="00344387" w:rsidRDefault="00344387" w:rsidP="00A36CED">
      <w:pPr>
        <w:pStyle w:val="EndNoteBibliography"/>
        <w:spacing w:after="0"/>
      </w:pPr>
    </w:p>
    <w:p w14:paraId="44279CDC" w14:textId="1DF93D48" w:rsidR="00344387" w:rsidRPr="00344387" w:rsidRDefault="00344387" w:rsidP="00A36CED">
      <w:pPr>
        <w:pStyle w:val="EndNoteBibliography"/>
        <w:spacing w:after="0"/>
        <w:ind w:left="720" w:hanging="720"/>
      </w:pPr>
      <w:r w:rsidRPr="00344387">
        <w:t xml:space="preserve">De Keyser, B., Vandenbempt, K., &amp; Guiette, A. (2023). Toward a dynamic understanding of multilevel influences on organizational strategy. </w:t>
      </w:r>
      <w:r w:rsidRPr="00344387">
        <w:rPr>
          <w:i/>
        </w:rPr>
        <w:t>European Management Journal</w:t>
      </w:r>
      <w:r w:rsidRPr="00344387">
        <w:t xml:space="preserve">. </w:t>
      </w:r>
      <w:hyperlink r:id="rId16" w:history="1">
        <w:r w:rsidRPr="00344387">
          <w:rPr>
            <w:rStyle w:val="Hyperlink"/>
          </w:rPr>
          <w:t>https://doi.org/https://doi.org/10.1016/j.emj.2023.08.001</w:t>
        </w:r>
      </w:hyperlink>
      <w:r w:rsidRPr="00344387">
        <w:t xml:space="preserve"> </w:t>
      </w:r>
    </w:p>
    <w:p w14:paraId="6F031D86" w14:textId="77777777" w:rsidR="00344387" w:rsidRPr="00344387" w:rsidRDefault="00344387" w:rsidP="00A36CED">
      <w:pPr>
        <w:pStyle w:val="EndNoteBibliography"/>
        <w:spacing w:after="0"/>
      </w:pPr>
    </w:p>
    <w:p w14:paraId="27296EAB" w14:textId="77777777" w:rsidR="00344387" w:rsidRPr="00344387" w:rsidRDefault="00344387" w:rsidP="00A36CED">
      <w:pPr>
        <w:pStyle w:val="EndNoteBibliography"/>
        <w:spacing w:after="0"/>
        <w:ind w:left="720" w:hanging="720"/>
      </w:pPr>
      <w:r w:rsidRPr="00344387">
        <w:t xml:space="preserve">Dubey, R., Altay, N., Gunasekaran, A., Blome, C., Papadopoulos, T., &amp; Childe, S. J. (2018). Supply chain agility, adaptability and alignment: empirical evidence from the Indian auto components industry. </w:t>
      </w:r>
      <w:r w:rsidRPr="00344387">
        <w:rPr>
          <w:i/>
        </w:rPr>
        <w:t>International Journal of Operations &amp; Production Management, 38</w:t>
      </w:r>
      <w:r w:rsidRPr="00344387">
        <w:t xml:space="preserve">(1), 129-148. </w:t>
      </w:r>
    </w:p>
    <w:p w14:paraId="150D2B7C" w14:textId="77777777" w:rsidR="00344387" w:rsidRPr="00344387" w:rsidRDefault="00344387" w:rsidP="00A36CED">
      <w:pPr>
        <w:pStyle w:val="EndNoteBibliography"/>
        <w:spacing w:after="0"/>
      </w:pPr>
    </w:p>
    <w:p w14:paraId="6E4C9C79" w14:textId="77777777" w:rsidR="00344387" w:rsidRPr="00344387" w:rsidRDefault="00344387" w:rsidP="00A36CED">
      <w:pPr>
        <w:pStyle w:val="EndNoteBibliography"/>
        <w:spacing w:after="0"/>
        <w:ind w:left="720" w:hanging="720"/>
      </w:pPr>
      <w:r w:rsidRPr="00344387">
        <w:t xml:space="preserve">Dyer, J. H., &amp; Nobeoka, K. (2000). Creating and managing a high‐performance knowledge‐sharing network: the Toyota case. </w:t>
      </w:r>
      <w:r w:rsidRPr="00344387">
        <w:rPr>
          <w:i/>
        </w:rPr>
        <w:t>Strategic Management Journal, 21</w:t>
      </w:r>
      <w:r w:rsidRPr="00344387">
        <w:t xml:space="preserve">(3), 345-367. </w:t>
      </w:r>
    </w:p>
    <w:p w14:paraId="1D4E7FDB" w14:textId="77777777" w:rsidR="00344387" w:rsidRPr="00344387" w:rsidRDefault="00344387" w:rsidP="00A36CED">
      <w:pPr>
        <w:pStyle w:val="EndNoteBibliography"/>
        <w:spacing w:after="0"/>
      </w:pPr>
    </w:p>
    <w:p w14:paraId="27194741" w14:textId="1A0EBB0D" w:rsidR="00344387" w:rsidRPr="00344387" w:rsidRDefault="00344387" w:rsidP="00A36CED">
      <w:pPr>
        <w:pStyle w:val="EndNoteBibliography"/>
        <w:spacing w:after="0"/>
        <w:ind w:left="720" w:hanging="720"/>
      </w:pPr>
      <w:r w:rsidRPr="00344387">
        <w:t xml:space="preserve">Eckstein, D., Goellner, M., Blome, C., &amp; Henke, M. (2015, 2015/05/19). The performance impact of supply chain agility and supply chain adaptability: the moderating effect of product complexity. </w:t>
      </w:r>
      <w:r w:rsidRPr="00344387">
        <w:rPr>
          <w:i/>
        </w:rPr>
        <w:t>International Journal of Production Research, 53</w:t>
      </w:r>
      <w:r w:rsidRPr="00344387">
        <w:t xml:space="preserve">(10), 3028-3046. </w:t>
      </w:r>
      <w:hyperlink r:id="rId17" w:history="1">
        <w:r w:rsidRPr="00344387">
          <w:rPr>
            <w:rStyle w:val="Hyperlink"/>
          </w:rPr>
          <w:t>https://doi.org/10.1080/00207543.2014.970707</w:t>
        </w:r>
      </w:hyperlink>
      <w:r w:rsidRPr="00344387">
        <w:t xml:space="preserve"> </w:t>
      </w:r>
    </w:p>
    <w:p w14:paraId="1DA57FFE" w14:textId="77777777" w:rsidR="00344387" w:rsidRPr="00344387" w:rsidRDefault="00344387" w:rsidP="00A36CED">
      <w:pPr>
        <w:pStyle w:val="EndNoteBibliography"/>
        <w:spacing w:after="0"/>
      </w:pPr>
    </w:p>
    <w:p w14:paraId="55F9F03B" w14:textId="01EC88FC" w:rsidR="00344387" w:rsidRPr="00344387" w:rsidRDefault="00344387" w:rsidP="00A36CED">
      <w:pPr>
        <w:pStyle w:val="EndNoteBibliography"/>
        <w:spacing w:after="0"/>
        <w:ind w:left="720" w:hanging="720"/>
      </w:pPr>
      <w:r w:rsidRPr="00344387">
        <w:t xml:space="preserve">Farooq, M. (2019). </w:t>
      </w:r>
      <w:r w:rsidRPr="00344387">
        <w:rPr>
          <w:i/>
        </w:rPr>
        <w:t>Active social media users in Pakistan grow by 5.7% Report</w:t>
      </w:r>
      <w:r w:rsidRPr="00344387">
        <w:t xml:space="preserve">. </w:t>
      </w:r>
      <w:hyperlink r:id="rId18" w:history="1">
        <w:r w:rsidRPr="00344387">
          <w:rPr>
            <w:rStyle w:val="Hyperlink"/>
          </w:rPr>
          <w:t>https://www.pakistantoday.com.pk/</w:t>
        </w:r>
      </w:hyperlink>
      <w:r w:rsidRPr="00344387">
        <w:t xml:space="preserve">. </w:t>
      </w:r>
      <w:hyperlink r:id="rId19" w:history="1">
        <w:r w:rsidRPr="00344387">
          <w:rPr>
            <w:rStyle w:val="Hyperlink"/>
          </w:rPr>
          <w:t>https://profit.pakistantoday.com.pk/2019/02/05/active-social-media-users-in-pakistan-grow-by-5-7-report/</w:t>
        </w:r>
      </w:hyperlink>
      <w:r w:rsidRPr="00344387">
        <w:t xml:space="preserve"> </w:t>
      </w:r>
    </w:p>
    <w:p w14:paraId="41E2A9A5" w14:textId="77777777" w:rsidR="00344387" w:rsidRPr="00344387" w:rsidRDefault="00344387" w:rsidP="00A36CED">
      <w:pPr>
        <w:pStyle w:val="EndNoteBibliography"/>
        <w:spacing w:after="0"/>
      </w:pPr>
    </w:p>
    <w:p w14:paraId="03F6C8C0" w14:textId="77777777" w:rsidR="00344387" w:rsidRPr="00344387" w:rsidRDefault="00344387" w:rsidP="00A36CED">
      <w:pPr>
        <w:pStyle w:val="EndNoteBibliography"/>
        <w:spacing w:after="0"/>
        <w:ind w:left="720" w:hanging="720"/>
      </w:pPr>
      <w:r w:rsidRPr="00344387">
        <w:t xml:space="preserve">Fayezi, S., Zutshi, A., &amp; O'Loughlin, A. (2017). Understanding and development of supply chain agility and flexibility: a structured literature review. </w:t>
      </w:r>
      <w:r w:rsidRPr="00344387">
        <w:rPr>
          <w:i/>
        </w:rPr>
        <w:t>International Journal of Management Reviews, 19</w:t>
      </w:r>
      <w:r w:rsidRPr="00344387">
        <w:t xml:space="preserve">(4), 379-407. </w:t>
      </w:r>
    </w:p>
    <w:p w14:paraId="2A140263" w14:textId="77777777" w:rsidR="00344387" w:rsidRPr="00344387" w:rsidRDefault="00344387" w:rsidP="00A36CED">
      <w:pPr>
        <w:pStyle w:val="EndNoteBibliography"/>
        <w:spacing w:after="0"/>
      </w:pPr>
    </w:p>
    <w:p w14:paraId="682CBDCF" w14:textId="77777777" w:rsidR="00344387" w:rsidRPr="00344387" w:rsidRDefault="00344387" w:rsidP="00A36CED">
      <w:pPr>
        <w:pStyle w:val="EndNoteBibliography"/>
        <w:spacing w:after="0"/>
        <w:ind w:left="720" w:hanging="720"/>
      </w:pPr>
      <w:r w:rsidRPr="00344387">
        <w:t xml:space="preserve">Ghoshal, S., &amp; Bartlett, C. A. (1994). Linking organizational context and managerial action: The dimensions of quality of management. </w:t>
      </w:r>
      <w:r w:rsidRPr="00344387">
        <w:rPr>
          <w:i/>
        </w:rPr>
        <w:t>Strategic Management Journal, 15</w:t>
      </w:r>
      <w:r w:rsidRPr="00344387">
        <w:t xml:space="preserve">(S2), 91-112. </w:t>
      </w:r>
    </w:p>
    <w:p w14:paraId="56DDC9F8" w14:textId="77777777" w:rsidR="00344387" w:rsidRPr="00344387" w:rsidRDefault="00344387" w:rsidP="00A36CED">
      <w:pPr>
        <w:pStyle w:val="EndNoteBibliography"/>
        <w:spacing w:after="0"/>
      </w:pPr>
    </w:p>
    <w:p w14:paraId="084D4DEB" w14:textId="77777777" w:rsidR="00344387" w:rsidRPr="00344387" w:rsidRDefault="00344387" w:rsidP="00A36CED">
      <w:pPr>
        <w:pStyle w:val="EndNoteBibliography"/>
        <w:spacing w:after="0"/>
        <w:ind w:left="720" w:hanging="720"/>
      </w:pPr>
      <w:r w:rsidRPr="00344387">
        <w:t xml:space="preserve">Gibson, C. B., &amp; Birkinshaw, J. (2004). The antecedents, consequences, and mediating role of organizational ambidexterity. </w:t>
      </w:r>
      <w:r w:rsidRPr="00344387">
        <w:rPr>
          <w:i/>
        </w:rPr>
        <w:t>Academy of Management Journal, 47</w:t>
      </w:r>
      <w:r w:rsidRPr="00344387">
        <w:t xml:space="preserve">(2), 209-226. </w:t>
      </w:r>
    </w:p>
    <w:p w14:paraId="222F29C1" w14:textId="77777777" w:rsidR="00344387" w:rsidRPr="00344387" w:rsidRDefault="00344387" w:rsidP="00A36CED">
      <w:pPr>
        <w:pStyle w:val="EndNoteBibliography"/>
        <w:spacing w:after="0"/>
      </w:pPr>
    </w:p>
    <w:p w14:paraId="6B2D4CB7" w14:textId="77777777" w:rsidR="00344387" w:rsidRPr="00344387" w:rsidRDefault="00344387" w:rsidP="00A36CED">
      <w:pPr>
        <w:pStyle w:val="EndNoteBibliography"/>
        <w:spacing w:after="0"/>
        <w:ind w:left="720" w:hanging="720"/>
      </w:pPr>
      <w:r w:rsidRPr="00344387">
        <w:t xml:space="preserve">Gligor, D., Esmark, C., &amp; Holcomb, M. (2015). Performance outcomes of supply chain agility: when should you be agile? </w:t>
      </w:r>
      <w:r w:rsidRPr="00344387">
        <w:rPr>
          <w:i/>
        </w:rPr>
        <w:t>Journal of Operations Management, 33</w:t>
      </w:r>
      <w:r w:rsidRPr="00344387">
        <w:t xml:space="preserve">(1), 71-82. </w:t>
      </w:r>
    </w:p>
    <w:p w14:paraId="445FD530" w14:textId="77777777" w:rsidR="00344387" w:rsidRPr="00344387" w:rsidRDefault="00344387" w:rsidP="00A36CED">
      <w:pPr>
        <w:pStyle w:val="EndNoteBibliography"/>
        <w:spacing w:after="0"/>
      </w:pPr>
    </w:p>
    <w:p w14:paraId="26C23009" w14:textId="77777777" w:rsidR="00344387" w:rsidRPr="00344387" w:rsidRDefault="00344387" w:rsidP="00A36CED">
      <w:pPr>
        <w:pStyle w:val="EndNoteBibliography"/>
        <w:spacing w:after="0"/>
        <w:ind w:left="720" w:hanging="720"/>
      </w:pPr>
      <w:r w:rsidRPr="00344387">
        <w:t xml:space="preserve">Gligor, D. M., &amp; Holcomb, M. C. (2012). Antecedents and consequences of supply chain agility: establishing the link to firm performance. </w:t>
      </w:r>
      <w:r w:rsidRPr="00344387">
        <w:rPr>
          <w:i/>
        </w:rPr>
        <w:t>Journal of Business Logistics, 33</w:t>
      </w:r>
      <w:r w:rsidRPr="00344387">
        <w:t xml:space="preserve">(4), 295-308. </w:t>
      </w:r>
    </w:p>
    <w:p w14:paraId="24F2CF05" w14:textId="77777777" w:rsidR="00344387" w:rsidRPr="00344387" w:rsidRDefault="00344387" w:rsidP="00A36CED">
      <w:pPr>
        <w:pStyle w:val="EndNoteBibliography"/>
        <w:spacing w:after="0"/>
      </w:pPr>
    </w:p>
    <w:p w14:paraId="28CE8285" w14:textId="77777777" w:rsidR="00344387" w:rsidRPr="00344387" w:rsidRDefault="00344387" w:rsidP="00A36CED">
      <w:pPr>
        <w:pStyle w:val="EndNoteBibliography"/>
        <w:spacing w:after="0"/>
        <w:ind w:left="720" w:hanging="720"/>
      </w:pPr>
      <w:r w:rsidRPr="00344387">
        <w:lastRenderedPageBreak/>
        <w:t xml:space="preserve">Guan, J., Zhang, J., &amp; Yan, Y. (2015). The impact of multilevel networks on innovation. </w:t>
      </w:r>
      <w:r w:rsidRPr="00344387">
        <w:rPr>
          <w:i/>
        </w:rPr>
        <w:t>Research Policy, 44</w:t>
      </w:r>
      <w:r w:rsidRPr="00344387">
        <w:t xml:space="preserve">(3), 545-559. </w:t>
      </w:r>
    </w:p>
    <w:p w14:paraId="5028BCF4" w14:textId="77777777" w:rsidR="00344387" w:rsidRPr="00344387" w:rsidRDefault="00344387" w:rsidP="00A36CED">
      <w:pPr>
        <w:pStyle w:val="EndNoteBibliography"/>
        <w:spacing w:after="0"/>
      </w:pPr>
    </w:p>
    <w:p w14:paraId="592C2CD9" w14:textId="77777777" w:rsidR="00344387" w:rsidRPr="00344387" w:rsidRDefault="00344387" w:rsidP="00A36CED">
      <w:pPr>
        <w:pStyle w:val="EndNoteBibliography"/>
        <w:spacing w:after="0"/>
        <w:ind w:left="720" w:hanging="720"/>
      </w:pPr>
      <w:r w:rsidRPr="00344387">
        <w:t>Gunasekaran, A., Subramanian, N., &amp; Papadopoulos, T. (2017). Information technology for competitive advantage within logistics and supply chains: A review.</w:t>
      </w:r>
      <w:r w:rsidRPr="00344387">
        <w:rPr>
          <w:i/>
        </w:rPr>
        <w:t xml:space="preserve"> Transportation Research Part E: Logistics and Transportation Review, 99</w:t>
      </w:r>
      <w:r w:rsidRPr="00344387">
        <w:t xml:space="preserve">, 14-33. </w:t>
      </w:r>
    </w:p>
    <w:p w14:paraId="2DBCE7C2" w14:textId="77777777" w:rsidR="00344387" w:rsidRPr="00344387" w:rsidRDefault="00344387" w:rsidP="00A36CED">
      <w:pPr>
        <w:pStyle w:val="EndNoteBibliography"/>
        <w:spacing w:after="0"/>
      </w:pPr>
    </w:p>
    <w:p w14:paraId="264A5146" w14:textId="77777777" w:rsidR="00344387" w:rsidRPr="00344387" w:rsidRDefault="00344387" w:rsidP="00A36CED">
      <w:pPr>
        <w:pStyle w:val="EndNoteBibliography"/>
        <w:spacing w:after="0"/>
        <w:ind w:left="720" w:hanging="720"/>
      </w:pPr>
      <w:r w:rsidRPr="00344387">
        <w:t xml:space="preserve">Hair, Black, Babin, &amp; Anderson. (2014). </w:t>
      </w:r>
      <w:r w:rsidRPr="00344387">
        <w:rPr>
          <w:i/>
        </w:rPr>
        <w:t>Multivariate Data Analysis</w:t>
      </w:r>
      <w:r w:rsidRPr="00344387">
        <w:t xml:space="preserve">. Pearson Education Limited, Essex. </w:t>
      </w:r>
    </w:p>
    <w:p w14:paraId="454C4C21" w14:textId="77777777" w:rsidR="00344387" w:rsidRPr="00344387" w:rsidRDefault="00344387" w:rsidP="00A36CED">
      <w:pPr>
        <w:pStyle w:val="EndNoteBibliography"/>
        <w:spacing w:after="0"/>
      </w:pPr>
    </w:p>
    <w:p w14:paraId="0478B0D3" w14:textId="77777777" w:rsidR="00344387" w:rsidRPr="00344387" w:rsidRDefault="00344387" w:rsidP="00A36CED">
      <w:pPr>
        <w:pStyle w:val="EndNoteBibliography"/>
        <w:spacing w:after="0"/>
        <w:ind w:left="720" w:hanging="720"/>
      </w:pPr>
      <w:r w:rsidRPr="00344387">
        <w:t xml:space="preserve">Hayes, A. F. (2018). </w:t>
      </w:r>
      <w:r w:rsidRPr="00344387">
        <w:rPr>
          <w:i/>
        </w:rPr>
        <w:t>Introduction to Mediation, Moderation, and Conditional Process Analysis: A Regression-Based Approach</w:t>
      </w:r>
      <w:r w:rsidRPr="00344387">
        <w:t xml:space="preserve"> (2nd ed.). Guilford Press. </w:t>
      </w:r>
    </w:p>
    <w:p w14:paraId="787D3B04" w14:textId="77777777" w:rsidR="00344387" w:rsidRPr="00344387" w:rsidRDefault="00344387" w:rsidP="00A36CED">
      <w:pPr>
        <w:pStyle w:val="EndNoteBibliography"/>
        <w:spacing w:after="0"/>
      </w:pPr>
    </w:p>
    <w:p w14:paraId="159059B2" w14:textId="77777777" w:rsidR="00344387" w:rsidRPr="00344387" w:rsidRDefault="00344387" w:rsidP="00A36CED">
      <w:pPr>
        <w:pStyle w:val="EndNoteBibliography"/>
        <w:spacing w:after="0"/>
        <w:ind w:left="720" w:hanging="720"/>
      </w:pPr>
      <w:r w:rsidRPr="00344387">
        <w:t xml:space="preserve">Helfat, C. E., &amp; Winter, S. G. (2011). Untangling dynamic and operational capabilities: Strategy for the (N)ever‐changing world. </w:t>
      </w:r>
      <w:r w:rsidRPr="00344387">
        <w:rPr>
          <w:i/>
        </w:rPr>
        <w:t>Strategic Management Journal, 32</w:t>
      </w:r>
      <w:r w:rsidRPr="00344387">
        <w:t xml:space="preserve">(11), 1243-1250. </w:t>
      </w:r>
    </w:p>
    <w:p w14:paraId="3AB5F4B4" w14:textId="77777777" w:rsidR="00344387" w:rsidRPr="00344387" w:rsidRDefault="00344387" w:rsidP="00A36CED">
      <w:pPr>
        <w:pStyle w:val="EndNoteBibliography"/>
        <w:spacing w:after="0"/>
      </w:pPr>
    </w:p>
    <w:p w14:paraId="13EAAA2A" w14:textId="0E60C6AE" w:rsidR="00344387" w:rsidRPr="00344387" w:rsidRDefault="00344387" w:rsidP="00A36CED">
      <w:pPr>
        <w:pStyle w:val="EndNoteBibliography"/>
        <w:spacing w:after="0"/>
        <w:ind w:left="720" w:hanging="720"/>
      </w:pPr>
      <w:r w:rsidRPr="00344387">
        <w:t xml:space="preserve">Hoekstra, J. C., &amp; Leeflang, P. S. H. (2023, 2023/10/01/). Thriving through turbulence: Lessons from marketing academia and marketing practice. </w:t>
      </w:r>
      <w:r w:rsidRPr="00344387">
        <w:rPr>
          <w:i/>
        </w:rPr>
        <w:t>European Management Journal, 41</w:t>
      </w:r>
      <w:r w:rsidRPr="00344387">
        <w:t xml:space="preserve">(5), 730-743. </w:t>
      </w:r>
      <w:hyperlink r:id="rId20" w:history="1">
        <w:r w:rsidRPr="00344387">
          <w:rPr>
            <w:rStyle w:val="Hyperlink"/>
          </w:rPr>
          <w:t>https://doi.org/https://doi.org/10.1016/j.emj.2022.04.007</w:t>
        </w:r>
      </w:hyperlink>
      <w:r w:rsidRPr="00344387">
        <w:t xml:space="preserve"> </w:t>
      </w:r>
    </w:p>
    <w:p w14:paraId="7D08CC82" w14:textId="77777777" w:rsidR="00344387" w:rsidRPr="00344387" w:rsidRDefault="00344387" w:rsidP="00A36CED">
      <w:pPr>
        <w:pStyle w:val="EndNoteBibliography"/>
        <w:spacing w:after="0"/>
      </w:pPr>
    </w:p>
    <w:p w14:paraId="04BCDF00" w14:textId="5F8C7C3F" w:rsidR="00344387" w:rsidRPr="00344387" w:rsidRDefault="00344387" w:rsidP="00A36CED">
      <w:pPr>
        <w:pStyle w:val="EndNoteBibliography"/>
        <w:spacing w:after="0"/>
        <w:ind w:left="720" w:hanging="720"/>
      </w:pPr>
      <w:r w:rsidRPr="00344387">
        <w:t xml:space="preserve">Jadoul, Q., Nascimento, A., Salo, O., &amp; Willi, R. (2020). Agility in the time of COVID-19: Changing your operating model in an age of turbulence. </w:t>
      </w:r>
      <w:r w:rsidRPr="00344387">
        <w:rPr>
          <w:i/>
        </w:rPr>
        <w:t>MicKinsey Insights on Organization</w:t>
      </w:r>
      <w:r w:rsidRPr="00344387">
        <w:t xml:space="preserve">. Retrieved 10th March, 2021, from </w:t>
      </w:r>
      <w:hyperlink r:id="rId21" w:history="1">
        <w:r w:rsidRPr="00344387">
          <w:rPr>
            <w:rStyle w:val="Hyperlink"/>
          </w:rPr>
          <w:t>https://www.mckinsey.com/business-functions/organization/our-insights/agility-in-the-time-of-covid-19-changing-your-operating-model-in-an-age-of-turbulence</w:t>
        </w:r>
      </w:hyperlink>
      <w:r w:rsidRPr="00344387">
        <w:t xml:space="preserve"> </w:t>
      </w:r>
    </w:p>
    <w:p w14:paraId="5BF9EF75" w14:textId="77777777" w:rsidR="00344387" w:rsidRPr="00344387" w:rsidRDefault="00344387" w:rsidP="00A36CED">
      <w:pPr>
        <w:pStyle w:val="EndNoteBibliography"/>
        <w:spacing w:after="0"/>
      </w:pPr>
    </w:p>
    <w:p w14:paraId="4C3EE4A7" w14:textId="77777777" w:rsidR="00344387" w:rsidRPr="00344387" w:rsidRDefault="00344387" w:rsidP="00A36CED">
      <w:pPr>
        <w:pStyle w:val="EndNoteBibliography"/>
        <w:spacing w:after="0"/>
        <w:ind w:left="720" w:hanging="720"/>
      </w:pPr>
      <w:r w:rsidRPr="00344387">
        <w:t xml:space="preserve">Ketchen Jr, D. J., &amp; Craighead, C. W. (2021). Toward a theory of supply chain entrepreneurial embeddedness in disrupted and normal states. </w:t>
      </w:r>
      <w:r w:rsidRPr="00344387">
        <w:rPr>
          <w:i/>
        </w:rPr>
        <w:t>Journal of Supply Chain Management, 57</w:t>
      </w:r>
      <w:r w:rsidRPr="00344387">
        <w:t xml:space="preserve">(1), 50-57. </w:t>
      </w:r>
    </w:p>
    <w:p w14:paraId="7FEE845A" w14:textId="77777777" w:rsidR="00344387" w:rsidRPr="00344387" w:rsidRDefault="00344387" w:rsidP="00A36CED">
      <w:pPr>
        <w:pStyle w:val="EndNoteBibliography"/>
        <w:spacing w:after="0"/>
      </w:pPr>
    </w:p>
    <w:p w14:paraId="49755570" w14:textId="77777777" w:rsidR="00344387" w:rsidRPr="00344387" w:rsidRDefault="00344387" w:rsidP="00A36CED">
      <w:pPr>
        <w:pStyle w:val="EndNoteBibliography"/>
        <w:spacing w:after="0"/>
        <w:ind w:left="720" w:hanging="720"/>
      </w:pPr>
      <w:r w:rsidRPr="00344387">
        <w:t xml:space="preserve">Ketokivi, M. A., &amp; Schroeder, R. G. (2004). Perceptual measures of performance: fact or fiction? </w:t>
      </w:r>
      <w:r w:rsidRPr="00344387">
        <w:rPr>
          <w:i/>
        </w:rPr>
        <w:t>Journal of Operations Management, 22</w:t>
      </w:r>
      <w:r w:rsidRPr="00344387">
        <w:t xml:space="preserve">(3), 247-264. </w:t>
      </w:r>
    </w:p>
    <w:p w14:paraId="15BA2239" w14:textId="77777777" w:rsidR="00344387" w:rsidRPr="00344387" w:rsidRDefault="00344387" w:rsidP="00A36CED">
      <w:pPr>
        <w:pStyle w:val="EndNoteBibliography"/>
        <w:spacing w:after="0"/>
      </w:pPr>
    </w:p>
    <w:p w14:paraId="130FE57C" w14:textId="77777777" w:rsidR="00344387" w:rsidRPr="00344387" w:rsidRDefault="00344387" w:rsidP="00A36CED">
      <w:pPr>
        <w:pStyle w:val="EndNoteBibliography"/>
        <w:spacing w:after="0"/>
        <w:ind w:left="720" w:hanging="720"/>
      </w:pPr>
      <w:r w:rsidRPr="00344387">
        <w:t xml:space="preserve">Khraishi, A., Huq, F., &amp; Paulraj, A. (2020). Offshoring innovation: An empirical investigation of dyadic complementarity within SMEs. </w:t>
      </w:r>
      <w:r w:rsidRPr="00344387">
        <w:rPr>
          <w:i/>
        </w:rPr>
        <w:t>Journal of Business Research, 118</w:t>
      </w:r>
      <w:r w:rsidRPr="00344387">
        <w:t xml:space="preserve">, 86-97. </w:t>
      </w:r>
    </w:p>
    <w:p w14:paraId="2BC7B82D" w14:textId="77777777" w:rsidR="00344387" w:rsidRPr="00344387" w:rsidRDefault="00344387" w:rsidP="00A36CED">
      <w:pPr>
        <w:pStyle w:val="EndNoteBibliography"/>
        <w:spacing w:after="0"/>
      </w:pPr>
    </w:p>
    <w:p w14:paraId="7316825E" w14:textId="77777777" w:rsidR="00344387" w:rsidRPr="00344387" w:rsidRDefault="00344387" w:rsidP="00A36CED">
      <w:pPr>
        <w:pStyle w:val="EndNoteBibliography"/>
        <w:spacing w:after="0"/>
        <w:ind w:left="720" w:hanging="720"/>
      </w:pPr>
      <w:r w:rsidRPr="00344387">
        <w:t xml:space="preserve">Krause, D., Luzzini, D., &amp; Lawson, B. (2018). Building the case for a single key informant in supply chain management survey research. </w:t>
      </w:r>
      <w:r w:rsidRPr="00344387">
        <w:rPr>
          <w:i/>
        </w:rPr>
        <w:t>Journal of Supply Chain Management, 54</w:t>
      </w:r>
      <w:r w:rsidRPr="00344387">
        <w:t xml:space="preserve">(1), 42-50. </w:t>
      </w:r>
    </w:p>
    <w:p w14:paraId="6FECF4AF" w14:textId="77777777" w:rsidR="00344387" w:rsidRPr="00344387" w:rsidRDefault="00344387" w:rsidP="00A36CED">
      <w:pPr>
        <w:pStyle w:val="EndNoteBibliography"/>
        <w:spacing w:after="0"/>
      </w:pPr>
    </w:p>
    <w:p w14:paraId="0E3F7ABB" w14:textId="77777777" w:rsidR="00344387" w:rsidRPr="00344387" w:rsidRDefault="00344387" w:rsidP="00A36CED">
      <w:pPr>
        <w:pStyle w:val="EndNoteBibliography"/>
        <w:spacing w:after="0"/>
        <w:ind w:left="720" w:hanging="720"/>
      </w:pPr>
      <w:r w:rsidRPr="00344387">
        <w:t xml:space="preserve">Lee, H. (2004, Oct). The triple-A supply chain. </w:t>
      </w:r>
      <w:r w:rsidRPr="00344387">
        <w:rPr>
          <w:i/>
        </w:rPr>
        <w:t>Harvard Business Review, 82</w:t>
      </w:r>
      <w:r w:rsidRPr="00344387">
        <w:t xml:space="preserve">(10), 102-113. </w:t>
      </w:r>
    </w:p>
    <w:p w14:paraId="16AE33AC" w14:textId="77777777" w:rsidR="00344387" w:rsidRPr="00344387" w:rsidRDefault="00344387" w:rsidP="00A36CED">
      <w:pPr>
        <w:pStyle w:val="EndNoteBibliography"/>
        <w:spacing w:after="0"/>
      </w:pPr>
    </w:p>
    <w:p w14:paraId="2979E1E8" w14:textId="77777777" w:rsidR="00344387" w:rsidRPr="00344387" w:rsidRDefault="00344387" w:rsidP="00A36CED">
      <w:pPr>
        <w:pStyle w:val="EndNoteBibliography"/>
        <w:spacing w:after="0"/>
        <w:ind w:left="720" w:hanging="720"/>
      </w:pPr>
      <w:r w:rsidRPr="00344387">
        <w:t xml:space="preserve">Liao, Y., &amp; Li, Y. (2019). Complementarity effect of supply chain competencies on innovation capability. </w:t>
      </w:r>
      <w:r w:rsidRPr="00344387">
        <w:rPr>
          <w:i/>
        </w:rPr>
        <w:t>Business Process Management Journal, 25</w:t>
      </w:r>
      <w:r w:rsidRPr="00344387">
        <w:t xml:space="preserve">(6), 1251-1272. </w:t>
      </w:r>
    </w:p>
    <w:p w14:paraId="74BDC72B" w14:textId="77777777" w:rsidR="00344387" w:rsidRPr="00344387" w:rsidRDefault="00344387" w:rsidP="00A36CED">
      <w:pPr>
        <w:pStyle w:val="EndNoteBibliography"/>
        <w:spacing w:after="0"/>
      </w:pPr>
    </w:p>
    <w:p w14:paraId="63CBF62C" w14:textId="77777777" w:rsidR="00344387" w:rsidRPr="00344387" w:rsidRDefault="00344387" w:rsidP="00A36CED">
      <w:pPr>
        <w:pStyle w:val="EndNoteBibliography"/>
        <w:spacing w:after="0"/>
        <w:ind w:left="720" w:hanging="720"/>
      </w:pPr>
      <w:r w:rsidRPr="00344387">
        <w:lastRenderedPageBreak/>
        <w:t xml:space="preserve">Lyons, A. C., Mondragon, A. E. C., Piller, F., &amp; Poler, R. (2012). </w:t>
      </w:r>
      <w:r w:rsidRPr="00344387">
        <w:rPr>
          <w:i/>
        </w:rPr>
        <w:t>Customer-driven supply chains: from glass pipelines to open innovation networks</w:t>
      </w:r>
      <w:r w:rsidRPr="00344387">
        <w:t xml:space="preserve">. Springer Science &amp; Business Media. </w:t>
      </w:r>
    </w:p>
    <w:p w14:paraId="51A73694" w14:textId="77777777" w:rsidR="00344387" w:rsidRPr="00344387" w:rsidRDefault="00344387" w:rsidP="00A36CED">
      <w:pPr>
        <w:pStyle w:val="EndNoteBibliography"/>
        <w:spacing w:after="0"/>
      </w:pPr>
    </w:p>
    <w:p w14:paraId="4FBDF4A2" w14:textId="69ACC3CC" w:rsidR="00344387" w:rsidRPr="00344387" w:rsidRDefault="00344387" w:rsidP="00A36CED">
      <w:pPr>
        <w:pStyle w:val="EndNoteBibliography"/>
        <w:spacing w:after="0"/>
        <w:ind w:left="720" w:hanging="720"/>
      </w:pPr>
      <w:r w:rsidRPr="00344387">
        <w:t xml:space="preserve">Müller, J., Hoberg, K., &amp; Fransoo, J. C. (2023). Realizing supply chain agility under time pressure: Ad hoc supply chains during the COVID-19 pandemic. </w:t>
      </w:r>
      <w:r w:rsidRPr="00344387">
        <w:rPr>
          <w:i/>
        </w:rPr>
        <w:t>Journal of Operations Management, 69</w:t>
      </w:r>
      <w:r w:rsidRPr="00344387">
        <w:t xml:space="preserve">(3), 426-449. </w:t>
      </w:r>
      <w:hyperlink r:id="rId22" w:history="1">
        <w:r w:rsidRPr="00344387">
          <w:rPr>
            <w:rStyle w:val="Hyperlink"/>
          </w:rPr>
          <w:t>https://doi.org/https://doi.org/10.1002/joom.1210</w:t>
        </w:r>
      </w:hyperlink>
      <w:r w:rsidRPr="00344387">
        <w:t xml:space="preserve"> </w:t>
      </w:r>
    </w:p>
    <w:p w14:paraId="5E84904B" w14:textId="77777777" w:rsidR="00344387" w:rsidRPr="00344387" w:rsidRDefault="00344387" w:rsidP="00A36CED">
      <w:pPr>
        <w:pStyle w:val="EndNoteBibliography"/>
        <w:spacing w:after="0"/>
      </w:pPr>
    </w:p>
    <w:p w14:paraId="3443A172" w14:textId="3AB17F5A" w:rsidR="00344387" w:rsidRPr="00344387" w:rsidRDefault="00344387" w:rsidP="00A36CED">
      <w:pPr>
        <w:pStyle w:val="EndNoteBibliography"/>
        <w:spacing w:after="0"/>
        <w:ind w:left="720" w:hanging="720"/>
      </w:pPr>
      <w:r w:rsidRPr="00344387">
        <w:t xml:space="preserve">Najar, T. (2022, 2022/07/03). Lean-Agile supply chain innovation performance; the mediating role of dynamic capability, innovation capacity, and relational embeddednes. </w:t>
      </w:r>
      <w:r w:rsidRPr="00344387">
        <w:rPr>
          <w:i/>
        </w:rPr>
        <w:t>Supply Chain Forum: An International Journal, 23</w:t>
      </w:r>
      <w:r w:rsidRPr="00344387">
        <w:t xml:space="preserve">(3), 285-306. </w:t>
      </w:r>
      <w:hyperlink r:id="rId23" w:history="1">
        <w:r w:rsidRPr="00344387">
          <w:rPr>
            <w:rStyle w:val="Hyperlink"/>
          </w:rPr>
          <w:t>https://doi.org/10.1080/16258312.2022.2031276</w:t>
        </w:r>
      </w:hyperlink>
      <w:r w:rsidRPr="00344387">
        <w:t xml:space="preserve"> </w:t>
      </w:r>
    </w:p>
    <w:p w14:paraId="7B21F9E5" w14:textId="77777777" w:rsidR="00344387" w:rsidRPr="00344387" w:rsidRDefault="00344387" w:rsidP="00A36CED">
      <w:pPr>
        <w:pStyle w:val="EndNoteBibliography"/>
        <w:spacing w:after="0"/>
      </w:pPr>
    </w:p>
    <w:p w14:paraId="7D80C610" w14:textId="77777777" w:rsidR="00344387" w:rsidRPr="00344387" w:rsidRDefault="00344387" w:rsidP="00A36CED">
      <w:pPr>
        <w:pStyle w:val="EndNoteBibliography"/>
        <w:spacing w:after="0"/>
        <w:ind w:left="720" w:hanging="720"/>
      </w:pPr>
      <w:r w:rsidRPr="00344387">
        <w:t xml:space="preserve">Naldi, L., Nordqvist, M., Sjöberg, K., &amp; Wiklund, J. (2007). Entrepreneurial orientation, risk taking, and performance in family firms. </w:t>
      </w:r>
      <w:r w:rsidRPr="00344387">
        <w:rPr>
          <w:i/>
        </w:rPr>
        <w:t>Family business review, 20</w:t>
      </w:r>
      <w:r w:rsidRPr="00344387">
        <w:t xml:space="preserve">(1), 33-47. </w:t>
      </w:r>
    </w:p>
    <w:p w14:paraId="10FB9938" w14:textId="77777777" w:rsidR="00344387" w:rsidRPr="00344387" w:rsidRDefault="00344387" w:rsidP="00A36CED">
      <w:pPr>
        <w:pStyle w:val="EndNoteBibliography"/>
        <w:spacing w:after="0"/>
      </w:pPr>
    </w:p>
    <w:p w14:paraId="4C2CD6E5" w14:textId="77777777" w:rsidR="00344387" w:rsidRPr="00344387" w:rsidRDefault="00344387" w:rsidP="00A36CED">
      <w:pPr>
        <w:pStyle w:val="EndNoteBibliography"/>
        <w:spacing w:after="0"/>
        <w:ind w:left="720" w:hanging="720"/>
      </w:pPr>
      <w:r w:rsidRPr="00344387">
        <w:t xml:space="preserve">Ndubisi, N. O., Dayan, M., Yeniaras, V., &amp; Al-hawari, M. (2020). The effects of complementarity of knowledge and capabilities on joint innovation capabilities and service innovation: The role of competitive intensity and demand uncertainty. </w:t>
      </w:r>
      <w:r w:rsidRPr="00344387">
        <w:rPr>
          <w:i/>
        </w:rPr>
        <w:t>Industrial Marketing Management, 89</w:t>
      </w:r>
      <w:r w:rsidRPr="00344387">
        <w:t xml:space="preserve">, 196-208. </w:t>
      </w:r>
    </w:p>
    <w:p w14:paraId="102359CE" w14:textId="77777777" w:rsidR="00344387" w:rsidRPr="00344387" w:rsidRDefault="00344387" w:rsidP="00A36CED">
      <w:pPr>
        <w:pStyle w:val="EndNoteBibliography"/>
        <w:spacing w:after="0"/>
      </w:pPr>
    </w:p>
    <w:p w14:paraId="00776940" w14:textId="77777777" w:rsidR="00344387" w:rsidRPr="00344387" w:rsidRDefault="00344387" w:rsidP="00A36CED">
      <w:pPr>
        <w:pStyle w:val="EndNoteBibliography"/>
        <w:spacing w:after="0"/>
        <w:ind w:left="720" w:hanging="720"/>
      </w:pPr>
      <w:r w:rsidRPr="00344387">
        <w:t>Noordhoff, C. S., Kyriakopoulos, K., Moorman, C., Pauwels, P., &amp; Dellaert, B. G. (2011). The bright side and dark side of embedded ties in business-to-business innovation.</w:t>
      </w:r>
      <w:r w:rsidRPr="00344387">
        <w:rPr>
          <w:i/>
        </w:rPr>
        <w:t xml:space="preserve"> Journal of Marketing, 75</w:t>
      </w:r>
      <w:r w:rsidRPr="00344387">
        <w:t xml:space="preserve">(5), 34-52. </w:t>
      </w:r>
    </w:p>
    <w:p w14:paraId="1F27DCE0" w14:textId="77777777" w:rsidR="00344387" w:rsidRPr="00344387" w:rsidRDefault="00344387" w:rsidP="00A36CED">
      <w:pPr>
        <w:pStyle w:val="EndNoteBibliography"/>
        <w:spacing w:after="0"/>
      </w:pPr>
    </w:p>
    <w:p w14:paraId="61BEBD1B" w14:textId="77777777" w:rsidR="00344387" w:rsidRPr="00344387" w:rsidRDefault="00344387" w:rsidP="00A36CED">
      <w:pPr>
        <w:pStyle w:val="EndNoteBibliography"/>
        <w:spacing w:after="0"/>
        <w:ind w:left="720" w:hanging="720"/>
      </w:pPr>
      <w:r w:rsidRPr="00344387">
        <w:t xml:space="preserve">Oke, A. (2013). Linking manufacturing flexibility to innovation performance in manufacturing plants. </w:t>
      </w:r>
      <w:r w:rsidRPr="00344387">
        <w:rPr>
          <w:i/>
        </w:rPr>
        <w:t>International Journal of Production Economics, 143</w:t>
      </w:r>
      <w:r w:rsidRPr="00344387">
        <w:t xml:space="preserve">(2), 242-247. </w:t>
      </w:r>
    </w:p>
    <w:p w14:paraId="0AD66B54" w14:textId="77777777" w:rsidR="00344387" w:rsidRPr="00344387" w:rsidRDefault="00344387" w:rsidP="00A36CED">
      <w:pPr>
        <w:pStyle w:val="EndNoteBibliography"/>
        <w:spacing w:after="0"/>
      </w:pPr>
    </w:p>
    <w:p w14:paraId="3697882C" w14:textId="77777777" w:rsidR="00344387" w:rsidRPr="00344387" w:rsidRDefault="00344387" w:rsidP="00A36CED">
      <w:pPr>
        <w:pStyle w:val="EndNoteBibliography"/>
        <w:spacing w:after="0"/>
        <w:ind w:left="720" w:hanging="720"/>
      </w:pPr>
      <w:r w:rsidRPr="00344387">
        <w:t xml:space="preserve">Oke, A., Prajogo, D. I., &amp; Jayaram, J. (2013). Strengthening the innovation chain: The role of internal innovation climate and strategic relationships with supply chain partners. </w:t>
      </w:r>
      <w:r w:rsidRPr="00344387">
        <w:rPr>
          <w:i/>
        </w:rPr>
        <w:t>Journal of Supply Chain Management, 49</w:t>
      </w:r>
      <w:r w:rsidRPr="00344387">
        <w:t xml:space="preserve">(4), 43-58. </w:t>
      </w:r>
    </w:p>
    <w:p w14:paraId="06EBB645" w14:textId="77777777" w:rsidR="00344387" w:rsidRPr="00344387" w:rsidRDefault="00344387" w:rsidP="00A36CED">
      <w:pPr>
        <w:pStyle w:val="EndNoteBibliography"/>
        <w:spacing w:after="0"/>
      </w:pPr>
    </w:p>
    <w:p w14:paraId="46013D83" w14:textId="612DE393" w:rsidR="00344387" w:rsidRPr="00344387" w:rsidRDefault="00344387" w:rsidP="00A36CED">
      <w:pPr>
        <w:pStyle w:val="EndNoteBibliography"/>
        <w:spacing w:after="0"/>
        <w:ind w:left="720" w:hanging="720"/>
      </w:pPr>
      <w:r w:rsidRPr="00344387">
        <w:t xml:space="preserve">Paavola, L. (2021). The role of (dynamic) capabilities in the transformation of a multi-organizational setting. </w:t>
      </w:r>
      <w:r w:rsidRPr="00344387">
        <w:rPr>
          <w:i/>
        </w:rPr>
        <w:t>Journal of Evolutionary Economics, 31</w:t>
      </w:r>
      <w:r w:rsidRPr="00344387">
        <w:t xml:space="preserve">(2), 715-748. </w:t>
      </w:r>
      <w:hyperlink r:id="rId24" w:history="1">
        <w:r w:rsidRPr="00344387">
          <w:rPr>
            <w:rStyle w:val="Hyperlink"/>
          </w:rPr>
          <w:t>https://doi.org/10.1007/s00191-021-00722-x</w:t>
        </w:r>
      </w:hyperlink>
      <w:r w:rsidRPr="00344387">
        <w:t xml:space="preserve"> </w:t>
      </w:r>
    </w:p>
    <w:p w14:paraId="2C3C40FD" w14:textId="77777777" w:rsidR="00344387" w:rsidRPr="00344387" w:rsidRDefault="00344387" w:rsidP="00A36CED">
      <w:pPr>
        <w:pStyle w:val="EndNoteBibliography"/>
        <w:spacing w:after="0"/>
      </w:pPr>
    </w:p>
    <w:p w14:paraId="1B58035A" w14:textId="77777777" w:rsidR="00344387" w:rsidRPr="00344387" w:rsidRDefault="00344387" w:rsidP="00A36CED">
      <w:pPr>
        <w:pStyle w:val="EndNoteBibliography"/>
        <w:spacing w:after="0"/>
        <w:ind w:left="720" w:hanging="720"/>
      </w:pPr>
      <w:r w:rsidRPr="00344387">
        <w:t xml:space="preserve">Prieto, I. M., Revilla, E., &amp; Rodríguez-Prado, B. (2009). Building dynamic capabilities in product development: How do contextual antecedents matter? </w:t>
      </w:r>
      <w:r w:rsidRPr="00344387">
        <w:rPr>
          <w:i/>
        </w:rPr>
        <w:t>Scandinavian Journal of Management, 25</w:t>
      </w:r>
      <w:r w:rsidRPr="00344387">
        <w:t xml:space="preserve">(3), 313-326. </w:t>
      </w:r>
    </w:p>
    <w:p w14:paraId="05C337C4" w14:textId="77777777" w:rsidR="00344387" w:rsidRPr="00344387" w:rsidRDefault="00344387" w:rsidP="00A36CED">
      <w:pPr>
        <w:pStyle w:val="EndNoteBibliography"/>
        <w:spacing w:after="0"/>
      </w:pPr>
    </w:p>
    <w:p w14:paraId="6331ECC3" w14:textId="23CCF7A0" w:rsidR="00344387" w:rsidRPr="00344387" w:rsidRDefault="00344387" w:rsidP="00A36CED">
      <w:pPr>
        <w:pStyle w:val="EndNoteBibliography"/>
        <w:spacing w:after="0"/>
        <w:ind w:left="720" w:hanging="720"/>
      </w:pPr>
      <w:r w:rsidRPr="00344387">
        <w:t xml:space="preserve">Rodrigo-Alarcón, J., García-Villaverde, P. M., Ruiz-Ortega, M. J., &amp; Parra-Requena, G. (2018). From social capital to entrepreneurial orientation: The mediating role of dynamic capabilities. </w:t>
      </w:r>
      <w:r w:rsidRPr="00344387">
        <w:rPr>
          <w:i/>
        </w:rPr>
        <w:t>European Management Journal, 36</w:t>
      </w:r>
      <w:r w:rsidRPr="00344387">
        <w:t xml:space="preserve">(2), 195-209. </w:t>
      </w:r>
      <w:hyperlink r:id="rId25" w:history="1">
        <w:r w:rsidRPr="00344387">
          <w:rPr>
            <w:rStyle w:val="Hyperlink"/>
          </w:rPr>
          <w:t>https://doi.org/https://doi.org/10.1016/j.emj.2017.02.006</w:t>
        </w:r>
      </w:hyperlink>
      <w:r w:rsidRPr="00344387">
        <w:t xml:space="preserve"> </w:t>
      </w:r>
    </w:p>
    <w:p w14:paraId="0C94B7D7" w14:textId="77777777" w:rsidR="00344387" w:rsidRPr="00344387" w:rsidRDefault="00344387" w:rsidP="00A36CED">
      <w:pPr>
        <w:pStyle w:val="EndNoteBibliography"/>
        <w:spacing w:after="0"/>
      </w:pPr>
    </w:p>
    <w:p w14:paraId="22BD09C1" w14:textId="77777777" w:rsidR="00344387" w:rsidRPr="00344387" w:rsidRDefault="00344387" w:rsidP="00A36CED">
      <w:pPr>
        <w:pStyle w:val="EndNoteBibliography"/>
        <w:spacing w:after="0"/>
        <w:ind w:left="720" w:hanging="720"/>
      </w:pPr>
      <w:r w:rsidRPr="00344387">
        <w:lastRenderedPageBreak/>
        <w:t xml:space="preserve">Roscoe, S., Eckstein, D., Blome, C., &amp; Goellner, M. (2020). Determining how internal and external process connectivity affect supply chain agility: a life-cycle theory perspective. </w:t>
      </w:r>
      <w:r w:rsidRPr="00344387">
        <w:rPr>
          <w:i/>
        </w:rPr>
        <w:t>Production Planning &amp; Control, 31</w:t>
      </w:r>
      <w:r w:rsidRPr="00344387">
        <w:t xml:space="preserve">(1), 78-91. </w:t>
      </w:r>
    </w:p>
    <w:p w14:paraId="34660119" w14:textId="77777777" w:rsidR="00344387" w:rsidRPr="00344387" w:rsidRDefault="00344387" w:rsidP="00A36CED">
      <w:pPr>
        <w:pStyle w:val="EndNoteBibliography"/>
        <w:spacing w:after="0"/>
      </w:pPr>
    </w:p>
    <w:p w14:paraId="22E6047A" w14:textId="5D0AE343" w:rsidR="00344387" w:rsidRPr="00344387" w:rsidRDefault="00344387" w:rsidP="00A36CED">
      <w:pPr>
        <w:pStyle w:val="EndNoteBibliography"/>
        <w:spacing w:after="0"/>
        <w:ind w:left="720" w:hanging="720"/>
      </w:pPr>
      <w:r w:rsidRPr="00344387">
        <w:t xml:space="preserve">Ruiz-Ortega, M. J., Rodrigo-Alarcón, J., &amp; Parra-Requena, G. (2023). New directions to create dynamic capabilities: The role of pioneering orientation and interorganizational relationships. </w:t>
      </w:r>
      <w:r w:rsidRPr="00344387">
        <w:rPr>
          <w:i/>
        </w:rPr>
        <w:t>European Management Journal</w:t>
      </w:r>
      <w:r w:rsidRPr="00344387">
        <w:t xml:space="preserve">. </w:t>
      </w:r>
      <w:hyperlink r:id="rId26" w:history="1">
        <w:r w:rsidRPr="00344387">
          <w:rPr>
            <w:rStyle w:val="Hyperlink"/>
          </w:rPr>
          <w:t>https://doi.org/https://doi.org/10.1016/j.emj.2023.01.005</w:t>
        </w:r>
      </w:hyperlink>
      <w:r w:rsidRPr="00344387">
        <w:t xml:space="preserve"> </w:t>
      </w:r>
    </w:p>
    <w:p w14:paraId="42B1917B" w14:textId="77777777" w:rsidR="00344387" w:rsidRPr="00344387" w:rsidRDefault="00344387" w:rsidP="00A36CED">
      <w:pPr>
        <w:pStyle w:val="EndNoteBibliography"/>
        <w:spacing w:after="0"/>
      </w:pPr>
    </w:p>
    <w:p w14:paraId="2B599044" w14:textId="6E243A9D" w:rsidR="00344387" w:rsidRPr="00344387" w:rsidRDefault="00344387" w:rsidP="00A36CED">
      <w:pPr>
        <w:pStyle w:val="EndNoteBibliography"/>
        <w:spacing w:after="0"/>
        <w:ind w:left="720" w:hanging="720"/>
      </w:pPr>
      <w:r w:rsidRPr="00344387">
        <w:t xml:space="preserve">Sáenz, M. J., Revilla, E., &amp; Knoppen, D. (2014). Absorptive capacity in buyer-supplier relationships: empirical evidence of its mediating role. </w:t>
      </w:r>
      <w:r w:rsidRPr="00344387">
        <w:rPr>
          <w:i/>
        </w:rPr>
        <w:t>Journal of Supply Chain Management, 50</w:t>
      </w:r>
      <w:r w:rsidRPr="00344387">
        <w:t xml:space="preserve">(2), 18-40. </w:t>
      </w:r>
      <w:hyperlink r:id="rId27" w:history="1">
        <w:r w:rsidRPr="00344387">
          <w:rPr>
            <w:rStyle w:val="Hyperlink"/>
          </w:rPr>
          <w:t>https://doi.org/https://doi.org/10.1111/jscm.12020</w:t>
        </w:r>
      </w:hyperlink>
      <w:r w:rsidRPr="00344387">
        <w:t xml:space="preserve"> </w:t>
      </w:r>
    </w:p>
    <w:p w14:paraId="747950DE" w14:textId="77777777" w:rsidR="00344387" w:rsidRPr="00344387" w:rsidRDefault="00344387" w:rsidP="00A36CED">
      <w:pPr>
        <w:pStyle w:val="EndNoteBibliography"/>
        <w:spacing w:after="0"/>
      </w:pPr>
    </w:p>
    <w:p w14:paraId="77F13783" w14:textId="77777777" w:rsidR="00344387" w:rsidRPr="00344387" w:rsidRDefault="00344387" w:rsidP="00A36CED">
      <w:pPr>
        <w:pStyle w:val="EndNoteBibliography"/>
        <w:spacing w:after="0"/>
        <w:ind w:left="720" w:hanging="720"/>
      </w:pPr>
      <w:r w:rsidRPr="00344387">
        <w:t xml:space="preserve">Saraf, N., Langdon, C. S., &amp; Gosain, S. (2007). IS application capabilities and relational value in interfirm partnerships. </w:t>
      </w:r>
      <w:r w:rsidRPr="00344387">
        <w:rPr>
          <w:i/>
        </w:rPr>
        <w:t>Information Systems Research, 18</w:t>
      </w:r>
      <w:r w:rsidRPr="00344387">
        <w:t xml:space="preserve">(3), 320-339. </w:t>
      </w:r>
    </w:p>
    <w:p w14:paraId="1A077CC4" w14:textId="77777777" w:rsidR="00344387" w:rsidRPr="00344387" w:rsidRDefault="00344387" w:rsidP="00A36CED">
      <w:pPr>
        <w:pStyle w:val="EndNoteBibliography"/>
        <w:spacing w:after="0"/>
      </w:pPr>
    </w:p>
    <w:p w14:paraId="23B75142" w14:textId="77777777" w:rsidR="00344387" w:rsidRPr="00344387" w:rsidRDefault="00344387" w:rsidP="00A36CED">
      <w:pPr>
        <w:pStyle w:val="EndNoteBibliography"/>
        <w:spacing w:after="0"/>
        <w:ind w:left="720" w:hanging="720"/>
      </w:pPr>
      <w:r w:rsidRPr="00344387">
        <w:t xml:space="preserve">Sarkar, M. B., Echambadi, R., Cavusgil, S. T., &amp; Aulakh, P. S. (2001). The influence of complementarity, compatibility, and relationship capital on alliance performance. </w:t>
      </w:r>
      <w:r w:rsidRPr="00344387">
        <w:rPr>
          <w:i/>
        </w:rPr>
        <w:t>Journal of the Academy of Marketing Science, 29</w:t>
      </w:r>
      <w:r w:rsidRPr="00344387">
        <w:t xml:space="preserve">(4), 358-373. </w:t>
      </w:r>
    </w:p>
    <w:p w14:paraId="1F24F48C" w14:textId="77777777" w:rsidR="00344387" w:rsidRPr="00344387" w:rsidRDefault="00344387" w:rsidP="00A36CED">
      <w:pPr>
        <w:pStyle w:val="EndNoteBibliography"/>
        <w:spacing w:after="0"/>
      </w:pPr>
    </w:p>
    <w:p w14:paraId="3E37A014" w14:textId="574F2F3B" w:rsidR="00344387" w:rsidRPr="00344387" w:rsidRDefault="00344387" w:rsidP="00A36CED">
      <w:pPr>
        <w:pStyle w:val="EndNoteBibliography"/>
        <w:spacing w:after="0"/>
        <w:ind w:left="720" w:hanging="720"/>
      </w:pPr>
      <w:r w:rsidRPr="00344387">
        <w:t xml:space="preserve">Scheuer, L. J., &amp; Thaler, J. (2022). HOW do dynamic capabilities affect performance? A systematic review of mediators. </w:t>
      </w:r>
      <w:r w:rsidRPr="00344387">
        <w:rPr>
          <w:i/>
        </w:rPr>
        <w:t>European Management Journal</w:t>
      </w:r>
      <w:r w:rsidRPr="00344387">
        <w:t xml:space="preserve">. </w:t>
      </w:r>
      <w:hyperlink r:id="rId28" w:history="1">
        <w:r w:rsidRPr="00344387">
          <w:rPr>
            <w:rStyle w:val="Hyperlink"/>
          </w:rPr>
          <w:t>https://doi.org/https://doi.org/10.1016/j.emj.2022.12.006</w:t>
        </w:r>
      </w:hyperlink>
      <w:r w:rsidRPr="00344387">
        <w:t xml:space="preserve"> </w:t>
      </w:r>
    </w:p>
    <w:p w14:paraId="14933575" w14:textId="77777777" w:rsidR="00344387" w:rsidRPr="00344387" w:rsidRDefault="00344387" w:rsidP="00A36CED">
      <w:pPr>
        <w:pStyle w:val="EndNoteBibliography"/>
        <w:spacing w:after="0"/>
      </w:pPr>
    </w:p>
    <w:p w14:paraId="61627418" w14:textId="5BEC1E66" w:rsidR="00344387" w:rsidRPr="00344387" w:rsidRDefault="00344387" w:rsidP="00A36CED">
      <w:pPr>
        <w:pStyle w:val="EndNoteBibliography"/>
        <w:spacing w:after="0"/>
        <w:ind w:left="720" w:hanging="720"/>
      </w:pPr>
      <w:r w:rsidRPr="00344387">
        <w:t xml:space="preserve">Schleper, M. C., Gold, S., Trautrims, A., &amp; Baldock, D. (2021). Pandemic-induced knowledge gaps in operations and supply chain management: COVID-19’s impacts on retailing. </w:t>
      </w:r>
      <w:r w:rsidRPr="00344387">
        <w:rPr>
          <w:i/>
        </w:rPr>
        <w:t>International Journal of Operations &amp; Production Management, 41</w:t>
      </w:r>
      <w:r w:rsidRPr="00344387">
        <w:t xml:space="preserve">(3), 193-205. </w:t>
      </w:r>
      <w:hyperlink r:id="rId29" w:history="1">
        <w:r w:rsidRPr="00344387">
          <w:rPr>
            <w:rStyle w:val="Hyperlink"/>
          </w:rPr>
          <w:t>https://doi.org/10.1108/IJOPM-12-2020-0837</w:t>
        </w:r>
      </w:hyperlink>
      <w:r w:rsidRPr="00344387">
        <w:t xml:space="preserve"> </w:t>
      </w:r>
    </w:p>
    <w:p w14:paraId="174E4BB4" w14:textId="77777777" w:rsidR="00344387" w:rsidRPr="00344387" w:rsidRDefault="00344387" w:rsidP="00A36CED">
      <w:pPr>
        <w:pStyle w:val="EndNoteBibliography"/>
        <w:spacing w:after="0"/>
      </w:pPr>
    </w:p>
    <w:p w14:paraId="6DF9D2A9" w14:textId="77777777" w:rsidR="00344387" w:rsidRPr="00344387" w:rsidRDefault="00344387" w:rsidP="00A36CED">
      <w:pPr>
        <w:pStyle w:val="EndNoteBibliography"/>
        <w:spacing w:after="0"/>
        <w:ind w:left="720" w:hanging="720"/>
      </w:pPr>
      <w:r w:rsidRPr="00344387">
        <w:t xml:space="preserve">Scott, S. G., &amp; Bruce, R. A. (1994). Determinants of innovative behavior: A path model of individual innovation in the workplace. </w:t>
      </w:r>
      <w:r w:rsidRPr="00344387">
        <w:rPr>
          <w:i/>
        </w:rPr>
        <w:t>Academy of Management Journal, 37</w:t>
      </w:r>
      <w:r w:rsidRPr="00344387">
        <w:t xml:space="preserve">(3), 580-607. </w:t>
      </w:r>
    </w:p>
    <w:p w14:paraId="1AF73D5B" w14:textId="77777777" w:rsidR="00344387" w:rsidRPr="00344387" w:rsidRDefault="00344387" w:rsidP="00A36CED">
      <w:pPr>
        <w:pStyle w:val="EndNoteBibliography"/>
        <w:spacing w:after="0"/>
      </w:pPr>
    </w:p>
    <w:p w14:paraId="3613EA86" w14:textId="77777777" w:rsidR="00344387" w:rsidRPr="00344387" w:rsidRDefault="00344387" w:rsidP="00A36CED">
      <w:pPr>
        <w:pStyle w:val="EndNoteBibliography"/>
        <w:spacing w:after="0"/>
        <w:ind w:left="720" w:hanging="720"/>
      </w:pPr>
      <w:r w:rsidRPr="00344387">
        <w:t xml:space="preserve">Sharma, S. (2000). Managerial interpretations and organizational context as predictors of corporate choice of environmental strategy. </w:t>
      </w:r>
      <w:r w:rsidRPr="00344387">
        <w:rPr>
          <w:i/>
        </w:rPr>
        <w:t>Academy of Management Journal, 43</w:t>
      </w:r>
      <w:r w:rsidRPr="00344387">
        <w:t xml:space="preserve">(4), 681-697. </w:t>
      </w:r>
    </w:p>
    <w:p w14:paraId="17713FC5" w14:textId="77777777" w:rsidR="00344387" w:rsidRPr="00344387" w:rsidRDefault="00344387" w:rsidP="00A36CED">
      <w:pPr>
        <w:pStyle w:val="EndNoteBibliography"/>
        <w:spacing w:after="0"/>
      </w:pPr>
    </w:p>
    <w:p w14:paraId="24EF8B6A" w14:textId="085998D0" w:rsidR="00344387" w:rsidRPr="00344387" w:rsidRDefault="00344387" w:rsidP="00A36CED">
      <w:pPr>
        <w:pStyle w:val="EndNoteBibliography"/>
        <w:spacing w:after="0"/>
        <w:ind w:left="720" w:hanging="720"/>
      </w:pPr>
      <w:r w:rsidRPr="00344387">
        <w:t xml:space="preserve">Song, M., Droge, C., Hanvanich, S., &amp; Calantone, R. (2005). Marketing and technology resource complementarity: an analysis of their interaction effect in two environmental contexts. </w:t>
      </w:r>
      <w:r w:rsidRPr="00344387">
        <w:rPr>
          <w:i/>
        </w:rPr>
        <w:t>Strategic Management Journal, 26</w:t>
      </w:r>
      <w:r w:rsidRPr="00344387">
        <w:t xml:space="preserve">(3), 259-276. </w:t>
      </w:r>
      <w:hyperlink r:id="rId30" w:history="1">
        <w:r w:rsidRPr="00344387">
          <w:rPr>
            <w:rStyle w:val="Hyperlink"/>
          </w:rPr>
          <w:t>https://doi.org/https://doi.org/10.1002/smj.450</w:t>
        </w:r>
      </w:hyperlink>
      <w:r w:rsidRPr="00344387">
        <w:t xml:space="preserve"> </w:t>
      </w:r>
    </w:p>
    <w:p w14:paraId="4470D62C" w14:textId="77777777" w:rsidR="00344387" w:rsidRPr="00344387" w:rsidRDefault="00344387" w:rsidP="00A36CED">
      <w:pPr>
        <w:pStyle w:val="EndNoteBibliography"/>
        <w:spacing w:after="0"/>
      </w:pPr>
    </w:p>
    <w:p w14:paraId="3A9ED16E" w14:textId="6FA0F940" w:rsidR="00344387" w:rsidRPr="00344387" w:rsidRDefault="00344387" w:rsidP="00A36CED">
      <w:pPr>
        <w:pStyle w:val="EndNoteBibliography"/>
        <w:spacing w:after="0"/>
        <w:ind w:left="720" w:hanging="720"/>
      </w:pPr>
      <w:r w:rsidRPr="00344387">
        <w:t xml:space="preserve">Srai, J. S., Graham, G., Van Hoek, R., Joglekar, N., &amp; Lorentz, H. (2023). Impact pathways: unhooking supply chains from conflict zones—reconfiguration and fragmentation lessons from the Ukraine–Russia war. </w:t>
      </w:r>
      <w:r w:rsidRPr="00344387">
        <w:rPr>
          <w:i/>
        </w:rPr>
        <w:t>International Journal of Operations &amp; Production Management, 43</w:t>
      </w:r>
      <w:r w:rsidRPr="00344387">
        <w:t xml:space="preserve">(13), 289-301. </w:t>
      </w:r>
      <w:hyperlink r:id="rId31" w:history="1">
        <w:r w:rsidRPr="00344387">
          <w:rPr>
            <w:rStyle w:val="Hyperlink"/>
          </w:rPr>
          <w:t>https://doi.org/10.1108/IJOPM-08-2022-0529</w:t>
        </w:r>
      </w:hyperlink>
      <w:r w:rsidRPr="00344387">
        <w:t xml:space="preserve"> </w:t>
      </w:r>
    </w:p>
    <w:p w14:paraId="05E93EB7" w14:textId="77777777" w:rsidR="00344387" w:rsidRPr="00344387" w:rsidRDefault="00344387" w:rsidP="00A36CED">
      <w:pPr>
        <w:pStyle w:val="EndNoteBibliography"/>
        <w:spacing w:after="0"/>
      </w:pPr>
    </w:p>
    <w:p w14:paraId="73D3A88E" w14:textId="77777777" w:rsidR="00344387" w:rsidRPr="00344387" w:rsidRDefault="00344387" w:rsidP="00A36CED">
      <w:pPr>
        <w:pStyle w:val="EndNoteBibliography"/>
        <w:spacing w:after="0"/>
        <w:ind w:left="720" w:hanging="720"/>
      </w:pPr>
      <w:r w:rsidRPr="00344387">
        <w:t xml:space="preserve">Strauss, K., Lepoutre, J., &amp; Wood, G. (2017). Fifty shades of green: How microfoundations of sustainability dynamic capabilities vary across organizational contexts. </w:t>
      </w:r>
      <w:r w:rsidRPr="00344387">
        <w:rPr>
          <w:i/>
        </w:rPr>
        <w:t>Journal of Organizational Behavior, 38</w:t>
      </w:r>
      <w:r w:rsidRPr="00344387">
        <w:t xml:space="preserve">(9), 1338-1355. </w:t>
      </w:r>
    </w:p>
    <w:p w14:paraId="19D5A4C1" w14:textId="77777777" w:rsidR="00344387" w:rsidRPr="00344387" w:rsidRDefault="00344387" w:rsidP="00A36CED">
      <w:pPr>
        <w:pStyle w:val="EndNoteBibliography"/>
        <w:spacing w:after="0"/>
      </w:pPr>
    </w:p>
    <w:p w14:paraId="4A8836BE" w14:textId="77777777" w:rsidR="00344387" w:rsidRPr="00344387" w:rsidRDefault="00344387" w:rsidP="00A36CED">
      <w:pPr>
        <w:pStyle w:val="EndNoteBibliography"/>
        <w:spacing w:after="0"/>
        <w:ind w:left="720" w:hanging="720"/>
      </w:pPr>
      <w:r w:rsidRPr="00344387">
        <w:t xml:space="preserve">Teece, Pisano, G., &amp; Shuen, A. (1997). Dynamic capabilities and strategic management. </w:t>
      </w:r>
      <w:r w:rsidRPr="00344387">
        <w:rPr>
          <w:i/>
        </w:rPr>
        <w:t>Strategic Management Journal, 18</w:t>
      </w:r>
      <w:r w:rsidRPr="00344387">
        <w:t xml:space="preserve">(7), 509-533. </w:t>
      </w:r>
    </w:p>
    <w:p w14:paraId="77F9B94D" w14:textId="77777777" w:rsidR="00344387" w:rsidRPr="00344387" w:rsidRDefault="00344387" w:rsidP="00A36CED">
      <w:pPr>
        <w:pStyle w:val="EndNoteBibliography"/>
        <w:spacing w:after="0"/>
      </w:pPr>
    </w:p>
    <w:p w14:paraId="1827D9AD" w14:textId="2F2DA57C" w:rsidR="00344387" w:rsidRPr="00344387" w:rsidRDefault="00344387" w:rsidP="00A36CED">
      <w:pPr>
        <w:pStyle w:val="EndNoteBibliography"/>
        <w:spacing w:after="0"/>
        <w:ind w:left="720" w:hanging="720"/>
      </w:pPr>
      <w:r w:rsidRPr="00344387">
        <w:t xml:space="preserve">Teece, D., Peteraf, M., &amp; Leih, S. (2016). Dynamic Capabilities and Organizational Agility: Risk, Uncertainty, and Strategy in the Innovation Economy. </w:t>
      </w:r>
      <w:r w:rsidRPr="00344387">
        <w:rPr>
          <w:i/>
        </w:rPr>
        <w:t>California management review, 58</w:t>
      </w:r>
      <w:r w:rsidRPr="00344387">
        <w:t xml:space="preserve">(4), 13-35. </w:t>
      </w:r>
      <w:hyperlink r:id="rId32" w:history="1">
        <w:r w:rsidRPr="00344387">
          <w:rPr>
            <w:rStyle w:val="Hyperlink"/>
          </w:rPr>
          <w:t>https://doi.org/10.1525/cmr.2016.58.4.13</w:t>
        </w:r>
      </w:hyperlink>
      <w:r w:rsidRPr="00344387">
        <w:t xml:space="preserve"> </w:t>
      </w:r>
    </w:p>
    <w:p w14:paraId="7C404FC1" w14:textId="77777777" w:rsidR="00344387" w:rsidRPr="00344387" w:rsidRDefault="00344387" w:rsidP="00A36CED">
      <w:pPr>
        <w:pStyle w:val="EndNoteBibliography"/>
        <w:spacing w:after="0"/>
      </w:pPr>
    </w:p>
    <w:p w14:paraId="2AA00A05" w14:textId="77777777" w:rsidR="00344387" w:rsidRPr="00344387" w:rsidRDefault="00344387" w:rsidP="00A36CED">
      <w:pPr>
        <w:pStyle w:val="EndNoteBibliography"/>
        <w:spacing w:after="0"/>
        <w:ind w:left="720" w:hanging="720"/>
      </w:pPr>
      <w:r w:rsidRPr="00344387">
        <w:t xml:space="preserve">Teece, D. J. (2007). Explicating dynamic capabilities: the nature and microfoundations of (sustainable) enterprise performance. </w:t>
      </w:r>
      <w:r w:rsidRPr="00344387">
        <w:rPr>
          <w:i/>
        </w:rPr>
        <w:t>Strategic Management Journal, 28</w:t>
      </w:r>
      <w:r w:rsidRPr="00344387">
        <w:t xml:space="preserve">(13), 1319-1350. </w:t>
      </w:r>
    </w:p>
    <w:p w14:paraId="08CDCE18" w14:textId="77777777" w:rsidR="00344387" w:rsidRPr="00344387" w:rsidRDefault="00344387" w:rsidP="00A36CED">
      <w:pPr>
        <w:pStyle w:val="EndNoteBibliography"/>
        <w:spacing w:after="0"/>
      </w:pPr>
    </w:p>
    <w:p w14:paraId="2DE014C0" w14:textId="77777777" w:rsidR="00344387" w:rsidRPr="00344387" w:rsidRDefault="00344387" w:rsidP="00A36CED">
      <w:pPr>
        <w:pStyle w:val="EndNoteBibliography"/>
        <w:spacing w:after="0"/>
        <w:ind w:left="720" w:hanging="720"/>
      </w:pPr>
      <w:r w:rsidRPr="00344387">
        <w:t xml:space="preserve">Teece, D. J. (2014). The foundations of enterprise performance: dynamic and ordinary capabilities in an (economic) theory of firms. </w:t>
      </w:r>
      <w:r w:rsidRPr="00344387">
        <w:rPr>
          <w:i/>
        </w:rPr>
        <w:t>The Academy of Management Perspectives, 28</w:t>
      </w:r>
      <w:r w:rsidRPr="00344387">
        <w:t xml:space="preserve">(4), 328-352. </w:t>
      </w:r>
    </w:p>
    <w:p w14:paraId="02401B31" w14:textId="77777777" w:rsidR="00344387" w:rsidRPr="00344387" w:rsidRDefault="00344387" w:rsidP="00A36CED">
      <w:pPr>
        <w:pStyle w:val="EndNoteBibliography"/>
        <w:spacing w:after="0"/>
      </w:pPr>
    </w:p>
    <w:p w14:paraId="20C4E75C" w14:textId="77777777" w:rsidR="00344387" w:rsidRPr="00344387" w:rsidRDefault="00344387" w:rsidP="00A36CED">
      <w:pPr>
        <w:pStyle w:val="EndNoteBibliography"/>
        <w:spacing w:after="0"/>
        <w:ind w:left="720" w:hanging="720"/>
      </w:pPr>
      <w:r w:rsidRPr="00344387">
        <w:t xml:space="preserve">Úbeda-García, M., Claver-Cortés, E., Marco-Lajara, B., &amp; Zaragoza-Sáez, P. (2020). Toward a dynamic construction of organizational ambidexterity: Exploring the synergies between structural differentiation, organizational context, and interorganizational relations. </w:t>
      </w:r>
      <w:r w:rsidRPr="00344387">
        <w:rPr>
          <w:i/>
        </w:rPr>
        <w:t>Journal of Business Research, 112</w:t>
      </w:r>
      <w:r w:rsidRPr="00344387">
        <w:t xml:space="preserve">, 363-372. </w:t>
      </w:r>
    </w:p>
    <w:p w14:paraId="59261D01" w14:textId="77777777" w:rsidR="00344387" w:rsidRPr="00344387" w:rsidRDefault="00344387" w:rsidP="00A36CED">
      <w:pPr>
        <w:pStyle w:val="EndNoteBibliography"/>
        <w:spacing w:after="0"/>
      </w:pPr>
    </w:p>
    <w:p w14:paraId="0929E609" w14:textId="77777777" w:rsidR="00344387" w:rsidRPr="00344387" w:rsidRDefault="00344387" w:rsidP="00A36CED">
      <w:pPr>
        <w:pStyle w:val="EndNoteBibliography"/>
        <w:spacing w:after="0"/>
        <w:ind w:left="720" w:hanging="720"/>
      </w:pPr>
      <w:r w:rsidRPr="00344387">
        <w:t xml:space="preserve">Um, J., Lyons, A., Lam, H. K., Cheng, T., &amp; Dominguez-Pery, C. (2017). Product variety management and supply chain performance: A capability perspective on their relationships and competitiveness implications. </w:t>
      </w:r>
      <w:r w:rsidRPr="00344387">
        <w:rPr>
          <w:i/>
        </w:rPr>
        <w:t>International Journal of Production Economics, 187</w:t>
      </w:r>
      <w:r w:rsidRPr="00344387">
        <w:t xml:space="preserve">, 15-26. </w:t>
      </w:r>
    </w:p>
    <w:p w14:paraId="416E8FA9" w14:textId="77777777" w:rsidR="00344387" w:rsidRPr="00344387" w:rsidRDefault="00344387" w:rsidP="00A36CED">
      <w:pPr>
        <w:pStyle w:val="EndNoteBibliography"/>
        <w:spacing w:after="0"/>
      </w:pPr>
    </w:p>
    <w:p w14:paraId="343DAEFB" w14:textId="77777777" w:rsidR="00344387" w:rsidRPr="00344387" w:rsidRDefault="00344387" w:rsidP="00A36CED">
      <w:pPr>
        <w:pStyle w:val="EndNoteBibliography"/>
        <w:spacing w:after="0"/>
        <w:ind w:left="720" w:hanging="720"/>
      </w:pPr>
      <w:r w:rsidRPr="00344387">
        <w:t xml:space="preserve">Villena, V. H., Revilla, E., &amp; Choi, T. Y. (2011). The dark side of buyer–supplier relationships: A social capital perspective. </w:t>
      </w:r>
      <w:r w:rsidRPr="00344387">
        <w:rPr>
          <w:i/>
        </w:rPr>
        <w:t>Journal of Operations Management, 29</w:t>
      </w:r>
      <w:r w:rsidRPr="00344387">
        <w:t xml:space="preserve">(6), 561-576. </w:t>
      </w:r>
    </w:p>
    <w:p w14:paraId="5A5AEC11" w14:textId="77777777" w:rsidR="00344387" w:rsidRPr="00344387" w:rsidRDefault="00344387" w:rsidP="00A36CED">
      <w:pPr>
        <w:pStyle w:val="EndNoteBibliography"/>
        <w:spacing w:after="0"/>
      </w:pPr>
    </w:p>
    <w:p w14:paraId="784C1B52" w14:textId="77777777" w:rsidR="00344387" w:rsidRPr="00344387" w:rsidRDefault="00344387" w:rsidP="00A36CED">
      <w:pPr>
        <w:pStyle w:val="EndNoteBibliography"/>
        <w:spacing w:after="0"/>
        <w:ind w:left="720" w:hanging="720"/>
      </w:pPr>
      <w:r w:rsidRPr="00344387">
        <w:t xml:space="preserve">Wei, Y., Nan, H., &amp; Wei, G. (2020). The impact of employee welfare on innovation performance: Evidence from China's manufacturing corporations. </w:t>
      </w:r>
      <w:r w:rsidRPr="00344387">
        <w:rPr>
          <w:i/>
        </w:rPr>
        <w:t>International Journal of Production Economics, 228</w:t>
      </w:r>
      <w:r w:rsidRPr="00344387">
        <w:t xml:space="preserve">, 107753. </w:t>
      </w:r>
    </w:p>
    <w:p w14:paraId="7C9AFD6F" w14:textId="77777777" w:rsidR="00344387" w:rsidRPr="00344387" w:rsidRDefault="00344387" w:rsidP="00A36CED">
      <w:pPr>
        <w:pStyle w:val="EndNoteBibliography"/>
        <w:spacing w:after="0"/>
      </w:pPr>
    </w:p>
    <w:p w14:paraId="64D6F0D7" w14:textId="77777777" w:rsidR="00344387" w:rsidRPr="00344387" w:rsidRDefault="00344387" w:rsidP="00A36CED">
      <w:pPr>
        <w:pStyle w:val="EndNoteBibliography"/>
        <w:spacing w:after="0"/>
        <w:ind w:left="720" w:hanging="720"/>
      </w:pPr>
      <w:r w:rsidRPr="00344387">
        <w:t xml:space="preserve">Whitney, D. J., Dickerson, A., &amp; Lindell, M. K. (2001). Nonstructural seismic preparedness of Southern California hospitals. </w:t>
      </w:r>
      <w:r w:rsidRPr="00344387">
        <w:rPr>
          <w:i/>
        </w:rPr>
        <w:t>Earthquake Spectra, 17</w:t>
      </w:r>
      <w:r w:rsidRPr="00344387">
        <w:t xml:space="preserve">(1), 153-171. </w:t>
      </w:r>
    </w:p>
    <w:p w14:paraId="1C5B354A" w14:textId="77777777" w:rsidR="00344387" w:rsidRPr="00344387" w:rsidRDefault="00344387" w:rsidP="00A36CED">
      <w:pPr>
        <w:pStyle w:val="EndNoteBibliography"/>
        <w:spacing w:after="0"/>
      </w:pPr>
    </w:p>
    <w:p w14:paraId="1FE01571" w14:textId="77777777" w:rsidR="00344387" w:rsidRPr="00344387" w:rsidRDefault="00344387" w:rsidP="00A36CED">
      <w:pPr>
        <w:pStyle w:val="EndNoteBibliography"/>
        <w:spacing w:after="0"/>
        <w:ind w:left="720" w:hanging="720"/>
      </w:pPr>
      <w:r w:rsidRPr="00344387">
        <w:t xml:space="preserve">Whitten, D., Green Jr, K. W., &amp; Zelbst, P. J. (2012). Triple-A supply chain performance. </w:t>
      </w:r>
      <w:r w:rsidRPr="00344387">
        <w:rPr>
          <w:i/>
        </w:rPr>
        <w:t>International Journal of Operations &amp; Production Management, 32</w:t>
      </w:r>
      <w:r w:rsidRPr="00344387">
        <w:t xml:space="preserve">(1), 28-48. </w:t>
      </w:r>
    </w:p>
    <w:p w14:paraId="7D1A5B6F" w14:textId="77777777" w:rsidR="00344387" w:rsidRPr="00344387" w:rsidRDefault="00344387" w:rsidP="00A36CED">
      <w:pPr>
        <w:pStyle w:val="EndNoteBibliography"/>
        <w:spacing w:after="0"/>
      </w:pPr>
    </w:p>
    <w:p w14:paraId="48EF4C41" w14:textId="77777777" w:rsidR="00344387" w:rsidRPr="00344387" w:rsidRDefault="00344387" w:rsidP="00A36CED">
      <w:pPr>
        <w:pStyle w:val="EndNoteBibliography"/>
        <w:spacing w:after="0"/>
        <w:ind w:left="720" w:hanging="720"/>
      </w:pPr>
      <w:r w:rsidRPr="00344387">
        <w:t xml:space="preserve">Winby, S., &amp; Worley, C. G. (2014). Management processes for agility, speed, and innovation. </w:t>
      </w:r>
      <w:r w:rsidRPr="00344387">
        <w:rPr>
          <w:i/>
        </w:rPr>
        <w:t>Organizational Dynamics, 43</w:t>
      </w:r>
      <w:r w:rsidRPr="00344387">
        <w:t xml:space="preserve">(3), 225-234. </w:t>
      </w:r>
    </w:p>
    <w:p w14:paraId="71CCA304" w14:textId="77777777" w:rsidR="00344387" w:rsidRPr="00344387" w:rsidRDefault="00344387" w:rsidP="00A36CED">
      <w:pPr>
        <w:pStyle w:val="EndNoteBibliography"/>
        <w:spacing w:after="0"/>
      </w:pPr>
    </w:p>
    <w:p w14:paraId="0A2CA82C" w14:textId="035647AA" w:rsidR="00344387" w:rsidRPr="00344387" w:rsidRDefault="00344387" w:rsidP="00A36CED">
      <w:pPr>
        <w:pStyle w:val="EndNoteBibliography"/>
        <w:spacing w:after="0"/>
        <w:ind w:left="720" w:hanging="720"/>
      </w:pPr>
      <w:r w:rsidRPr="00344387">
        <w:lastRenderedPageBreak/>
        <w:t xml:space="preserve">World Bank. (2017, 20th May). </w:t>
      </w:r>
      <w:r w:rsidRPr="00344387">
        <w:rPr>
          <w:i/>
        </w:rPr>
        <w:t>Pakistan to record highest growth rate in nine years</w:t>
      </w:r>
      <w:r w:rsidRPr="00344387">
        <w:t xml:space="preserve">. World Bank. Retrieved 21 August from </w:t>
      </w:r>
      <w:hyperlink r:id="rId33" w:history="1">
        <w:r w:rsidRPr="00344387">
          <w:rPr>
            <w:rStyle w:val="Hyperlink"/>
          </w:rPr>
          <w:t>http://www.worldbank.org/en/news/press-release/2017/05/19/pakistan-to-record-highest-growth-rate-in-nine-years-wb-report</w:t>
        </w:r>
      </w:hyperlink>
    </w:p>
    <w:p w14:paraId="19A5BB33" w14:textId="77777777" w:rsidR="00344387" w:rsidRPr="00344387" w:rsidRDefault="00344387" w:rsidP="00A36CED">
      <w:pPr>
        <w:pStyle w:val="EndNoteBibliography"/>
        <w:spacing w:after="0"/>
      </w:pPr>
    </w:p>
    <w:p w14:paraId="0BF5DFBB" w14:textId="14575150" w:rsidR="00344387" w:rsidRPr="00344387" w:rsidRDefault="00344387" w:rsidP="00A36CED">
      <w:pPr>
        <w:pStyle w:val="EndNoteBibliography"/>
        <w:spacing w:after="0"/>
        <w:ind w:left="720" w:hanging="720"/>
      </w:pPr>
      <w:r w:rsidRPr="00344387">
        <w:t xml:space="preserve">World Bank. (2021). </w:t>
      </w:r>
      <w:r w:rsidRPr="00344387">
        <w:rPr>
          <w:i/>
        </w:rPr>
        <w:t>Pakistan Raw materials Exports by country and region in US$ Thousand 2021</w:t>
      </w:r>
      <w:r w:rsidRPr="00344387">
        <w:t xml:space="preserve">. World Integrated Trade Solution. Retrieved 19th November from </w:t>
      </w:r>
      <w:hyperlink r:id="rId34" w:history="1">
        <w:r w:rsidRPr="00344387">
          <w:rPr>
            <w:rStyle w:val="Hyperlink"/>
          </w:rPr>
          <w:t>https://wits.worldbank.org/CountryProfile/en/Country/PAK/Year/2021/TradeFlow/Export/Partner/all/Product/UNCTAD-SoP1</w:t>
        </w:r>
      </w:hyperlink>
    </w:p>
    <w:p w14:paraId="50C785E6" w14:textId="77777777" w:rsidR="00344387" w:rsidRPr="00344387" w:rsidRDefault="00344387" w:rsidP="00A36CED">
      <w:pPr>
        <w:pStyle w:val="EndNoteBibliography"/>
        <w:spacing w:after="0"/>
      </w:pPr>
    </w:p>
    <w:p w14:paraId="78BA30E0" w14:textId="77777777" w:rsidR="00344387" w:rsidRPr="00344387" w:rsidRDefault="00344387" w:rsidP="00A36CED">
      <w:pPr>
        <w:pStyle w:val="EndNoteBibliography"/>
        <w:spacing w:after="0"/>
        <w:ind w:left="720" w:hanging="720"/>
      </w:pPr>
      <w:r w:rsidRPr="00344387">
        <w:t xml:space="preserve">Wu, C.-H., Parker, S. K., &amp; De Jong, J. P. (2014). Need for cognition as an antecedent of individual innovation behavior. </w:t>
      </w:r>
      <w:r w:rsidRPr="00344387">
        <w:rPr>
          <w:i/>
        </w:rPr>
        <w:t>Journal of management, 40</w:t>
      </w:r>
      <w:r w:rsidRPr="00344387">
        <w:t xml:space="preserve">(6), 1511-1534. </w:t>
      </w:r>
    </w:p>
    <w:p w14:paraId="714DBDE0" w14:textId="77777777" w:rsidR="00344387" w:rsidRPr="00344387" w:rsidRDefault="00344387" w:rsidP="00A36CED">
      <w:pPr>
        <w:pStyle w:val="EndNoteBibliography"/>
        <w:spacing w:after="0"/>
      </w:pPr>
    </w:p>
    <w:p w14:paraId="5F3D6787" w14:textId="77777777" w:rsidR="00344387" w:rsidRPr="00344387" w:rsidRDefault="00344387" w:rsidP="00A36CED">
      <w:pPr>
        <w:pStyle w:val="EndNoteBibliography"/>
        <w:spacing w:after="0"/>
        <w:ind w:left="720" w:hanging="720"/>
      </w:pPr>
      <w:r w:rsidRPr="00344387">
        <w:t xml:space="preserve">Wu, W. Y., &amp; Nguyen, P. T. (2019). The antecedents of dynamic service innovation capabilities: The moderating roles of market dynamism and market orientation. </w:t>
      </w:r>
      <w:r w:rsidRPr="00344387">
        <w:rPr>
          <w:i/>
        </w:rPr>
        <w:t>International journal of innovation management, 23</w:t>
      </w:r>
      <w:r w:rsidRPr="00344387">
        <w:t xml:space="preserve">(07), 1950066. </w:t>
      </w:r>
    </w:p>
    <w:p w14:paraId="551E0AC1" w14:textId="77777777" w:rsidR="00344387" w:rsidRPr="00344387" w:rsidRDefault="00344387" w:rsidP="00A36CED">
      <w:pPr>
        <w:pStyle w:val="EndNoteBibliography"/>
        <w:spacing w:after="0"/>
      </w:pPr>
    </w:p>
    <w:p w14:paraId="336DCD3C" w14:textId="77777777" w:rsidR="00344387" w:rsidRPr="00344387" w:rsidRDefault="00344387" w:rsidP="00A36CED">
      <w:pPr>
        <w:pStyle w:val="EndNoteBibliography"/>
        <w:spacing w:after="0"/>
        <w:ind w:left="720" w:hanging="720"/>
      </w:pPr>
      <w:r w:rsidRPr="00344387">
        <w:t xml:space="preserve">Zacharia, Z. G., Sanders, N. R., &amp; Fugate, B. S. (2014). Evolving functional perspectives within supply chain management. </w:t>
      </w:r>
      <w:r w:rsidRPr="00344387">
        <w:rPr>
          <w:i/>
        </w:rPr>
        <w:t>Journal of Supply Chain Management, 50</w:t>
      </w:r>
      <w:r w:rsidRPr="00344387">
        <w:t xml:space="preserve">(1), 73-88. </w:t>
      </w:r>
    </w:p>
    <w:p w14:paraId="12D582AD" w14:textId="77777777" w:rsidR="00344387" w:rsidRPr="00344387" w:rsidRDefault="00344387" w:rsidP="00A36CED">
      <w:pPr>
        <w:pStyle w:val="EndNoteBibliography"/>
        <w:spacing w:after="0"/>
      </w:pPr>
    </w:p>
    <w:p w14:paraId="33DE0151" w14:textId="58C48B0D" w:rsidR="00344387" w:rsidRPr="00344387" w:rsidRDefault="00344387" w:rsidP="00A36CED">
      <w:pPr>
        <w:pStyle w:val="EndNoteBibliography"/>
        <w:spacing w:after="0"/>
        <w:ind w:left="720" w:hanging="720"/>
      </w:pPr>
      <w:r w:rsidRPr="00344387">
        <w:t xml:space="preserve">Zeng, F., Chan, H. K., &amp; Pawar, K. (2020, 2020/09/01/). The adoption of open platform for container bookings in the maritime supply chain. </w:t>
      </w:r>
      <w:r w:rsidRPr="00344387">
        <w:rPr>
          <w:i/>
        </w:rPr>
        <w:t>Transportation Research Part E: Logistics and Transportation Review, 141</w:t>
      </w:r>
      <w:r w:rsidRPr="00344387">
        <w:t xml:space="preserve">, 102019. </w:t>
      </w:r>
      <w:hyperlink r:id="rId35" w:history="1">
        <w:r w:rsidRPr="00344387">
          <w:rPr>
            <w:rStyle w:val="Hyperlink"/>
          </w:rPr>
          <w:t>https://doi.org/https://doi.org/10.1016/j.tre.2020.102019</w:t>
        </w:r>
      </w:hyperlink>
      <w:r w:rsidRPr="00344387">
        <w:t xml:space="preserve"> </w:t>
      </w:r>
    </w:p>
    <w:p w14:paraId="06B68089" w14:textId="77777777" w:rsidR="00344387" w:rsidRPr="00344387" w:rsidRDefault="00344387" w:rsidP="00A36CED">
      <w:pPr>
        <w:pStyle w:val="EndNoteBibliography"/>
        <w:spacing w:after="0"/>
      </w:pPr>
    </w:p>
    <w:p w14:paraId="44554787" w14:textId="6933ACD4" w:rsidR="00344387" w:rsidRPr="00344387" w:rsidRDefault="00344387" w:rsidP="00A36CED">
      <w:pPr>
        <w:pStyle w:val="EndNoteBibliography"/>
        <w:spacing w:after="0"/>
        <w:ind w:left="720" w:hanging="720"/>
      </w:pPr>
      <w:r w:rsidRPr="00344387">
        <w:t xml:space="preserve">Zhang, L., Pu, X., Cai, Z., Liu, H., &amp; Liang, L. (2023, 2023/03/01/). Uniting partners to cope with environmental uncertainty: Disentangling the role of social capital in developing supply chain agility. </w:t>
      </w:r>
      <w:r w:rsidRPr="00344387">
        <w:rPr>
          <w:i/>
        </w:rPr>
        <w:t>Journal of Purchasing and Supply Management, 29</w:t>
      </w:r>
      <w:r w:rsidRPr="00344387">
        <w:t xml:space="preserve">(2), 100822. </w:t>
      </w:r>
      <w:hyperlink r:id="rId36" w:history="1">
        <w:r w:rsidRPr="00344387">
          <w:rPr>
            <w:rStyle w:val="Hyperlink"/>
          </w:rPr>
          <w:t>https://doi.org/https://doi.org/10.1016/j.pursup.2023.100822</w:t>
        </w:r>
      </w:hyperlink>
      <w:r w:rsidRPr="00344387">
        <w:t xml:space="preserve"> </w:t>
      </w:r>
    </w:p>
    <w:p w14:paraId="75458A5D" w14:textId="77777777" w:rsidR="00344387" w:rsidRPr="00344387" w:rsidRDefault="00344387" w:rsidP="00A36CED">
      <w:pPr>
        <w:pStyle w:val="EndNoteBibliography"/>
        <w:spacing w:after="0"/>
      </w:pPr>
    </w:p>
    <w:p w14:paraId="26F072EF" w14:textId="77777777" w:rsidR="00344387" w:rsidRPr="00344387" w:rsidRDefault="00344387" w:rsidP="00A36CED">
      <w:pPr>
        <w:pStyle w:val="EndNoteBibliography"/>
        <w:spacing w:after="0"/>
        <w:ind w:left="720" w:hanging="720"/>
      </w:pPr>
      <w:r w:rsidRPr="00344387">
        <w:t xml:space="preserve">Zhu, M., &amp; Gao, H. (2021). The antecedents of supply chain agility and their effect on business performance: an organizational strategy perspective. </w:t>
      </w:r>
      <w:r w:rsidRPr="00344387">
        <w:rPr>
          <w:i/>
        </w:rPr>
        <w:t>Operations Management Research, 14</w:t>
      </w:r>
      <w:r w:rsidRPr="00344387">
        <w:t xml:space="preserve">, 166-176. </w:t>
      </w:r>
    </w:p>
    <w:p w14:paraId="5734EFC3" w14:textId="77777777" w:rsidR="00344387" w:rsidRPr="00344387" w:rsidRDefault="00344387" w:rsidP="00A36CED">
      <w:pPr>
        <w:pStyle w:val="EndNoteBibliography"/>
        <w:spacing w:after="0"/>
      </w:pPr>
    </w:p>
    <w:p w14:paraId="35FDF069" w14:textId="717601EE" w:rsidR="007742CC" w:rsidRDefault="007742CC" w:rsidP="00A36CED">
      <w:pPr>
        <w:spacing w:line="360" w:lineRule="auto"/>
        <w:rPr>
          <w:rStyle w:val="fontstyle01"/>
          <w:rFonts w:ascii="Times New Roman" w:eastAsiaTheme="majorEastAsia" w:hAnsi="Times New Roman"/>
          <w:b/>
          <w:color w:val="000000" w:themeColor="text1"/>
          <w:sz w:val="24"/>
          <w:szCs w:val="24"/>
        </w:rPr>
      </w:pPr>
      <w:r w:rsidRPr="00B86D8D">
        <w:rPr>
          <w:color w:val="000000" w:themeColor="text1"/>
        </w:rPr>
        <w:fldChar w:fldCharType="end"/>
      </w:r>
    </w:p>
    <w:p w14:paraId="69FCB559" w14:textId="77777777" w:rsidR="007742CC" w:rsidRDefault="007742CC" w:rsidP="00A36CED">
      <w:pPr>
        <w:spacing w:line="360" w:lineRule="auto"/>
        <w:rPr>
          <w:rStyle w:val="fontstyle01"/>
          <w:rFonts w:ascii="Times New Roman" w:eastAsiaTheme="majorEastAsia" w:hAnsi="Times New Roman"/>
          <w:b/>
          <w:color w:val="000000" w:themeColor="text1"/>
          <w:sz w:val="24"/>
          <w:szCs w:val="24"/>
        </w:rPr>
        <w:sectPr w:rsidR="007742CC">
          <w:footerReference w:type="even" r:id="rId37"/>
          <w:footerReference w:type="default" r:id="rId38"/>
          <w:pgSz w:w="12240" w:h="15840"/>
          <w:pgMar w:top="1440" w:right="1440" w:bottom="1440" w:left="1440" w:header="720" w:footer="720" w:gutter="0"/>
          <w:cols w:space="720"/>
          <w:docGrid w:linePitch="360"/>
        </w:sectPr>
      </w:pPr>
    </w:p>
    <w:p w14:paraId="1EC602EE" w14:textId="77777777" w:rsidR="007742CC" w:rsidRPr="005534B5" w:rsidRDefault="007742CC" w:rsidP="007742CC">
      <w:pPr>
        <w:pStyle w:val="EndNoteBibliography"/>
        <w:spacing w:line="360" w:lineRule="auto"/>
        <w:jc w:val="both"/>
        <w:rPr>
          <w:b/>
          <w:bCs/>
          <w:color w:val="000000" w:themeColor="text1"/>
          <w:szCs w:val="24"/>
        </w:rPr>
      </w:pPr>
      <w:r w:rsidRPr="005534B5">
        <w:rPr>
          <w:rStyle w:val="fontstyle01"/>
          <w:rFonts w:ascii="Times New Roman" w:hAnsi="Times New Roman"/>
          <w:b/>
          <w:bCs/>
          <w:color w:val="000000" w:themeColor="text1"/>
          <w:sz w:val="24"/>
          <w:szCs w:val="24"/>
        </w:rPr>
        <w:lastRenderedPageBreak/>
        <w:t>Figures</w:t>
      </w:r>
      <w:r w:rsidRPr="005534B5">
        <w:rPr>
          <w:b/>
          <w:bCs/>
          <w:color w:val="000000" w:themeColor="text1"/>
          <w:szCs w:val="24"/>
        </w:rPr>
        <w:t xml:space="preserve"> and Tables</w:t>
      </w:r>
    </w:p>
    <w:p w14:paraId="2D6B3802" w14:textId="77777777" w:rsidR="007742CC" w:rsidRDefault="007742CC" w:rsidP="007742CC">
      <w:pPr>
        <w:spacing w:line="360" w:lineRule="auto"/>
        <w:rPr>
          <w:b/>
          <w:color w:val="000000" w:themeColor="text1"/>
        </w:rPr>
      </w:pPr>
    </w:p>
    <w:p w14:paraId="05506C83" w14:textId="77777777" w:rsidR="007742CC" w:rsidRPr="00CF39F6" w:rsidRDefault="007742CC" w:rsidP="007742CC">
      <w:pPr>
        <w:spacing w:line="360" w:lineRule="auto"/>
        <w:jc w:val="center"/>
        <w:rPr>
          <w:b/>
          <w:color w:val="000000" w:themeColor="text1"/>
        </w:rPr>
      </w:pPr>
    </w:p>
    <w:p w14:paraId="795F9183" w14:textId="77777777" w:rsidR="007742CC" w:rsidRDefault="007742CC" w:rsidP="007742CC">
      <w:pPr>
        <w:spacing w:line="360" w:lineRule="auto"/>
        <w:rPr>
          <w:b/>
          <w:color w:val="000000" w:themeColor="text1"/>
        </w:rPr>
      </w:pPr>
    </w:p>
    <w:p w14:paraId="625E4A12" w14:textId="77777777" w:rsidR="007742CC" w:rsidRDefault="007742CC" w:rsidP="007742CC">
      <w:pPr>
        <w:spacing w:line="360" w:lineRule="auto"/>
        <w:rPr>
          <w:color w:val="000000" w:themeColor="text1"/>
        </w:rPr>
      </w:pPr>
    </w:p>
    <w:p w14:paraId="564C7B90" w14:textId="77777777" w:rsidR="007742CC" w:rsidRDefault="007742CC" w:rsidP="007742CC">
      <w:pPr>
        <w:spacing w:line="360" w:lineRule="auto"/>
        <w:rPr>
          <w:color w:val="000000" w:themeColor="text1"/>
        </w:rPr>
      </w:pPr>
      <w:r w:rsidRPr="003C1C32">
        <w:rPr>
          <w:b/>
          <w:noProof/>
          <w:color w:val="000000" w:themeColor="text1"/>
          <w:sz w:val="22"/>
          <w:szCs w:val="22"/>
          <w:lang w:eastAsia="en-US"/>
        </w:rPr>
        <mc:AlternateContent>
          <mc:Choice Requires="wpg">
            <w:drawing>
              <wp:anchor distT="0" distB="0" distL="114300" distR="114300" simplePos="0" relativeHeight="251659264" behindDoc="0" locked="0" layoutInCell="1" allowOverlap="1" wp14:anchorId="60F923FC" wp14:editId="50E67162">
                <wp:simplePos x="0" y="0"/>
                <wp:positionH relativeFrom="column">
                  <wp:posOffset>1270</wp:posOffset>
                </wp:positionH>
                <wp:positionV relativeFrom="paragraph">
                  <wp:posOffset>39642</wp:posOffset>
                </wp:positionV>
                <wp:extent cx="5879465" cy="3294380"/>
                <wp:effectExtent l="0" t="0" r="26035" b="0"/>
                <wp:wrapNone/>
                <wp:docPr id="42" name="Group 128"/>
                <wp:cNvGraphicFramePr/>
                <a:graphic xmlns:a="http://schemas.openxmlformats.org/drawingml/2006/main">
                  <a:graphicData uri="http://schemas.microsoft.com/office/word/2010/wordprocessingGroup">
                    <wpg:wgp>
                      <wpg:cNvGrpSpPr/>
                      <wpg:grpSpPr>
                        <a:xfrm>
                          <a:off x="0" y="0"/>
                          <a:ext cx="5879465" cy="3294380"/>
                          <a:chOff x="997646" y="533037"/>
                          <a:chExt cx="5879465" cy="3295014"/>
                        </a:xfrm>
                      </wpg:grpSpPr>
                      <wpg:grpSp>
                        <wpg:cNvPr id="43" name="Group 43"/>
                        <wpg:cNvGrpSpPr/>
                        <wpg:grpSpPr>
                          <a:xfrm>
                            <a:off x="997646" y="533037"/>
                            <a:ext cx="5879465" cy="3295014"/>
                            <a:chOff x="997646" y="533037"/>
                            <a:chExt cx="5879912" cy="3295066"/>
                          </a:xfrm>
                        </wpg:grpSpPr>
                        <wpg:grpSp>
                          <wpg:cNvPr id="44" name="Group 44"/>
                          <wpg:cNvGrpSpPr/>
                          <wpg:grpSpPr>
                            <a:xfrm>
                              <a:off x="997647" y="533037"/>
                              <a:ext cx="5879911" cy="2811439"/>
                              <a:chOff x="997647" y="533037"/>
                              <a:chExt cx="5879911" cy="2811439"/>
                            </a:xfrm>
                          </wpg:grpSpPr>
                          <wps:wsp>
                            <wps:cNvPr id="45" name="Rectangle 45"/>
                            <wps:cNvSpPr/>
                            <wps:spPr>
                              <a:xfrm>
                                <a:off x="997647" y="1106243"/>
                                <a:ext cx="996287" cy="573206"/>
                              </a:xfrm>
                              <a:prstGeom prst="rect">
                                <a:avLst/>
                              </a:prstGeom>
                            </wps:spPr>
                            <wps:style>
                              <a:lnRef idx="2">
                                <a:schemeClr val="dk1"/>
                              </a:lnRef>
                              <a:fillRef idx="1">
                                <a:schemeClr val="lt1"/>
                              </a:fillRef>
                              <a:effectRef idx="0">
                                <a:schemeClr val="dk1"/>
                              </a:effectRef>
                              <a:fontRef idx="minor">
                                <a:schemeClr val="dk1"/>
                              </a:fontRef>
                            </wps:style>
                            <wps:txbx>
                              <w:txbxContent>
                                <w:p w14:paraId="65711E02"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Performance Orientation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Rectangle 46"/>
                            <wps:cNvSpPr/>
                            <wps:spPr>
                              <a:xfrm>
                                <a:off x="4509670" y="533037"/>
                                <a:ext cx="1371601" cy="450376"/>
                              </a:xfrm>
                              <a:prstGeom prst="rect">
                                <a:avLst/>
                              </a:prstGeom>
                            </wps:spPr>
                            <wps:style>
                              <a:lnRef idx="2">
                                <a:schemeClr val="dk1"/>
                              </a:lnRef>
                              <a:fillRef idx="1">
                                <a:schemeClr val="lt1"/>
                              </a:fillRef>
                              <a:effectRef idx="0">
                                <a:schemeClr val="dk1"/>
                              </a:effectRef>
                              <a:fontRef idx="minor">
                                <a:schemeClr val="dk1"/>
                              </a:fontRef>
                            </wps:style>
                            <wps:txbx>
                              <w:txbxContent>
                                <w:p w14:paraId="72A2AD5F"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Complementarity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Rectangle 47"/>
                            <wps:cNvSpPr/>
                            <wps:spPr>
                              <a:xfrm>
                                <a:off x="997647" y="2771270"/>
                                <a:ext cx="996287" cy="573206"/>
                              </a:xfrm>
                              <a:prstGeom prst="rect">
                                <a:avLst/>
                              </a:prstGeom>
                            </wps:spPr>
                            <wps:style>
                              <a:lnRef idx="2">
                                <a:schemeClr val="dk1"/>
                              </a:lnRef>
                              <a:fillRef idx="1">
                                <a:schemeClr val="lt1"/>
                              </a:fillRef>
                              <a:effectRef idx="0">
                                <a:schemeClr val="dk1"/>
                              </a:effectRef>
                              <a:fontRef idx="minor">
                                <a:schemeClr val="dk1"/>
                              </a:fontRef>
                            </wps:style>
                            <wps:txbx>
                              <w:txbxContent>
                                <w:p w14:paraId="2D6D9EF8"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Social</w:t>
                                  </w:r>
                                </w:p>
                                <w:p w14:paraId="61786835"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Orientation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Rectangle 48"/>
                            <wps:cNvSpPr/>
                            <wps:spPr>
                              <a:xfrm>
                                <a:off x="3422644" y="1881891"/>
                                <a:ext cx="1069076" cy="573206"/>
                              </a:xfrm>
                              <a:prstGeom prst="rect">
                                <a:avLst/>
                              </a:prstGeom>
                            </wps:spPr>
                            <wps:style>
                              <a:lnRef idx="2">
                                <a:schemeClr val="dk1"/>
                              </a:lnRef>
                              <a:fillRef idx="1">
                                <a:schemeClr val="lt1"/>
                              </a:fillRef>
                              <a:effectRef idx="0">
                                <a:schemeClr val="dk1"/>
                              </a:effectRef>
                              <a:fontRef idx="minor">
                                <a:schemeClr val="dk1"/>
                              </a:fontRef>
                            </wps:style>
                            <wps:txbx>
                              <w:txbxContent>
                                <w:p w14:paraId="0F92A90B"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Supply Chain</w:t>
                                  </w:r>
                                </w:p>
                                <w:p w14:paraId="086BD09C"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Agility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Rectangle 49"/>
                            <wps:cNvSpPr/>
                            <wps:spPr>
                              <a:xfrm>
                                <a:off x="5881271" y="1881891"/>
                                <a:ext cx="996287" cy="573206"/>
                              </a:xfrm>
                              <a:prstGeom prst="rect">
                                <a:avLst/>
                              </a:prstGeom>
                            </wps:spPr>
                            <wps:style>
                              <a:lnRef idx="2">
                                <a:schemeClr val="dk1"/>
                              </a:lnRef>
                              <a:fillRef idx="1">
                                <a:schemeClr val="lt1"/>
                              </a:fillRef>
                              <a:effectRef idx="0">
                                <a:schemeClr val="dk1"/>
                              </a:effectRef>
                              <a:fontRef idx="minor">
                                <a:schemeClr val="dk1"/>
                              </a:fontRef>
                            </wps:style>
                            <wps:txbx>
                              <w:txbxContent>
                                <w:p w14:paraId="35E3886B"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Innovation Performance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 name="Straight Arrow Connector 50"/>
                            <wps:cNvCnPr/>
                            <wps:spPr>
                              <a:xfrm>
                                <a:off x="1992589" y="1253855"/>
                                <a:ext cx="1430056" cy="775648"/>
                              </a:xfrm>
                              <a:prstGeom prst="straightConnector1">
                                <a:avLst/>
                              </a:prstGeom>
                              <a:ln w="1905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51" name="Straight Arrow Connector 51"/>
                            <wps:cNvCnPr/>
                            <wps:spPr>
                              <a:xfrm flipV="1">
                                <a:off x="1993934" y="2307487"/>
                                <a:ext cx="1428711" cy="889379"/>
                              </a:xfrm>
                              <a:prstGeom prst="straightConnector1">
                                <a:avLst/>
                              </a:prstGeom>
                              <a:ln w="1905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52" name="Straight Arrow Connector 52"/>
                            <wps:cNvCnPr/>
                            <wps:spPr>
                              <a:xfrm>
                                <a:off x="4491721" y="2168495"/>
                                <a:ext cx="1389551" cy="0"/>
                              </a:xfrm>
                              <a:prstGeom prst="straightConnector1">
                                <a:avLst/>
                              </a:prstGeom>
                              <a:ln w="190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wps:wsp>
                            <wps:cNvPr id="53" name="Straight Arrow Connector 53"/>
                            <wps:cNvCnPr/>
                            <wps:spPr>
                              <a:xfrm>
                                <a:off x="5195471" y="983413"/>
                                <a:ext cx="19335" cy="1185081"/>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54" name="TextBox 18"/>
                          <wps:cNvSpPr txBox="1"/>
                          <wps:spPr>
                            <a:xfrm>
                              <a:off x="4852829" y="1916395"/>
                              <a:ext cx="361978" cy="252147"/>
                            </a:xfrm>
                            <a:prstGeom prst="rect">
                              <a:avLst/>
                            </a:prstGeom>
                            <a:noFill/>
                          </wps:spPr>
                          <wps:txbx>
                            <w:txbxContent>
                              <w:p w14:paraId="019915C9"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H3</w:t>
                                </w:r>
                              </w:p>
                            </w:txbxContent>
                          </wps:txbx>
                          <wps:bodyPr wrap="none" rtlCol="0">
                            <a:spAutoFit/>
                          </wps:bodyPr>
                        </wps:wsp>
                        <wps:wsp>
                          <wps:cNvPr id="55" name="TextBox 19"/>
                          <wps:cNvSpPr txBox="1"/>
                          <wps:spPr>
                            <a:xfrm>
                              <a:off x="2453482" y="1347179"/>
                              <a:ext cx="361978" cy="252099"/>
                            </a:xfrm>
                            <a:prstGeom prst="rect">
                              <a:avLst/>
                            </a:prstGeom>
                            <a:noFill/>
                          </wps:spPr>
                          <wps:txbx>
                            <w:txbxContent>
                              <w:p w14:paraId="43987750"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H4</w:t>
                                </w:r>
                              </w:p>
                            </w:txbxContent>
                          </wps:txbx>
                          <wps:bodyPr wrap="none" rtlCol="0">
                            <a:spAutoFit/>
                          </wps:bodyPr>
                        </wps:wsp>
                        <wps:wsp>
                          <wps:cNvPr id="56" name="TextBox 20"/>
                          <wps:cNvSpPr txBox="1"/>
                          <wps:spPr>
                            <a:xfrm>
                              <a:off x="2453482" y="2400135"/>
                              <a:ext cx="361978" cy="252147"/>
                            </a:xfrm>
                            <a:prstGeom prst="rect">
                              <a:avLst/>
                            </a:prstGeom>
                            <a:noFill/>
                          </wps:spPr>
                          <wps:txbx>
                            <w:txbxContent>
                              <w:p w14:paraId="0E69FE04"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H2</w:t>
                                </w:r>
                              </w:p>
                            </w:txbxContent>
                          </wps:txbx>
                          <wps:bodyPr wrap="none" rtlCol="0">
                            <a:spAutoFit/>
                          </wps:bodyPr>
                        </wps:wsp>
                        <wps:wsp>
                          <wps:cNvPr id="57" name="TextBox 21"/>
                          <wps:cNvSpPr txBox="1"/>
                          <wps:spPr>
                            <a:xfrm>
                              <a:off x="2453482" y="1761184"/>
                              <a:ext cx="361978" cy="252147"/>
                            </a:xfrm>
                            <a:prstGeom prst="rect">
                              <a:avLst/>
                            </a:prstGeom>
                            <a:noFill/>
                          </wps:spPr>
                          <wps:txbx>
                            <w:txbxContent>
                              <w:p w14:paraId="7D059AE1"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H1</w:t>
                                </w:r>
                              </w:p>
                            </w:txbxContent>
                          </wps:txbx>
                          <wps:bodyPr wrap="none" rtlCol="0">
                            <a:spAutoFit/>
                          </wps:bodyPr>
                        </wps:wsp>
                        <wps:wsp>
                          <wps:cNvPr id="58" name="TextBox 22"/>
                          <wps:cNvSpPr txBox="1"/>
                          <wps:spPr>
                            <a:xfrm>
                              <a:off x="5201714" y="1347183"/>
                              <a:ext cx="361978" cy="252147"/>
                            </a:xfrm>
                            <a:prstGeom prst="rect">
                              <a:avLst/>
                            </a:prstGeom>
                            <a:noFill/>
                          </wps:spPr>
                          <wps:txbx>
                            <w:txbxContent>
                              <w:p w14:paraId="1A5D4BE4"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H6</w:t>
                                </w:r>
                              </w:p>
                            </w:txbxContent>
                          </wps:txbx>
                          <wps:bodyPr wrap="none" rtlCol="0">
                            <a:spAutoFit/>
                          </wps:bodyPr>
                        </wps:wsp>
                        <wps:wsp>
                          <wps:cNvPr id="59" name="TextBox 23"/>
                          <wps:cNvSpPr txBox="1"/>
                          <wps:spPr>
                            <a:xfrm>
                              <a:off x="997646" y="3576008"/>
                              <a:ext cx="2014855" cy="252095"/>
                            </a:xfrm>
                            <a:prstGeom prst="rect">
                              <a:avLst/>
                            </a:prstGeom>
                            <a:noFill/>
                          </wps:spPr>
                          <wps:txbx>
                            <w:txbxContent>
                              <w:p w14:paraId="7C698033" w14:textId="77777777" w:rsidR="007742CC" w:rsidRDefault="007742CC" w:rsidP="007742CC">
                                <w:pPr>
                                  <w:rPr>
                                    <w:rFonts w:cstheme="minorBidi"/>
                                    <w:b/>
                                    <w:bCs/>
                                    <w:color w:val="000000"/>
                                    <w:kern w:val="24"/>
                                    <w:sz w:val="22"/>
                                    <w:szCs w:val="22"/>
                                  </w:rPr>
                                </w:pPr>
                                <w:r w:rsidRPr="00F47D4A">
                                  <w:rPr>
                                    <w:rFonts w:cstheme="minorBidi"/>
                                    <w:bCs/>
                                    <w:color w:val="000000"/>
                                    <w:kern w:val="24"/>
                                    <w:sz w:val="22"/>
                                    <w:szCs w:val="22"/>
                                  </w:rPr>
                                  <w:t>---</w:t>
                                </w:r>
                                <w:r>
                                  <w:rPr>
                                    <w:rFonts w:cstheme="minorBidi"/>
                                    <w:b/>
                                    <w:bCs/>
                                    <w:color w:val="000000"/>
                                    <w:kern w:val="24"/>
                                    <w:sz w:val="22"/>
                                    <w:szCs w:val="22"/>
                                  </w:rPr>
                                  <w:t xml:space="preserve"> Mediating relationship</w:t>
                                </w:r>
                              </w:p>
                            </w:txbxContent>
                          </wps:txbx>
                          <wps:bodyPr wrap="square" rtlCol="0">
                            <a:spAutoFit/>
                          </wps:bodyPr>
                        </wps:wsp>
                      </wpg:grpSp>
                      <wps:wsp>
                        <wps:cNvPr id="60" name="Straight Arrow Connector 60"/>
                        <wps:cNvCnPr/>
                        <wps:spPr>
                          <a:xfrm flipV="1">
                            <a:off x="1993326" y="2166257"/>
                            <a:ext cx="1426210" cy="87757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61" name="Straight Arrow Connector 61"/>
                        <wps:cNvCnPr/>
                        <wps:spPr>
                          <a:xfrm>
                            <a:off x="1992056" y="1449342"/>
                            <a:ext cx="1429385" cy="71691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62" name="TextBox 19"/>
                        <wps:cNvSpPr txBox="1"/>
                        <wps:spPr>
                          <a:xfrm>
                            <a:off x="2449861" y="2837491"/>
                            <a:ext cx="361950" cy="252095"/>
                          </a:xfrm>
                          <a:prstGeom prst="rect">
                            <a:avLst/>
                          </a:prstGeom>
                          <a:noFill/>
                        </wps:spPr>
                        <wps:txbx>
                          <w:txbxContent>
                            <w:p w14:paraId="1111713E"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H5</w:t>
                              </w:r>
                            </w:p>
                          </w:txbxContent>
                        </wps:txbx>
                        <wps:bodyPr wrap="none" rtlCol="0">
                          <a:spAutoFit/>
                        </wps:bodyPr>
                      </wps:wsp>
                    </wpg:wgp>
                  </a:graphicData>
                </a:graphic>
                <wp14:sizeRelH relativeFrom="margin">
                  <wp14:pctWidth>0</wp14:pctWidth>
                </wp14:sizeRelH>
                <wp14:sizeRelV relativeFrom="margin">
                  <wp14:pctHeight>0</wp14:pctHeight>
                </wp14:sizeRelV>
              </wp:anchor>
            </w:drawing>
          </mc:Choice>
          <mc:Fallback>
            <w:pict>
              <v:group w14:anchorId="60F923FC" id="Group 128" o:spid="_x0000_s1026" style="position:absolute;margin-left:.1pt;margin-top:3.1pt;width:462.95pt;height:259.4pt;z-index:251659264;mso-width-relative:margin;mso-height-relative:margin" coordorigin="9976,5330" coordsize="58794,32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">
                <v:group id="Group 43" o:spid="_x0000_s1027" style="position:absolute;left:9976;top:5330;width:58795;height:32950" coordorigin="9976,5330" coordsize="58799,32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group id="Group 44" o:spid="_x0000_s1028" style="position:absolute;left:9976;top:5330;width:58799;height:28114" coordorigin="9976,5330" coordsize="58799,28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rect id="Rectangle 45" o:spid="_x0000_s1029" style="position:absolute;left:9976;top:11062;width:9963;height:57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" fillcolor="white [3201]" strokecolor="black [3200]" strokeweight="1pt">
                      <v:textbox>
                        <w:txbxContent>
                          <w:p w14:paraId="65711E02"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Performance Orientation</w:t>
                            </w:r>
                          </w:p>
                        </w:txbxContent>
                      </v:textbox>
                    </v:rect>
                    <v:rect id="Rectangle 46" o:spid="_x0000_s1030" style="position:absolute;left:45096;top:5330;width:13716;height:4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" fillcolor="white [3201]" strokecolor="black [3200]" strokeweight="1pt">
                      <v:textbox>
                        <w:txbxContent>
                          <w:p w14:paraId="72A2AD5F"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Complementarity</w:t>
                            </w:r>
                          </w:p>
                        </w:txbxContent>
                      </v:textbox>
                    </v:rect>
                    <v:rect id="Rectangle 47" o:spid="_x0000_s1031" style="position:absolute;left:9976;top:27712;width:9963;height:57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" fillcolor="white [3201]" strokecolor="black [3200]" strokeweight="1pt">
                      <v:textbox>
                        <w:txbxContent>
                          <w:p w14:paraId="2D6D9EF8"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Social</w:t>
                            </w:r>
                          </w:p>
                          <w:p w14:paraId="61786835"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Orientation</w:t>
                            </w:r>
                          </w:p>
                        </w:txbxContent>
                      </v:textbox>
                    </v:rect>
                    <v:rect id="Rectangle 48" o:spid="_x0000_s1032" style="position:absolute;left:34226;top:18818;width:10691;height:57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" fillcolor="white [3201]" strokecolor="black [3200]" strokeweight="1pt">
                      <v:textbox>
                        <w:txbxContent>
                          <w:p w14:paraId="0F92A90B"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Supply Chain</w:t>
                            </w:r>
                          </w:p>
                          <w:p w14:paraId="086BD09C"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Agility</w:t>
                            </w:r>
                          </w:p>
                        </w:txbxContent>
                      </v:textbox>
                    </v:rect>
                    <v:rect id="Rectangle 49" o:spid="_x0000_s1033" style="position:absolute;left:58812;top:18818;width:9963;height:57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" fillcolor="white [3201]" strokecolor="black [3200]" strokeweight="1pt">
                      <v:textbox>
                        <w:txbxContent>
                          <w:p w14:paraId="35E3886B" w14:textId="77777777" w:rsidR="007742CC" w:rsidRDefault="007742CC" w:rsidP="007742CC">
                            <w:pPr>
                              <w:jc w:val="center"/>
                              <w:rPr>
                                <w:rFonts w:cstheme="minorBidi"/>
                                <w:b/>
                                <w:bCs/>
                                <w:color w:val="000000"/>
                                <w:kern w:val="24"/>
                                <w:sz w:val="22"/>
                                <w:szCs w:val="22"/>
                              </w:rPr>
                            </w:pPr>
                            <w:r>
                              <w:rPr>
                                <w:rFonts w:cstheme="minorBidi"/>
                                <w:b/>
                                <w:bCs/>
                                <w:color w:val="000000"/>
                                <w:kern w:val="24"/>
                                <w:sz w:val="22"/>
                                <w:szCs w:val="22"/>
                              </w:rPr>
                              <w:t>Innovation Performance</w:t>
                            </w:r>
                          </w:p>
                        </w:txbxContent>
                      </v:textbox>
                    </v:rect>
                    <v:shapetype id="_x0000_t32" coordsize="21600,21600" o:spt="32" o:oned="t" path="m,l21600,21600e" filled="f">
                      <v:path arrowok="t" fillok="f" o:connecttype="none"/>
                      <o:lock v:ext="edit" shapetype="t"/>
                    </v:shapetype>
                    <v:shape id="Straight Arrow Connector 50" o:spid="_x0000_s1034" type="#_x0000_t32" style="position:absolute;left:19925;top:12538;width:14301;height:77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" strokecolor="black [3213]" strokeweight="1.5pt">
                      <v:stroke dashstyle="dash" endarrow="block" joinstyle="miter"/>
                    </v:shape>
                    <v:shape id="Straight Arrow Connector 51" o:spid="_x0000_s1035" type="#_x0000_t32" style="position:absolute;left:19939;top:23074;width:14287;height:88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" strokecolor="black [3213]" strokeweight="1.5pt">
                      <v:stroke dashstyle="dash" endarrow="block" joinstyle="miter"/>
                    </v:shape>
                    <v:shape id="Straight Arrow Connector 52" o:spid="_x0000_s1036" type="#_x0000_t32" style="position:absolute;left:44917;top:21684;width:138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" strokecolor="black [3213]" strokeweight="1.5pt">
                      <v:stroke endarrow="block" joinstyle="miter"/>
                    </v:shape>
                    <v:shape id="Straight Arrow Connector 53" o:spid="_x0000_s1037" type="#_x0000_t32" style="position:absolute;left:51954;top:9834;width:194;height:118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" strokecolor="black [3213]" strokeweight="1.5pt">
                      <v:stroke endarrow="block" joinstyle="miter"/>
                    </v:shape>
                  </v:group>
                  <v:shapetype id="_x0000_t202" coordsize="21600,21600" o:spt="202" path="m,l,21600r21600,l21600,xe">
                    <v:stroke joinstyle="miter"/>
                    <v:path gradientshapeok="t" o:connecttype="rect"/>
                  </v:shapetype>
                  <v:shape id="TextBox 18" o:spid="_x0000_s1038" type="#_x0000_t202" style="position:absolute;left:48528;top:19163;width:3620;height:25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" filled="f" stroked="f">
                    <v:textbox style="mso-fit-shape-to-text:t">
                      <w:txbxContent>
                        <w:p w14:paraId="019915C9"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H3</w:t>
                          </w:r>
                        </w:p>
                      </w:txbxContent>
                    </v:textbox>
                  </v:shape>
                  <v:shape id="TextBox 19" o:spid="_x0000_s1039" type="#_x0000_t202" style="position:absolute;left:24534;top:13471;width:3620;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" filled="f" stroked="f">
                    <v:textbox style="mso-fit-shape-to-text:t">
                      <w:txbxContent>
                        <w:p w14:paraId="43987750"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H4</w:t>
                          </w:r>
                        </w:p>
                      </w:txbxContent>
                    </v:textbox>
                  </v:shape>
                  <v:shape id="TextBox 20" o:spid="_x0000_s1040" type="#_x0000_t202" style="position:absolute;left:24534;top:24001;width:3620;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" filled="f" stroked="f">
                    <v:textbox style="mso-fit-shape-to-text:t">
                      <w:txbxContent>
                        <w:p w14:paraId="0E69FE04"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H2</w:t>
                          </w:r>
                        </w:p>
                      </w:txbxContent>
                    </v:textbox>
                  </v:shape>
                  <v:shape id="TextBox 21" o:spid="_x0000_s1041" type="#_x0000_t202" style="position:absolute;left:24534;top:17611;width:3620;height:25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" filled="f" stroked="f">
                    <v:textbox style="mso-fit-shape-to-text:t">
                      <w:txbxContent>
                        <w:p w14:paraId="7D059AE1"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H1</w:t>
                          </w:r>
                        </w:p>
                      </w:txbxContent>
                    </v:textbox>
                  </v:shape>
                  <v:shape id="TextBox 22" o:spid="_x0000_s1042" type="#_x0000_t202" style="position:absolute;left:52017;top:13471;width:3619;height:25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" filled="f" stroked="f">
                    <v:textbox style="mso-fit-shape-to-text:t">
                      <w:txbxContent>
                        <w:p w14:paraId="1A5D4BE4"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H6</w:t>
                          </w:r>
                        </w:p>
                      </w:txbxContent>
                    </v:textbox>
                  </v:shape>
                  <v:shape id="TextBox 23" o:spid="_x0000_s1043" type="#_x0000_t202" style="position:absolute;left:9976;top:35760;width:20149;height: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" filled="f" stroked="f">
                    <v:textbox style="mso-fit-shape-to-text:t">
                      <w:txbxContent>
                        <w:p w14:paraId="7C698033" w14:textId="77777777" w:rsidR="007742CC" w:rsidRDefault="007742CC" w:rsidP="007742CC">
                          <w:pPr>
                            <w:rPr>
                              <w:rFonts w:cstheme="minorBidi"/>
                              <w:b/>
                              <w:bCs/>
                              <w:color w:val="000000"/>
                              <w:kern w:val="24"/>
                              <w:sz w:val="22"/>
                              <w:szCs w:val="22"/>
                            </w:rPr>
                          </w:pPr>
                          <w:r w:rsidRPr="00F47D4A">
                            <w:rPr>
                              <w:rFonts w:cstheme="minorBidi"/>
                              <w:bCs/>
                              <w:color w:val="000000"/>
                              <w:kern w:val="24"/>
                              <w:sz w:val="22"/>
                              <w:szCs w:val="22"/>
                            </w:rPr>
                            <w:t>---</w:t>
                          </w:r>
                          <w:r>
                            <w:rPr>
                              <w:rFonts w:cstheme="minorBidi"/>
                              <w:b/>
                              <w:bCs/>
                              <w:color w:val="000000"/>
                              <w:kern w:val="24"/>
                              <w:sz w:val="22"/>
                              <w:szCs w:val="22"/>
                            </w:rPr>
                            <w:t xml:space="preserve"> Mediating relationship</w:t>
                          </w:r>
                        </w:p>
                      </w:txbxContent>
                    </v:textbox>
                  </v:shape>
                </v:group>
                <v:shape id="Straight Arrow Connector 60" o:spid="_x0000_s1044" type="#_x0000_t32" style="position:absolute;left:19933;top:21662;width:14262;height:87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" strokecolor="black [3200]" strokeweight="1.5pt">
                  <v:stroke endarrow="block" joinstyle="miter"/>
                </v:shape>
                <v:shape id="Straight Arrow Connector 61" o:spid="_x0000_s1045" type="#_x0000_t32" style="position:absolute;left:19920;top:14493;width:14294;height:71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" strokecolor="black [3200]" strokeweight="1.5pt">
                  <v:stroke endarrow="block" joinstyle="miter"/>
                </v:shape>
                <v:shape id="TextBox 19" o:spid="_x0000_s1046" type="#_x0000_t202" style="position:absolute;left:24498;top:28374;width:3620;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" filled="f" stroked="f">
                  <v:textbox style="mso-fit-shape-to-text:t">
                    <w:txbxContent>
                      <w:p w14:paraId="1111713E" w14:textId="77777777" w:rsidR="007742CC" w:rsidRDefault="007742CC" w:rsidP="007742CC">
                        <w:pPr>
                          <w:rPr>
                            <w:rFonts w:cstheme="minorBidi"/>
                            <w:b/>
                            <w:bCs/>
                            <w:color w:val="000000"/>
                            <w:kern w:val="24"/>
                            <w:sz w:val="22"/>
                            <w:szCs w:val="22"/>
                          </w:rPr>
                        </w:pPr>
                        <w:r>
                          <w:rPr>
                            <w:rFonts w:cstheme="minorBidi"/>
                            <w:b/>
                            <w:bCs/>
                            <w:color w:val="000000"/>
                            <w:kern w:val="24"/>
                            <w:sz w:val="22"/>
                            <w:szCs w:val="22"/>
                          </w:rPr>
                          <w:t>H5</w:t>
                        </w:r>
                      </w:p>
                    </w:txbxContent>
                  </v:textbox>
                </v:shape>
              </v:group>
            </w:pict>
          </mc:Fallback>
        </mc:AlternateContent>
      </w:r>
    </w:p>
    <w:p w14:paraId="4F2D3A26" w14:textId="77777777" w:rsidR="007742CC" w:rsidRDefault="007742CC" w:rsidP="007742CC">
      <w:pPr>
        <w:spacing w:line="360" w:lineRule="auto"/>
        <w:rPr>
          <w:color w:val="000000" w:themeColor="text1"/>
        </w:rPr>
      </w:pPr>
    </w:p>
    <w:p w14:paraId="151CA0CB" w14:textId="77777777" w:rsidR="007742CC" w:rsidRDefault="007742CC" w:rsidP="007742CC">
      <w:pPr>
        <w:spacing w:line="360" w:lineRule="auto"/>
        <w:rPr>
          <w:color w:val="000000" w:themeColor="text1"/>
        </w:rPr>
      </w:pPr>
    </w:p>
    <w:p w14:paraId="06514F2F" w14:textId="77777777" w:rsidR="007742CC" w:rsidRDefault="007742CC" w:rsidP="007742CC">
      <w:pPr>
        <w:spacing w:line="360" w:lineRule="auto"/>
        <w:rPr>
          <w:color w:val="000000" w:themeColor="text1"/>
        </w:rPr>
      </w:pPr>
    </w:p>
    <w:p w14:paraId="785783D4" w14:textId="77777777" w:rsidR="007742CC" w:rsidRDefault="007742CC" w:rsidP="007742CC">
      <w:pPr>
        <w:spacing w:line="360" w:lineRule="auto"/>
        <w:rPr>
          <w:color w:val="000000" w:themeColor="text1"/>
        </w:rPr>
      </w:pPr>
    </w:p>
    <w:p w14:paraId="50696057" w14:textId="77777777" w:rsidR="007742CC" w:rsidRDefault="007742CC" w:rsidP="007742CC">
      <w:pPr>
        <w:spacing w:line="360" w:lineRule="auto"/>
        <w:rPr>
          <w:color w:val="000000" w:themeColor="text1"/>
        </w:rPr>
      </w:pPr>
    </w:p>
    <w:p w14:paraId="75A1BB0D" w14:textId="77777777" w:rsidR="007742CC" w:rsidRDefault="007742CC" w:rsidP="007742CC">
      <w:pPr>
        <w:spacing w:line="360" w:lineRule="auto"/>
        <w:rPr>
          <w:color w:val="000000" w:themeColor="text1"/>
        </w:rPr>
      </w:pPr>
    </w:p>
    <w:p w14:paraId="5891CC92" w14:textId="77777777" w:rsidR="007742CC" w:rsidRDefault="007742CC" w:rsidP="007742CC">
      <w:pPr>
        <w:spacing w:line="360" w:lineRule="auto"/>
        <w:rPr>
          <w:color w:val="000000" w:themeColor="text1"/>
        </w:rPr>
      </w:pPr>
    </w:p>
    <w:p w14:paraId="6C61D7C6" w14:textId="77777777" w:rsidR="007742CC" w:rsidRDefault="007742CC" w:rsidP="007742CC">
      <w:pPr>
        <w:spacing w:line="360" w:lineRule="auto"/>
        <w:rPr>
          <w:color w:val="000000" w:themeColor="text1"/>
        </w:rPr>
      </w:pPr>
    </w:p>
    <w:p w14:paraId="009FC5DD" w14:textId="77777777" w:rsidR="007742CC" w:rsidRDefault="007742CC" w:rsidP="007742CC">
      <w:pPr>
        <w:spacing w:line="360" w:lineRule="auto"/>
        <w:rPr>
          <w:color w:val="000000" w:themeColor="text1"/>
        </w:rPr>
      </w:pPr>
    </w:p>
    <w:p w14:paraId="0C765760" w14:textId="77777777" w:rsidR="007742CC" w:rsidRDefault="007742CC" w:rsidP="007742CC">
      <w:pPr>
        <w:spacing w:line="360" w:lineRule="auto"/>
        <w:rPr>
          <w:color w:val="000000" w:themeColor="text1"/>
        </w:rPr>
      </w:pPr>
    </w:p>
    <w:p w14:paraId="3302B82C" w14:textId="77777777" w:rsidR="007742CC" w:rsidRDefault="007742CC" w:rsidP="007742CC">
      <w:pPr>
        <w:spacing w:line="360" w:lineRule="auto"/>
        <w:rPr>
          <w:color w:val="000000" w:themeColor="text1"/>
        </w:rPr>
      </w:pPr>
    </w:p>
    <w:p w14:paraId="0A603B1B" w14:textId="77777777" w:rsidR="007742CC" w:rsidRDefault="007742CC" w:rsidP="007742CC">
      <w:pPr>
        <w:spacing w:line="360" w:lineRule="auto"/>
        <w:rPr>
          <w:color w:val="000000" w:themeColor="text1"/>
        </w:rPr>
      </w:pPr>
    </w:p>
    <w:p w14:paraId="28C81EBD" w14:textId="77777777" w:rsidR="007742CC" w:rsidRDefault="007742CC" w:rsidP="007742CC">
      <w:pPr>
        <w:spacing w:line="360" w:lineRule="auto"/>
        <w:rPr>
          <w:color w:val="000000" w:themeColor="text1"/>
        </w:rPr>
      </w:pPr>
    </w:p>
    <w:p w14:paraId="20500307" w14:textId="77777777" w:rsidR="007742CC" w:rsidRDefault="007742CC" w:rsidP="007742CC">
      <w:pPr>
        <w:spacing w:line="360" w:lineRule="auto"/>
        <w:rPr>
          <w:color w:val="000000" w:themeColor="text1"/>
        </w:rPr>
      </w:pPr>
    </w:p>
    <w:p w14:paraId="3890F4E1" w14:textId="77777777" w:rsidR="007742CC" w:rsidRDefault="007742CC" w:rsidP="007742CC">
      <w:pPr>
        <w:spacing w:line="360" w:lineRule="auto"/>
        <w:rPr>
          <w:color w:val="000000" w:themeColor="text1"/>
        </w:rPr>
      </w:pPr>
    </w:p>
    <w:p w14:paraId="2C0F28F4" w14:textId="77777777" w:rsidR="007742CC" w:rsidRDefault="007742CC" w:rsidP="007742CC">
      <w:pPr>
        <w:spacing w:line="360" w:lineRule="auto"/>
        <w:rPr>
          <w:color w:val="000000" w:themeColor="text1"/>
        </w:rPr>
      </w:pPr>
    </w:p>
    <w:p w14:paraId="5CA2E644" w14:textId="77777777" w:rsidR="007742CC" w:rsidRDefault="007742CC" w:rsidP="007742CC">
      <w:pPr>
        <w:spacing w:line="360" w:lineRule="auto"/>
        <w:rPr>
          <w:color w:val="000000" w:themeColor="text1"/>
        </w:rPr>
      </w:pPr>
    </w:p>
    <w:p w14:paraId="70689F6F" w14:textId="77777777" w:rsidR="007742CC" w:rsidRDefault="007742CC" w:rsidP="007742CC">
      <w:pPr>
        <w:spacing w:before="120" w:line="360" w:lineRule="auto"/>
        <w:jc w:val="center"/>
        <w:rPr>
          <w:b/>
          <w:color w:val="000000" w:themeColor="text1"/>
          <w:sz w:val="22"/>
          <w:szCs w:val="22"/>
        </w:rPr>
      </w:pPr>
    </w:p>
    <w:p w14:paraId="78B95244" w14:textId="77777777" w:rsidR="007742CC" w:rsidRDefault="007742CC" w:rsidP="007742CC">
      <w:pPr>
        <w:spacing w:before="120" w:line="360" w:lineRule="auto"/>
        <w:jc w:val="center"/>
        <w:rPr>
          <w:bCs/>
          <w:color w:val="000000" w:themeColor="text1"/>
          <w:sz w:val="22"/>
          <w:szCs w:val="22"/>
        </w:rPr>
      </w:pPr>
      <w:r w:rsidRPr="00AB7B8D">
        <w:rPr>
          <w:b/>
          <w:color w:val="000000" w:themeColor="text1"/>
          <w:sz w:val="22"/>
          <w:szCs w:val="22"/>
        </w:rPr>
        <w:t xml:space="preserve">Figure 1: </w:t>
      </w:r>
      <w:r w:rsidRPr="00AB7B8D">
        <w:rPr>
          <w:bCs/>
          <w:color w:val="000000" w:themeColor="text1"/>
          <w:sz w:val="22"/>
          <w:szCs w:val="22"/>
        </w:rPr>
        <w:t xml:space="preserve">Hypothesized </w:t>
      </w:r>
      <w:r>
        <w:rPr>
          <w:bCs/>
          <w:color w:val="000000" w:themeColor="text1"/>
          <w:sz w:val="22"/>
          <w:szCs w:val="22"/>
        </w:rPr>
        <w:t>m</w:t>
      </w:r>
      <w:r w:rsidRPr="00AB7B8D">
        <w:rPr>
          <w:bCs/>
          <w:color w:val="000000" w:themeColor="text1"/>
          <w:sz w:val="22"/>
          <w:szCs w:val="22"/>
        </w:rPr>
        <w:t>odel</w:t>
      </w:r>
      <w:r>
        <w:rPr>
          <w:bCs/>
          <w:color w:val="000000" w:themeColor="text1"/>
          <w:sz w:val="22"/>
          <w:szCs w:val="22"/>
        </w:rPr>
        <w:t>.</w:t>
      </w:r>
    </w:p>
    <w:p w14:paraId="7895FF19" w14:textId="77777777" w:rsidR="007742CC" w:rsidRDefault="007742CC" w:rsidP="007742CC">
      <w:pPr>
        <w:spacing w:after="160" w:line="360" w:lineRule="auto"/>
        <w:rPr>
          <w:bCs/>
          <w:color w:val="000000" w:themeColor="text1"/>
          <w:sz w:val="22"/>
          <w:szCs w:val="22"/>
        </w:rPr>
      </w:pPr>
      <w:r>
        <w:rPr>
          <w:bCs/>
          <w:color w:val="000000" w:themeColor="text1"/>
          <w:sz w:val="22"/>
          <w:szCs w:val="22"/>
        </w:rPr>
        <w:br w:type="page"/>
      </w:r>
    </w:p>
    <w:p w14:paraId="2D6860CA" w14:textId="77777777" w:rsidR="007742CC" w:rsidRPr="00AB7B8D" w:rsidRDefault="007742CC" w:rsidP="007742CC">
      <w:pPr>
        <w:spacing w:before="120" w:line="360" w:lineRule="auto"/>
        <w:jc w:val="center"/>
        <w:rPr>
          <w:bCs/>
          <w:color w:val="000000" w:themeColor="text1"/>
          <w:sz w:val="22"/>
          <w:szCs w:val="22"/>
        </w:rPr>
      </w:pPr>
    </w:p>
    <w:p w14:paraId="1855DEDB" w14:textId="77777777" w:rsidR="007742CC" w:rsidRDefault="007742CC" w:rsidP="007742CC">
      <w:pPr>
        <w:spacing w:line="360" w:lineRule="auto"/>
        <w:rPr>
          <w:color w:val="000000" w:themeColor="text1"/>
        </w:rPr>
      </w:pPr>
    </w:p>
    <w:p w14:paraId="31533740" w14:textId="77777777" w:rsidR="007742CC" w:rsidRDefault="007742CC" w:rsidP="007742CC">
      <w:pPr>
        <w:spacing w:before="120" w:line="360" w:lineRule="auto"/>
        <w:jc w:val="center"/>
        <w:rPr>
          <w:b/>
          <w:color w:val="000000" w:themeColor="text1"/>
          <w:sz w:val="22"/>
          <w:szCs w:val="22"/>
        </w:rPr>
      </w:pPr>
      <w:r w:rsidRPr="009F77BA">
        <w:rPr>
          <w:noProof/>
          <w:color w:val="000000" w:themeColor="text1"/>
          <w:lang w:eastAsia="en-US"/>
        </w:rPr>
        <w:drawing>
          <wp:inline distT="0" distB="0" distL="0" distR="0" wp14:anchorId="33989997" wp14:editId="0048F94C">
            <wp:extent cx="4722829" cy="3073764"/>
            <wp:effectExtent l="0" t="0" r="1905" b="0"/>
            <wp:docPr id="3" name="Picture 3" descr="C:\Users\3642\Desktop\New Project 1\Interaction 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3642\Desktop\New Project 1\Interaction Plot.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58532" cy="3097001"/>
                    </a:xfrm>
                    <a:prstGeom prst="rect">
                      <a:avLst/>
                    </a:prstGeom>
                    <a:noFill/>
                    <a:ln>
                      <a:noFill/>
                    </a:ln>
                  </pic:spPr>
                </pic:pic>
              </a:graphicData>
            </a:graphic>
          </wp:inline>
        </w:drawing>
      </w:r>
      <w:r w:rsidRPr="009F77BA">
        <w:rPr>
          <w:b/>
          <w:color w:val="000000" w:themeColor="text1"/>
          <w:sz w:val="22"/>
          <w:szCs w:val="22"/>
        </w:rPr>
        <w:t xml:space="preserve"> </w:t>
      </w:r>
    </w:p>
    <w:p w14:paraId="607B54DC" w14:textId="77777777" w:rsidR="007742CC" w:rsidRDefault="007742CC" w:rsidP="007742CC">
      <w:pPr>
        <w:spacing w:before="120" w:line="360" w:lineRule="auto"/>
        <w:jc w:val="center"/>
        <w:rPr>
          <w:b/>
          <w:color w:val="000000" w:themeColor="text1"/>
          <w:sz w:val="22"/>
          <w:szCs w:val="22"/>
        </w:rPr>
      </w:pPr>
    </w:p>
    <w:p w14:paraId="7673681E" w14:textId="77777777" w:rsidR="007742CC" w:rsidRPr="00AB7B8D" w:rsidRDefault="007742CC" w:rsidP="007742CC">
      <w:pPr>
        <w:spacing w:before="120" w:line="360" w:lineRule="auto"/>
        <w:jc w:val="center"/>
        <w:rPr>
          <w:bCs/>
          <w:color w:val="000000" w:themeColor="text1"/>
          <w:sz w:val="22"/>
          <w:szCs w:val="22"/>
        </w:rPr>
      </w:pPr>
      <w:r w:rsidRPr="00AB7B8D">
        <w:rPr>
          <w:b/>
          <w:color w:val="000000" w:themeColor="text1"/>
          <w:sz w:val="22"/>
          <w:szCs w:val="22"/>
        </w:rPr>
        <w:t xml:space="preserve">Figure </w:t>
      </w:r>
      <w:r>
        <w:rPr>
          <w:b/>
          <w:color w:val="000000" w:themeColor="text1"/>
          <w:sz w:val="22"/>
          <w:szCs w:val="22"/>
        </w:rPr>
        <w:t>2</w:t>
      </w:r>
      <w:r w:rsidRPr="00AB7B8D">
        <w:rPr>
          <w:b/>
          <w:color w:val="000000" w:themeColor="text1"/>
          <w:sz w:val="22"/>
          <w:szCs w:val="22"/>
        </w:rPr>
        <w:t xml:space="preserve">: </w:t>
      </w:r>
      <w:r>
        <w:rPr>
          <w:bCs/>
          <w:color w:val="000000" w:themeColor="text1"/>
          <w:sz w:val="22"/>
          <w:szCs w:val="22"/>
        </w:rPr>
        <w:t>Interaction plot.</w:t>
      </w:r>
    </w:p>
    <w:p w14:paraId="446E2BD4" w14:textId="77777777" w:rsidR="007742CC" w:rsidRDefault="007742CC" w:rsidP="007742CC">
      <w:pPr>
        <w:spacing w:after="160" w:line="360" w:lineRule="auto"/>
        <w:rPr>
          <w:color w:val="000000" w:themeColor="text1"/>
        </w:rPr>
      </w:pPr>
      <w:r>
        <w:rPr>
          <w:color w:val="000000" w:themeColor="text1"/>
        </w:rPr>
        <w:br w:type="page"/>
      </w:r>
    </w:p>
    <w:tbl>
      <w:tblPr>
        <w:tblW w:w="5380" w:type="dxa"/>
        <w:jc w:val="center"/>
        <w:tblLook w:val="04A0" w:firstRow="1" w:lastRow="0" w:firstColumn="1" w:lastColumn="0" w:noHBand="0" w:noVBand="1"/>
      </w:tblPr>
      <w:tblGrid>
        <w:gridCol w:w="3110"/>
        <w:gridCol w:w="1310"/>
        <w:gridCol w:w="960"/>
      </w:tblGrid>
      <w:tr w:rsidR="007742CC" w:rsidRPr="0058490C" w14:paraId="53D1E6D0" w14:textId="77777777" w:rsidTr="000A29B1">
        <w:trPr>
          <w:trHeight w:val="300"/>
          <w:jc w:val="center"/>
        </w:trPr>
        <w:tc>
          <w:tcPr>
            <w:tcW w:w="3110" w:type="dxa"/>
            <w:tcBorders>
              <w:top w:val="single" w:sz="4" w:space="0" w:color="auto"/>
              <w:left w:val="nil"/>
              <w:bottom w:val="single" w:sz="4" w:space="0" w:color="auto"/>
              <w:right w:val="nil"/>
            </w:tcBorders>
            <w:shd w:val="clear" w:color="auto" w:fill="auto"/>
            <w:vAlign w:val="center"/>
            <w:hideMark/>
          </w:tcPr>
          <w:p w14:paraId="51943144" w14:textId="77777777" w:rsidR="007742CC" w:rsidRPr="0058490C" w:rsidRDefault="007742CC" w:rsidP="000A29B1">
            <w:pPr>
              <w:spacing w:line="360" w:lineRule="auto"/>
              <w:jc w:val="center"/>
              <w:rPr>
                <w:color w:val="000000" w:themeColor="text1"/>
              </w:rPr>
            </w:pPr>
          </w:p>
        </w:tc>
        <w:tc>
          <w:tcPr>
            <w:tcW w:w="1310" w:type="dxa"/>
            <w:tcBorders>
              <w:top w:val="single" w:sz="4" w:space="0" w:color="auto"/>
              <w:left w:val="nil"/>
              <w:bottom w:val="single" w:sz="4" w:space="0" w:color="auto"/>
              <w:right w:val="nil"/>
            </w:tcBorders>
            <w:shd w:val="clear" w:color="auto" w:fill="auto"/>
            <w:noWrap/>
            <w:vAlign w:val="center"/>
            <w:hideMark/>
          </w:tcPr>
          <w:p w14:paraId="3D32E1F5" w14:textId="77777777" w:rsidR="007742CC" w:rsidRPr="003C1C32" w:rsidRDefault="007742CC" w:rsidP="000A29B1">
            <w:pPr>
              <w:spacing w:line="360" w:lineRule="auto"/>
              <w:jc w:val="center"/>
              <w:rPr>
                <w:b/>
                <w:bCs/>
                <w:color w:val="000000" w:themeColor="text1"/>
              </w:rPr>
            </w:pPr>
            <w:r w:rsidRPr="003C1C32">
              <w:rPr>
                <w:b/>
                <w:bCs/>
                <w:color w:val="000000" w:themeColor="text1"/>
              </w:rPr>
              <w:t>Frequency</w:t>
            </w:r>
          </w:p>
        </w:tc>
        <w:tc>
          <w:tcPr>
            <w:tcW w:w="960" w:type="dxa"/>
            <w:tcBorders>
              <w:top w:val="single" w:sz="4" w:space="0" w:color="auto"/>
              <w:left w:val="nil"/>
              <w:bottom w:val="single" w:sz="4" w:space="0" w:color="auto"/>
              <w:right w:val="nil"/>
            </w:tcBorders>
            <w:shd w:val="clear" w:color="auto" w:fill="auto"/>
            <w:noWrap/>
            <w:vAlign w:val="center"/>
            <w:hideMark/>
          </w:tcPr>
          <w:p w14:paraId="64134F31" w14:textId="77777777" w:rsidR="007742CC" w:rsidRPr="003C1C32" w:rsidRDefault="007742CC" w:rsidP="000A29B1">
            <w:pPr>
              <w:spacing w:line="360" w:lineRule="auto"/>
              <w:jc w:val="center"/>
              <w:rPr>
                <w:b/>
                <w:bCs/>
                <w:color w:val="000000" w:themeColor="text1"/>
              </w:rPr>
            </w:pPr>
            <w:r w:rsidRPr="003C1C32">
              <w:rPr>
                <w:b/>
                <w:bCs/>
                <w:color w:val="000000" w:themeColor="text1"/>
              </w:rPr>
              <w:t>(%)</w:t>
            </w:r>
          </w:p>
        </w:tc>
      </w:tr>
      <w:tr w:rsidR="007742CC" w:rsidRPr="0058490C" w14:paraId="08665A4B" w14:textId="77777777" w:rsidTr="000A29B1">
        <w:trPr>
          <w:trHeight w:val="300"/>
          <w:jc w:val="center"/>
        </w:trPr>
        <w:tc>
          <w:tcPr>
            <w:tcW w:w="3110" w:type="dxa"/>
            <w:tcBorders>
              <w:top w:val="nil"/>
              <w:left w:val="nil"/>
              <w:bottom w:val="nil"/>
              <w:right w:val="nil"/>
            </w:tcBorders>
            <w:shd w:val="clear" w:color="auto" w:fill="auto"/>
            <w:vAlign w:val="bottom"/>
            <w:hideMark/>
          </w:tcPr>
          <w:p w14:paraId="36909580" w14:textId="77777777" w:rsidR="007742CC" w:rsidRPr="0058490C" w:rsidRDefault="007742CC" w:rsidP="000A29B1">
            <w:pPr>
              <w:spacing w:line="360" w:lineRule="auto"/>
              <w:ind w:hanging="110"/>
              <w:rPr>
                <w:b/>
                <w:bCs/>
                <w:i/>
                <w:iCs/>
                <w:color w:val="000000" w:themeColor="text1"/>
              </w:rPr>
            </w:pPr>
            <w:r w:rsidRPr="0058490C">
              <w:rPr>
                <w:b/>
                <w:bCs/>
                <w:i/>
                <w:iCs/>
                <w:color w:val="000000" w:themeColor="text1"/>
              </w:rPr>
              <w:t>Industry</w:t>
            </w:r>
          </w:p>
        </w:tc>
        <w:tc>
          <w:tcPr>
            <w:tcW w:w="1310" w:type="dxa"/>
            <w:tcBorders>
              <w:top w:val="nil"/>
              <w:left w:val="nil"/>
              <w:bottom w:val="nil"/>
              <w:right w:val="nil"/>
            </w:tcBorders>
            <w:shd w:val="clear" w:color="auto" w:fill="auto"/>
            <w:noWrap/>
            <w:vAlign w:val="bottom"/>
            <w:hideMark/>
          </w:tcPr>
          <w:p w14:paraId="63C42478" w14:textId="77777777" w:rsidR="007742CC" w:rsidRPr="0058490C" w:rsidRDefault="007742CC" w:rsidP="000A29B1">
            <w:pPr>
              <w:spacing w:line="360" w:lineRule="auto"/>
              <w:jc w:val="center"/>
              <w:rPr>
                <w:color w:val="000000" w:themeColor="text1"/>
              </w:rPr>
            </w:pPr>
            <w:r w:rsidRPr="0058490C">
              <w:rPr>
                <w:color w:val="000000" w:themeColor="text1"/>
              </w:rPr>
              <w:t> </w:t>
            </w:r>
          </w:p>
        </w:tc>
        <w:tc>
          <w:tcPr>
            <w:tcW w:w="960" w:type="dxa"/>
            <w:tcBorders>
              <w:top w:val="nil"/>
              <w:left w:val="nil"/>
              <w:bottom w:val="nil"/>
              <w:right w:val="nil"/>
            </w:tcBorders>
            <w:shd w:val="clear" w:color="auto" w:fill="auto"/>
            <w:noWrap/>
            <w:vAlign w:val="bottom"/>
            <w:hideMark/>
          </w:tcPr>
          <w:p w14:paraId="76B7E8AE" w14:textId="77777777" w:rsidR="007742CC" w:rsidRPr="0058490C" w:rsidRDefault="007742CC" w:rsidP="000A29B1">
            <w:pPr>
              <w:spacing w:line="360" w:lineRule="auto"/>
              <w:jc w:val="center"/>
              <w:rPr>
                <w:color w:val="000000" w:themeColor="text1"/>
              </w:rPr>
            </w:pPr>
            <w:r w:rsidRPr="0058490C">
              <w:rPr>
                <w:color w:val="000000" w:themeColor="text1"/>
              </w:rPr>
              <w:t> </w:t>
            </w:r>
          </w:p>
        </w:tc>
      </w:tr>
      <w:tr w:rsidR="007742CC" w:rsidRPr="0058490C" w14:paraId="597FF7B3" w14:textId="77777777" w:rsidTr="000A29B1">
        <w:trPr>
          <w:trHeight w:val="300"/>
          <w:jc w:val="center"/>
        </w:trPr>
        <w:tc>
          <w:tcPr>
            <w:tcW w:w="3110" w:type="dxa"/>
            <w:tcBorders>
              <w:top w:val="nil"/>
              <w:left w:val="nil"/>
              <w:bottom w:val="nil"/>
              <w:right w:val="nil"/>
            </w:tcBorders>
            <w:shd w:val="clear" w:color="auto" w:fill="auto"/>
            <w:hideMark/>
          </w:tcPr>
          <w:p w14:paraId="59A2A51E" w14:textId="77777777" w:rsidR="007742CC" w:rsidRPr="0058490C" w:rsidRDefault="007742CC" w:rsidP="000A29B1">
            <w:pPr>
              <w:spacing w:line="360" w:lineRule="auto"/>
              <w:ind w:hanging="110"/>
              <w:rPr>
                <w:color w:val="000000" w:themeColor="text1"/>
              </w:rPr>
            </w:pPr>
            <w:r w:rsidRPr="0058490C">
              <w:rPr>
                <w:color w:val="000000" w:themeColor="text1"/>
              </w:rPr>
              <w:t>Textile &amp; apparel</w:t>
            </w:r>
          </w:p>
        </w:tc>
        <w:tc>
          <w:tcPr>
            <w:tcW w:w="1310" w:type="dxa"/>
            <w:tcBorders>
              <w:top w:val="nil"/>
              <w:left w:val="nil"/>
              <w:bottom w:val="nil"/>
              <w:right w:val="nil"/>
            </w:tcBorders>
            <w:shd w:val="clear" w:color="auto" w:fill="auto"/>
            <w:noWrap/>
            <w:hideMark/>
          </w:tcPr>
          <w:p w14:paraId="4FA560BD" w14:textId="77777777" w:rsidR="007742CC" w:rsidRPr="0058490C" w:rsidRDefault="007742CC" w:rsidP="000A29B1">
            <w:pPr>
              <w:spacing w:line="360" w:lineRule="auto"/>
              <w:jc w:val="center"/>
              <w:rPr>
                <w:color w:val="000000" w:themeColor="text1"/>
              </w:rPr>
            </w:pPr>
            <w:r w:rsidRPr="0058490C">
              <w:rPr>
                <w:color w:val="000000" w:themeColor="text1"/>
              </w:rPr>
              <w:t>44</w:t>
            </w:r>
          </w:p>
        </w:tc>
        <w:tc>
          <w:tcPr>
            <w:tcW w:w="960" w:type="dxa"/>
            <w:tcBorders>
              <w:top w:val="nil"/>
              <w:left w:val="nil"/>
              <w:bottom w:val="nil"/>
              <w:right w:val="nil"/>
            </w:tcBorders>
            <w:shd w:val="clear" w:color="auto" w:fill="auto"/>
            <w:noWrap/>
            <w:hideMark/>
          </w:tcPr>
          <w:p w14:paraId="167D21A2" w14:textId="77777777" w:rsidR="007742CC" w:rsidRPr="0058490C" w:rsidRDefault="007742CC" w:rsidP="000A29B1">
            <w:pPr>
              <w:spacing w:line="360" w:lineRule="auto"/>
              <w:jc w:val="center"/>
              <w:rPr>
                <w:color w:val="000000" w:themeColor="text1"/>
              </w:rPr>
            </w:pPr>
            <w:r w:rsidRPr="0058490C">
              <w:rPr>
                <w:color w:val="000000" w:themeColor="text1"/>
              </w:rPr>
              <w:t>20.0</w:t>
            </w:r>
          </w:p>
        </w:tc>
      </w:tr>
      <w:tr w:rsidR="007742CC" w:rsidRPr="0058490C" w14:paraId="43F43B1F" w14:textId="77777777" w:rsidTr="000A29B1">
        <w:trPr>
          <w:trHeight w:val="300"/>
          <w:jc w:val="center"/>
        </w:trPr>
        <w:tc>
          <w:tcPr>
            <w:tcW w:w="3110" w:type="dxa"/>
            <w:tcBorders>
              <w:top w:val="nil"/>
              <w:left w:val="nil"/>
              <w:bottom w:val="nil"/>
              <w:right w:val="nil"/>
            </w:tcBorders>
            <w:shd w:val="clear" w:color="auto" w:fill="auto"/>
            <w:hideMark/>
          </w:tcPr>
          <w:p w14:paraId="1D4E828B" w14:textId="77777777" w:rsidR="007742CC" w:rsidRPr="0058490C" w:rsidRDefault="007742CC" w:rsidP="000A29B1">
            <w:pPr>
              <w:spacing w:line="360" w:lineRule="auto"/>
              <w:ind w:hanging="110"/>
              <w:rPr>
                <w:color w:val="000000" w:themeColor="text1"/>
              </w:rPr>
            </w:pPr>
            <w:r w:rsidRPr="0058490C">
              <w:rPr>
                <w:color w:val="000000" w:themeColor="text1"/>
              </w:rPr>
              <w:t>FMCG</w:t>
            </w:r>
          </w:p>
        </w:tc>
        <w:tc>
          <w:tcPr>
            <w:tcW w:w="1310" w:type="dxa"/>
            <w:tcBorders>
              <w:top w:val="nil"/>
              <w:left w:val="nil"/>
              <w:bottom w:val="nil"/>
              <w:right w:val="nil"/>
            </w:tcBorders>
            <w:shd w:val="clear" w:color="auto" w:fill="auto"/>
            <w:noWrap/>
            <w:hideMark/>
          </w:tcPr>
          <w:p w14:paraId="67F2D347" w14:textId="77777777" w:rsidR="007742CC" w:rsidRPr="0058490C" w:rsidRDefault="007742CC" w:rsidP="000A29B1">
            <w:pPr>
              <w:spacing w:line="360" w:lineRule="auto"/>
              <w:jc w:val="center"/>
              <w:rPr>
                <w:color w:val="000000" w:themeColor="text1"/>
              </w:rPr>
            </w:pPr>
            <w:r w:rsidRPr="0058490C">
              <w:rPr>
                <w:color w:val="000000" w:themeColor="text1"/>
              </w:rPr>
              <w:t>29</w:t>
            </w:r>
          </w:p>
        </w:tc>
        <w:tc>
          <w:tcPr>
            <w:tcW w:w="960" w:type="dxa"/>
            <w:tcBorders>
              <w:top w:val="nil"/>
              <w:left w:val="nil"/>
              <w:bottom w:val="nil"/>
              <w:right w:val="nil"/>
            </w:tcBorders>
            <w:shd w:val="clear" w:color="auto" w:fill="auto"/>
            <w:noWrap/>
            <w:hideMark/>
          </w:tcPr>
          <w:p w14:paraId="69A04141" w14:textId="77777777" w:rsidR="007742CC" w:rsidRPr="0058490C" w:rsidRDefault="007742CC" w:rsidP="000A29B1">
            <w:pPr>
              <w:spacing w:line="360" w:lineRule="auto"/>
              <w:jc w:val="center"/>
              <w:rPr>
                <w:color w:val="000000" w:themeColor="text1"/>
              </w:rPr>
            </w:pPr>
            <w:r w:rsidRPr="0058490C">
              <w:rPr>
                <w:color w:val="000000" w:themeColor="text1"/>
              </w:rPr>
              <w:t>13.2</w:t>
            </w:r>
          </w:p>
        </w:tc>
      </w:tr>
      <w:tr w:rsidR="007742CC" w:rsidRPr="0058490C" w14:paraId="5238AD3E" w14:textId="77777777" w:rsidTr="000A29B1">
        <w:trPr>
          <w:trHeight w:val="300"/>
          <w:jc w:val="center"/>
        </w:trPr>
        <w:tc>
          <w:tcPr>
            <w:tcW w:w="3110" w:type="dxa"/>
            <w:tcBorders>
              <w:top w:val="nil"/>
              <w:left w:val="nil"/>
              <w:bottom w:val="nil"/>
              <w:right w:val="nil"/>
            </w:tcBorders>
            <w:shd w:val="clear" w:color="auto" w:fill="auto"/>
            <w:hideMark/>
          </w:tcPr>
          <w:p w14:paraId="0B8CEC4E" w14:textId="77777777" w:rsidR="007742CC" w:rsidRPr="0058490C" w:rsidRDefault="007742CC" w:rsidP="000A29B1">
            <w:pPr>
              <w:spacing w:line="360" w:lineRule="auto"/>
              <w:ind w:hanging="110"/>
              <w:rPr>
                <w:color w:val="000000" w:themeColor="text1"/>
              </w:rPr>
            </w:pPr>
            <w:r w:rsidRPr="0058490C">
              <w:rPr>
                <w:color w:val="000000" w:themeColor="text1"/>
              </w:rPr>
              <w:t>Chemicals</w:t>
            </w:r>
          </w:p>
        </w:tc>
        <w:tc>
          <w:tcPr>
            <w:tcW w:w="1310" w:type="dxa"/>
            <w:tcBorders>
              <w:top w:val="nil"/>
              <w:left w:val="nil"/>
              <w:bottom w:val="nil"/>
              <w:right w:val="nil"/>
            </w:tcBorders>
            <w:shd w:val="clear" w:color="auto" w:fill="auto"/>
            <w:noWrap/>
            <w:hideMark/>
          </w:tcPr>
          <w:p w14:paraId="38523039" w14:textId="77777777" w:rsidR="007742CC" w:rsidRPr="0058490C" w:rsidRDefault="007742CC" w:rsidP="000A29B1">
            <w:pPr>
              <w:spacing w:line="360" w:lineRule="auto"/>
              <w:jc w:val="center"/>
              <w:rPr>
                <w:color w:val="000000" w:themeColor="text1"/>
              </w:rPr>
            </w:pPr>
            <w:r w:rsidRPr="0058490C">
              <w:rPr>
                <w:color w:val="000000" w:themeColor="text1"/>
              </w:rPr>
              <w:t>19</w:t>
            </w:r>
          </w:p>
        </w:tc>
        <w:tc>
          <w:tcPr>
            <w:tcW w:w="960" w:type="dxa"/>
            <w:tcBorders>
              <w:top w:val="nil"/>
              <w:left w:val="nil"/>
              <w:bottom w:val="nil"/>
              <w:right w:val="nil"/>
            </w:tcBorders>
            <w:shd w:val="clear" w:color="auto" w:fill="auto"/>
            <w:noWrap/>
            <w:hideMark/>
          </w:tcPr>
          <w:p w14:paraId="4410C3E9" w14:textId="77777777" w:rsidR="007742CC" w:rsidRPr="0058490C" w:rsidRDefault="007742CC" w:rsidP="000A29B1">
            <w:pPr>
              <w:spacing w:line="360" w:lineRule="auto"/>
              <w:jc w:val="center"/>
              <w:rPr>
                <w:color w:val="000000" w:themeColor="text1"/>
              </w:rPr>
            </w:pPr>
            <w:r w:rsidRPr="0058490C">
              <w:rPr>
                <w:color w:val="000000" w:themeColor="text1"/>
              </w:rPr>
              <w:t xml:space="preserve">  8.6</w:t>
            </w:r>
          </w:p>
        </w:tc>
      </w:tr>
      <w:tr w:rsidR="007742CC" w:rsidRPr="0058490C" w14:paraId="77818562" w14:textId="77777777" w:rsidTr="000A29B1">
        <w:trPr>
          <w:trHeight w:val="300"/>
          <w:jc w:val="center"/>
        </w:trPr>
        <w:tc>
          <w:tcPr>
            <w:tcW w:w="3110" w:type="dxa"/>
            <w:tcBorders>
              <w:top w:val="nil"/>
              <w:left w:val="nil"/>
              <w:bottom w:val="nil"/>
              <w:right w:val="nil"/>
            </w:tcBorders>
            <w:shd w:val="clear" w:color="auto" w:fill="auto"/>
            <w:hideMark/>
          </w:tcPr>
          <w:p w14:paraId="635AF711" w14:textId="77777777" w:rsidR="007742CC" w:rsidRPr="0058490C" w:rsidRDefault="007742CC" w:rsidP="000A29B1">
            <w:pPr>
              <w:spacing w:line="360" w:lineRule="auto"/>
              <w:ind w:hanging="110"/>
              <w:rPr>
                <w:color w:val="000000" w:themeColor="text1"/>
              </w:rPr>
            </w:pPr>
            <w:r w:rsidRPr="0058490C">
              <w:rPr>
                <w:color w:val="000000" w:themeColor="text1"/>
              </w:rPr>
              <w:t>Electronics</w:t>
            </w:r>
          </w:p>
        </w:tc>
        <w:tc>
          <w:tcPr>
            <w:tcW w:w="1310" w:type="dxa"/>
            <w:tcBorders>
              <w:top w:val="nil"/>
              <w:left w:val="nil"/>
              <w:bottom w:val="nil"/>
              <w:right w:val="nil"/>
            </w:tcBorders>
            <w:shd w:val="clear" w:color="auto" w:fill="auto"/>
            <w:noWrap/>
            <w:hideMark/>
          </w:tcPr>
          <w:p w14:paraId="33C53552" w14:textId="77777777" w:rsidR="007742CC" w:rsidRPr="0058490C" w:rsidRDefault="007742CC" w:rsidP="000A29B1">
            <w:pPr>
              <w:spacing w:line="360" w:lineRule="auto"/>
              <w:jc w:val="center"/>
              <w:rPr>
                <w:color w:val="000000" w:themeColor="text1"/>
              </w:rPr>
            </w:pPr>
            <w:r w:rsidRPr="0058490C">
              <w:rPr>
                <w:color w:val="000000" w:themeColor="text1"/>
              </w:rPr>
              <w:t>18</w:t>
            </w:r>
          </w:p>
        </w:tc>
        <w:tc>
          <w:tcPr>
            <w:tcW w:w="960" w:type="dxa"/>
            <w:tcBorders>
              <w:top w:val="nil"/>
              <w:left w:val="nil"/>
              <w:bottom w:val="nil"/>
              <w:right w:val="nil"/>
            </w:tcBorders>
            <w:shd w:val="clear" w:color="auto" w:fill="auto"/>
            <w:noWrap/>
            <w:hideMark/>
          </w:tcPr>
          <w:p w14:paraId="2F9B6514" w14:textId="77777777" w:rsidR="007742CC" w:rsidRPr="0058490C" w:rsidRDefault="007742CC" w:rsidP="000A29B1">
            <w:pPr>
              <w:spacing w:line="360" w:lineRule="auto"/>
              <w:jc w:val="center"/>
              <w:rPr>
                <w:color w:val="000000" w:themeColor="text1"/>
              </w:rPr>
            </w:pPr>
            <w:r w:rsidRPr="0058490C">
              <w:rPr>
                <w:color w:val="000000" w:themeColor="text1"/>
              </w:rPr>
              <w:t xml:space="preserve">  8.2</w:t>
            </w:r>
          </w:p>
        </w:tc>
      </w:tr>
      <w:tr w:rsidR="007742CC" w:rsidRPr="0058490C" w14:paraId="75385562" w14:textId="77777777" w:rsidTr="000A29B1">
        <w:trPr>
          <w:trHeight w:val="300"/>
          <w:jc w:val="center"/>
        </w:trPr>
        <w:tc>
          <w:tcPr>
            <w:tcW w:w="3110" w:type="dxa"/>
            <w:tcBorders>
              <w:top w:val="nil"/>
              <w:left w:val="nil"/>
              <w:bottom w:val="nil"/>
              <w:right w:val="nil"/>
            </w:tcBorders>
            <w:shd w:val="clear" w:color="auto" w:fill="auto"/>
            <w:hideMark/>
          </w:tcPr>
          <w:p w14:paraId="3EE6E7A1" w14:textId="77777777" w:rsidR="007742CC" w:rsidRPr="0058490C" w:rsidRDefault="007742CC" w:rsidP="000A29B1">
            <w:pPr>
              <w:spacing w:line="360" w:lineRule="auto"/>
              <w:ind w:hanging="110"/>
              <w:rPr>
                <w:color w:val="000000" w:themeColor="text1"/>
              </w:rPr>
            </w:pPr>
            <w:r w:rsidRPr="0058490C">
              <w:rPr>
                <w:color w:val="000000" w:themeColor="text1"/>
              </w:rPr>
              <w:t>Pharmaceutical</w:t>
            </w:r>
          </w:p>
        </w:tc>
        <w:tc>
          <w:tcPr>
            <w:tcW w:w="1310" w:type="dxa"/>
            <w:tcBorders>
              <w:top w:val="nil"/>
              <w:left w:val="nil"/>
              <w:bottom w:val="nil"/>
              <w:right w:val="nil"/>
            </w:tcBorders>
            <w:shd w:val="clear" w:color="auto" w:fill="auto"/>
            <w:noWrap/>
            <w:hideMark/>
          </w:tcPr>
          <w:p w14:paraId="3B50DC09" w14:textId="77777777" w:rsidR="007742CC" w:rsidRPr="0058490C" w:rsidRDefault="007742CC" w:rsidP="000A29B1">
            <w:pPr>
              <w:spacing w:line="360" w:lineRule="auto"/>
              <w:jc w:val="center"/>
              <w:rPr>
                <w:color w:val="000000" w:themeColor="text1"/>
              </w:rPr>
            </w:pPr>
            <w:r w:rsidRPr="0058490C">
              <w:rPr>
                <w:color w:val="000000" w:themeColor="text1"/>
              </w:rPr>
              <w:t>15</w:t>
            </w:r>
          </w:p>
        </w:tc>
        <w:tc>
          <w:tcPr>
            <w:tcW w:w="960" w:type="dxa"/>
            <w:tcBorders>
              <w:top w:val="nil"/>
              <w:left w:val="nil"/>
              <w:bottom w:val="nil"/>
              <w:right w:val="nil"/>
            </w:tcBorders>
            <w:shd w:val="clear" w:color="auto" w:fill="auto"/>
            <w:noWrap/>
            <w:hideMark/>
          </w:tcPr>
          <w:p w14:paraId="2816293A" w14:textId="77777777" w:rsidR="007742CC" w:rsidRPr="0058490C" w:rsidRDefault="007742CC" w:rsidP="000A29B1">
            <w:pPr>
              <w:spacing w:line="360" w:lineRule="auto"/>
              <w:jc w:val="center"/>
              <w:rPr>
                <w:color w:val="000000" w:themeColor="text1"/>
              </w:rPr>
            </w:pPr>
            <w:r w:rsidRPr="0058490C">
              <w:rPr>
                <w:color w:val="000000" w:themeColor="text1"/>
              </w:rPr>
              <w:t xml:space="preserve">  6.8</w:t>
            </w:r>
          </w:p>
        </w:tc>
      </w:tr>
      <w:tr w:rsidR="007742CC" w:rsidRPr="0058490C" w14:paraId="27A49A4C" w14:textId="77777777" w:rsidTr="000A29B1">
        <w:trPr>
          <w:trHeight w:val="300"/>
          <w:jc w:val="center"/>
        </w:trPr>
        <w:tc>
          <w:tcPr>
            <w:tcW w:w="3110" w:type="dxa"/>
            <w:tcBorders>
              <w:top w:val="nil"/>
              <w:left w:val="nil"/>
              <w:bottom w:val="nil"/>
              <w:right w:val="nil"/>
            </w:tcBorders>
            <w:shd w:val="clear" w:color="auto" w:fill="auto"/>
            <w:hideMark/>
          </w:tcPr>
          <w:p w14:paraId="0D307D1A" w14:textId="77777777" w:rsidR="007742CC" w:rsidRPr="0058490C" w:rsidRDefault="007742CC" w:rsidP="000A29B1">
            <w:pPr>
              <w:spacing w:line="360" w:lineRule="auto"/>
              <w:ind w:hanging="110"/>
              <w:rPr>
                <w:color w:val="000000" w:themeColor="text1"/>
              </w:rPr>
            </w:pPr>
            <w:r w:rsidRPr="0058490C">
              <w:rPr>
                <w:color w:val="000000" w:themeColor="text1"/>
              </w:rPr>
              <w:t>Paper &amp; packaging</w:t>
            </w:r>
          </w:p>
        </w:tc>
        <w:tc>
          <w:tcPr>
            <w:tcW w:w="1310" w:type="dxa"/>
            <w:tcBorders>
              <w:top w:val="nil"/>
              <w:left w:val="nil"/>
              <w:bottom w:val="nil"/>
              <w:right w:val="nil"/>
            </w:tcBorders>
            <w:shd w:val="clear" w:color="auto" w:fill="auto"/>
            <w:noWrap/>
            <w:hideMark/>
          </w:tcPr>
          <w:p w14:paraId="183C0286" w14:textId="77777777" w:rsidR="007742CC" w:rsidRPr="0058490C" w:rsidRDefault="007742CC" w:rsidP="000A29B1">
            <w:pPr>
              <w:spacing w:line="360" w:lineRule="auto"/>
              <w:jc w:val="center"/>
              <w:rPr>
                <w:color w:val="000000" w:themeColor="text1"/>
              </w:rPr>
            </w:pPr>
            <w:r w:rsidRPr="0058490C">
              <w:rPr>
                <w:color w:val="000000" w:themeColor="text1"/>
              </w:rPr>
              <w:t>14</w:t>
            </w:r>
          </w:p>
        </w:tc>
        <w:tc>
          <w:tcPr>
            <w:tcW w:w="960" w:type="dxa"/>
            <w:tcBorders>
              <w:top w:val="nil"/>
              <w:left w:val="nil"/>
              <w:bottom w:val="nil"/>
              <w:right w:val="nil"/>
            </w:tcBorders>
            <w:shd w:val="clear" w:color="auto" w:fill="auto"/>
            <w:noWrap/>
            <w:hideMark/>
          </w:tcPr>
          <w:p w14:paraId="51398B5F" w14:textId="77777777" w:rsidR="007742CC" w:rsidRPr="0058490C" w:rsidRDefault="007742CC" w:rsidP="000A29B1">
            <w:pPr>
              <w:spacing w:line="360" w:lineRule="auto"/>
              <w:jc w:val="center"/>
              <w:rPr>
                <w:color w:val="000000" w:themeColor="text1"/>
              </w:rPr>
            </w:pPr>
            <w:r w:rsidRPr="0058490C">
              <w:rPr>
                <w:color w:val="000000" w:themeColor="text1"/>
              </w:rPr>
              <w:t xml:space="preserve">  6.4</w:t>
            </w:r>
          </w:p>
        </w:tc>
      </w:tr>
      <w:tr w:rsidR="007742CC" w:rsidRPr="0058490C" w14:paraId="3383D966" w14:textId="77777777" w:rsidTr="000A29B1">
        <w:trPr>
          <w:trHeight w:val="300"/>
          <w:jc w:val="center"/>
        </w:trPr>
        <w:tc>
          <w:tcPr>
            <w:tcW w:w="3110" w:type="dxa"/>
            <w:tcBorders>
              <w:top w:val="nil"/>
              <w:left w:val="nil"/>
              <w:bottom w:val="nil"/>
              <w:right w:val="nil"/>
            </w:tcBorders>
            <w:shd w:val="clear" w:color="auto" w:fill="auto"/>
            <w:hideMark/>
          </w:tcPr>
          <w:p w14:paraId="70C026D4" w14:textId="77777777" w:rsidR="007742CC" w:rsidRPr="0058490C" w:rsidRDefault="007742CC" w:rsidP="000A29B1">
            <w:pPr>
              <w:spacing w:line="360" w:lineRule="auto"/>
              <w:ind w:hanging="110"/>
              <w:rPr>
                <w:color w:val="000000" w:themeColor="text1"/>
              </w:rPr>
            </w:pPr>
            <w:r w:rsidRPr="0058490C">
              <w:rPr>
                <w:color w:val="000000" w:themeColor="text1"/>
              </w:rPr>
              <w:t>Energy</w:t>
            </w:r>
          </w:p>
        </w:tc>
        <w:tc>
          <w:tcPr>
            <w:tcW w:w="1310" w:type="dxa"/>
            <w:tcBorders>
              <w:top w:val="nil"/>
              <w:left w:val="nil"/>
              <w:bottom w:val="nil"/>
              <w:right w:val="nil"/>
            </w:tcBorders>
            <w:shd w:val="clear" w:color="auto" w:fill="auto"/>
            <w:noWrap/>
            <w:hideMark/>
          </w:tcPr>
          <w:p w14:paraId="169E8F53" w14:textId="77777777" w:rsidR="007742CC" w:rsidRPr="0058490C" w:rsidRDefault="007742CC" w:rsidP="000A29B1">
            <w:pPr>
              <w:spacing w:line="360" w:lineRule="auto"/>
              <w:jc w:val="center"/>
              <w:rPr>
                <w:color w:val="000000" w:themeColor="text1"/>
              </w:rPr>
            </w:pPr>
            <w:r w:rsidRPr="0058490C">
              <w:rPr>
                <w:color w:val="000000" w:themeColor="text1"/>
              </w:rPr>
              <w:t>13</w:t>
            </w:r>
          </w:p>
        </w:tc>
        <w:tc>
          <w:tcPr>
            <w:tcW w:w="960" w:type="dxa"/>
            <w:tcBorders>
              <w:top w:val="nil"/>
              <w:left w:val="nil"/>
              <w:bottom w:val="nil"/>
              <w:right w:val="nil"/>
            </w:tcBorders>
            <w:shd w:val="clear" w:color="auto" w:fill="auto"/>
            <w:noWrap/>
            <w:hideMark/>
          </w:tcPr>
          <w:p w14:paraId="5BED23D0" w14:textId="77777777" w:rsidR="007742CC" w:rsidRPr="0058490C" w:rsidRDefault="007742CC" w:rsidP="000A29B1">
            <w:pPr>
              <w:spacing w:line="360" w:lineRule="auto"/>
              <w:jc w:val="center"/>
              <w:rPr>
                <w:color w:val="000000" w:themeColor="text1"/>
              </w:rPr>
            </w:pPr>
            <w:r w:rsidRPr="0058490C">
              <w:rPr>
                <w:color w:val="000000" w:themeColor="text1"/>
              </w:rPr>
              <w:t xml:space="preserve">  5.9</w:t>
            </w:r>
          </w:p>
        </w:tc>
      </w:tr>
      <w:tr w:rsidR="007742CC" w:rsidRPr="0058490C" w14:paraId="1D342397" w14:textId="77777777" w:rsidTr="000A29B1">
        <w:trPr>
          <w:trHeight w:val="300"/>
          <w:jc w:val="center"/>
        </w:trPr>
        <w:tc>
          <w:tcPr>
            <w:tcW w:w="3110" w:type="dxa"/>
            <w:tcBorders>
              <w:top w:val="nil"/>
              <w:left w:val="nil"/>
              <w:bottom w:val="nil"/>
              <w:right w:val="nil"/>
            </w:tcBorders>
            <w:shd w:val="clear" w:color="auto" w:fill="auto"/>
            <w:hideMark/>
          </w:tcPr>
          <w:p w14:paraId="6437FB0A" w14:textId="77777777" w:rsidR="007742CC" w:rsidRPr="0058490C" w:rsidRDefault="007742CC" w:rsidP="000A29B1">
            <w:pPr>
              <w:spacing w:line="360" w:lineRule="auto"/>
              <w:ind w:hanging="110"/>
              <w:rPr>
                <w:color w:val="000000" w:themeColor="text1"/>
              </w:rPr>
            </w:pPr>
            <w:r w:rsidRPr="0058490C">
              <w:rPr>
                <w:color w:val="000000" w:themeColor="text1"/>
              </w:rPr>
              <w:t>Engineering</w:t>
            </w:r>
          </w:p>
        </w:tc>
        <w:tc>
          <w:tcPr>
            <w:tcW w:w="1310" w:type="dxa"/>
            <w:tcBorders>
              <w:top w:val="nil"/>
              <w:left w:val="nil"/>
              <w:bottom w:val="nil"/>
              <w:right w:val="nil"/>
            </w:tcBorders>
            <w:shd w:val="clear" w:color="auto" w:fill="auto"/>
            <w:noWrap/>
            <w:hideMark/>
          </w:tcPr>
          <w:p w14:paraId="52A6986E" w14:textId="77777777" w:rsidR="007742CC" w:rsidRPr="0058490C" w:rsidRDefault="007742CC" w:rsidP="000A29B1">
            <w:pPr>
              <w:spacing w:line="360" w:lineRule="auto"/>
              <w:jc w:val="center"/>
              <w:rPr>
                <w:color w:val="000000" w:themeColor="text1"/>
              </w:rPr>
            </w:pPr>
            <w:r w:rsidRPr="0058490C">
              <w:rPr>
                <w:color w:val="000000" w:themeColor="text1"/>
              </w:rPr>
              <w:t>11</w:t>
            </w:r>
          </w:p>
        </w:tc>
        <w:tc>
          <w:tcPr>
            <w:tcW w:w="960" w:type="dxa"/>
            <w:tcBorders>
              <w:top w:val="nil"/>
              <w:left w:val="nil"/>
              <w:bottom w:val="nil"/>
              <w:right w:val="nil"/>
            </w:tcBorders>
            <w:shd w:val="clear" w:color="auto" w:fill="auto"/>
            <w:noWrap/>
            <w:hideMark/>
          </w:tcPr>
          <w:p w14:paraId="5C32A015" w14:textId="77777777" w:rsidR="007742CC" w:rsidRPr="0058490C" w:rsidRDefault="007742CC" w:rsidP="000A29B1">
            <w:pPr>
              <w:spacing w:line="360" w:lineRule="auto"/>
              <w:jc w:val="center"/>
              <w:rPr>
                <w:color w:val="000000" w:themeColor="text1"/>
              </w:rPr>
            </w:pPr>
            <w:r w:rsidRPr="0058490C">
              <w:rPr>
                <w:color w:val="000000" w:themeColor="text1"/>
              </w:rPr>
              <w:t xml:space="preserve">  5.0</w:t>
            </w:r>
          </w:p>
        </w:tc>
      </w:tr>
      <w:tr w:rsidR="007742CC" w:rsidRPr="0058490C" w14:paraId="48198CF6" w14:textId="77777777" w:rsidTr="000A29B1">
        <w:trPr>
          <w:trHeight w:val="300"/>
          <w:jc w:val="center"/>
        </w:trPr>
        <w:tc>
          <w:tcPr>
            <w:tcW w:w="3110" w:type="dxa"/>
            <w:tcBorders>
              <w:top w:val="nil"/>
              <w:left w:val="nil"/>
              <w:bottom w:val="nil"/>
              <w:right w:val="nil"/>
            </w:tcBorders>
            <w:shd w:val="clear" w:color="auto" w:fill="auto"/>
            <w:hideMark/>
          </w:tcPr>
          <w:p w14:paraId="74462926" w14:textId="77777777" w:rsidR="007742CC" w:rsidRPr="0058490C" w:rsidRDefault="007742CC" w:rsidP="000A29B1">
            <w:pPr>
              <w:spacing w:line="360" w:lineRule="auto"/>
              <w:ind w:hanging="110"/>
              <w:rPr>
                <w:color w:val="000000" w:themeColor="text1"/>
              </w:rPr>
            </w:pPr>
            <w:r w:rsidRPr="0058490C">
              <w:rPr>
                <w:color w:val="000000" w:themeColor="text1"/>
              </w:rPr>
              <w:t>Construction</w:t>
            </w:r>
          </w:p>
        </w:tc>
        <w:tc>
          <w:tcPr>
            <w:tcW w:w="1310" w:type="dxa"/>
            <w:tcBorders>
              <w:top w:val="nil"/>
              <w:left w:val="nil"/>
              <w:bottom w:val="nil"/>
              <w:right w:val="nil"/>
            </w:tcBorders>
            <w:shd w:val="clear" w:color="auto" w:fill="auto"/>
            <w:noWrap/>
            <w:hideMark/>
          </w:tcPr>
          <w:p w14:paraId="42A59A14" w14:textId="77777777" w:rsidR="007742CC" w:rsidRPr="0058490C" w:rsidRDefault="007742CC" w:rsidP="000A29B1">
            <w:pPr>
              <w:spacing w:line="360" w:lineRule="auto"/>
              <w:jc w:val="center"/>
              <w:rPr>
                <w:color w:val="000000" w:themeColor="text1"/>
              </w:rPr>
            </w:pPr>
            <w:r w:rsidRPr="0058490C">
              <w:rPr>
                <w:color w:val="000000" w:themeColor="text1"/>
              </w:rPr>
              <w:t xml:space="preserve">  7</w:t>
            </w:r>
          </w:p>
        </w:tc>
        <w:tc>
          <w:tcPr>
            <w:tcW w:w="960" w:type="dxa"/>
            <w:tcBorders>
              <w:top w:val="nil"/>
              <w:left w:val="nil"/>
              <w:bottom w:val="nil"/>
              <w:right w:val="nil"/>
            </w:tcBorders>
            <w:shd w:val="clear" w:color="auto" w:fill="auto"/>
            <w:noWrap/>
            <w:hideMark/>
          </w:tcPr>
          <w:p w14:paraId="6614D418" w14:textId="77777777" w:rsidR="007742CC" w:rsidRPr="0058490C" w:rsidRDefault="007742CC" w:rsidP="000A29B1">
            <w:pPr>
              <w:spacing w:line="360" w:lineRule="auto"/>
              <w:jc w:val="center"/>
              <w:rPr>
                <w:color w:val="000000" w:themeColor="text1"/>
              </w:rPr>
            </w:pPr>
            <w:r w:rsidRPr="0058490C">
              <w:rPr>
                <w:color w:val="000000" w:themeColor="text1"/>
              </w:rPr>
              <w:t xml:space="preserve">  3.2</w:t>
            </w:r>
          </w:p>
        </w:tc>
      </w:tr>
      <w:tr w:rsidR="007742CC" w:rsidRPr="0058490C" w14:paraId="7B0D2DC5" w14:textId="77777777" w:rsidTr="000A29B1">
        <w:trPr>
          <w:trHeight w:val="300"/>
          <w:jc w:val="center"/>
        </w:trPr>
        <w:tc>
          <w:tcPr>
            <w:tcW w:w="3110" w:type="dxa"/>
            <w:tcBorders>
              <w:top w:val="nil"/>
              <w:left w:val="nil"/>
              <w:bottom w:val="nil"/>
              <w:right w:val="nil"/>
            </w:tcBorders>
            <w:shd w:val="clear" w:color="auto" w:fill="auto"/>
            <w:hideMark/>
          </w:tcPr>
          <w:p w14:paraId="174196F5" w14:textId="77777777" w:rsidR="007742CC" w:rsidRPr="0058490C" w:rsidRDefault="007742CC" w:rsidP="000A29B1">
            <w:pPr>
              <w:spacing w:line="360" w:lineRule="auto"/>
              <w:ind w:hanging="110"/>
              <w:rPr>
                <w:color w:val="000000" w:themeColor="text1"/>
              </w:rPr>
            </w:pPr>
            <w:r w:rsidRPr="0058490C">
              <w:rPr>
                <w:color w:val="000000" w:themeColor="text1"/>
              </w:rPr>
              <w:t>Miscellaneous</w:t>
            </w:r>
          </w:p>
        </w:tc>
        <w:tc>
          <w:tcPr>
            <w:tcW w:w="1310" w:type="dxa"/>
            <w:tcBorders>
              <w:top w:val="nil"/>
              <w:left w:val="nil"/>
              <w:bottom w:val="nil"/>
              <w:right w:val="nil"/>
            </w:tcBorders>
            <w:shd w:val="clear" w:color="auto" w:fill="auto"/>
            <w:noWrap/>
            <w:hideMark/>
          </w:tcPr>
          <w:p w14:paraId="4A48E376" w14:textId="77777777" w:rsidR="007742CC" w:rsidRPr="0058490C" w:rsidRDefault="007742CC" w:rsidP="000A29B1">
            <w:pPr>
              <w:spacing w:line="360" w:lineRule="auto"/>
              <w:jc w:val="center"/>
              <w:rPr>
                <w:color w:val="000000" w:themeColor="text1"/>
              </w:rPr>
            </w:pPr>
            <w:r w:rsidRPr="0058490C">
              <w:rPr>
                <w:color w:val="000000" w:themeColor="text1"/>
              </w:rPr>
              <w:t>30</w:t>
            </w:r>
          </w:p>
        </w:tc>
        <w:tc>
          <w:tcPr>
            <w:tcW w:w="960" w:type="dxa"/>
            <w:tcBorders>
              <w:top w:val="nil"/>
              <w:left w:val="nil"/>
              <w:bottom w:val="nil"/>
              <w:right w:val="nil"/>
            </w:tcBorders>
            <w:shd w:val="clear" w:color="auto" w:fill="auto"/>
            <w:noWrap/>
            <w:hideMark/>
          </w:tcPr>
          <w:p w14:paraId="694AF105" w14:textId="77777777" w:rsidR="007742CC" w:rsidRPr="0058490C" w:rsidRDefault="007742CC" w:rsidP="000A29B1">
            <w:pPr>
              <w:spacing w:line="360" w:lineRule="auto"/>
              <w:jc w:val="center"/>
              <w:rPr>
                <w:color w:val="000000" w:themeColor="text1"/>
              </w:rPr>
            </w:pPr>
            <w:r w:rsidRPr="0058490C">
              <w:rPr>
                <w:color w:val="000000" w:themeColor="text1"/>
              </w:rPr>
              <w:t>13.6</w:t>
            </w:r>
          </w:p>
        </w:tc>
      </w:tr>
      <w:tr w:rsidR="007742CC" w:rsidRPr="0058490C" w14:paraId="2D94CBCD" w14:textId="77777777" w:rsidTr="000A29B1">
        <w:trPr>
          <w:trHeight w:val="348"/>
          <w:jc w:val="center"/>
        </w:trPr>
        <w:tc>
          <w:tcPr>
            <w:tcW w:w="3110" w:type="dxa"/>
            <w:tcBorders>
              <w:top w:val="nil"/>
              <w:left w:val="nil"/>
              <w:bottom w:val="nil"/>
              <w:right w:val="nil"/>
            </w:tcBorders>
            <w:shd w:val="clear" w:color="auto" w:fill="auto"/>
            <w:hideMark/>
          </w:tcPr>
          <w:p w14:paraId="43A1E06B" w14:textId="77777777" w:rsidR="007742CC" w:rsidRPr="0058490C" w:rsidRDefault="007742CC" w:rsidP="000A29B1">
            <w:pPr>
              <w:spacing w:line="360" w:lineRule="auto"/>
              <w:ind w:hanging="110"/>
              <w:rPr>
                <w:color w:val="000000" w:themeColor="text1"/>
              </w:rPr>
            </w:pPr>
            <w:r w:rsidRPr="0058490C">
              <w:rPr>
                <w:color w:val="000000" w:themeColor="text1"/>
              </w:rPr>
              <w:t>Not provided</w:t>
            </w:r>
          </w:p>
        </w:tc>
        <w:tc>
          <w:tcPr>
            <w:tcW w:w="1310" w:type="dxa"/>
            <w:tcBorders>
              <w:top w:val="nil"/>
              <w:left w:val="nil"/>
              <w:bottom w:val="nil"/>
              <w:right w:val="nil"/>
            </w:tcBorders>
            <w:shd w:val="clear" w:color="auto" w:fill="auto"/>
            <w:noWrap/>
            <w:hideMark/>
          </w:tcPr>
          <w:p w14:paraId="342B3A78" w14:textId="77777777" w:rsidR="007742CC" w:rsidRPr="0058490C" w:rsidRDefault="007742CC" w:rsidP="000A29B1">
            <w:pPr>
              <w:spacing w:line="360" w:lineRule="auto"/>
              <w:jc w:val="center"/>
              <w:rPr>
                <w:color w:val="000000" w:themeColor="text1"/>
              </w:rPr>
            </w:pPr>
            <w:r w:rsidRPr="0058490C">
              <w:rPr>
                <w:color w:val="000000" w:themeColor="text1"/>
              </w:rPr>
              <w:t>12</w:t>
            </w:r>
          </w:p>
        </w:tc>
        <w:tc>
          <w:tcPr>
            <w:tcW w:w="960" w:type="dxa"/>
            <w:tcBorders>
              <w:top w:val="nil"/>
              <w:left w:val="nil"/>
              <w:bottom w:val="nil"/>
              <w:right w:val="nil"/>
            </w:tcBorders>
            <w:shd w:val="clear" w:color="auto" w:fill="auto"/>
            <w:noWrap/>
            <w:hideMark/>
          </w:tcPr>
          <w:p w14:paraId="796EE003" w14:textId="77777777" w:rsidR="007742CC" w:rsidRPr="0058490C" w:rsidRDefault="007742CC" w:rsidP="000A29B1">
            <w:pPr>
              <w:spacing w:line="360" w:lineRule="auto"/>
              <w:jc w:val="center"/>
              <w:rPr>
                <w:color w:val="000000" w:themeColor="text1"/>
              </w:rPr>
            </w:pPr>
            <w:r w:rsidRPr="0058490C">
              <w:rPr>
                <w:color w:val="000000" w:themeColor="text1"/>
              </w:rPr>
              <w:t xml:space="preserve">  5.5</w:t>
            </w:r>
          </w:p>
        </w:tc>
      </w:tr>
      <w:tr w:rsidR="007742CC" w:rsidRPr="0058490C" w14:paraId="3B302B3B" w14:textId="77777777" w:rsidTr="000A29B1">
        <w:trPr>
          <w:trHeight w:val="300"/>
          <w:jc w:val="center"/>
        </w:trPr>
        <w:tc>
          <w:tcPr>
            <w:tcW w:w="3110" w:type="dxa"/>
            <w:tcBorders>
              <w:top w:val="nil"/>
              <w:left w:val="nil"/>
              <w:bottom w:val="nil"/>
              <w:right w:val="nil"/>
            </w:tcBorders>
            <w:shd w:val="clear" w:color="auto" w:fill="auto"/>
            <w:hideMark/>
          </w:tcPr>
          <w:p w14:paraId="405B42ED" w14:textId="77777777" w:rsidR="007742CC" w:rsidRPr="0058490C" w:rsidRDefault="007742CC" w:rsidP="000A29B1">
            <w:pPr>
              <w:spacing w:line="360" w:lineRule="auto"/>
              <w:ind w:hanging="110"/>
              <w:rPr>
                <w:b/>
                <w:bCs/>
                <w:i/>
                <w:iCs/>
                <w:color w:val="000000" w:themeColor="text1"/>
              </w:rPr>
            </w:pPr>
            <w:r w:rsidRPr="0058490C">
              <w:rPr>
                <w:b/>
                <w:bCs/>
                <w:i/>
                <w:iCs/>
                <w:color w:val="000000" w:themeColor="text1"/>
              </w:rPr>
              <w:t>Organization history</w:t>
            </w:r>
          </w:p>
        </w:tc>
        <w:tc>
          <w:tcPr>
            <w:tcW w:w="1310" w:type="dxa"/>
            <w:tcBorders>
              <w:top w:val="nil"/>
              <w:left w:val="nil"/>
              <w:bottom w:val="nil"/>
              <w:right w:val="nil"/>
            </w:tcBorders>
            <w:shd w:val="clear" w:color="auto" w:fill="auto"/>
            <w:noWrap/>
            <w:vAlign w:val="bottom"/>
            <w:hideMark/>
          </w:tcPr>
          <w:p w14:paraId="08235492" w14:textId="77777777" w:rsidR="007742CC" w:rsidRPr="0058490C" w:rsidRDefault="007742CC" w:rsidP="000A29B1">
            <w:pPr>
              <w:spacing w:line="360" w:lineRule="auto"/>
              <w:rPr>
                <w:b/>
                <w:bCs/>
                <w:i/>
                <w:iCs/>
                <w:color w:val="000000" w:themeColor="text1"/>
              </w:rPr>
            </w:pPr>
          </w:p>
        </w:tc>
        <w:tc>
          <w:tcPr>
            <w:tcW w:w="960" w:type="dxa"/>
            <w:tcBorders>
              <w:top w:val="nil"/>
              <w:left w:val="nil"/>
              <w:bottom w:val="nil"/>
              <w:right w:val="nil"/>
            </w:tcBorders>
            <w:shd w:val="clear" w:color="auto" w:fill="auto"/>
            <w:noWrap/>
            <w:vAlign w:val="bottom"/>
            <w:hideMark/>
          </w:tcPr>
          <w:p w14:paraId="4E7009AE" w14:textId="77777777" w:rsidR="007742CC" w:rsidRPr="0058490C" w:rsidRDefault="007742CC" w:rsidP="000A29B1">
            <w:pPr>
              <w:spacing w:line="360" w:lineRule="auto"/>
              <w:jc w:val="center"/>
              <w:rPr>
                <w:color w:val="000000" w:themeColor="text1"/>
              </w:rPr>
            </w:pPr>
          </w:p>
        </w:tc>
      </w:tr>
      <w:tr w:rsidR="007742CC" w:rsidRPr="0058490C" w14:paraId="7BC3D7BB" w14:textId="77777777" w:rsidTr="000A29B1">
        <w:trPr>
          <w:trHeight w:val="300"/>
          <w:jc w:val="center"/>
        </w:trPr>
        <w:tc>
          <w:tcPr>
            <w:tcW w:w="3110" w:type="dxa"/>
            <w:tcBorders>
              <w:top w:val="nil"/>
              <w:left w:val="nil"/>
              <w:bottom w:val="nil"/>
              <w:right w:val="nil"/>
            </w:tcBorders>
            <w:shd w:val="clear" w:color="auto" w:fill="auto"/>
            <w:vAlign w:val="center"/>
            <w:hideMark/>
          </w:tcPr>
          <w:p w14:paraId="41F75A2A" w14:textId="77777777" w:rsidR="007742CC" w:rsidRPr="0058490C" w:rsidRDefault="007742CC" w:rsidP="000A29B1">
            <w:pPr>
              <w:spacing w:line="360" w:lineRule="auto"/>
              <w:ind w:hanging="110"/>
              <w:rPr>
                <w:color w:val="000000" w:themeColor="text1"/>
              </w:rPr>
            </w:pPr>
            <w:r>
              <w:rPr>
                <w:color w:val="000000" w:themeColor="text1"/>
              </w:rPr>
              <w:t>&lt;</w:t>
            </w:r>
            <w:r w:rsidRPr="0058490C">
              <w:rPr>
                <w:color w:val="000000" w:themeColor="text1"/>
              </w:rPr>
              <w:t xml:space="preserve"> 5 years</w:t>
            </w:r>
          </w:p>
        </w:tc>
        <w:tc>
          <w:tcPr>
            <w:tcW w:w="1310" w:type="dxa"/>
            <w:tcBorders>
              <w:top w:val="nil"/>
              <w:left w:val="nil"/>
              <w:bottom w:val="nil"/>
              <w:right w:val="nil"/>
            </w:tcBorders>
            <w:shd w:val="clear" w:color="auto" w:fill="auto"/>
            <w:noWrap/>
            <w:hideMark/>
          </w:tcPr>
          <w:p w14:paraId="494ACE08" w14:textId="77777777" w:rsidR="007742CC" w:rsidRPr="0058490C" w:rsidRDefault="007742CC" w:rsidP="000A29B1">
            <w:pPr>
              <w:spacing w:line="360" w:lineRule="auto"/>
              <w:jc w:val="center"/>
              <w:rPr>
                <w:color w:val="000000" w:themeColor="text1"/>
              </w:rPr>
            </w:pPr>
            <w:r w:rsidRPr="0058490C">
              <w:rPr>
                <w:color w:val="000000" w:themeColor="text1"/>
              </w:rPr>
              <w:t>28</w:t>
            </w:r>
          </w:p>
        </w:tc>
        <w:tc>
          <w:tcPr>
            <w:tcW w:w="960" w:type="dxa"/>
            <w:tcBorders>
              <w:top w:val="nil"/>
              <w:left w:val="nil"/>
              <w:bottom w:val="nil"/>
              <w:right w:val="nil"/>
            </w:tcBorders>
            <w:shd w:val="clear" w:color="auto" w:fill="auto"/>
            <w:noWrap/>
            <w:hideMark/>
          </w:tcPr>
          <w:p w14:paraId="55CEDB67" w14:textId="77777777" w:rsidR="007742CC" w:rsidRPr="0058490C" w:rsidRDefault="007742CC" w:rsidP="000A29B1">
            <w:pPr>
              <w:spacing w:line="360" w:lineRule="auto"/>
              <w:jc w:val="center"/>
              <w:rPr>
                <w:color w:val="000000" w:themeColor="text1"/>
              </w:rPr>
            </w:pPr>
            <w:r w:rsidRPr="0058490C">
              <w:rPr>
                <w:color w:val="000000" w:themeColor="text1"/>
              </w:rPr>
              <w:t>12.7</w:t>
            </w:r>
          </w:p>
        </w:tc>
      </w:tr>
      <w:tr w:rsidR="007742CC" w:rsidRPr="0058490C" w14:paraId="105AF0E4" w14:textId="77777777" w:rsidTr="000A29B1">
        <w:trPr>
          <w:trHeight w:val="300"/>
          <w:jc w:val="center"/>
        </w:trPr>
        <w:tc>
          <w:tcPr>
            <w:tcW w:w="3110" w:type="dxa"/>
            <w:tcBorders>
              <w:top w:val="nil"/>
              <w:left w:val="nil"/>
              <w:bottom w:val="nil"/>
              <w:right w:val="nil"/>
            </w:tcBorders>
            <w:shd w:val="clear" w:color="auto" w:fill="auto"/>
            <w:vAlign w:val="center"/>
            <w:hideMark/>
          </w:tcPr>
          <w:p w14:paraId="23380E8E" w14:textId="77777777" w:rsidR="007742CC" w:rsidRPr="0058490C" w:rsidRDefault="007742CC" w:rsidP="000A29B1">
            <w:pPr>
              <w:spacing w:line="360" w:lineRule="auto"/>
              <w:ind w:hanging="110"/>
              <w:rPr>
                <w:color w:val="000000" w:themeColor="text1"/>
              </w:rPr>
            </w:pPr>
            <w:r w:rsidRPr="0058490C">
              <w:rPr>
                <w:color w:val="000000" w:themeColor="text1"/>
              </w:rPr>
              <w:t>5 - 10 years</w:t>
            </w:r>
          </w:p>
        </w:tc>
        <w:tc>
          <w:tcPr>
            <w:tcW w:w="1310" w:type="dxa"/>
            <w:tcBorders>
              <w:top w:val="nil"/>
              <w:left w:val="nil"/>
              <w:bottom w:val="nil"/>
              <w:right w:val="nil"/>
            </w:tcBorders>
            <w:shd w:val="clear" w:color="auto" w:fill="auto"/>
            <w:noWrap/>
            <w:hideMark/>
          </w:tcPr>
          <w:p w14:paraId="38932D89" w14:textId="77777777" w:rsidR="007742CC" w:rsidRPr="0058490C" w:rsidRDefault="007742CC" w:rsidP="000A29B1">
            <w:pPr>
              <w:spacing w:line="360" w:lineRule="auto"/>
              <w:jc w:val="center"/>
              <w:rPr>
                <w:color w:val="000000" w:themeColor="text1"/>
              </w:rPr>
            </w:pPr>
            <w:r w:rsidRPr="0058490C">
              <w:rPr>
                <w:color w:val="000000" w:themeColor="text1"/>
              </w:rPr>
              <w:t>21</w:t>
            </w:r>
          </w:p>
        </w:tc>
        <w:tc>
          <w:tcPr>
            <w:tcW w:w="960" w:type="dxa"/>
            <w:tcBorders>
              <w:top w:val="nil"/>
              <w:left w:val="nil"/>
              <w:bottom w:val="nil"/>
              <w:right w:val="nil"/>
            </w:tcBorders>
            <w:shd w:val="clear" w:color="auto" w:fill="auto"/>
            <w:noWrap/>
            <w:hideMark/>
          </w:tcPr>
          <w:p w14:paraId="0146B358" w14:textId="77777777" w:rsidR="007742CC" w:rsidRPr="0058490C" w:rsidRDefault="007742CC" w:rsidP="000A29B1">
            <w:pPr>
              <w:spacing w:line="360" w:lineRule="auto"/>
              <w:jc w:val="center"/>
              <w:rPr>
                <w:color w:val="000000" w:themeColor="text1"/>
              </w:rPr>
            </w:pPr>
            <w:r w:rsidRPr="0058490C">
              <w:rPr>
                <w:color w:val="000000" w:themeColor="text1"/>
              </w:rPr>
              <w:t xml:space="preserve">  9.5</w:t>
            </w:r>
          </w:p>
        </w:tc>
      </w:tr>
      <w:tr w:rsidR="007742CC" w:rsidRPr="0058490C" w14:paraId="1F626BC2" w14:textId="77777777" w:rsidTr="000A29B1">
        <w:trPr>
          <w:trHeight w:val="300"/>
          <w:jc w:val="center"/>
        </w:trPr>
        <w:tc>
          <w:tcPr>
            <w:tcW w:w="3110" w:type="dxa"/>
            <w:tcBorders>
              <w:top w:val="nil"/>
              <w:left w:val="nil"/>
              <w:bottom w:val="nil"/>
              <w:right w:val="nil"/>
            </w:tcBorders>
            <w:shd w:val="clear" w:color="auto" w:fill="auto"/>
            <w:vAlign w:val="center"/>
            <w:hideMark/>
          </w:tcPr>
          <w:p w14:paraId="0BD81DF8" w14:textId="77777777" w:rsidR="007742CC" w:rsidRPr="0058490C" w:rsidRDefault="007742CC" w:rsidP="000A29B1">
            <w:pPr>
              <w:spacing w:line="360" w:lineRule="auto"/>
              <w:ind w:hanging="110"/>
              <w:rPr>
                <w:color w:val="000000" w:themeColor="text1"/>
              </w:rPr>
            </w:pPr>
            <w:r w:rsidRPr="0058490C">
              <w:rPr>
                <w:color w:val="000000" w:themeColor="text1"/>
              </w:rPr>
              <w:t>11 - 20 years</w:t>
            </w:r>
          </w:p>
        </w:tc>
        <w:tc>
          <w:tcPr>
            <w:tcW w:w="1310" w:type="dxa"/>
            <w:tcBorders>
              <w:top w:val="nil"/>
              <w:left w:val="nil"/>
              <w:bottom w:val="nil"/>
              <w:right w:val="nil"/>
            </w:tcBorders>
            <w:shd w:val="clear" w:color="auto" w:fill="auto"/>
            <w:noWrap/>
            <w:hideMark/>
          </w:tcPr>
          <w:p w14:paraId="7D02687A" w14:textId="77777777" w:rsidR="007742CC" w:rsidRPr="0058490C" w:rsidRDefault="007742CC" w:rsidP="000A29B1">
            <w:pPr>
              <w:spacing w:line="360" w:lineRule="auto"/>
              <w:jc w:val="center"/>
              <w:rPr>
                <w:color w:val="000000" w:themeColor="text1"/>
              </w:rPr>
            </w:pPr>
            <w:r w:rsidRPr="0058490C">
              <w:rPr>
                <w:color w:val="000000" w:themeColor="text1"/>
              </w:rPr>
              <w:t>49</w:t>
            </w:r>
          </w:p>
        </w:tc>
        <w:tc>
          <w:tcPr>
            <w:tcW w:w="960" w:type="dxa"/>
            <w:tcBorders>
              <w:top w:val="nil"/>
              <w:left w:val="nil"/>
              <w:bottom w:val="nil"/>
              <w:right w:val="nil"/>
            </w:tcBorders>
            <w:shd w:val="clear" w:color="auto" w:fill="auto"/>
            <w:noWrap/>
            <w:hideMark/>
          </w:tcPr>
          <w:p w14:paraId="606F0D69" w14:textId="77777777" w:rsidR="007742CC" w:rsidRPr="0058490C" w:rsidRDefault="007742CC" w:rsidP="000A29B1">
            <w:pPr>
              <w:spacing w:line="360" w:lineRule="auto"/>
              <w:jc w:val="center"/>
              <w:rPr>
                <w:color w:val="000000" w:themeColor="text1"/>
              </w:rPr>
            </w:pPr>
            <w:r w:rsidRPr="0058490C">
              <w:rPr>
                <w:color w:val="000000" w:themeColor="text1"/>
              </w:rPr>
              <w:t>22.3</w:t>
            </w:r>
          </w:p>
        </w:tc>
      </w:tr>
      <w:tr w:rsidR="007742CC" w:rsidRPr="0058490C" w14:paraId="3C213C21" w14:textId="77777777" w:rsidTr="000A29B1">
        <w:trPr>
          <w:trHeight w:val="300"/>
          <w:jc w:val="center"/>
        </w:trPr>
        <w:tc>
          <w:tcPr>
            <w:tcW w:w="3110" w:type="dxa"/>
            <w:tcBorders>
              <w:top w:val="nil"/>
              <w:left w:val="nil"/>
              <w:bottom w:val="nil"/>
              <w:right w:val="nil"/>
            </w:tcBorders>
            <w:shd w:val="clear" w:color="auto" w:fill="auto"/>
            <w:vAlign w:val="center"/>
            <w:hideMark/>
          </w:tcPr>
          <w:p w14:paraId="1DCCB98F" w14:textId="77777777" w:rsidR="007742CC" w:rsidRPr="0058490C" w:rsidRDefault="007742CC" w:rsidP="000A29B1">
            <w:pPr>
              <w:spacing w:line="360" w:lineRule="auto"/>
              <w:ind w:hanging="110"/>
              <w:rPr>
                <w:color w:val="000000" w:themeColor="text1"/>
              </w:rPr>
            </w:pPr>
            <w:r>
              <w:rPr>
                <w:color w:val="000000" w:themeColor="text1"/>
              </w:rPr>
              <w:t>&gt;</w:t>
            </w:r>
            <w:r w:rsidRPr="0058490C">
              <w:rPr>
                <w:color w:val="000000" w:themeColor="text1"/>
              </w:rPr>
              <w:t xml:space="preserve"> 20 years</w:t>
            </w:r>
          </w:p>
        </w:tc>
        <w:tc>
          <w:tcPr>
            <w:tcW w:w="1310" w:type="dxa"/>
            <w:tcBorders>
              <w:top w:val="nil"/>
              <w:left w:val="nil"/>
              <w:bottom w:val="nil"/>
              <w:right w:val="nil"/>
            </w:tcBorders>
            <w:shd w:val="clear" w:color="auto" w:fill="auto"/>
            <w:noWrap/>
            <w:hideMark/>
          </w:tcPr>
          <w:p w14:paraId="51F772BF" w14:textId="77777777" w:rsidR="007742CC" w:rsidRPr="0058490C" w:rsidRDefault="007742CC" w:rsidP="000A29B1">
            <w:pPr>
              <w:spacing w:line="360" w:lineRule="auto"/>
              <w:jc w:val="center"/>
              <w:rPr>
                <w:color w:val="000000" w:themeColor="text1"/>
              </w:rPr>
            </w:pPr>
            <w:r w:rsidRPr="0058490C">
              <w:rPr>
                <w:color w:val="000000" w:themeColor="text1"/>
              </w:rPr>
              <w:t>88</w:t>
            </w:r>
          </w:p>
        </w:tc>
        <w:tc>
          <w:tcPr>
            <w:tcW w:w="960" w:type="dxa"/>
            <w:tcBorders>
              <w:top w:val="nil"/>
              <w:left w:val="nil"/>
              <w:bottom w:val="nil"/>
              <w:right w:val="nil"/>
            </w:tcBorders>
            <w:shd w:val="clear" w:color="auto" w:fill="auto"/>
            <w:noWrap/>
            <w:hideMark/>
          </w:tcPr>
          <w:p w14:paraId="1CF9F463" w14:textId="77777777" w:rsidR="007742CC" w:rsidRPr="0058490C" w:rsidRDefault="007742CC" w:rsidP="000A29B1">
            <w:pPr>
              <w:spacing w:line="360" w:lineRule="auto"/>
              <w:jc w:val="center"/>
              <w:rPr>
                <w:color w:val="000000" w:themeColor="text1"/>
              </w:rPr>
            </w:pPr>
            <w:r w:rsidRPr="0058490C">
              <w:rPr>
                <w:color w:val="000000" w:themeColor="text1"/>
              </w:rPr>
              <w:t>40.0</w:t>
            </w:r>
          </w:p>
        </w:tc>
      </w:tr>
      <w:tr w:rsidR="007742CC" w:rsidRPr="0058490C" w14:paraId="2277C347" w14:textId="77777777" w:rsidTr="000A29B1">
        <w:trPr>
          <w:trHeight w:val="333"/>
          <w:jc w:val="center"/>
        </w:trPr>
        <w:tc>
          <w:tcPr>
            <w:tcW w:w="3110" w:type="dxa"/>
            <w:tcBorders>
              <w:top w:val="nil"/>
              <w:left w:val="nil"/>
              <w:bottom w:val="nil"/>
              <w:right w:val="nil"/>
            </w:tcBorders>
            <w:shd w:val="clear" w:color="auto" w:fill="auto"/>
            <w:hideMark/>
          </w:tcPr>
          <w:p w14:paraId="620C805F" w14:textId="77777777" w:rsidR="007742CC" w:rsidRPr="0058490C" w:rsidRDefault="007742CC" w:rsidP="000A29B1">
            <w:pPr>
              <w:spacing w:line="360" w:lineRule="auto"/>
              <w:ind w:hanging="110"/>
              <w:rPr>
                <w:color w:val="000000" w:themeColor="text1"/>
              </w:rPr>
            </w:pPr>
            <w:r w:rsidRPr="0058490C">
              <w:rPr>
                <w:color w:val="000000" w:themeColor="text1"/>
              </w:rPr>
              <w:t>Not provided</w:t>
            </w:r>
          </w:p>
        </w:tc>
        <w:tc>
          <w:tcPr>
            <w:tcW w:w="1310" w:type="dxa"/>
            <w:tcBorders>
              <w:top w:val="nil"/>
              <w:left w:val="nil"/>
              <w:bottom w:val="nil"/>
              <w:right w:val="nil"/>
            </w:tcBorders>
            <w:shd w:val="clear" w:color="auto" w:fill="auto"/>
            <w:noWrap/>
            <w:hideMark/>
          </w:tcPr>
          <w:p w14:paraId="14A5BA2B" w14:textId="77777777" w:rsidR="007742CC" w:rsidRPr="0058490C" w:rsidRDefault="007742CC" w:rsidP="000A29B1">
            <w:pPr>
              <w:spacing w:line="360" w:lineRule="auto"/>
              <w:jc w:val="center"/>
              <w:rPr>
                <w:color w:val="000000" w:themeColor="text1"/>
              </w:rPr>
            </w:pPr>
            <w:r w:rsidRPr="0058490C">
              <w:rPr>
                <w:color w:val="000000" w:themeColor="text1"/>
              </w:rPr>
              <w:t>34</w:t>
            </w:r>
          </w:p>
        </w:tc>
        <w:tc>
          <w:tcPr>
            <w:tcW w:w="960" w:type="dxa"/>
            <w:tcBorders>
              <w:top w:val="nil"/>
              <w:left w:val="nil"/>
              <w:bottom w:val="nil"/>
              <w:right w:val="nil"/>
            </w:tcBorders>
            <w:shd w:val="clear" w:color="auto" w:fill="auto"/>
            <w:noWrap/>
            <w:hideMark/>
          </w:tcPr>
          <w:p w14:paraId="34E3CE8D" w14:textId="77777777" w:rsidR="007742CC" w:rsidRPr="0058490C" w:rsidRDefault="007742CC" w:rsidP="000A29B1">
            <w:pPr>
              <w:spacing w:line="360" w:lineRule="auto"/>
              <w:jc w:val="center"/>
              <w:rPr>
                <w:color w:val="000000" w:themeColor="text1"/>
              </w:rPr>
            </w:pPr>
            <w:r w:rsidRPr="0058490C">
              <w:rPr>
                <w:color w:val="000000" w:themeColor="text1"/>
              </w:rPr>
              <w:t>13.6</w:t>
            </w:r>
          </w:p>
        </w:tc>
      </w:tr>
      <w:tr w:rsidR="007742CC" w:rsidRPr="0058490C" w14:paraId="5FA8A0DD" w14:textId="77777777" w:rsidTr="000A29B1">
        <w:trPr>
          <w:trHeight w:val="300"/>
          <w:jc w:val="center"/>
        </w:trPr>
        <w:tc>
          <w:tcPr>
            <w:tcW w:w="3110" w:type="dxa"/>
            <w:tcBorders>
              <w:top w:val="nil"/>
              <w:left w:val="nil"/>
              <w:bottom w:val="nil"/>
              <w:right w:val="nil"/>
            </w:tcBorders>
            <w:shd w:val="clear" w:color="auto" w:fill="auto"/>
            <w:vAlign w:val="center"/>
            <w:hideMark/>
          </w:tcPr>
          <w:p w14:paraId="678B3C47" w14:textId="77777777" w:rsidR="007742CC" w:rsidRPr="0058490C" w:rsidRDefault="007742CC" w:rsidP="000A29B1">
            <w:pPr>
              <w:spacing w:line="360" w:lineRule="auto"/>
              <w:ind w:hanging="110"/>
              <w:rPr>
                <w:b/>
                <w:bCs/>
                <w:i/>
                <w:iCs/>
                <w:color w:val="000000" w:themeColor="text1"/>
              </w:rPr>
            </w:pPr>
            <w:r w:rsidRPr="0058490C">
              <w:rPr>
                <w:b/>
                <w:bCs/>
                <w:i/>
                <w:iCs/>
                <w:color w:val="000000" w:themeColor="text1"/>
              </w:rPr>
              <w:t xml:space="preserve">Sales (in Pak </w:t>
            </w:r>
            <w:r>
              <w:rPr>
                <w:b/>
                <w:bCs/>
                <w:i/>
                <w:iCs/>
                <w:color w:val="000000" w:themeColor="text1"/>
              </w:rPr>
              <w:t>R</w:t>
            </w:r>
            <w:r w:rsidRPr="0058490C">
              <w:rPr>
                <w:b/>
                <w:bCs/>
                <w:i/>
                <w:iCs/>
                <w:color w:val="000000" w:themeColor="text1"/>
              </w:rPr>
              <w:t>upees)</w:t>
            </w:r>
          </w:p>
        </w:tc>
        <w:tc>
          <w:tcPr>
            <w:tcW w:w="1310" w:type="dxa"/>
            <w:tcBorders>
              <w:top w:val="nil"/>
              <w:left w:val="nil"/>
              <w:bottom w:val="nil"/>
              <w:right w:val="nil"/>
            </w:tcBorders>
            <w:shd w:val="clear" w:color="auto" w:fill="auto"/>
            <w:vAlign w:val="center"/>
            <w:hideMark/>
          </w:tcPr>
          <w:p w14:paraId="6394668D" w14:textId="77777777" w:rsidR="007742CC" w:rsidRPr="0058490C" w:rsidRDefault="007742CC" w:rsidP="000A29B1">
            <w:pPr>
              <w:spacing w:line="360" w:lineRule="auto"/>
              <w:rPr>
                <w:b/>
                <w:bCs/>
                <w:i/>
                <w:iCs/>
                <w:color w:val="000000" w:themeColor="text1"/>
              </w:rPr>
            </w:pPr>
          </w:p>
        </w:tc>
        <w:tc>
          <w:tcPr>
            <w:tcW w:w="960" w:type="dxa"/>
            <w:tcBorders>
              <w:top w:val="nil"/>
              <w:left w:val="nil"/>
              <w:bottom w:val="nil"/>
              <w:right w:val="nil"/>
            </w:tcBorders>
            <w:shd w:val="clear" w:color="auto" w:fill="auto"/>
            <w:vAlign w:val="center"/>
            <w:hideMark/>
          </w:tcPr>
          <w:p w14:paraId="4F2F2B9A" w14:textId="77777777" w:rsidR="007742CC" w:rsidRPr="0058490C" w:rsidRDefault="007742CC" w:rsidP="000A29B1">
            <w:pPr>
              <w:spacing w:line="360" w:lineRule="auto"/>
              <w:jc w:val="center"/>
              <w:rPr>
                <w:color w:val="000000" w:themeColor="text1"/>
              </w:rPr>
            </w:pPr>
          </w:p>
        </w:tc>
      </w:tr>
      <w:tr w:rsidR="007742CC" w:rsidRPr="0058490C" w14:paraId="4F9594B0" w14:textId="77777777" w:rsidTr="000A29B1">
        <w:trPr>
          <w:trHeight w:val="300"/>
          <w:jc w:val="center"/>
        </w:trPr>
        <w:tc>
          <w:tcPr>
            <w:tcW w:w="3110" w:type="dxa"/>
            <w:tcBorders>
              <w:top w:val="nil"/>
              <w:left w:val="nil"/>
              <w:bottom w:val="nil"/>
              <w:right w:val="nil"/>
            </w:tcBorders>
            <w:shd w:val="clear" w:color="auto" w:fill="auto"/>
            <w:vAlign w:val="center"/>
            <w:hideMark/>
          </w:tcPr>
          <w:p w14:paraId="63302A08" w14:textId="77777777" w:rsidR="007742CC" w:rsidRPr="0058490C" w:rsidRDefault="007742CC" w:rsidP="000A29B1">
            <w:pPr>
              <w:spacing w:line="360" w:lineRule="auto"/>
              <w:ind w:hanging="110"/>
              <w:rPr>
                <w:color w:val="000000" w:themeColor="text1"/>
              </w:rPr>
            </w:pPr>
            <w:r w:rsidRPr="0058490C">
              <w:rPr>
                <w:color w:val="000000" w:themeColor="text1"/>
              </w:rPr>
              <w:t xml:space="preserve">&lt; 10 m </w:t>
            </w:r>
          </w:p>
        </w:tc>
        <w:tc>
          <w:tcPr>
            <w:tcW w:w="1310" w:type="dxa"/>
            <w:tcBorders>
              <w:top w:val="nil"/>
              <w:left w:val="nil"/>
              <w:bottom w:val="nil"/>
              <w:right w:val="nil"/>
            </w:tcBorders>
            <w:shd w:val="clear" w:color="auto" w:fill="auto"/>
            <w:noWrap/>
            <w:hideMark/>
          </w:tcPr>
          <w:p w14:paraId="49C95663" w14:textId="77777777" w:rsidR="007742CC" w:rsidRPr="0058490C" w:rsidRDefault="007742CC" w:rsidP="000A29B1">
            <w:pPr>
              <w:spacing w:line="360" w:lineRule="auto"/>
              <w:jc w:val="center"/>
              <w:rPr>
                <w:color w:val="000000" w:themeColor="text1"/>
              </w:rPr>
            </w:pPr>
            <w:r w:rsidRPr="0058490C">
              <w:rPr>
                <w:color w:val="000000" w:themeColor="text1"/>
              </w:rPr>
              <w:t xml:space="preserve">  9</w:t>
            </w:r>
          </w:p>
        </w:tc>
        <w:tc>
          <w:tcPr>
            <w:tcW w:w="960" w:type="dxa"/>
            <w:tcBorders>
              <w:top w:val="nil"/>
              <w:left w:val="nil"/>
              <w:bottom w:val="nil"/>
              <w:right w:val="nil"/>
            </w:tcBorders>
            <w:shd w:val="clear" w:color="auto" w:fill="auto"/>
            <w:noWrap/>
            <w:hideMark/>
          </w:tcPr>
          <w:p w14:paraId="4C03F9DE" w14:textId="77777777" w:rsidR="007742CC" w:rsidRPr="0058490C" w:rsidRDefault="007742CC" w:rsidP="000A29B1">
            <w:pPr>
              <w:spacing w:line="360" w:lineRule="auto"/>
              <w:jc w:val="center"/>
              <w:rPr>
                <w:color w:val="000000" w:themeColor="text1"/>
              </w:rPr>
            </w:pPr>
            <w:r w:rsidRPr="0058490C">
              <w:rPr>
                <w:color w:val="000000" w:themeColor="text1"/>
              </w:rPr>
              <w:t xml:space="preserve">  4.1</w:t>
            </w:r>
          </w:p>
        </w:tc>
      </w:tr>
      <w:tr w:rsidR="007742CC" w:rsidRPr="0058490C" w14:paraId="17F678A8" w14:textId="77777777" w:rsidTr="000A29B1">
        <w:trPr>
          <w:trHeight w:val="300"/>
          <w:jc w:val="center"/>
        </w:trPr>
        <w:tc>
          <w:tcPr>
            <w:tcW w:w="3110" w:type="dxa"/>
            <w:tcBorders>
              <w:top w:val="nil"/>
              <w:left w:val="nil"/>
              <w:bottom w:val="nil"/>
              <w:right w:val="nil"/>
            </w:tcBorders>
            <w:shd w:val="clear" w:color="auto" w:fill="auto"/>
            <w:vAlign w:val="center"/>
            <w:hideMark/>
          </w:tcPr>
          <w:p w14:paraId="3875F203" w14:textId="77777777" w:rsidR="007742CC" w:rsidRPr="0058490C" w:rsidRDefault="007742CC" w:rsidP="000A29B1">
            <w:pPr>
              <w:spacing w:line="360" w:lineRule="auto"/>
              <w:ind w:hanging="110"/>
              <w:rPr>
                <w:color w:val="000000" w:themeColor="text1"/>
              </w:rPr>
            </w:pPr>
            <w:r w:rsidRPr="0058490C">
              <w:rPr>
                <w:color w:val="000000" w:themeColor="text1"/>
              </w:rPr>
              <w:t xml:space="preserve">10m - 50m  </w:t>
            </w:r>
          </w:p>
        </w:tc>
        <w:tc>
          <w:tcPr>
            <w:tcW w:w="1310" w:type="dxa"/>
            <w:tcBorders>
              <w:top w:val="nil"/>
              <w:left w:val="nil"/>
              <w:bottom w:val="nil"/>
              <w:right w:val="nil"/>
            </w:tcBorders>
            <w:shd w:val="clear" w:color="auto" w:fill="auto"/>
            <w:noWrap/>
            <w:hideMark/>
          </w:tcPr>
          <w:p w14:paraId="1FD24145" w14:textId="77777777" w:rsidR="007742CC" w:rsidRPr="0058490C" w:rsidRDefault="007742CC" w:rsidP="000A29B1">
            <w:pPr>
              <w:spacing w:line="360" w:lineRule="auto"/>
              <w:jc w:val="center"/>
              <w:rPr>
                <w:color w:val="000000" w:themeColor="text1"/>
              </w:rPr>
            </w:pPr>
            <w:r w:rsidRPr="0058490C">
              <w:rPr>
                <w:color w:val="000000" w:themeColor="text1"/>
              </w:rPr>
              <w:t>34</w:t>
            </w:r>
          </w:p>
        </w:tc>
        <w:tc>
          <w:tcPr>
            <w:tcW w:w="960" w:type="dxa"/>
            <w:tcBorders>
              <w:top w:val="nil"/>
              <w:left w:val="nil"/>
              <w:bottom w:val="nil"/>
              <w:right w:val="nil"/>
            </w:tcBorders>
            <w:shd w:val="clear" w:color="auto" w:fill="auto"/>
            <w:noWrap/>
            <w:hideMark/>
          </w:tcPr>
          <w:p w14:paraId="601EC849" w14:textId="77777777" w:rsidR="007742CC" w:rsidRPr="0058490C" w:rsidRDefault="007742CC" w:rsidP="000A29B1">
            <w:pPr>
              <w:spacing w:line="360" w:lineRule="auto"/>
              <w:jc w:val="center"/>
              <w:rPr>
                <w:color w:val="000000" w:themeColor="text1"/>
              </w:rPr>
            </w:pPr>
            <w:r w:rsidRPr="0058490C">
              <w:rPr>
                <w:color w:val="000000" w:themeColor="text1"/>
              </w:rPr>
              <w:t>15.5</w:t>
            </w:r>
          </w:p>
        </w:tc>
      </w:tr>
      <w:tr w:rsidR="007742CC" w:rsidRPr="0058490C" w14:paraId="1ED15ACE" w14:textId="77777777" w:rsidTr="000A29B1">
        <w:trPr>
          <w:trHeight w:val="300"/>
          <w:jc w:val="center"/>
        </w:trPr>
        <w:tc>
          <w:tcPr>
            <w:tcW w:w="3110" w:type="dxa"/>
            <w:tcBorders>
              <w:top w:val="nil"/>
              <w:left w:val="nil"/>
              <w:bottom w:val="nil"/>
              <w:right w:val="nil"/>
            </w:tcBorders>
            <w:shd w:val="clear" w:color="auto" w:fill="auto"/>
            <w:vAlign w:val="center"/>
            <w:hideMark/>
          </w:tcPr>
          <w:p w14:paraId="657F7A3A" w14:textId="77777777" w:rsidR="007742CC" w:rsidRPr="0058490C" w:rsidRDefault="007742CC" w:rsidP="000A29B1">
            <w:pPr>
              <w:spacing w:line="360" w:lineRule="auto"/>
              <w:ind w:hanging="110"/>
              <w:rPr>
                <w:color w:val="000000" w:themeColor="text1"/>
              </w:rPr>
            </w:pPr>
            <w:r w:rsidRPr="0058490C">
              <w:rPr>
                <w:color w:val="000000" w:themeColor="text1"/>
              </w:rPr>
              <w:t xml:space="preserve">51m - 100m </w:t>
            </w:r>
          </w:p>
        </w:tc>
        <w:tc>
          <w:tcPr>
            <w:tcW w:w="1310" w:type="dxa"/>
            <w:tcBorders>
              <w:top w:val="nil"/>
              <w:left w:val="nil"/>
              <w:bottom w:val="nil"/>
              <w:right w:val="nil"/>
            </w:tcBorders>
            <w:shd w:val="clear" w:color="auto" w:fill="auto"/>
            <w:noWrap/>
            <w:hideMark/>
          </w:tcPr>
          <w:p w14:paraId="668101EC" w14:textId="77777777" w:rsidR="007742CC" w:rsidRPr="0058490C" w:rsidRDefault="007742CC" w:rsidP="000A29B1">
            <w:pPr>
              <w:spacing w:line="360" w:lineRule="auto"/>
              <w:jc w:val="center"/>
              <w:rPr>
                <w:color w:val="000000" w:themeColor="text1"/>
              </w:rPr>
            </w:pPr>
            <w:r w:rsidRPr="0058490C">
              <w:rPr>
                <w:color w:val="000000" w:themeColor="text1"/>
              </w:rPr>
              <w:t>30</w:t>
            </w:r>
          </w:p>
        </w:tc>
        <w:tc>
          <w:tcPr>
            <w:tcW w:w="960" w:type="dxa"/>
            <w:tcBorders>
              <w:top w:val="nil"/>
              <w:left w:val="nil"/>
              <w:bottom w:val="nil"/>
              <w:right w:val="nil"/>
            </w:tcBorders>
            <w:shd w:val="clear" w:color="auto" w:fill="auto"/>
            <w:noWrap/>
            <w:hideMark/>
          </w:tcPr>
          <w:p w14:paraId="7E33A86D" w14:textId="77777777" w:rsidR="007742CC" w:rsidRPr="0058490C" w:rsidRDefault="007742CC" w:rsidP="000A29B1">
            <w:pPr>
              <w:spacing w:line="360" w:lineRule="auto"/>
              <w:jc w:val="center"/>
              <w:rPr>
                <w:color w:val="000000" w:themeColor="text1"/>
              </w:rPr>
            </w:pPr>
            <w:r w:rsidRPr="0058490C">
              <w:rPr>
                <w:color w:val="000000" w:themeColor="text1"/>
              </w:rPr>
              <w:t>13.6</w:t>
            </w:r>
          </w:p>
        </w:tc>
      </w:tr>
      <w:tr w:rsidR="007742CC" w:rsidRPr="0058490C" w14:paraId="584A0781" w14:textId="77777777" w:rsidTr="000A29B1">
        <w:trPr>
          <w:trHeight w:val="300"/>
          <w:jc w:val="center"/>
        </w:trPr>
        <w:tc>
          <w:tcPr>
            <w:tcW w:w="3110" w:type="dxa"/>
            <w:tcBorders>
              <w:top w:val="nil"/>
              <w:left w:val="nil"/>
              <w:bottom w:val="nil"/>
              <w:right w:val="nil"/>
            </w:tcBorders>
            <w:shd w:val="clear" w:color="auto" w:fill="auto"/>
            <w:vAlign w:val="center"/>
            <w:hideMark/>
          </w:tcPr>
          <w:p w14:paraId="60955864" w14:textId="77777777" w:rsidR="007742CC" w:rsidRPr="0058490C" w:rsidRDefault="007742CC" w:rsidP="000A29B1">
            <w:pPr>
              <w:spacing w:line="360" w:lineRule="auto"/>
              <w:ind w:hanging="110"/>
              <w:rPr>
                <w:color w:val="000000" w:themeColor="text1"/>
              </w:rPr>
            </w:pPr>
            <w:r w:rsidRPr="0058490C">
              <w:rPr>
                <w:color w:val="000000" w:themeColor="text1"/>
              </w:rPr>
              <w:t xml:space="preserve">101m - 200m </w:t>
            </w:r>
          </w:p>
        </w:tc>
        <w:tc>
          <w:tcPr>
            <w:tcW w:w="1310" w:type="dxa"/>
            <w:tcBorders>
              <w:top w:val="nil"/>
              <w:left w:val="nil"/>
              <w:bottom w:val="nil"/>
              <w:right w:val="nil"/>
            </w:tcBorders>
            <w:shd w:val="clear" w:color="auto" w:fill="auto"/>
            <w:noWrap/>
            <w:hideMark/>
          </w:tcPr>
          <w:p w14:paraId="5C6CE013" w14:textId="77777777" w:rsidR="007742CC" w:rsidRPr="0058490C" w:rsidRDefault="007742CC" w:rsidP="000A29B1">
            <w:pPr>
              <w:spacing w:line="360" w:lineRule="auto"/>
              <w:jc w:val="center"/>
              <w:rPr>
                <w:color w:val="000000" w:themeColor="text1"/>
              </w:rPr>
            </w:pPr>
            <w:r w:rsidRPr="0058490C">
              <w:rPr>
                <w:color w:val="000000" w:themeColor="text1"/>
              </w:rPr>
              <w:t>21</w:t>
            </w:r>
          </w:p>
        </w:tc>
        <w:tc>
          <w:tcPr>
            <w:tcW w:w="960" w:type="dxa"/>
            <w:tcBorders>
              <w:top w:val="nil"/>
              <w:left w:val="nil"/>
              <w:bottom w:val="nil"/>
              <w:right w:val="nil"/>
            </w:tcBorders>
            <w:shd w:val="clear" w:color="auto" w:fill="auto"/>
            <w:noWrap/>
            <w:hideMark/>
          </w:tcPr>
          <w:p w14:paraId="57DD1A62" w14:textId="77777777" w:rsidR="007742CC" w:rsidRPr="0058490C" w:rsidRDefault="007742CC" w:rsidP="000A29B1">
            <w:pPr>
              <w:spacing w:line="360" w:lineRule="auto"/>
              <w:jc w:val="center"/>
              <w:rPr>
                <w:color w:val="000000" w:themeColor="text1"/>
              </w:rPr>
            </w:pPr>
            <w:r w:rsidRPr="0058490C">
              <w:rPr>
                <w:color w:val="000000" w:themeColor="text1"/>
              </w:rPr>
              <w:t xml:space="preserve">  9.5</w:t>
            </w:r>
          </w:p>
        </w:tc>
      </w:tr>
      <w:tr w:rsidR="007742CC" w:rsidRPr="0058490C" w14:paraId="62AC7F6F" w14:textId="77777777" w:rsidTr="000A29B1">
        <w:trPr>
          <w:trHeight w:val="300"/>
          <w:jc w:val="center"/>
        </w:trPr>
        <w:tc>
          <w:tcPr>
            <w:tcW w:w="3110" w:type="dxa"/>
            <w:tcBorders>
              <w:top w:val="nil"/>
              <w:left w:val="nil"/>
              <w:right w:val="nil"/>
            </w:tcBorders>
            <w:shd w:val="clear" w:color="auto" w:fill="auto"/>
            <w:vAlign w:val="center"/>
            <w:hideMark/>
          </w:tcPr>
          <w:p w14:paraId="2B0EBAE7" w14:textId="77777777" w:rsidR="007742CC" w:rsidRPr="0058490C" w:rsidRDefault="007742CC" w:rsidP="000A29B1">
            <w:pPr>
              <w:spacing w:line="360" w:lineRule="auto"/>
              <w:ind w:hanging="110"/>
              <w:rPr>
                <w:color w:val="000000" w:themeColor="text1"/>
              </w:rPr>
            </w:pPr>
            <w:r w:rsidRPr="0058490C">
              <w:rPr>
                <w:color w:val="000000" w:themeColor="text1"/>
              </w:rPr>
              <w:t xml:space="preserve">&gt; 200 m </w:t>
            </w:r>
          </w:p>
        </w:tc>
        <w:tc>
          <w:tcPr>
            <w:tcW w:w="1310" w:type="dxa"/>
            <w:tcBorders>
              <w:top w:val="nil"/>
              <w:left w:val="nil"/>
              <w:right w:val="nil"/>
            </w:tcBorders>
            <w:shd w:val="clear" w:color="auto" w:fill="auto"/>
            <w:noWrap/>
            <w:hideMark/>
          </w:tcPr>
          <w:p w14:paraId="6F24FDFE" w14:textId="77777777" w:rsidR="007742CC" w:rsidRPr="0058490C" w:rsidRDefault="007742CC" w:rsidP="000A29B1">
            <w:pPr>
              <w:spacing w:line="360" w:lineRule="auto"/>
              <w:jc w:val="center"/>
              <w:rPr>
                <w:color w:val="000000" w:themeColor="text1"/>
              </w:rPr>
            </w:pPr>
            <w:r w:rsidRPr="0058490C">
              <w:rPr>
                <w:color w:val="000000" w:themeColor="text1"/>
              </w:rPr>
              <w:t>89</w:t>
            </w:r>
          </w:p>
        </w:tc>
        <w:tc>
          <w:tcPr>
            <w:tcW w:w="960" w:type="dxa"/>
            <w:tcBorders>
              <w:top w:val="nil"/>
              <w:left w:val="nil"/>
              <w:right w:val="nil"/>
            </w:tcBorders>
            <w:shd w:val="clear" w:color="auto" w:fill="auto"/>
            <w:noWrap/>
            <w:hideMark/>
          </w:tcPr>
          <w:p w14:paraId="7930DD73" w14:textId="77777777" w:rsidR="007742CC" w:rsidRPr="0058490C" w:rsidRDefault="007742CC" w:rsidP="000A29B1">
            <w:pPr>
              <w:spacing w:line="360" w:lineRule="auto"/>
              <w:jc w:val="center"/>
              <w:rPr>
                <w:color w:val="000000" w:themeColor="text1"/>
              </w:rPr>
            </w:pPr>
            <w:r w:rsidRPr="0058490C">
              <w:rPr>
                <w:color w:val="000000" w:themeColor="text1"/>
              </w:rPr>
              <w:t>40.5</w:t>
            </w:r>
          </w:p>
        </w:tc>
      </w:tr>
      <w:tr w:rsidR="007742CC" w:rsidRPr="0058490C" w14:paraId="565BEB96" w14:textId="77777777" w:rsidTr="000A29B1">
        <w:trPr>
          <w:trHeight w:val="300"/>
          <w:jc w:val="center"/>
        </w:trPr>
        <w:tc>
          <w:tcPr>
            <w:tcW w:w="3110" w:type="dxa"/>
            <w:tcBorders>
              <w:top w:val="nil"/>
              <w:left w:val="nil"/>
              <w:bottom w:val="double" w:sz="4" w:space="0" w:color="auto"/>
              <w:right w:val="nil"/>
            </w:tcBorders>
            <w:shd w:val="clear" w:color="auto" w:fill="auto"/>
            <w:hideMark/>
          </w:tcPr>
          <w:p w14:paraId="0EA1AC81" w14:textId="77777777" w:rsidR="007742CC" w:rsidRPr="0058490C" w:rsidRDefault="007742CC" w:rsidP="000A29B1">
            <w:pPr>
              <w:spacing w:after="60" w:line="360" w:lineRule="auto"/>
              <w:ind w:hanging="110"/>
              <w:rPr>
                <w:color w:val="000000" w:themeColor="text1"/>
              </w:rPr>
            </w:pPr>
            <w:r w:rsidRPr="0058490C">
              <w:rPr>
                <w:color w:val="000000" w:themeColor="text1"/>
              </w:rPr>
              <w:t>Not provided</w:t>
            </w:r>
          </w:p>
        </w:tc>
        <w:tc>
          <w:tcPr>
            <w:tcW w:w="1310" w:type="dxa"/>
            <w:tcBorders>
              <w:top w:val="nil"/>
              <w:left w:val="nil"/>
              <w:bottom w:val="double" w:sz="4" w:space="0" w:color="auto"/>
              <w:right w:val="nil"/>
            </w:tcBorders>
            <w:shd w:val="clear" w:color="auto" w:fill="auto"/>
            <w:noWrap/>
            <w:hideMark/>
          </w:tcPr>
          <w:p w14:paraId="6B6388E8" w14:textId="77777777" w:rsidR="007742CC" w:rsidRPr="0058490C" w:rsidRDefault="007742CC" w:rsidP="000A29B1">
            <w:pPr>
              <w:spacing w:line="360" w:lineRule="auto"/>
              <w:jc w:val="center"/>
              <w:rPr>
                <w:color w:val="000000" w:themeColor="text1"/>
              </w:rPr>
            </w:pPr>
            <w:r w:rsidRPr="0058490C">
              <w:rPr>
                <w:color w:val="000000" w:themeColor="text1"/>
              </w:rPr>
              <w:t>37</w:t>
            </w:r>
          </w:p>
        </w:tc>
        <w:tc>
          <w:tcPr>
            <w:tcW w:w="960" w:type="dxa"/>
            <w:tcBorders>
              <w:top w:val="nil"/>
              <w:left w:val="nil"/>
              <w:bottom w:val="double" w:sz="4" w:space="0" w:color="auto"/>
              <w:right w:val="nil"/>
            </w:tcBorders>
            <w:shd w:val="clear" w:color="auto" w:fill="auto"/>
            <w:noWrap/>
            <w:hideMark/>
          </w:tcPr>
          <w:p w14:paraId="64882763" w14:textId="77777777" w:rsidR="007742CC" w:rsidRPr="0058490C" w:rsidRDefault="007742CC" w:rsidP="000A29B1">
            <w:pPr>
              <w:spacing w:line="360" w:lineRule="auto"/>
              <w:jc w:val="center"/>
              <w:rPr>
                <w:color w:val="000000" w:themeColor="text1"/>
              </w:rPr>
            </w:pPr>
            <w:r w:rsidRPr="0058490C">
              <w:rPr>
                <w:color w:val="000000" w:themeColor="text1"/>
              </w:rPr>
              <w:t>16.8</w:t>
            </w:r>
          </w:p>
        </w:tc>
      </w:tr>
    </w:tbl>
    <w:p w14:paraId="1F69C58B" w14:textId="77777777" w:rsidR="007742CC" w:rsidRDefault="007742CC" w:rsidP="007742CC">
      <w:pPr>
        <w:spacing w:before="120" w:line="360" w:lineRule="auto"/>
        <w:jc w:val="center"/>
        <w:rPr>
          <w:color w:val="000000" w:themeColor="text1"/>
          <w:sz w:val="22"/>
        </w:rPr>
      </w:pPr>
      <w:r w:rsidRPr="003C1C32">
        <w:rPr>
          <w:b/>
          <w:color w:val="000000" w:themeColor="text1"/>
          <w:sz w:val="22"/>
        </w:rPr>
        <w:t>Table I</w:t>
      </w:r>
      <w:r>
        <w:rPr>
          <w:b/>
          <w:color w:val="000000" w:themeColor="text1"/>
          <w:sz w:val="22"/>
        </w:rPr>
        <w:t>:</w:t>
      </w:r>
      <w:r w:rsidRPr="003C1C32">
        <w:rPr>
          <w:color w:val="000000" w:themeColor="text1"/>
          <w:sz w:val="22"/>
        </w:rPr>
        <w:t xml:space="preserve"> Industries represented in the sample</w:t>
      </w:r>
      <w:r>
        <w:rPr>
          <w:color w:val="000000" w:themeColor="text1"/>
          <w:sz w:val="22"/>
        </w:rPr>
        <w:t>.</w:t>
      </w:r>
    </w:p>
    <w:p w14:paraId="37CC1620" w14:textId="77777777" w:rsidR="007742CC" w:rsidRDefault="007742CC" w:rsidP="007742CC">
      <w:pPr>
        <w:spacing w:after="160" w:line="360" w:lineRule="auto"/>
        <w:rPr>
          <w:color w:val="000000" w:themeColor="text1"/>
          <w:sz w:val="22"/>
        </w:rPr>
      </w:pPr>
      <w:r>
        <w:rPr>
          <w:color w:val="000000" w:themeColor="text1"/>
          <w:sz w:val="22"/>
        </w:rPr>
        <w:br w:type="page"/>
      </w:r>
    </w:p>
    <w:p w14:paraId="2B799F0B" w14:textId="77777777" w:rsidR="007742CC" w:rsidRDefault="007742CC" w:rsidP="007742CC">
      <w:pPr>
        <w:spacing w:before="120" w:line="360" w:lineRule="auto"/>
        <w:jc w:val="center"/>
        <w:rPr>
          <w:color w:val="000000" w:themeColor="text1"/>
          <w:sz w:val="22"/>
        </w:rPr>
      </w:pPr>
    </w:p>
    <w:p w14:paraId="73D74588" w14:textId="77777777" w:rsidR="007742CC" w:rsidRDefault="007742CC" w:rsidP="007742CC">
      <w:pPr>
        <w:spacing w:before="120" w:line="360" w:lineRule="auto"/>
        <w:jc w:val="center"/>
        <w:rPr>
          <w:color w:val="000000" w:themeColor="text1"/>
          <w:sz w:val="22"/>
        </w:rPr>
      </w:pPr>
    </w:p>
    <w:p w14:paraId="249358C3" w14:textId="77777777" w:rsidR="007742CC" w:rsidRPr="003C1C32" w:rsidRDefault="007742CC" w:rsidP="007742CC">
      <w:pPr>
        <w:spacing w:line="360" w:lineRule="auto"/>
        <w:jc w:val="center"/>
        <w:rPr>
          <w:b/>
          <w:color w:val="000000" w:themeColor="text1"/>
        </w:rPr>
      </w:pPr>
    </w:p>
    <w:tbl>
      <w:tblPr>
        <w:tblW w:w="5589" w:type="dxa"/>
        <w:jc w:val="center"/>
        <w:tblLook w:val="04A0" w:firstRow="1" w:lastRow="0" w:firstColumn="1" w:lastColumn="0" w:noHBand="0" w:noVBand="1"/>
      </w:tblPr>
      <w:tblGrid>
        <w:gridCol w:w="3400"/>
        <w:gridCol w:w="1310"/>
        <w:gridCol w:w="960"/>
      </w:tblGrid>
      <w:tr w:rsidR="007742CC" w:rsidRPr="00CF39F6" w14:paraId="29280629" w14:textId="77777777" w:rsidTr="000A29B1">
        <w:trPr>
          <w:trHeight w:val="300"/>
          <w:jc w:val="center"/>
        </w:trPr>
        <w:tc>
          <w:tcPr>
            <w:tcW w:w="3400" w:type="dxa"/>
            <w:tcBorders>
              <w:top w:val="single" w:sz="4" w:space="0" w:color="auto"/>
              <w:left w:val="nil"/>
              <w:bottom w:val="single" w:sz="4" w:space="0" w:color="auto"/>
              <w:right w:val="nil"/>
            </w:tcBorders>
            <w:shd w:val="clear" w:color="auto" w:fill="auto"/>
            <w:noWrap/>
            <w:vAlign w:val="bottom"/>
            <w:hideMark/>
          </w:tcPr>
          <w:p w14:paraId="43C0E91C" w14:textId="77777777" w:rsidR="007742CC" w:rsidRPr="00CF39F6" w:rsidRDefault="007742CC" w:rsidP="000A29B1">
            <w:pPr>
              <w:spacing w:line="360" w:lineRule="auto"/>
              <w:rPr>
                <w:color w:val="000000" w:themeColor="text1"/>
              </w:rPr>
            </w:pPr>
            <w:r w:rsidRPr="00CF39F6">
              <w:rPr>
                <w:color w:val="000000" w:themeColor="text1"/>
              </w:rPr>
              <w:t> </w:t>
            </w:r>
          </w:p>
        </w:tc>
        <w:tc>
          <w:tcPr>
            <w:tcW w:w="1229" w:type="dxa"/>
            <w:tcBorders>
              <w:top w:val="single" w:sz="4" w:space="0" w:color="auto"/>
              <w:left w:val="nil"/>
              <w:bottom w:val="single" w:sz="4" w:space="0" w:color="auto"/>
              <w:right w:val="nil"/>
            </w:tcBorders>
            <w:shd w:val="clear" w:color="auto" w:fill="auto"/>
            <w:noWrap/>
            <w:vAlign w:val="bottom"/>
            <w:hideMark/>
          </w:tcPr>
          <w:p w14:paraId="5ABBC0D2" w14:textId="77777777" w:rsidR="007742CC" w:rsidRPr="003C1C32" w:rsidRDefault="007742CC" w:rsidP="000A29B1">
            <w:pPr>
              <w:spacing w:line="360" w:lineRule="auto"/>
              <w:jc w:val="center"/>
              <w:rPr>
                <w:b/>
                <w:bCs/>
                <w:color w:val="000000" w:themeColor="text1"/>
              </w:rPr>
            </w:pPr>
            <w:r w:rsidRPr="003C1C32">
              <w:rPr>
                <w:b/>
                <w:bCs/>
                <w:color w:val="000000" w:themeColor="text1"/>
              </w:rPr>
              <w:t>Frequency</w:t>
            </w:r>
          </w:p>
        </w:tc>
        <w:tc>
          <w:tcPr>
            <w:tcW w:w="960" w:type="dxa"/>
            <w:tcBorders>
              <w:top w:val="single" w:sz="4" w:space="0" w:color="auto"/>
              <w:left w:val="nil"/>
              <w:bottom w:val="single" w:sz="4" w:space="0" w:color="auto"/>
              <w:right w:val="nil"/>
            </w:tcBorders>
            <w:shd w:val="clear" w:color="auto" w:fill="auto"/>
            <w:noWrap/>
            <w:vAlign w:val="bottom"/>
            <w:hideMark/>
          </w:tcPr>
          <w:p w14:paraId="6FE11679" w14:textId="77777777" w:rsidR="007742CC" w:rsidRPr="003C1C32" w:rsidRDefault="007742CC" w:rsidP="000A29B1">
            <w:pPr>
              <w:spacing w:line="360" w:lineRule="auto"/>
              <w:jc w:val="center"/>
              <w:rPr>
                <w:b/>
                <w:bCs/>
                <w:color w:val="000000" w:themeColor="text1"/>
              </w:rPr>
            </w:pPr>
            <w:r w:rsidRPr="003C1C32">
              <w:rPr>
                <w:b/>
                <w:bCs/>
                <w:color w:val="000000" w:themeColor="text1"/>
              </w:rPr>
              <w:t>(%)</w:t>
            </w:r>
          </w:p>
        </w:tc>
      </w:tr>
      <w:tr w:rsidR="007742CC" w:rsidRPr="00CF39F6" w14:paraId="54A8E1DF" w14:textId="77777777" w:rsidTr="000A29B1">
        <w:trPr>
          <w:trHeight w:val="300"/>
          <w:jc w:val="center"/>
        </w:trPr>
        <w:tc>
          <w:tcPr>
            <w:tcW w:w="3400" w:type="dxa"/>
            <w:tcBorders>
              <w:top w:val="nil"/>
              <w:left w:val="nil"/>
              <w:bottom w:val="nil"/>
              <w:right w:val="nil"/>
            </w:tcBorders>
            <w:shd w:val="clear" w:color="auto" w:fill="auto"/>
            <w:vAlign w:val="center"/>
            <w:hideMark/>
          </w:tcPr>
          <w:p w14:paraId="7F812370" w14:textId="77777777" w:rsidR="007742CC" w:rsidRPr="00CF39F6" w:rsidRDefault="007742CC" w:rsidP="000A29B1">
            <w:pPr>
              <w:spacing w:line="360" w:lineRule="auto"/>
              <w:ind w:hanging="110"/>
              <w:rPr>
                <w:b/>
                <w:bCs/>
                <w:i/>
                <w:iCs/>
                <w:color w:val="000000" w:themeColor="text1"/>
              </w:rPr>
            </w:pPr>
            <w:r w:rsidRPr="00CF39F6">
              <w:rPr>
                <w:b/>
                <w:bCs/>
                <w:i/>
                <w:iCs/>
                <w:color w:val="000000" w:themeColor="text1"/>
              </w:rPr>
              <w:t>Designation</w:t>
            </w:r>
          </w:p>
        </w:tc>
        <w:tc>
          <w:tcPr>
            <w:tcW w:w="1229" w:type="dxa"/>
            <w:tcBorders>
              <w:top w:val="nil"/>
              <w:left w:val="nil"/>
              <w:bottom w:val="nil"/>
              <w:right w:val="nil"/>
            </w:tcBorders>
            <w:shd w:val="clear" w:color="auto" w:fill="auto"/>
            <w:vAlign w:val="center"/>
            <w:hideMark/>
          </w:tcPr>
          <w:p w14:paraId="18398A02" w14:textId="77777777" w:rsidR="007742CC" w:rsidRPr="00CF39F6" w:rsidRDefault="007742CC" w:rsidP="000A29B1">
            <w:pPr>
              <w:spacing w:line="360" w:lineRule="auto"/>
              <w:jc w:val="center"/>
              <w:rPr>
                <w:b/>
                <w:bCs/>
                <w:color w:val="000000" w:themeColor="text1"/>
              </w:rPr>
            </w:pPr>
            <w:r w:rsidRPr="00CF39F6">
              <w:rPr>
                <w:b/>
                <w:bCs/>
                <w:color w:val="000000" w:themeColor="text1"/>
              </w:rPr>
              <w:t> </w:t>
            </w:r>
          </w:p>
        </w:tc>
        <w:tc>
          <w:tcPr>
            <w:tcW w:w="960" w:type="dxa"/>
            <w:tcBorders>
              <w:top w:val="nil"/>
              <w:left w:val="nil"/>
              <w:bottom w:val="nil"/>
              <w:right w:val="nil"/>
            </w:tcBorders>
            <w:shd w:val="clear" w:color="auto" w:fill="auto"/>
            <w:vAlign w:val="center"/>
            <w:hideMark/>
          </w:tcPr>
          <w:p w14:paraId="72702E30" w14:textId="77777777" w:rsidR="007742CC" w:rsidRPr="00CF39F6" w:rsidRDefault="007742CC" w:rsidP="000A29B1">
            <w:pPr>
              <w:spacing w:line="360" w:lineRule="auto"/>
              <w:jc w:val="center"/>
              <w:rPr>
                <w:b/>
                <w:bCs/>
                <w:color w:val="000000" w:themeColor="text1"/>
              </w:rPr>
            </w:pPr>
            <w:r w:rsidRPr="00CF39F6">
              <w:rPr>
                <w:b/>
                <w:bCs/>
                <w:color w:val="000000" w:themeColor="text1"/>
              </w:rPr>
              <w:t> </w:t>
            </w:r>
          </w:p>
        </w:tc>
      </w:tr>
      <w:tr w:rsidR="007742CC" w:rsidRPr="00CF39F6" w14:paraId="622A0052" w14:textId="77777777" w:rsidTr="000A29B1">
        <w:trPr>
          <w:trHeight w:val="300"/>
          <w:jc w:val="center"/>
        </w:trPr>
        <w:tc>
          <w:tcPr>
            <w:tcW w:w="3400" w:type="dxa"/>
            <w:tcBorders>
              <w:top w:val="nil"/>
              <w:left w:val="nil"/>
              <w:bottom w:val="nil"/>
              <w:right w:val="nil"/>
            </w:tcBorders>
            <w:shd w:val="clear" w:color="auto" w:fill="auto"/>
            <w:hideMark/>
          </w:tcPr>
          <w:p w14:paraId="6DEDFA5B" w14:textId="77777777" w:rsidR="007742CC" w:rsidRPr="00CF39F6" w:rsidRDefault="007742CC" w:rsidP="000A29B1">
            <w:pPr>
              <w:spacing w:line="360" w:lineRule="auto"/>
              <w:ind w:hanging="110"/>
              <w:rPr>
                <w:color w:val="000000" w:themeColor="text1"/>
              </w:rPr>
            </w:pPr>
            <w:r w:rsidRPr="00CF39F6">
              <w:rPr>
                <w:color w:val="000000" w:themeColor="text1"/>
              </w:rPr>
              <w:t>CEO/Owner/General manager</w:t>
            </w:r>
          </w:p>
        </w:tc>
        <w:tc>
          <w:tcPr>
            <w:tcW w:w="1229" w:type="dxa"/>
            <w:tcBorders>
              <w:top w:val="nil"/>
              <w:left w:val="nil"/>
              <w:bottom w:val="nil"/>
              <w:right w:val="nil"/>
            </w:tcBorders>
            <w:shd w:val="clear" w:color="auto" w:fill="auto"/>
            <w:noWrap/>
            <w:hideMark/>
          </w:tcPr>
          <w:p w14:paraId="5DAA66CC" w14:textId="77777777" w:rsidR="007742CC" w:rsidRPr="00CF39F6" w:rsidRDefault="007742CC" w:rsidP="000A29B1">
            <w:pPr>
              <w:spacing w:line="360" w:lineRule="auto"/>
              <w:jc w:val="center"/>
              <w:rPr>
                <w:color w:val="000000" w:themeColor="text1"/>
              </w:rPr>
            </w:pPr>
            <w:r w:rsidRPr="00CF39F6">
              <w:rPr>
                <w:color w:val="000000" w:themeColor="text1"/>
              </w:rPr>
              <w:t>34</w:t>
            </w:r>
          </w:p>
        </w:tc>
        <w:tc>
          <w:tcPr>
            <w:tcW w:w="960" w:type="dxa"/>
            <w:tcBorders>
              <w:top w:val="nil"/>
              <w:left w:val="nil"/>
              <w:bottom w:val="nil"/>
              <w:right w:val="nil"/>
            </w:tcBorders>
            <w:shd w:val="clear" w:color="auto" w:fill="auto"/>
            <w:noWrap/>
            <w:hideMark/>
          </w:tcPr>
          <w:p w14:paraId="6D36961E" w14:textId="77777777" w:rsidR="007742CC" w:rsidRPr="00CF39F6" w:rsidRDefault="007742CC" w:rsidP="000A29B1">
            <w:pPr>
              <w:spacing w:line="360" w:lineRule="auto"/>
              <w:jc w:val="center"/>
              <w:rPr>
                <w:color w:val="000000" w:themeColor="text1"/>
              </w:rPr>
            </w:pPr>
            <w:r w:rsidRPr="00CF39F6">
              <w:rPr>
                <w:color w:val="000000" w:themeColor="text1"/>
              </w:rPr>
              <w:t>15.5</w:t>
            </w:r>
          </w:p>
        </w:tc>
      </w:tr>
      <w:tr w:rsidR="007742CC" w:rsidRPr="00CF39F6" w14:paraId="6D4E4295" w14:textId="77777777" w:rsidTr="000A29B1">
        <w:trPr>
          <w:trHeight w:val="300"/>
          <w:jc w:val="center"/>
        </w:trPr>
        <w:tc>
          <w:tcPr>
            <w:tcW w:w="3400" w:type="dxa"/>
            <w:tcBorders>
              <w:top w:val="nil"/>
              <w:left w:val="nil"/>
              <w:bottom w:val="nil"/>
              <w:right w:val="nil"/>
            </w:tcBorders>
            <w:shd w:val="clear" w:color="auto" w:fill="auto"/>
            <w:hideMark/>
          </w:tcPr>
          <w:p w14:paraId="005B3AB6" w14:textId="77777777" w:rsidR="007742CC" w:rsidRPr="00CF39F6" w:rsidRDefault="007742CC" w:rsidP="000A29B1">
            <w:pPr>
              <w:spacing w:line="360" w:lineRule="auto"/>
              <w:ind w:hanging="110"/>
              <w:rPr>
                <w:color w:val="000000" w:themeColor="text1"/>
              </w:rPr>
            </w:pPr>
            <w:r w:rsidRPr="00CF39F6">
              <w:rPr>
                <w:color w:val="000000" w:themeColor="text1"/>
              </w:rPr>
              <w:t>Functional head</w:t>
            </w:r>
          </w:p>
        </w:tc>
        <w:tc>
          <w:tcPr>
            <w:tcW w:w="1229" w:type="dxa"/>
            <w:tcBorders>
              <w:top w:val="nil"/>
              <w:left w:val="nil"/>
              <w:bottom w:val="nil"/>
              <w:right w:val="nil"/>
            </w:tcBorders>
            <w:shd w:val="clear" w:color="auto" w:fill="auto"/>
            <w:noWrap/>
            <w:hideMark/>
          </w:tcPr>
          <w:p w14:paraId="46E80154" w14:textId="77777777" w:rsidR="007742CC" w:rsidRPr="00CF39F6" w:rsidRDefault="007742CC" w:rsidP="000A29B1">
            <w:pPr>
              <w:spacing w:line="360" w:lineRule="auto"/>
              <w:jc w:val="center"/>
              <w:rPr>
                <w:color w:val="000000" w:themeColor="text1"/>
              </w:rPr>
            </w:pPr>
            <w:r w:rsidRPr="00CF39F6">
              <w:rPr>
                <w:color w:val="000000" w:themeColor="text1"/>
              </w:rPr>
              <w:t>60</w:t>
            </w:r>
          </w:p>
        </w:tc>
        <w:tc>
          <w:tcPr>
            <w:tcW w:w="960" w:type="dxa"/>
            <w:tcBorders>
              <w:top w:val="nil"/>
              <w:left w:val="nil"/>
              <w:bottom w:val="nil"/>
              <w:right w:val="nil"/>
            </w:tcBorders>
            <w:shd w:val="clear" w:color="auto" w:fill="auto"/>
            <w:noWrap/>
            <w:hideMark/>
          </w:tcPr>
          <w:p w14:paraId="4D87C99C" w14:textId="77777777" w:rsidR="007742CC" w:rsidRPr="00CF39F6" w:rsidRDefault="007742CC" w:rsidP="000A29B1">
            <w:pPr>
              <w:spacing w:line="360" w:lineRule="auto"/>
              <w:jc w:val="center"/>
              <w:rPr>
                <w:color w:val="000000" w:themeColor="text1"/>
              </w:rPr>
            </w:pPr>
            <w:r w:rsidRPr="00CF39F6">
              <w:rPr>
                <w:color w:val="000000" w:themeColor="text1"/>
              </w:rPr>
              <w:t>27.3</w:t>
            </w:r>
          </w:p>
        </w:tc>
      </w:tr>
      <w:tr w:rsidR="007742CC" w:rsidRPr="00CF39F6" w14:paraId="50AFA589" w14:textId="77777777" w:rsidTr="000A29B1">
        <w:trPr>
          <w:trHeight w:val="300"/>
          <w:jc w:val="center"/>
        </w:trPr>
        <w:tc>
          <w:tcPr>
            <w:tcW w:w="3400" w:type="dxa"/>
            <w:tcBorders>
              <w:top w:val="nil"/>
              <w:left w:val="nil"/>
              <w:bottom w:val="nil"/>
              <w:right w:val="nil"/>
            </w:tcBorders>
            <w:shd w:val="clear" w:color="auto" w:fill="auto"/>
            <w:hideMark/>
          </w:tcPr>
          <w:p w14:paraId="6E5D30F5" w14:textId="77777777" w:rsidR="007742CC" w:rsidRPr="00CF39F6" w:rsidRDefault="007742CC" w:rsidP="000A29B1">
            <w:pPr>
              <w:spacing w:line="360" w:lineRule="auto"/>
              <w:ind w:hanging="110"/>
              <w:rPr>
                <w:color w:val="000000" w:themeColor="text1"/>
              </w:rPr>
            </w:pPr>
            <w:r w:rsidRPr="00CF39F6">
              <w:rPr>
                <w:color w:val="000000" w:themeColor="text1"/>
              </w:rPr>
              <w:t>Middle management</w:t>
            </w:r>
          </w:p>
        </w:tc>
        <w:tc>
          <w:tcPr>
            <w:tcW w:w="1229" w:type="dxa"/>
            <w:tcBorders>
              <w:top w:val="nil"/>
              <w:left w:val="nil"/>
              <w:bottom w:val="nil"/>
              <w:right w:val="nil"/>
            </w:tcBorders>
            <w:shd w:val="clear" w:color="auto" w:fill="auto"/>
            <w:noWrap/>
            <w:hideMark/>
          </w:tcPr>
          <w:p w14:paraId="082C1753" w14:textId="77777777" w:rsidR="007742CC" w:rsidRPr="00CF39F6" w:rsidRDefault="007742CC" w:rsidP="000A29B1">
            <w:pPr>
              <w:spacing w:line="360" w:lineRule="auto"/>
              <w:jc w:val="center"/>
              <w:rPr>
                <w:color w:val="000000" w:themeColor="text1"/>
              </w:rPr>
            </w:pPr>
            <w:r w:rsidRPr="00CF39F6">
              <w:rPr>
                <w:color w:val="000000" w:themeColor="text1"/>
              </w:rPr>
              <w:t>65</w:t>
            </w:r>
          </w:p>
        </w:tc>
        <w:tc>
          <w:tcPr>
            <w:tcW w:w="960" w:type="dxa"/>
            <w:tcBorders>
              <w:top w:val="nil"/>
              <w:left w:val="nil"/>
              <w:bottom w:val="nil"/>
              <w:right w:val="nil"/>
            </w:tcBorders>
            <w:shd w:val="clear" w:color="auto" w:fill="auto"/>
            <w:noWrap/>
            <w:hideMark/>
          </w:tcPr>
          <w:p w14:paraId="1E87896C" w14:textId="77777777" w:rsidR="007742CC" w:rsidRPr="00CF39F6" w:rsidRDefault="007742CC" w:rsidP="000A29B1">
            <w:pPr>
              <w:spacing w:line="360" w:lineRule="auto"/>
              <w:jc w:val="center"/>
              <w:rPr>
                <w:color w:val="000000" w:themeColor="text1"/>
              </w:rPr>
            </w:pPr>
            <w:r w:rsidRPr="00CF39F6">
              <w:rPr>
                <w:color w:val="000000" w:themeColor="text1"/>
              </w:rPr>
              <w:t>29.5</w:t>
            </w:r>
          </w:p>
        </w:tc>
      </w:tr>
      <w:tr w:rsidR="007742CC" w:rsidRPr="00CF39F6" w14:paraId="4DBE0E95" w14:textId="77777777" w:rsidTr="000A29B1">
        <w:trPr>
          <w:trHeight w:val="300"/>
          <w:jc w:val="center"/>
        </w:trPr>
        <w:tc>
          <w:tcPr>
            <w:tcW w:w="3400" w:type="dxa"/>
            <w:tcBorders>
              <w:top w:val="nil"/>
              <w:left w:val="nil"/>
              <w:bottom w:val="nil"/>
              <w:right w:val="nil"/>
            </w:tcBorders>
            <w:shd w:val="clear" w:color="auto" w:fill="auto"/>
            <w:hideMark/>
          </w:tcPr>
          <w:p w14:paraId="7D6E6689" w14:textId="77777777" w:rsidR="007742CC" w:rsidRPr="00CF39F6" w:rsidRDefault="007742CC" w:rsidP="000A29B1">
            <w:pPr>
              <w:spacing w:line="360" w:lineRule="auto"/>
              <w:ind w:hanging="110"/>
              <w:rPr>
                <w:color w:val="000000" w:themeColor="text1"/>
              </w:rPr>
            </w:pPr>
            <w:r w:rsidRPr="00CF39F6">
              <w:rPr>
                <w:color w:val="000000" w:themeColor="text1"/>
              </w:rPr>
              <w:t>Executive</w:t>
            </w:r>
          </w:p>
        </w:tc>
        <w:tc>
          <w:tcPr>
            <w:tcW w:w="1229" w:type="dxa"/>
            <w:tcBorders>
              <w:top w:val="nil"/>
              <w:left w:val="nil"/>
              <w:bottom w:val="nil"/>
              <w:right w:val="nil"/>
            </w:tcBorders>
            <w:shd w:val="clear" w:color="auto" w:fill="auto"/>
            <w:noWrap/>
            <w:hideMark/>
          </w:tcPr>
          <w:p w14:paraId="0F6099F2" w14:textId="77777777" w:rsidR="007742CC" w:rsidRPr="00CF39F6" w:rsidRDefault="007742CC" w:rsidP="000A29B1">
            <w:pPr>
              <w:spacing w:line="360" w:lineRule="auto"/>
              <w:jc w:val="center"/>
              <w:rPr>
                <w:color w:val="000000" w:themeColor="text1"/>
              </w:rPr>
            </w:pPr>
            <w:r w:rsidRPr="00CF39F6">
              <w:rPr>
                <w:color w:val="000000" w:themeColor="text1"/>
              </w:rPr>
              <w:t>46</w:t>
            </w:r>
          </w:p>
        </w:tc>
        <w:tc>
          <w:tcPr>
            <w:tcW w:w="960" w:type="dxa"/>
            <w:tcBorders>
              <w:top w:val="nil"/>
              <w:left w:val="nil"/>
              <w:bottom w:val="nil"/>
              <w:right w:val="nil"/>
            </w:tcBorders>
            <w:shd w:val="clear" w:color="auto" w:fill="auto"/>
            <w:noWrap/>
            <w:hideMark/>
          </w:tcPr>
          <w:p w14:paraId="07FE9C47" w14:textId="77777777" w:rsidR="007742CC" w:rsidRPr="00CF39F6" w:rsidRDefault="007742CC" w:rsidP="000A29B1">
            <w:pPr>
              <w:spacing w:line="360" w:lineRule="auto"/>
              <w:jc w:val="center"/>
              <w:rPr>
                <w:color w:val="000000" w:themeColor="text1"/>
              </w:rPr>
            </w:pPr>
            <w:r w:rsidRPr="00CF39F6">
              <w:rPr>
                <w:color w:val="000000" w:themeColor="text1"/>
              </w:rPr>
              <w:t>20.9</w:t>
            </w:r>
          </w:p>
        </w:tc>
      </w:tr>
      <w:tr w:rsidR="007742CC" w:rsidRPr="00CF39F6" w14:paraId="77C4C5D2" w14:textId="77777777" w:rsidTr="000A29B1">
        <w:trPr>
          <w:trHeight w:val="247"/>
          <w:jc w:val="center"/>
        </w:trPr>
        <w:tc>
          <w:tcPr>
            <w:tcW w:w="3400" w:type="dxa"/>
            <w:tcBorders>
              <w:top w:val="nil"/>
              <w:left w:val="nil"/>
              <w:bottom w:val="nil"/>
              <w:right w:val="nil"/>
            </w:tcBorders>
            <w:shd w:val="clear" w:color="auto" w:fill="auto"/>
            <w:hideMark/>
          </w:tcPr>
          <w:p w14:paraId="0F424C37" w14:textId="77777777" w:rsidR="007742CC" w:rsidRPr="00CF39F6" w:rsidRDefault="007742CC" w:rsidP="000A29B1">
            <w:pPr>
              <w:spacing w:line="360" w:lineRule="auto"/>
              <w:ind w:hanging="110"/>
              <w:rPr>
                <w:color w:val="000000" w:themeColor="text1"/>
              </w:rPr>
            </w:pPr>
            <w:r w:rsidRPr="00CF39F6">
              <w:rPr>
                <w:color w:val="000000" w:themeColor="text1"/>
              </w:rPr>
              <w:t>Not provided</w:t>
            </w:r>
          </w:p>
        </w:tc>
        <w:tc>
          <w:tcPr>
            <w:tcW w:w="1229" w:type="dxa"/>
            <w:tcBorders>
              <w:top w:val="nil"/>
              <w:left w:val="nil"/>
              <w:bottom w:val="nil"/>
              <w:right w:val="nil"/>
            </w:tcBorders>
            <w:shd w:val="clear" w:color="auto" w:fill="auto"/>
            <w:noWrap/>
            <w:hideMark/>
          </w:tcPr>
          <w:p w14:paraId="7D728489" w14:textId="77777777" w:rsidR="007742CC" w:rsidRPr="00CF39F6" w:rsidRDefault="007742CC" w:rsidP="000A29B1">
            <w:pPr>
              <w:spacing w:line="360" w:lineRule="auto"/>
              <w:jc w:val="center"/>
              <w:rPr>
                <w:color w:val="000000" w:themeColor="text1"/>
              </w:rPr>
            </w:pPr>
            <w:r w:rsidRPr="00CF39F6">
              <w:rPr>
                <w:color w:val="000000" w:themeColor="text1"/>
              </w:rPr>
              <w:t>15</w:t>
            </w:r>
          </w:p>
        </w:tc>
        <w:tc>
          <w:tcPr>
            <w:tcW w:w="960" w:type="dxa"/>
            <w:tcBorders>
              <w:top w:val="nil"/>
              <w:left w:val="nil"/>
              <w:bottom w:val="nil"/>
              <w:right w:val="nil"/>
            </w:tcBorders>
            <w:shd w:val="clear" w:color="auto" w:fill="auto"/>
            <w:noWrap/>
            <w:hideMark/>
          </w:tcPr>
          <w:p w14:paraId="2D538291" w14:textId="77777777" w:rsidR="007742CC" w:rsidRPr="00CF39F6" w:rsidRDefault="007742CC" w:rsidP="000A29B1">
            <w:pPr>
              <w:spacing w:line="360" w:lineRule="auto"/>
              <w:jc w:val="center"/>
              <w:rPr>
                <w:color w:val="000000" w:themeColor="text1"/>
              </w:rPr>
            </w:pPr>
            <w:r>
              <w:rPr>
                <w:color w:val="000000" w:themeColor="text1"/>
              </w:rPr>
              <w:t xml:space="preserve">  </w:t>
            </w:r>
            <w:r w:rsidRPr="00CF39F6">
              <w:rPr>
                <w:color w:val="000000" w:themeColor="text1"/>
              </w:rPr>
              <w:t>6.8</w:t>
            </w:r>
          </w:p>
        </w:tc>
      </w:tr>
      <w:tr w:rsidR="007742CC" w:rsidRPr="00CF39F6" w14:paraId="65434170" w14:textId="77777777" w:rsidTr="000A29B1">
        <w:trPr>
          <w:trHeight w:val="300"/>
          <w:jc w:val="center"/>
        </w:trPr>
        <w:tc>
          <w:tcPr>
            <w:tcW w:w="3400" w:type="dxa"/>
            <w:tcBorders>
              <w:top w:val="nil"/>
              <w:left w:val="nil"/>
              <w:bottom w:val="nil"/>
              <w:right w:val="nil"/>
            </w:tcBorders>
            <w:shd w:val="clear" w:color="auto" w:fill="auto"/>
            <w:hideMark/>
          </w:tcPr>
          <w:p w14:paraId="52E5FEA0" w14:textId="77777777" w:rsidR="007742CC" w:rsidRPr="00CF39F6" w:rsidRDefault="007742CC" w:rsidP="000A29B1">
            <w:pPr>
              <w:spacing w:line="360" w:lineRule="auto"/>
              <w:ind w:hanging="110"/>
              <w:rPr>
                <w:b/>
                <w:bCs/>
                <w:i/>
                <w:iCs/>
                <w:color w:val="000000" w:themeColor="text1"/>
              </w:rPr>
            </w:pPr>
            <w:r w:rsidRPr="00CF39F6">
              <w:rPr>
                <w:b/>
                <w:bCs/>
                <w:i/>
                <w:iCs/>
                <w:color w:val="000000" w:themeColor="text1"/>
              </w:rPr>
              <w:t>Experience</w:t>
            </w:r>
          </w:p>
        </w:tc>
        <w:tc>
          <w:tcPr>
            <w:tcW w:w="1229" w:type="dxa"/>
            <w:tcBorders>
              <w:top w:val="nil"/>
              <w:left w:val="nil"/>
              <w:bottom w:val="nil"/>
              <w:right w:val="nil"/>
            </w:tcBorders>
            <w:shd w:val="clear" w:color="auto" w:fill="auto"/>
            <w:noWrap/>
            <w:hideMark/>
          </w:tcPr>
          <w:p w14:paraId="5C662B59" w14:textId="77777777" w:rsidR="007742CC" w:rsidRPr="00CF39F6" w:rsidRDefault="007742CC" w:rsidP="000A29B1">
            <w:pPr>
              <w:spacing w:line="360" w:lineRule="auto"/>
              <w:rPr>
                <w:b/>
                <w:bCs/>
                <w:i/>
                <w:iCs/>
                <w:color w:val="000000" w:themeColor="text1"/>
              </w:rPr>
            </w:pPr>
          </w:p>
        </w:tc>
        <w:tc>
          <w:tcPr>
            <w:tcW w:w="960" w:type="dxa"/>
            <w:tcBorders>
              <w:top w:val="nil"/>
              <w:left w:val="nil"/>
              <w:bottom w:val="nil"/>
              <w:right w:val="nil"/>
            </w:tcBorders>
            <w:shd w:val="clear" w:color="auto" w:fill="auto"/>
            <w:noWrap/>
            <w:hideMark/>
          </w:tcPr>
          <w:p w14:paraId="5699CC66" w14:textId="77777777" w:rsidR="007742CC" w:rsidRPr="00AB7B8D" w:rsidRDefault="007742CC" w:rsidP="000A29B1">
            <w:pPr>
              <w:spacing w:line="360" w:lineRule="auto"/>
              <w:jc w:val="center"/>
              <w:rPr>
                <w:color w:val="000000" w:themeColor="text1"/>
              </w:rPr>
            </w:pPr>
          </w:p>
        </w:tc>
      </w:tr>
      <w:tr w:rsidR="007742CC" w:rsidRPr="00CF39F6" w14:paraId="03056534" w14:textId="77777777" w:rsidTr="000A29B1">
        <w:trPr>
          <w:trHeight w:val="300"/>
          <w:jc w:val="center"/>
        </w:trPr>
        <w:tc>
          <w:tcPr>
            <w:tcW w:w="3400" w:type="dxa"/>
            <w:tcBorders>
              <w:top w:val="nil"/>
              <w:left w:val="nil"/>
              <w:bottom w:val="nil"/>
              <w:right w:val="nil"/>
            </w:tcBorders>
            <w:shd w:val="clear" w:color="auto" w:fill="auto"/>
            <w:noWrap/>
            <w:vAlign w:val="bottom"/>
            <w:hideMark/>
          </w:tcPr>
          <w:p w14:paraId="60326477" w14:textId="77777777" w:rsidR="007742CC" w:rsidRPr="00CF39F6" w:rsidRDefault="007742CC" w:rsidP="000A29B1">
            <w:pPr>
              <w:spacing w:line="360" w:lineRule="auto"/>
              <w:ind w:hanging="110"/>
              <w:rPr>
                <w:color w:val="000000" w:themeColor="text1"/>
              </w:rPr>
            </w:pPr>
            <w:r>
              <w:rPr>
                <w:color w:val="000000" w:themeColor="text1"/>
              </w:rPr>
              <w:t>&lt;</w:t>
            </w:r>
            <w:r w:rsidRPr="00CF39F6">
              <w:rPr>
                <w:color w:val="000000" w:themeColor="text1"/>
              </w:rPr>
              <w:t xml:space="preserve"> 5 years</w:t>
            </w:r>
          </w:p>
        </w:tc>
        <w:tc>
          <w:tcPr>
            <w:tcW w:w="1229" w:type="dxa"/>
            <w:tcBorders>
              <w:top w:val="nil"/>
              <w:left w:val="nil"/>
              <w:bottom w:val="nil"/>
              <w:right w:val="nil"/>
            </w:tcBorders>
            <w:shd w:val="clear" w:color="auto" w:fill="auto"/>
            <w:noWrap/>
            <w:vAlign w:val="bottom"/>
            <w:hideMark/>
          </w:tcPr>
          <w:p w14:paraId="08450FF6" w14:textId="77777777" w:rsidR="007742CC" w:rsidRPr="00CF39F6" w:rsidRDefault="007742CC" w:rsidP="000A29B1">
            <w:pPr>
              <w:spacing w:line="360" w:lineRule="auto"/>
              <w:jc w:val="center"/>
              <w:rPr>
                <w:color w:val="000000" w:themeColor="text1"/>
              </w:rPr>
            </w:pPr>
            <w:r w:rsidRPr="00CF39F6">
              <w:rPr>
                <w:color w:val="000000" w:themeColor="text1"/>
              </w:rPr>
              <w:t>56</w:t>
            </w:r>
          </w:p>
        </w:tc>
        <w:tc>
          <w:tcPr>
            <w:tcW w:w="960" w:type="dxa"/>
            <w:tcBorders>
              <w:top w:val="nil"/>
              <w:left w:val="nil"/>
              <w:bottom w:val="nil"/>
              <w:right w:val="nil"/>
            </w:tcBorders>
            <w:shd w:val="clear" w:color="auto" w:fill="auto"/>
            <w:noWrap/>
            <w:vAlign w:val="bottom"/>
            <w:hideMark/>
          </w:tcPr>
          <w:p w14:paraId="5C8204F7" w14:textId="77777777" w:rsidR="007742CC" w:rsidRPr="00CF39F6" w:rsidRDefault="007742CC" w:rsidP="000A29B1">
            <w:pPr>
              <w:spacing w:line="360" w:lineRule="auto"/>
              <w:jc w:val="center"/>
              <w:rPr>
                <w:color w:val="000000" w:themeColor="text1"/>
              </w:rPr>
            </w:pPr>
            <w:r w:rsidRPr="00CF39F6">
              <w:rPr>
                <w:color w:val="000000" w:themeColor="text1"/>
              </w:rPr>
              <w:t>25.45</w:t>
            </w:r>
          </w:p>
        </w:tc>
      </w:tr>
      <w:tr w:rsidR="007742CC" w:rsidRPr="00CF39F6" w14:paraId="32CC4E5C" w14:textId="77777777" w:rsidTr="000A29B1">
        <w:trPr>
          <w:trHeight w:val="300"/>
          <w:jc w:val="center"/>
        </w:trPr>
        <w:tc>
          <w:tcPr>
            <w:tcW w:w="3400" w:type="dxa"/>
            <w:tcBorders>
              <w:top w:val="nil"/>
              <w:left w:val="nil"/>
              <w:bottom w:val="nil"/>
              <w:right w:val="nil"/>
            </w:tcBorders>
            <w:shd w:val="clear" w:color="auto" w:fill="auto"/>
            <w:noWrap/>
            <w:vAlign w:val="bottom"/>
            <w:hideMark/>
          </w:tcPr>
          <w:p w14:paraId="01083DD5" w14:textId="77777777" w:rsidR="007742CC" w:rsidRPr="00CF39F6" w:rsidRDefault="007742CC" w:rsidP="000A29B1">
            <w:pPr>
              <w:spacing w:line="360" w:lineRule="auto"/>
              <w:ind w:hanging="110"/>
              <w:rPr>
                <w:color w:val="000000" w:themeColor="text1"/>
              </w:rPr>
            </w:pPr>
            <w:r w:rsidRPr="00CF39F6">
              <w:rPr>
                <w:color w:val="000000" w:themeColor="text1"/>
              </w:rPr>
              <w:t>5 to 10 years</w:t>
            </w:r>
          </w:p>
        </w:tc>
        <w:tc>
          <w:tcPr>
            <w:tcW w:w="1229" w:type="dxa"/>
            <w:tcBorders>
              <w:top w:val="nil"/>
              <w:left w:val="nil"/>
              <w:bottom w:val="nil"/>
              <w:right w:val="nil"/>
            </w:tcBorders>
            <w:shd w:val="clear" w:color="auto" w:fill="auto"/>
            <w:noWrap/>
            <w:vAlign w:val="bottom"/>
            <w:hideMark/>
          </w:tcPr>
          <w:p w14:paraId="3438C1DD" w14:textId="77777777" w:rsidR="007742CC" w:rsidRPr="00CF39F6" w:rsidRDefault="007742CC" w:rsidP="000A29B1">
            <w:pPr>
              <w:spacing w:line="360" w:lineRule="auto"/>
              <w:jc w:val="center"/>
              <w:rPr>
                <w:color w:val="000000" w:themeColor="text1"/>
              </w:rPr>
            </w:pPr>
            <w:r w:rsidRPr="00CF39F6">
              <w:rPr>
                <w:color w:val="000000" w:themeColor="text1"/>
              </w:rPr>
              <w:t>94</w:t>
            </w:r>
          </w:p>
        </w:tc>
        <w:tc>
          <w:tcPr>
            <w:tcW w:w="960" w:type="dxa"/>
            <w:tcBorders>
              <w:top w:val="nil"/>
              <w:left w:val="nil"/>
              <w:bottom w:val="nil"/>
              <w:right w:val="nil"/>
            </w:tcBorders>
            <w:shd w:val="clear" w:color="auto" w:fill="auto"/>
            <w:noWrap/>
            <w:vAlign w:val="bottom"/>
            <w:hideMark/>
          </w:tcPr>
          <w:p w14:paraId="00720F94" w14:textId="77777777" w:rsidR="007742CC" w:rsidRPr="00CF39F6" w:rsidRDefault="007742CC" w:rsidP="000A29B1">
            <w:pPr>
              <w:spacing w:line="360" w:lineRule="auto"/>
              <w:jc w:val="center"/>
              <w:rPr>
                <w:color w:val="000000" w:themeColor="text1"/>
              </w:rPr>
            </w:pPr>
            <w:r w:rsidRPr="00CF39F6">
              <w:rPr>
                <w:color w:val="000000" w:themeColor="text1"/>
              </w:rPr>
              <w:t>42.73</w:t>
            </w:r>
          </w:p>
        </w:tc>
      </w:tr>
      <w:tr w:rsidR="007742CC" w:rsidRPr="00CF39F6" w14:paraId="5CB07B10" w14:textId="77777777" w:rsidTr="000A29B1">
        <w:trPr>
          <w:trHeight w:val="300"/>
          <w:jc w:val="center"/>
        </w:trPr>
        <w:tc>
          <w:tcPr>
            <w:tcW w:w="3400" w:type="dxa"/>
            <w:tcBorders>
              <w:top w:val="nil"/>
              <w:left w:val="nil"/>
              <w:right w:val="nil"/>
            </w:tcBorders>
            <w:shd w:val="clear" w:color="auto" w:fill="auto"/>
            <w:noWrap/>
            <w:vAlign w:val="bottom"/>
            <w:hideMark/>
          </w:tcPr>
          <w:p w14:paraId="62E6FA59" w14:textId="77777777" w:rsidR="007742CC" w:rsidRPr="00CF39F6" w:rsidRDefault="007742CC" w:rsidP="000A29B1">
            <w:pPr>
              <w:spacing w:line="360" w:lineRule="auto"/>
              <w:ind w:hanging="110"/>
              <w:rPr>
                <w:color w:val="000000" w:themeColor="text1"/>
              </w:rPr>
            </w:pPr>
            <w:r w:rsidRPr="00CF39F6">
              <w:rPr>
                <w:color w:val="000000" w:themeColor="text1"/>
              </w:rPr>
              <w:t>11 to 15 years</w:t>
            </w:r>
          </w:p>
        </w:tc>
        <w:tc>
          <w:tcPr>
            <w:tcW w:w="1229" w:type="dxa"/>
            <w:tcBorders>
              <w:top w:val="nil"/>
              <w:left w:val="nil"/>
              <w:right w:val="nil"/>
            </w:tcBorders>
            <w:shd w:val="clear" w:color="auto" w:fill="auto"/>
            <w:noWrap/>
            <w:vAlign w:val="bottom"/>
            <w:hideMark/>
          </w:tcPr>
          <w:p w14:paraId="521F0AA3" w14:textId="77777777" w:rsidR="007742CC" w:rsidRPr="00CF39F6" w:rsidRDefault="007742CC" w:rsidP="000A29B1">
            <w:pPr>
              <w:spacing w:line="360" w:lineRule="auto"/>
              <w:jc w:val="center"/>
              <w:rPr>
                <w:color w:val="000000" w:themeColor="text1"/>
              </w:rPr>
            </w:pPr>
            <w:r w:rsidRPr="00CF39F6">
              <w:rPr>
                <w:color w:val="000000" w:themeColor="text1"/>
              </w:rPr>
              <w:t>34</w:t>
            </w:r>
          </w:p>
        </w:tc>
        <w:tc>
          <w:tcPr>
            <w:tcW w:w="960" w:type="dxa"/>
            <w:tcBorders>
              <w:top w:val="nil"/>
              <w:left w:val="nil"/>
              <w:right w:val="nil"/>
            </w:tcBorders>
            <w:shd w:val="clear" w:color="auto" w:fill="auto"/>
            <w:noWrap/>
            <w:vAlign w:val="bottom"/>
            <w:hideMark/>
          </w:tcPr>
          <w:p w14:paraId="0BE7F50C" w14:textId="77777777" w:rsidR="007742CC" w:rsidRPr="00CF39F6" w:rsidRDefault="007742CC" w:rsidP="000A29B1">
            <w:pPr>
              <w:spacing w:line="360" w:lineRule="auto"/>
              <w:jc w:val="center"/>
              <w:rPr>
                <w:color w:val="000000" w:themeColor="text1"/>
              </w:rPr>
            </w:pPr>
            <w:r w:rsidRPr="00CF39F6">
              <w:rPr>
                <w:color w:val="000000" w:themeColor="text1"/>
              </w:rPr>
              <w:t>15.45</w:t>
            </w:r>
          </w:p>
        </w:tc>
      </w:tr>
      <w:tr w:rsidR="007742CC" w:rsidRPr="00CF39F6" w14:paraId="67A2CFFE" w14:textId="77777777" w:rsidTr="000A29B1">
        <w:trPr>
          <w:trHeight w:val="300"/>
          <w:jc w:val="center"/>
        </w:trPr>
        <w:tc>
          <w:tcPr>
            <w:tcW w:w="3400" w:type="dxa"/>
            <w:tcBorders>
              <w:top w:val="nil"/>
              <w:left w:val="nil"/>
              <w:bottom w:val="double" w:sz="4" w:space="0" w:color="auto"/>
              <w:right w:val="nil"/>
            </w:tcBorders>
            <w:shd w:val="clear" w:color="auto" w:fill="auto"/>
            <w:noWrap/>
            <w:vAlign w:val="bottom"/>
            <w:hideMark/>
          </w:tcPr>
          <w:p w14:paraId="796E0D5E" w14:textId="77777777" w:rsidR="007742CC" w:rsidRPr="00CF39F6" w:rsidRDefault="007742CC" w:rsidP="000A29B1">
            <w:pPr>
              <w:spacing w:after="60" w:line="360" w:lineRule="auto"/>
              <w:ind w:hanging="110"/>
              <w:rPr>
                <w:color w:val="000000" w:themeColor="text1"/>
              </w:rPr>
            </w:pPr>
            <w:r>
              <w:rPr>
                <w:color w:val="000000" w:themeColor="text1"/>
              </w:rPr>
              <w:t>&gt;</w:t>
            </w:r>
            <w:r w:rsidRPr="00CF39F6">
              <w:rPr>
                <w:color w:val="000000" w:themeColor="text1"/>
              </w:rPr>
              <w:t xml:space="preserve"> 15 years</w:t>
            </w:r>
          </w:p>
        </w:tc>
        <w:tc>
          <w:tcPr>
            <w:tcW w:w="1229" w:type="dxa"/>
            <w:tcBorders>
              <w:top w:val="nil"/>
              <w:left w:val="nil"/>
              <w:bottom w:val="double" w:sz="4" w:space="0" w:color="auto"/>
              <w:right w:val="nil"/>
            </w:tcBorders>
            <w:shd w:val="clear" w:color="auto" w:fill="auto"/>
            <w:noWrap/>
            <w:vAlign w:val="bottom"/>
            <w:hideMark/>
          </w:tcPr>
          <w:p w14:paraId="0E03D952" w14:textId="77777777" w:rsidR="007742CC" w:rsidRPr="00CF39F6" w:rsidRDefault="007742CC" w:rsidP="000A29B1">
            <w:pPr>
              <w:spacing w:line="360" w:lineRule="auto"/>
              <w:jc w:val="center"/>
              <w:rPr>
                <w:color w:val="000000" w:themeColor="text1"/>
              </w:rPr>
            </w:pPr>
            <w:r w:rsidRPr="00CF39F6">
              <w:rPr>
                <w:color w:val="000000" w:themeColor="text1"/>
              </w:rPr>
              <w:t>36</w:t>
            </w:r>
          </w:p>
        </w:tc>
        <w:tc>
          <w:tcPr>
            <w:tcW w:w="960" w:type="dxa"/>
            <w:tcBorders>
              <w:top w:val="nil"/>
              <w:left w:val="nil"/>
              <w:bottom w:val="double" w:sz="4" w:space="0" w:color="auto"/>
              <w:right w:val="nil"/>
            </w:tcBorders>
            <w:shd w:val="clear" w:color="auto" w:fill="auto"/>
            <w:noWrap/>
            <w:vAlign w:val="bottom"/>
            <w:hideMark/>
          </w:tcPr>
          <w:p w14:paraId="44B4D02B" w14:textId="77777777" w:rsidR="007742CC" w:rsidRPr="00CF39F6" w:rsidRDefault="007742CC" w:rsidP="000A29B1">
            <w:pPr>
              <w:spacing w:line="360" w:lineRule="auto"/>
              <w:jc w:val="center"/>
              <w:rPr>
                <w:color w:val="000000" w:themeColor="text1"/>
              </w:rPr>
            </w:pPr>
            <w:r w:rsidRPr="00CF39F6">
              <w:rPr>
                <w:color w:val="000000" w:themeColor="text1"/>
              </w:rPr>
              <w:t>16.36</w:t>
            </w:r>
          </w:p>
        </w:tc>
      </w:tr>
    </w:tbl>
    <w:p w14:paraId="6C124353" w14:textId="77777777" w:rsidR="007742CC" w:rsidRDefault="007742CC" w:rsidP="007742CC">
      <w:pPr>
        <w:pStyle w:val="EndNoteBibliography"/>
        <w:spacing w:before="120" w:after="0" w:line="360" w:lineRule="auto"/>
        <w:jc w:val="center"/>
        <w:rPr>
          <w:color w:val="000000" w:themeColor="text1"/>
          <w:sz w:val="22"/>
        </w:rPr>
      </w:pPr>
      <w:r w:rsidRPr="003C1C32">
        <w:rPr>
          <w:b/>
          <w:color w:val="000000" w:themeColor="text1"/>
          <w:sz w:val="22"/>
        </w:rPr>
        <w:t>Table II</w:t>
      </w:r>
      <w:r>
        <w:rPr>
          <w:b/>
          <w:color w:val="000000" w:themeColor="text1"/>
          <w:sz w:val="22"/>
        </w:rPr>
        <w:t>:</w:t>
      </w:r>
      <w:r w:rsidRPr="003C1C32">
        <w:rPr>
          <w:color w:val="000000" w:themeColor="text1"/>
          <w:sz w:val="22"/>
        </w:rPr>
        <w:t xml:space="preserve"> </w:t>
      </w:r>
      <w:r>
        <w:rPr>
          <w:color w:val="000000" w:themeColor="text1"/>
          <w:sz w:val="22"/>
        </w:rPr>
        <w:t>P</w:t>
      </w:r>
      <w:r w:rsidRPr="003C1C32">
        <w:rPr>
          <w:color w:val="000000" w:themeColor="text1"/>
          <w:sz w:val="22"/>
        </w:rPr>
        <w:t>rofile</w:t>
      </w:r>
      <w:r>
        <w:rPr>
          <w:color w:val="000000" w:themeColor="text1"/>
          <w:sz w:val="22"/>
        </w:rPr>
        <w:t xml:space="preserve"> of respondents.</w:t>
      </w:r>
    </w:p>
    <w:p w14:paraId="13ADB141" w14:textId="77777777" w:rsidR="007742CC" w:rsidRDefault="007742CC" w:rsidP="007742CC">
      <w:pPr>
        <w:spacing w:after="160" w:line="360" w:lineRule="auto"/>
        <w:rPr>
          <w:rFonts w:eastAsiaTheme="minorHAnsi"/>
          <w:noProof/>
          <w:color w:val="000000" w:themeColor="text1"/>
          <w:sz w:val="22"/>
          <w:szCs w:val="22"/>
          <w:lang w:eastAsia="en-US"/>
        </w:rPr>
      </w:pPr>
      <w:r>
        <w:rPr>
          <w:color w:val="000000" w:themeColor="text1"/>
          <w:sz w:val="22"/>
        </w:rPr>
        <w:br w:type="page"/>
      </w:r>
    </w:p>
    <w:p w14:paraId="0975C5E3" w14:textId="77777777" w:rsidR="007742CC" w:rsidRDefault="007742CC" w:rsidP="007742CC">
      <w:pPr>
        <w:pStyle w:val="EndNoteBibliography"/>
        <w:spacing w:before="120" w:after="0" w:line="360" w:lineRule="auto"/>
        <w:jc w:val="center"/>
        <w:rPr>
          <w:color w:val="000000" w:themeColor="text1"/>
          <w:sz w:val="22"/>
        </w:rPr>
      </w:pPr>
    </w:p>
    <w:p w14:paraId="06353C95" w14:textId="77777777" w:rsidR="007742CC" w:rsidRPr="00CF39F6" w:rsidRDefault="007742CC" w:rsidP="007742CC">
      <w:pPr>
        <w:spacing w:line="360" w:lineRule="auto"/>
        <w:jc w:val="both"/>
        <w:rPr>
          <w:b/>
          <w:color w:val="000000" w:themeColor="text1"/>
        </w:rPr>
      </w:pPr>
    </w:p>
    <w:tbl>
      <w:tblPr>
        <w:tblW w:w="9700" w:type="dxa"/>
        <w:jc w:val="center"/>
        <w:tblLook w:val="04A0" w:firstRow="1" w:lastRow="0" w:firstColumn="1" w:lastColumn="0" w:noHBand="0" w:noVBand="1"/>
      </w:tblPr>
      <w:tblGrid>
        <w:gridCol w:w="7720"/>
        <w:gridCol w:w="1980"/>
      </w:tblGrid>
      <w:tr w:rsidR="007742CC" w:rsidRPr="00CF39F6" w14:paraId="60A73ED9" w14:textId="77777777" w:rsidTr="000A29B1">
        <w:trPr>
          <w:trHeight w:val="721"/>
          <w:jc w:val="center"/>
        </w:trPr>
        <w:tc>
          <w:tcPr>
            <w:tcW w:w="7720" w:type="dxa"/>
            <w:tcBorders>
              <w:top w:val="single" w:sz="4" w:space="0" w:color="auto"/>
              <w:left w:val="nil"/>
              <w:bottom w:val="single" w:sz="4" w:space="0" w:color="auto"/>
              <w:right w:val="nil"/>
            </w:tcBorders>
            <w:shd w:val="clear" w:color="auto" w:fill="auto"/>
            <w:vAlign w:val="center"/>
            <w:hideMark/>
          </w:tcPr>
          <w:p w14:paraId="4361CC90" w14:textId="77777777" w:rsidR="007742CC" w:rsidRPr="00CF39F6" w:rsidRDefault="007742CC" w:rsidP="00BD7B0E">
            <w:pPr>
              <w:ind w:left="-110"/>
              <w:rPr>
                <w:b/>
                <w:bCs/>
                <w:i/>
                <w:iCs/>
                <w:color w:val="000000" w:themeColor="text1"/>
              </w:rPr>
            </w:pPr>
            <w:r w:rsidRPr="00CF39F6">
              <w:rPr>
                <w:b/>
                <w:bCs/>
                <w:i/>
                <w:iCs/>
                <w:color w:val="000000" w:themeColor="text1"/>
              </w:rPr>
              <w:t>Indicator (CR, AVE)</w:t>
            </w:r>
          </w:p>
        </w:tc>
        <w:tc>
          <w:tcPr>
            <w:tcW w:w="1980" w:type="dxa"/>
            <w:tcBorders>
              <w:top w:val="single" w:sz="4" w:space="0" w:color="auto"/>
              <w:left w:val="nil"/>
              <w:bottom w:val="single" w:sz="4" w:space="0" w:color="auto"/>
              <w:right w:val="nil"/>
            </w:tcBorders>
            <w:shd w:val="clear" w:color="auto" w:fill="auto"/>
            <w:vAlign w:val="center"/>
            <w:hideMark/>
          </w:tcPr>
          <w:p w14:paraId="19F17F24" w14:textId="77777777" w:rsidR="007742CC" w:rsidRPr="00CF39F6" w:rsidRDefault="007742CC" w:rsidP="00BD7B0E">
            <w:pPr>
              <w:jc w:val="center"/>
              <w:rPr>
                <w:b/>
                <w:bCs/>
                <w:color w:val="000000" w:themeColor="text1"/>
              </w:rPr>
            </w:pPr>
            <w:r w:rsidRPr="00CF39F6">
              <w:rPr>
                <w:b/>
                <w:bCs/>
                <w:color w:val="000000" w:themeColor="text1"/>
              </w:rPr>
              <w:t>Standardized</w:t>
            </w:r>
            <w:r w:rsidRPr="00CF39F6">
              <w:rPr>
                <w:b/>
                <w:bCs/>
                <w:color w:val="000000" w:themeColor="text1"/>
              </w:rPr>
              <w:br/>
              <w:t>loading</w:t>
            </w:r>
          </w:p>
        </w:tc>
      </w:tr>
      <w:tr w:rsidR="007742CC" w:rsidRPr="00CF39F6" w14:paraId="2F201E4C" w14:textId="77777777" w:rsidTr="000A29B1">
        <w:trPr>
          <w:trHeight w:val="65"/>
          <w:jc w:val="center"/>
        </w:trPr>
        <w:tc>
          <w:tcPr>
            <w:tcW w:w="7720" w:type="dxa"/>
            <w:tcBorders>
              <w:top w:val="nil"/>
              <w:left w:val="nil"/>
              <w:bottom w:val="nil"/>
              <w:right w:val="nil"/>
            </w:tcBorders>
            <w:shd w:val="clear" w:color="auto" w:fill="auto"/>
            <w:vAlign w:val="center"/>
            <w:hideMark/>
          </w:tcPr>
          <w:p w14:paraId="0B230292" w14:textId="5733BA86" w:rsidR="007742CC" w:rsidRPr="00CF39F6" w:rsidRDefault="007742CC" w:rsidP="00BD7B0E">
            <w:pPr>
              <w:spacing w:before="60"/>
              <w:ind w:left="-110"/>
              <w:rPr>
                <w:i/>
                <w:iCs/>
                <w:color w:val="000000" w:themeColor="text1"/>
              </w:rPr>
            </w:pPr>
            <w:r w:rsidRPr="00CF39F6">
              <w:rPr>
                <w:i/>
                <w:iCs/>
                <w:color w:val="000000" w:themeColor="text1"/>
              </w:rPr>
              <w:t xml:space="preserve">Performance </w:t>
            </w:r>
            <w:r w:rsidR="00770AC1">
              <w:rPr>
                <w:i/>
                <w:iCs/>
                <w:color w:val="000000" w:themeColor="text1"/>
              </w:rPr>
              <w:t>management context</w:t>
            </w:r>
            <w:r w:rsidRPr="00CF39F6">
              <w:rPr>
                <w:i/>
                <w:iCs/>
                <w:color w:val="000000" w:themeColor="text1"/>
              </w:rPr>
              <w:t xml:space="preserve"> (CR = 0.86, AVE = 0.60) </w:t>
            </w:r>
          </w:p>
        </w:tc>
        <w:tc>
          <w:tcPr>
            <w:tcW w:w="1980" w:type="dxa"/>
            <w:tcBorders>
              <w:top w:val="nil"/>
              <w:left w:val="nil"/>
              <w:bottom w:val="nil"/>
              <w:right w:val="nil"/>
            </w:tcBorders>
            <w:shd w:val="clear" w:color="auto" w:fill="auto"/>
            <w:vAlign w:val="center"/>
            <w:hideMark/>
          </w:tcPr>
          <w:p w14:paraId="5926588E" w14:textId="77777777" w:rsidR="007742CC" w:rsidRPr="00CF39F6" w:rsidRDefault="007742CC" w:rsidP="00BD7B0E">
            <w:pPr>
              <w:spacing w:before="60"/>
              <w:jc w:val="center"/>
              <w:rPr>
                <w:i/>
                <w:iCs/>
                <w:color w:val="000000" w:themeColor="text1"/>
              </w:rPr>
            </w:pPr>
          </w:p>
        </w:tc>
      </w:tr>
      <w:tr w:rsidR="007742CC" w:rsidRPr="00CF39F6" w14:paraId="3CE2400F" w14:textId="77777777" w:rsidTr="000A29B1">
        <w:trPr>
          <w:trHeight w:val="300"/>
          <w:jc w:val="center"/>
        </w:trPr>
        <w:tc>
          <w:tcPr>
            <w:tcW w:w="7720" w:type="dxa"/>
            <w:tcBorders>
              <w:top w:val="nil"/>
              <w:left w:val="nil"/>
              <w:bottom w:val="nil"/>
              <w:right w:val="nil"/>
            </w:tcBorders>
            <w:shd w:val="clear" w:color="auto" w:fill="auto"/>
            <w:vAlign w:val="center"/>
            <w:hideMark/>
          </w:tcPr>
          <w:p w14:paraId="7E3713DC" w14:textId="1F398148" w:rsidR="007742CC" w:rsidRPr="00CF39F6" w:rsidRDefault="00BD7B0E" w:rsidP="00BD7B0E">
            <w:pPr>
              <w:ind w:left="-110"/>
              <w:rPr>
                <w:color w:val="000000" w:themeColor="text1"/>
              </w:rPr>
            </w:pPr>
            <w:r>
              <w:rPr>
                <w:color w:val="000000" w:themeColor="text1"/>
              </w:rPr>
              <w:t>PM1</w:t>
            </w:r>
            <w:r w:rsidR="007742CC" w:rsidRPr="00CF39F6">
              <w:rPr>
                <w:color w:val="000000" w:themeColor="text1"/>
              </w:rPr>
              <w:t xml:space="preserve"> </w:t>
            </w:r>
          </w:p>
        </w:tc>
        <w:tc>
          <w:tcPr>
            <w:tcW w:w="1980" w:type="dxa"/>
            <w:tcBorders>
              <w:top w:val="nil"/>
              <w:left w:val="nil"/>
              <w:bottom w:val="nil"/>
              <w:right w:val="nil"/>
            </w:tcBorders>
            <w:shd w:val="clear" w:color="auto" w:fill="auto"/>
            <w:vAlign w:val="center"/>
            <w:hideMark/>
          </w:tcPr>
          <w:p w14:paraId="2201DF5A" w14:textId="77777777" w:rsidR="007742CC" w:rsidRPr="00CF39F6" w:rsidRDefault="007742CC" w:rsidP="00BD7B0E">
            <w:pPr>
              <w:ind w:firstLineChars="100" w:firstLine="240"/>
              <w:jc w:val="center"/>
              <w:rPr>
                <w:color w:val="000000" w:themeColor="text1"/>
              </w:rPr>
            </w:pPr>
            <w:r w:rsidRPr="00CF39F6">
              <w:rPr>
                <w:color w:val="000000" w:themeColor="text1"/>
              </w:rPr>
              <w:t>0.76</w:t>
            </w:r>
          </w:p>
        </w:tc>
      </w:tr>
      <w:tr w:rsidR="007742CC" w:rsidRPr="00CF39F6" w14:paraId="331C7E56" w14:textId="77777777" w:rsidTr="000A29B1">
        <w:trPr>
          <w:trHeight w:val="300"/>
          <w:jc w:val="center"/>
        </w:trPr>
        <w:tc>
          <w:tcPr>
            <w:tcW w:w="7720" w:type="dxa"/>
            <w:tcBorders>
              <w:top w:val="nil"/>
              <w:left w:val="nil"/>
              <w:bottom w:val="nil"/>
              <w:right w:val="nil"/>
            </w:tcBorders>
            <w:shd w:val="clear" w:color="auto" w:fill="auto"/>
            <w:vAlign w:val="center"/>
            <w:hideMark/>
          </w:tcPr>
          <w:p w14:paraId="4EC05A69" w14:textId="7A9C4D55" w:rsidR="007742CC" w:rsidRPr="00CF39F6" w:rsidRDefault="00BD7B0E" w:rsidP="00BD7B0E">
            <w:pPr>
              <w:ind w:left="-110"/>
              <w:rPr>
                <w:color w:val="000000" w:themeColor="text1"/>
              </w:rPr>
            </w:pPr>
            <w:r>
              <w:rPr>
                <w:color w:val="000000" w:themeColor="text1"/>
              </w:rPr>
              <w:t>PM2</w:t>
            </w:r>
            <w:r w:rsidR="007742CC" w:rsidRPr="00CF39F6">
              <w:rPr>
                <w:color w:val="000000" w:themeColor="text1"/>
              </w:rPr>
              <w:t xml:space="preserve"> </w:t>
            </w:r>
          </w:p>
        </w:tc>
        <w:tc>
          <w:tcPr>
            <w:tcW w:w="1980" w:type="dxa"/>
            <w:tcBorders>
              <w:top w:val="nil"/>
              <w:left w:val="nil"/>
              <w:bottom w:val="nil"/>
              <w:right w:val="nil"/>
            </w:tcBorders>
            <w:shd w:val="clear" w:color="auto" w:fill="auto"/>
            <w:vAlign w:val="center"/>
            <w:hideMark/>
          </w:tcPr>
          <w:p w14:paraId="44595B9D" w14:textId="77777777" w:rsidR="007742CC" w:rsidRPr="00CF39F6" w:rsidRDefault="007742CC" w:rsidP="00BD7B0E">
            <w:pPr>
              <w:ind w:firstLineChars="100" w:firstLine="240"/>
              <w:jc w:val="center"/>
              <w:rPr>
                <w:color w:val="000000" w:themeColor="text1"/>
              </w:rPr>
            </w:pPr>
            <w:r w:rsidRPr="00CF39F6">
              <w:rPr>
                <w:color w:val="000000" w:themeColor="text1"/>
              </w:rPr>
              <w:t>0.76</w:t>
            </w:r>
          </w:p>
        </w:tc>
      </w:tr>
      <w:tr w:rsidR="007742CC" w:rsidRPr="00CF39F6" w14:paraId="3F4AE21C" w14:textId="77777777" w:rsidTr="000A29B1">
        <w:trPr>
          <w:trHeight w:val="300"/>
          <w:jc w:val="center"/>
        </w:trPr>
        <w:tc>
          <w:tcPr>
            <w:tcW w:w="7720" w:type="dxa"/>
            <w:tcBorders>
              <w:top w:val="nil"/>
              <w:left w:val="nil"/>
              <w:bottom w:val="nil"/>
              <w:right w:val="nil"/>
            </w:tcBorders>
            <w:shd w:val="clear" w:color="auto" w:fill="auto"/>
            <w:vAlign w:val="center"/>
            <w:hideMark/>
          </w:tcPr>
          <w:p w14:paraId="67277D16" w14:textId="12AECFBD" w:rsidR="007742CC" w:rsidRPr="00CF39F6" w:rsidRDefault="00BD7B0E" w:rsidP="00BD7B0E">
            <w:pPr>
              <w:ind w:left="-110"/>
              <w:rPr>
                <w:color w:val="000000" w:themeColor="text1"/>
              </w:rPr>
            </w:pPr>
            <w:r>
              <w:rPr>
                <w:color w:val="000000" w:themeColor="text1"/>
              </w:rPr>
              <w:t>PM3</w:t>
            </w:r>
          </w:p>
        </w:tc>
        <w:tc>
          <w:tcPr>
            <w:tcW w:w="1980" w:type="dxa"/>
            <w:tcBorders>
              <w:top w:val="nil"/>
              <w:left w:val="nil"/>
              <w:bottom w:val="nil"/>
              <w:right w:val="nil"/>
            </w:tcBorders>
            <w:shd w:val="clear" w:color="auto" w:fill="auto"/>
            <w:vAlign w:val="center"/>
            <w:hideMark/>
          </w:tcPr>
          <w:p w14:paraId="70F698A5" w14:textId="77777777" w:rsidR="007742CC" w:rsidRPr="00CF39F6" w:rsidRDefault="007742CC" w:rsidP="00BD7B0E">
            <w:pPr>
              <w:ind w:firstLineChars="100" w:firstLine="240"/>
              <w:jc w:val="center"/>
              <w:rPr>
                <w:color w:val="000000" w:themeColor="text1"/>
              </w:rPr>
            </w:pPr>
            <w:r w:rsidRPr="00CF39F6">
              <w:rPr>
                <w:color w:val="000000" w:themeColor="text1"/>
              </w:rPr>
              <w:t>0.81</w:t>
            </w:r>
          </w:p>
        </w:tc>
      </w:tr>
      <w:tr w:rsidR="007742CC" w:rsidRPr="00CF39F6" w14:paraId="1CCB3CD3" w14:textId="77777777" w:rsidTr="000A29B1">
        <w:trPr>
          <w:trHeight w:val="75"/>
          <w:jc w:val="center"/>
        </w:trPr>
        <w:tc>
          <w:tcPr>
            <w:tcW w:w="7720" w:type="dxa"/>
            <w:tcBorders>
              <w:top w:val="nil"/>
              <w:left w:val="nil"/>
              <w:bottom w:val="nil"/>
              <w:right w:val="nil"/>
            </w:tcBorders>
            <w:shd w:val="clear" w:color="auto" w:fill="auto"/>
            <w:vAlign w:val="center"/>
            <w:hideMark/>
          </w:tcPr>
          <w:p w14:paraId="36D122DD" w14:textId="1192D0E6" w:rsidR="007742CC" w:rsidRPr="00CF39F6" w:rsidRDefault="00BD7B0E" w:rsidP="00BD7B0E">
            <w:pPr>
              <w:ind w:left="-110"/>
              <w:rPr>
                <w:color w:val="000000" w:themeColor="text1"/>
              </w:rPr>
            </w:pPr>
            <w:r>
              <w:rPr>
                <w:color w:val="000000" w:themeColor="text1"/>
              </w:rPr>
              <w:t>PM4</w:t>
            </w:r>
          </w:p>
        </w:tc>
        <w:tc>
          <w:tcPr>
            <w:tcW w:w="1980" w:type="dxa"/>
            <w:tcBorders>
              <w:top w:val="nil"/>
              <w:left w:val="nil"/>
              <w:bottom w:val="nil"/>
              <w:right w:val="nil"/>
            </w:tcBorders>
            <w:shd w:val="clear" w:color="auto" w:fill="auto"/>
            <w:vAlign w:val="center"/>
            <w:hideMark/>
          </w:tcPr>
          <w:p w14:paraId="10335832" w14:textId="77777777" w:rsidR="007742CC" w:rsidRPr="00CF39F6" w:rsidRDefault="007742CC" w:rsidP="00BD7B0E">
            <w:pPr>
              <w:ind w:firstLineChars="100" w:firstLine="240"/>
              <w:jc w:val="center"/>
              <w:rPr>
                <w:color w:val="000000" w:themeColor="text1"/>
              </w:rPr>
            </w:pPr>
            <w:r w:rsidRPr="00CF39F6">
              <w:rPr>
                <w:color w:val="000000" w:themeColor="text1"/>
              </w:rPr>
              <w:t>0.76</w:t>
            </w:r>
          </w:p>
        </w:tc>
      </w:tr>
      <w:tr w:rsidR="007742CC" w:rsidRPr="00CF39F6" w14:paraId="6D295FB6" w14:textId="77777777" w:rsidTr="000A29B1">
        <w:trPr>
          <w:trHeight w:val="396"/>
          <w:jc w:val="center"/>
        </w:trPr>
        <w:tc>
          <w:tcPr>
            <w:tcW w:w="7720" w:type="dxa"/>
            <w:tcBorders>
              <w:top w:val="nil"/>
              <w:left w:val="nil"/>
              <w:bottom w:val="nil"/>
              <w:right w:val="nil"/>
            </w:tcBorders>
            <w:shd w:val="clear" w:color="auto" w:fill="auto"/>
            <w:vAlign w:val="center"/>
            <w:hideMark/>
          </w:tcPr>
          <w:p w14:paraId="3BE92925" w14:textId="344286DA" w:rsidR="007742CC" w:rsidRPr="00CF39F6" w:rsidRDefault="007742CC" w:rsidP="00BD7B0E">
            <w:pPr>
              <w:spacing w:before="60"/>
              <w:ind w:left="-110"/>
              <w:rPr>
                <w:i/>
                <w:iCs/>
                <w:color w:val="000000" w:themeColor="text1"/>
              </w:rPr>
            </w:pPr>
            <w:r w:rsidRPr="00CF39F6">
              <w:rPr>
                <w:i/>
                <w:iCs/>
                <w:color w:val="000000" w:themeColor="text1"/>
              </w:rPr>
              <w:t xml:space="preserve">Social </w:t>
            </w:r>
            <w:r w:rsidR="00770AC1">
              <w:rPr>
                <w:i/>
                <w:iCs/>
                <w:color w:val="000000" w:themeColor="text1"/>
              </w:rPr>
              <w:t>support context</w:t>
            </w:r>
            <w:r w:rsidRPr="00CF39F6">
              <w:rPr>
                <w:i/>
                <w:iCs/>
                <w:color w:val="000000" w:themeColor="text1"/>
              </w:rPr>
              <w:t xml:space="preserve"> (CR = 0.89, AVE = 0.56)</w:t>
            </w:r>
          </w:p>
        </w:tc>
        <w:tc>
          <w:tcPr>
            <w:tcW w:w="1980" w:type="dxa"/>
            <w:tcBorders>
              <w:top w:val="nil"/>
              <w:left w:val="nil"/>
              <w:bottom w:val="nil"/>
              <w:right w:val="nil"/>
            </w:tcBorders>
            <w:shd w:val="clear" w:color="auto" w:fill="auto"/>
            <w:vAlign w:val="center"/>
            <w:hideMark/>
          </w:tcPr>
          <w:p w14:paraId="7ADC36A5" w14:textId="77777777" w:rsidR="007742CC" w:rsidRPr="00CF39F6" w:rsidRDefault="007742CC" w:rsidP="00BD7B0E">
            <w:pPr>
              <w:jc w:val="center"/>
              <w:rPr>
                <w:i/>
                <w:iCs/>
                <w:color w:val="000000" w:themeColor="text1"/>
              </w:rPr>
            </w:pPr>
          </w:p>
        </w:tc>
      </w:tr>
      <w:tr w:rsidR="007742CC" w:rsidRPr="00CF39F6" w14:paraId="747660AC" w14:textId="77777777" w:rsidTr="000A29B1">
        <w:trPr>
          <w:trHeight w:val="300"/>
          <w:jc w:val="center"/>
        </w:trPr>
        <w:tc>
          <w:tcPr>
            <w:tcW w:w="7720" w:type="dxa"/>
            <w:tcBorders>
              <w:top w:val="nil"/>
              <w:left w:val="nil"/>
              <w:bottom w:val="nil"/>
              <w:right w:val="nil"/>
            </w:tcBorders>
            <w:shd w:val="clear" w:color="auto" w:fill="auto"/>
            <w:vAlign w:val="center"/>
            <w:hideMark/>
          </w:tcPr>
          <w:p w14:paraId="6749A80D" w14:textId="0F063889" w:rsidR="007742CC" w:rsidRPr="00770AC1" w:rsidRDefault="00770AC1" w:rsidP="00BD7B0E">
            <w:pPr>
              <w:ind w:left="-110"/>
              <w:rPr>
                <w:iCs/>
                <w:color w:val="000000" w:themeColor="text1"/>
              </w:rPr>
            </w:pPr>
            <w:r w:rsidRPr="00770AC1">
              <w:rPr>
                <w:iCs/>
                <w:color w:val="000000" w:themeColor="text1"/>
              </w:rPr>
              <w:t>SS1</w:t>
            </w:r>
          </w:p>
        </w:tc>
        <w:tc>
          <w:tcPr>
            <w:tcW w:w="1980" w:type="dxa"/>
            <w:tcBorders>
              <w:top w:val="nil"/>
              <w:left w:val="nil"/>
              <w:bottom w:val="nil"/>
              <w:right w:val="nil"/>
            </w:tcBorders>
            <w:shd w:val="clear" w:color="auto" w:fill="auto"/>
            <w:vAlign w:val="center"/>
            <w:hideMark/>
          </w:tcPr>
          <w:p w14:paraId="0FC0D9F6" w14:textId="77777777" w:rsidR="007742CC" w:rsidRPr="00CF39F6" w:rsidRDefault="007742CC" w:rsidP="00BD7B0E">
            <w:pPr>
              <w:ind w:firstLineChars="100" w:firstLine="240"/>
              <w:jc w:val="center"/>
              <w:rPr>
                <w:color w:val="000000" w:themeColor="text1"/>
              </w:rPr>
            </w:pPr>
            <w:r w:rsidRPr="00CF39F6">
              <w:rPr>
                <w:color w:val="000000" w:themeColor="text1"/>
              </w:rPr>
              <w:t>0.85</w:t>
            </w:r>
          </w:p>
        </w:tc>
      </w:tr>
      <w:tr w:rsidR="007742CC" w:rsidRPr="00CF39F6" w14:paraId="49873AC6" w14:textId="77777777" w:rsidTr="000A29B1">
        <w:trPr>
          <w:trHeight w:val="300"/>
          <w:jc w:val="center"/>
        </w:trPr>
        <w:tc>
          <w:tcPr>
            <w:tcW w:w="7720" w:type="dxa"/>
            <w:tcBorders>
              <w:top w:val="nil"/>
              <w:left w:val="nil"/>
              <w:bottom w:val="nil"/>
              <w:right w:val="nil"/>
            </w:tcBorders>
            <w:shd w:val="clear" w:color="auto" w:fill="auto"/>
            <w:vAlign w:val="center"/>
            <w:hideMark/>
          </w:tcPr>
          <w:p w14:paraId="7C678A10" w14:textId="31CCB67A" w:rsidR="007742CC" w:rsidRPr="00CF39F6" w:rsidRDefault="00770AC1" w:rsidP="00BD7B0E">
            <w:pPr>
              <w:ind w:left="-110"/>
              <w:rPr>
                <w:color w:val="000000" w:themeColor="text1"/>
              </w:rPr>
            </w:pPr>
            <w:r>
              <w:rPr>
                <w:color w:val="000000" w:themeColor="text1"/>
              </w:rPr>
              <w:t>SS2</w:t>
            </w:r>
          </w:p>
        </w:tc>
        <w:tc>
          <w:tcPr>
            <w:tcW w:w="1980" w:type="dxa"/>
            <w:tcBorders>
              <w:top w:val="nil"/>
              <w:left w:val="nil"/>
              <w:bottom w:val="nil"/>
              <w:right w:val="nil"/>
            </w:tcBorders>
            <w:shd w:val="clear" w:color="auto" w:fill="auto"/>
            <w:vAlign w:val="center"/>
            <w:hideMark/>
          </w:tcPr>
          <w:p w14:paraId="2B287117" w14:textId="77777777" w:rsidR="007742CC" w:rsidRPr="00CF39F6" w:rsidRDefault="007742CC" w:rsidP="00BD7B0E">
            <w:pPr>
              <w:ind w:firstLineChars="100" w:firstLine="240"/>
              <w:jc w:val="center"/>
              <w:rPr>
                <w:color w:val="000000" w:themeColor="text1"/>
              </w:rPr>
            </w:pPr>
            <w:r w:rsidRPr="00CF39F6">
              <w:rPr>
                <w:color w:val="000000" w:themeColor="text1"/>
              </w:rPr>
              <w:t>0.73</w:t>
            </w:r>
          </w:p>
        </w:tc>
      </w:tr>
      <w:tr w:rsidR="007742CC" w:rsidRPr="00CF39F6" w14:paraId="24AFD741" w14:textId="77777777" w:rsidTr="000A29B1">
        <w:trPr>
          <w:trHeight w:val="300"/>
          <w:jc w:val="center"/>
        </w:trPr>
        <w:tc>
          <w:tcPr>
            <w:tcW w:w="7720" w:type="dxa"/>
            <w:tcBorders>
              <w:top w:val="nil"/>
              <w:left w:val="nil"/>
              <w:bottom w:val="nil"/>
              <w:right w:val="nil"/>
            </w:tcBorders>
            <w:shd w:val="clear" w:color="auto" w:fill="auto"/>
            <w:vAlign w:val="center"/>
            <w:hideMark/>
          </w:tcPr>
          <w:p w14:paraId="63E69957" w14:textId="0B86B86F" w:rsidR="007742CC" w:rsidRPr="00CF39F6" w:rsidRDefault="00770AC1" w:rsidP="00BD7B0E">
            <w:pPr>
              <w:ind w:left="-110"/>
              <w:rPr>
                <w:color w:val="000000" w:themeColor="text1"/>
              </w:rPr>
            </w:pPr>
            <w:r>
              <w:rPr>
                <w:color w:val="000000" w:themeColor="text1"/>
              </w:rPr>
              <w:t>SS3</w:t>
            </w:r>
          </w:p>
        </w:tc>
        <w:tc>
          <w:tcPr>
            <w:tcW w:w="1980" w:type="dxa"/>
            <w:tcBorders>
              <w:top w:val="nil"/>
              <w:left w:val="nil"/>
              <w:bottom w:val="nil"/>
              <w:right w:val="nil"/>
            </w:tcBorders>
            <w:shd w:val="clear" w:color="auto" w:fill="auto"/>
            <w:vAlign w:val="center"/>
            <w:hideMark/>
          </w:tcPr>
          <w:p w14:paraId="20958F86" w14:textId="77777777" w:rsidR="007742CC" w:rsidRPr="00CF39F6" w:rsidRDefault="007742CC" w:rsidP="00BD7B0E">
            <w:pPr>
              <w:ind w:firstLineChars="100" w:firstLine="240"/>
              <w:jc w:val="center"/>
              <w:rPr>
                <w:color w:val="000000" w:themeColor="text1"/>
              </w:rPr>
            </w:pPr>
            <w:r w:rsidRPr="00CF39F6">
              <w:rPr>
                <w:color w:val="000000" w:themeColor="text1"/>
              </w:rPr>
              <w:t>0.68</w:t>
            </w:r>
          </w:p>
        </w:tc>
      </w:tr>
      <w:tr w:rsidR="007742CC" w:rsidRPr="00CF39F6" w14:paraId="4E949F6B" w14:textId="77777777" w:rsidTr="000A29B1">
        <w:trPr>
          <w:trHeight w:val="300"/>
          <w:jc w:val="center"/>
        </w:trPr>
        <w:tc>
          <w:tcPr>
            <w:tcW w:w="7720" w:type="dxa"/>
            <w:tcBorders>
              <w:top w:val="nil"/>
              <w:left w:val="nil"/>
              <w:bottom w:val="nil"/>
              <w:right w:val="nil"/>
            </w:tcBorders>
            <w:shd w:val="clear" w:color="auto" w:fill="auto"/>
            <w:vAlign w:val="center"/>
            <w:hideMark/>
          </w:tcPr>
          <w:p w14:paraId="08E1AEB6" w14:textId="450114E2" w:rsidR="007742CC" w:rsidRPr="00CF39F6" w:rsidRDefault="00770AC1" w:rsidP="00BD7B0E">
            <w:pPr>
              <w:ind w:left="-110"/>
              <w:rPr>
                <w:color w:val="000000" w:themeColor="text1"/>
              </w:rPr>
            </w:pPr>
            <w:r>
              <w:rPr>
                <w:color w:val="000000" w:themeColor="text1"/>
              </w:rPr>
              <w:t>SS4</w:t>
            </w:r>
          </w:p>
        </w:tc>
        <w:tc>
          <w:tcPr>
            <w:tcW w:w="1980" w:type="dxa"/>
            <w:tcBorders>
              <w:top w:val="nil"/>
              <w:left w:val="nil"/>
              <w:bottom w:val="nil"/>
              <w:right w:val="nil"/>
            </w:tcBorders>
            <w:shd w:val="clear" w:color="auto" w:fill="auto"/>
            <w:vAlign w:val="center"/>
            <w:hideMark/>
          </w:tcPr>
          <w:p w14:paraId="54F82447" w14:textId="77777777" w:rsidR="007742CC" w:rsidRPr="00CF39F6" w:rsidRDefault="007742CC" w:rsidP="00BD7B0E">
            <w:pPr>
              <w:ind w:firstLineChars="100" w:firstLine="240"/>
              <w:jc w:val="center"/>
              <w:rPr>
                <w:color w:val="000000" w:themeColor="text1"/>
              </w:rPr>
            </w:pPr>
            <w:r w:rsidRPr="00CF39F6">
              <w:rPr>
                <w:color w:val="000000" w:themeColor="text1"/>
              </w:rPr>
              <w:t>0.76</w:t>
            </w:r>
          </w:p>
        </w:tc>
      </w:tr>
      <w:tr w:rsidR="001F3CC5" w:rsidRPr="00CF39F6" w14:paraId="72DEF9B3" w14:textId="77777777" w:rsidTr="000A29B1">
        <w:trPr>
          <w:trHeight w:val="300"/>
          <w:jc w:val="center"/>
        </w:trPr>
        <w:tc>
          <w:tcPr>
            <w:tcW w:w="7720" w:type="dxa"/>
            <w:tcBorders>
              <w:top w:val="nil"/>
              <w:left w:val="nil"/>
              <w:bottom w:val="nil"/>
              <w:right w:val="nil"/>
            </w:tcBorders>
            <w:shd w:val="clear" w:color="auto" w:fill="auto"/>
            <w:vAlign w:val="center"/>
          </w:tcPr>
          <w:p w14:paraId="60BA95D3" w14:textId="36A43893" w:rsidR="001F3CC5" w:rsidRDefault="00176DCD" w:rsidP="00BD7B0E">
            <w:pPr>
              <w:ind w:left="-110"/>
              <w:rPr>
                <w:color w:val="000000" w:themeColor="text1"/>
              </w:rPr>
            </w:pPr>
            <w:r>
              <w:rPr>
                <w:color w:val="000000" w:themeColor="text1"/>
              </w:rPr>
              <w:t>SS5</w:t>
            </w:r>
          </w:p>
        </w:tc>
        <w:tc>
          <w:tcPr>
            <w:tcW w:w="1980" w:type="dxa"/>
            <w:tcBorders>
              <w:top w:val="nil"/>
              <w:left w:val="nil"/>
              <w:bottom w:val="nil"/>
              <w:right w:val="nil"/>
            </w:tcBorders>
            <w:shd w:val="clear" w:color="auto" w:fill="auto"/>
            <w:vAlign w:val="center"/>
          </w:tcPr>
          <w:p w14:paraId="7112A208" w14:textId="650CF253" w:rsidR="001F3CC5" w:rsidRPr="00CF39F6" w:rsidRDefault="00176DCD" w:rsidP="00BD7B0E">
            <w:pPr>
              <w:ind w:firstLineChars="100" w:firstLine="240"/>
              <w:jc w:val="center"/>
              <w:rPr>
                <w:color w:val="000000" w:themeColor="text1"/>
              </w:rPr>
            </w:pPr>
            <w:r>
              <w:rPr>
                <w:color w:val="000000" w:themeColor="text1"/>
              </w:rPr>
              <w:t>0.76</w:t>
            </w:r>
          </w:p>
        </w:tc>
      </w:tr>
      <w:tr w:rsidR="007742CC" w:rsidRPr="00CF39F6" w14:paraId="46BFDD5B" w14:textId="77777777" w:rsidTr="000A29B1">
        <w:trPr>
          <w:trHeight w:val="75"/>
          <w:jc w:val="center"/>
        </w:trPr>
        <w:tc>
          <w:tcPr>
            <w:tcW w:w="7720" w:type="dxa"/>
            <w:tcBorders>
              <w:top w:val="nil"/>
              <w:left w:val="nil"/>
              <w:bottom w:val="nil"/>
              <w:right w:val="nil"/>
            </w:tcBorders>
            <w:shd w:val="clear" w:color="auto" w:fill="auto"/>
            <w:vAlign w:val="center"/>
            <w:hideMark/>
          </w:tcPr>
          <w:p w14:paraId="07122DDB" w14:textId="19686044" w:rsidR="007742CC" w:rsidRPr="00CF39F6" w:rsidRDefault="00176DCD" w:rsidP="00BD7B0E">
            <w:pPr>
              <w:ind w:left="-110"/>
              <w:rPr>
                <w:color w:val="000000" w:themeColor="text1"/>
              </w:rPr>
            </w:pPr>
            <w:r>
              <w:rPr>
                <w:color w:val="000000" w:themeColor="text1"/>
              </w:rPr>
              <w:t>SS6</w:t>
            </w:r>
          </w:p>
        </w:tc>
        <w:tc>
          <w:tcPr>
            <w:tcW w:w="1980" w:type="dxa"/>
            <w:tcBorders>
              <w:top w:val="nil"/>
              <w:left w:val="nil"/>
              <w:bottom w:val="nil"/>
              <w:right w:val="nil"/>
            </w:tcBorders>
            <w:shd w:val="clear" w:color="auto" w:fill="auto"/>
            <w:vAlign w:val="center"/>
            <w:hideMark/>
          </w:tcPr>
          <w:p w14:paraId="5F75D6D7" w14:textId="77777777" w:rsidR="007742CC" w:rsidRPr="00CF39F6" w:rsidRDefault="007742CC" w:rsidP="00BD7B0E">
            <w:pPr>
              <w:ind w:firstLineChars="100" w:firstLine="240"/>
              <w:jc w:val="center"/>
              <w:rPr>
                <w:color w:val="000000" w:themeColor="text1"/>
              </w:rPr>
            </w:pPr>
            <w:r w:rsidRPr="00CF39F6">
              <w:rPr>
                <w:color w:val="000000" w:themeColor="text1"/>
              </w:rPr>
              <w:t>0.71</w:t>
            </w:r>
          </w:p>
        </w:tc>
      </w:tr>
      <w:tr w:rsidR="007742CC" w:rsidRPr="00CF39F6" w14:paraId="1D336FA0" w14:textId="77777777" w:rsidTr="000A29B1">
        <w:trPr>
          <w:trHeight w:val="459"/>
          <w:jc w:val="center"/>
        </w:trPr>
        <w:tc>
          <w:tcPr>
            <w:tcW w:w="7720" w:type="dxa"/>
            <w:tcBorders>
              <w:top w:val="nil"/>
              <w:left w:val="nil"/>
              <w:bottom w:val="nil"/>
              <w:right w:val="nil"/>
            </w:tcBorders>
            <w:shd w:val="clear" w:color="auto" w:fill="auto"/>
            <w:vAlign w:val="center"/>
            <w:hideMark/>
          </w:tcPr>
          <w:p w14:paraId="499BD170" w14:textId="77777777" w:rsidR="007742CC" w:rsidRPr="00CF39F6" w:rsidRDefault="007742CC" w:rsidP="00BD7B0E">
            <w:pPr>
              <w:spacing w:before="60"/>
              <w:ind w:left="-110"/>
              <w:rPr>
                <w:i/>
                <w:iCs/>
                <w:color w:val="000000" w:themeColor="text1"/>
              </w:rPr>
            </w:pPr>
            <w:r w:rsidRPr="00CF39F6">
              <w:rPr>
                <w:i/>
                <w:iCs/>
                <w:color w:val="000000" w:themeColor="text1"/>
              </w:rPr>
              <w:t>Supply chain agility (CR = 0.81, AVE = 0.60)</w:t>
            </w:r>
          </w:p>
        </w:tc>
        <w:tc>
          <w:tcPr>
            <w:tcW w:w="1980" w:type="dxa"/>
            <w:tcBorders>
              <w:top w:val="nil"/>
              <w:left w:val="nil"/>
              <w:bottom w:val="nil"/>
              <w:right w:val="nil"/>
            </w:tcBorders>
            <w:shd w:val="clear" w:color="auto" w:fill="auto"/>
            <w:noWrap/>
            <w:vAlign w:val="bottom"/>
            <w:hideMark/>
          </w:tcPr>
          <w:p w14:paraId="79BE864F" w14:textId="77777777" w:rsidR="007742CC" w:rsidRPr="00CF39F6" w:rsidRDefault="007742CC" w:rsidP="00BD7B0E">
            <w:pPr>
              <w:jc w:val="center"/>
              <w:rPr>
                <w:i/>
                <w:iCs/>
                <w:color w:val="000000" w:themeColor="text1"/>
              </w:rPr>
            </w:pPr>
          </w:p>
        </w:tc>
      </w:tr>
      <w:tr w:rsidR="007742CC" w:rsidRPr="00CF39F6" w14:paraId="4C05BC6B" w14:textId="77777777" w:rsidTr="000A29B1">
        <w:trPr>
          <w:trHeight w:val="300"/>
          <w:jc w:val="center"/>
        </w:trPr>
        <w:tc>
          <w:tcPr>
            <w:tcW w:w="7720" w:type="dxa"/>
            <w:tcBorders>
              <w:top w:val="nil"/>
              <w:left w:val="nil"/>
              <w:bottom w:val="nil"/>
              <w:right w:val="nil"/>
            </w:tcBorders>
            <w:shd w:val="clear" w:color="auto" w:fill="auto"/>
            <w:vAlign w:val="center"/>
            <w:hideMark/>
          </w:tcPr>
          <w:p w14:paraId="594E0864" w14:textId="5EB0F2D9" w:rsidR="007742CC" w:rsidRPr="00CF39F6" w:rsidRDefault="00176DCD" w:rsidP="00BD7B0E">
            <w:pPr>
              <w:ind w:left="-110"/>
              <w:rPr>
                <w:color w:val="000000" w:themeColor="text1"/>
              </w:rPr>
            </w:pPr>
            <w:r>
              <w:rPr>
                <w:color w:val="000000" w:themeColor="text1"/>
              </w:rPr>
              <w:t>SCA</w:t>
            </w:r>
            <w:r w:rsidR="003C5902">
              <w:rPr>
                <w:color w:val="000000" w:themeColor="text1"/>
              </w:rPr>
              <w:t>1</w:t>
            </w:r>
          </w:p>
        </w:tc>
        <w:tc>
          <w:tcPr>
            <w:tcW w:w="1980" w:type="dxa"/>
            <w:tcBorders>
              <w:top w:val="nil"/>
              <w:left w:val="nil"/>
              <w:bottom w:val="nil"/>
              <w:right w:val="nil"/>
            </w:tcBorders>
            <w:shd w:val="clear" w:color="auto" w:fill="auto"/>
            <w:vAlign w:val="center"/>
            <w:hideMark/>
          </w:tcPr>
          <w:p w14:paraId="21A4D82B" w14:textId="77777777" w:rsidR="007742CC" w:rsidRPr="00CF39F6" w:rsidRDefault="007742CC" w:rsidP="00BD7B0E">
            <w:pPr>
              <w:ind w:firstLineChars="100" w:firstLine="240"/>
              <w:jc w:val="center"/>
              <w:rPr>
                <w:color w:val="000000" w:themeColor="text1"/>
              </w:rPr>
            </w:pPr>
            <w:r w:rsidRPr="00CF39F6">
              <w:rPr>
                <w:color w:val="000000" w:themeColor="text1"/>
              </w:rPr>
              <w:t>0.89</w:t>
            </w:r>
          </w:p>
        </w:tc>
      </w:tr>
      <w:tr w:rsidR="007742CC" w:rsidRPr="00CF39F6" w14:paraId="3F3AC9D8" w14:textId="77777777" w:rsidTr="000A29B1">
        <w:trPr>
          <w:trHeight w:val="300"/>
          <w:jc w:val="center"/>
        </w:trPr>
        <w:tc>
          <w:tcPr>
            <w:tcW w:w="7720" w:type="dxa"/>
            <w:tcBorders>
              <w:top w:val="nil"/>
              <w:left w:val="nil"/>
              <w:bottom w:val="nil"/>
              <w:right w:val="nil"/>
            </w:tcBorders>
            <w:shd w:val="clear" w:color="auto" w:fill="auto"/>
            <w:vAlign w:val="center"/>
            <w:hideMark/>
          </w:tcPr>
          <w:p w14:paraId="131A23B3" w14:textId="36796A6E" w:rsidR="007742CC" w:rsidRPr="00CF39F6" w:rsidRDefault="003C5902" w:rsidP="00BD7B0E">
            <w:pPr>
              <w:ind w:left="-110"/>
              <w:rPr>
                <w:color w:val="000000" w:themeColor="text1"/>
              </w:rPr>
            </w:pPr>
            <w:r>
              <w:rPr>
                <w:color w:val="000000" w:themeColor="text1"/>
              </w:rPr>
              <w:t>SCA2</w:t>
            </w:r>
          </w:p>
        </w:tc>
        <w:tc>
          <w:tcPr>
            <w:tcW w:w="1980" w:type="dxa"/>
            <w:tcBorders>
              <w:top w:val="nil"/>
              <w:left w:val="nil"/>
              <w:bottom w:val="nil"/>
              <w:right w:val="nil"/>
            </w:tcBorders>
            <w:shd w:val="clear" w:color="auto" w:fill="auto"/>
            <w:vAlign w:val="center"/>
            <w:hideMark/>
          </w:tcPr>
          <w:p w14:paraId="6CD840CC" w14:textId="77777777" w:rsidR="007742CC" w:rsidRPr="00CF39F6" w:rsidRDefault="007742CC" w:rsidP="00BD7B0E">
            <w:pPr>
              <w:ind w:firstLineChars="100" w:firstLine="240"/>
              <w:jc w:val="center"/>
              <w:rPr>
                <w:color w:val="000000" w:themeColor="text1"/>
              </w:rPr>
            </w:pPr>
            <w:r w:rsidRPr="00CF39F6">
              <w:rPr>
                <w:color w:val="000000" w:themeColor="text1"/>
              </w:rPr>
              <w:t>0.84</w:t>
            </w:r>
          </w:p>
        </w:tc>
      </w:tr>
      <w:tr w:rsidR="007742CC" w:rsidRPr="00CF39F6" w14:paraId="066F4409" w14:textId="77777777" w:rsidTr="000A29B1">
        <w:trPr>
          <w:trHeight w:val="300"/>
          <w:jc w:val="center"/>
        </w:trPr>
        <w:tc>
          <w:tcPr>
            <w:tcW w:w="7720" w:type="dxa"/>
            <w:tcBorders>
              <w:top w:val="nil"/>
              <w:left w:val="nil"/>
              <w:bottom w:val="nil"/>
              <w:right w:val="nil"/>
            </w:tcBorders>
            <w:shd w:val="clear" w:color="auto" w:fill="auto"/>
            <w:vAlign w:val="center"/>
            <w:hideMark/>
          </w:tcPr>
          <w:p w14:paraId="4D5E477F" w14:textId="29CD3CAD" w:rsidR="007742CC" w:rsidRPr="00CF39F6" w:rsidRDefault="003C5902" w:rsidP="00BD7B0E">
            <w:pPr>
              <w:ind w:left="-110"/>
              <w:rPr>
                <w:color w:val="000000" w:themeColor="text1"/>
              </w:rPr>
            </w:pPr>
            <w:r>
              <w:rPr>
                <w:color w:val="000000" w:themeColor="text1"/>
              </w:rPr>
              <w:t>SCA3</w:t>
            </w:r>
          </w:p>
        </w:tc>
        <w:tc>
          <w:tcPr>
            <w:tcW w:w="1980" w:type="dxa"/>
            <w:tcBorders>
              <w:top w:val="nil"/>
              <w:left w:val="nil"/>
              <w:bottom w:val="nil"/>
              <w:right w:val="nil"/>
            </w:tcBorders>
            <w:shd w:val="clear" w:color="auto" w:fill="auto"/>
            <w:vAlign w:val="center"/>
            <w:hideMark/>
          </w:tcPr>
          <w:p w14:paraId="34E9BFC9" w14:textId="77777777" w:rsidR="007742CC" w:rsidRPr="00CF39F6" w:rsidRDefault="007742CC" w:rsidP="00BD7B0E">
            <w:pPr>
              <w:ind w:firstLineChars="100" w:firstLine="240"/>
              <w:jc w:val="center"/>
              <w:rPr>
                <w:color w:val="000000" w:themeColor="text1"/>
              </w:rPr>
            </w:pPr>
            <w:r w:rsidRPr="00CF39F6">
              <w:rPr>
                <w:color w:val="000000" w:themeColor="text1"/>
              </w:rPr>
              <w:t>0.56</w:t>
            </w:r>
          </w:p>
        </w:tc>
      </w:tr>
      <w:tr w:rsidR="007742CC" w:rsidRPr="00CF39F6" w14:paraId="63A6467E" w14:textId="77777777" w:rsidTr="000A29B1">
        <w:trPr>
          <w:trHeight w:val="342"/>
          <w:jc w:val="center"/>
        </w:trPr>
        <w:tc>
          <w:tcPr>
            <w:tcW w:w="7720" w:type="dxa"/>
            <w:tcBorders>
              <w:top w:val="nil"/>
              <w:left w:val="nil"/>
              <w:bottom w:val="nil"/>
              <w:right w:val="nil"/>
            </w:tcBorders>
            <w:shd w:val="clear" w:color="auto" w:fill="auto"/>
            <w:vAlign w:val="center"/>
            <w:hideMark/>
          </w:tcPr>
          <w:p w14:paraId="7591C1B7" w14:textId="2DC41A5A" w:rsidR="007742CC" w:rsidRPr="00CF39F6" w:rsidRDefault="007742CC" w:rsidP="00BD7B0E">
            <w:pPr>
              <w:spacing w:before="60"/>
              <w:ind w:left="-110"/>
              <w:rPr>
                <w:i/>
                <w:iCs/>
                <w:color w:val="000000" w:themeColor="text1"/>
              </w:rPr>
            </w:pPr>
            <w:r w:rsidRPr="00CF39F6">
              <w:rPr>
                <w:i/>
                <w:iCs/>
                <w:color w:val="000000" w:themeColor="text1"/>
              </w:rPr>
              <w:t>Organizational complementarity (CR = 0.85, AVE = 0.56)</w:t>
            </w:r>
          </w:p>
        </w:tc>
        <w:tc>
          <w:tcPr>
            <w:tcW w:w="1980" w:type="dxa"/>
            <w:tcBorders>
              <w:top w:val="nil"/>
              <w:left w:val="nil"/>
              <w:bottom w:val="nil"/>
              <w:right w:val="nil"/>
            </w:tcBorders>
            <w:shd w:val="clear" w:color="auto" w:fill="auto"/>
            <w:vAlign w:val="center"/>
            <w:hideMark/>
          </w:tcPr>
          <w:p w14:paraId="73C18F60" w14:textId="77777777" w:rsidR="007742CC" w:rsidRPr="00CF39F6" w:rsidRDefault="007742CC" w:rsidP="00BD7B0E">
            <w:pPr>
              <w:jc w:val="center"/>
              <w:rPr>
                <w:i/>
                <w:iCs/>
                <w:color w:val="000000" w:themeColor="text1"/>
              </w:rPr>
            </w:pPr>
          </w:p>
        </w:tc>
      </w:tr>
      <w:tr w:rsidR="007742CC" w:rsidRPr="00CF39F6" w14:paraId="5E6DC9DB" w14:textId="77777777" w:rsidTr="000A29B1">
        <w:trPr>
          <w:trHeight w:val="300"/>
          <w:jc w:val="center"/>
        </w:trPr>
        <w:tc>
          <w:tcPr>
            <w:tcW w:w="7720" w:type="dxa"/>
            <w:tcBorders>
              <w:top w:val="nil"/>
              <w:left w:val="nil"/>
              <w:bottom w:val="nil"/>
              <w:right w:val="nil"/>
            </w:tcBorders>
            <w:shd w:val="clear" w:color="auto" w:fill="auto"/>
            <w:vAlign w:val="center"/>
            <w:hideMark/>
          </w:tcPr>
          <w:p w14:paraId="7CEB29E9" w14:textId="7F304C00" w:rsidR="007742CC" w:rsidRPr="00CF39F6" w:rsidRDefault="003C5902" w:rsidP="00BD7B0E">
            <w:pPr>
              <w:ind w:left="-110"/>
              <w:rPr>
                <w:color w:val="000000" w:themeColor="text1"/>
              </w:rPr>
            </w:pPr>
            <w:r>
              <w:rPr>
                <w:color w:val="000000" w:themeColor="text1"/>
              </w:rPr>
              <w:t>OC1</w:t>
            </w:r>
          </w:p>
        </w:tc>
        <w:tc>
          <w:tcPr>
            <w:tcW w:w="1980" w:type="dxa"/>
            <w:tcBorders>
              <w:top w:val="nil"/>
              <w:left w:val="nil"/>
              <w:bottom w:val="nil"/>
              <w:right w:val="nil"/>
            </w:tcBorders>
            <w:shd w:val="clear" w:color="auto" w:fill="auto"/>
            <w:vAlign w:val="center"/>
            <w:hideMark/>
          </w:tcPr>
          <w:p w14:paraId="64B3BD30" w14:textId="77777777" w:rsidR="007742CC" w:rsidRPr="00CF39F6" w:rsidRDefault="007742CC" w:rsidP="00BD7B0E">
            <w:pPr>
              <w:ind w:firstLineChars="100" w:firstLine="240"/>
              <w:jc w:val="center"/>
              <w:rPr>
                <w:color w:val="000000" w:themeColor="text1"/>
              </w:rPr>
            </w:pPr>
            <w:r w:rsidRPr="00CF39F6">
              <w:rPr>
                <w:color w:val="000000" w:themeColor="text1"/>
              </w:rPr>
              <w:t>0.90</w:t>
            </w:r>
          </w:p>
        </w:tc>
      </w:tr>
      <w:tr w:rsidR="007742CC" w:rsidRPr="00CF39F6" w14:paraId="03887363" w14:textId="77777777" w:rsidTr="000A29B1">
        <w:trPr>
          <w:trHeight w:val="300"/>
          <w:jc w:val="center"/>
        </w:trPr>
        <w:tc>
          <w:tcPr>
            <w:tcW w:w="7720" w:type="dxa"/>
            <w:tcBorders>
              <w:top w:val="nil"/>
              <w:left w:val="nil"/>
              <w:bottom w:val="nil"/>
              <w:right w:val="nil"/>
            </w:tcBorders>
            <w:shd w:val="clear" w:color="auto" w:fill="auto"/>
            <w:vAlign w:val="center"/>
            <w:hideMark/>
          </w:tcPr>
          <w:p w14:paraId="34E5B438" w14:textId="7F42E7A3" w:rsidR="007742CC" w:rsidRPr="00CF39F6" w:rsidRDefault="003C5902" w:rsidP="00BD7B0E">
            <w:pPr>
              <w:ind w:left="-110"/>
              <w:rPr>
                <w:color w:val="000000" w:themeColor="text1"/>
              </w:rPr>
            </w:pPr>
            <w:r>
              <w:rPr>
                <w:color w:val="000000" w:themeColor="text1"/>
              </w:rPr>
              <w:t>OC2</w:t>
            </w:r>
          </w:p>
        </w:tc>
        <w:tc>
          <w:tcPr>
            <w:tcW w:w="1980" w:type="dxa"/>
            <w:tcBorders>
              <w:top w:val="nil"/>
              <w:left w:val="nil"/>
              <w:bottom w:val="nil"/>
              <w:right w:val="nil"/>
            </w:tcBorders>
            <w:shd w:val="clear" w:color="auto" w:fill="auto"/>
            <w:vAlign w:val="center"/>
            <w:hideMark/>
          </w:tcPr>
          <w:p w14:paraId="6B3FA421" w14:textId="77777777" w:rsidR="007742CC" w:rsidRPr="00CF39F6" w:rsidRDefault="007742CC" w:rsidP="00BD7B0E">
            <w:pPr>
              <w:ind w:firstLineChars="100" w:firstLine="240"/>
              <w:jc w:val="center"/>
              <w:rPr>
                <w:color w:val="000000" w:themeColor="text1"/>
              </w:rPr>
            </w:pPr>
            <w:r w:rsidRPr="00CF39F6">
              <w:rPr>
                <w:color w:val="000000" w:themeColor="text1"/>
              </w:rPr>
              <w:t>0.86</w:t>
            </w:r>
          </w:p>
        </w:tc>
      </w:tr>
      <w:tr w:rsidR="007742CC" w:rsidRPr="00CF39F6" w14:paraId="3B3E7FAA" w14:textId="77777777" w:rsidTr="000A29B1">
        <w:trPr>
          <w:trHeight w:val="300"/>
          <w:jc w:val="center"/>
        </w:trPr>
        <w:tc>
          <w:tcPr>
            <w:tcW w:w="7720" w:type="dxa"/>
            <w:tcBorders>
              <w:top w:val="nil"/>
              <w:left w:val="nil"/>
              <w:bottom w:val="nil"/>
              <w:right w:val="nil"/>
            </w:tcBorders>
            <w:shd w:val="clear" w:color="auto" w:fill="auto"/>
            <w:vAlign w:val="center"/>
            <w:hideMark/>
          </w:tcPr>
          <w:p w14:paraId="24BF57EF" w14:textId="40AA7A0A" w:rsidR="007742CC" w:rsidRPr="00CF39F6" w:rsidRDefault="003C5902" w:rsidP="00BD7B0E">
            <w:pPr>
              <w:ind w:left="-110"/>
              <w:rPr>
                <w:color w:val="000000" w:themeColor="text1"/>
              </w:rPr>
            </w:pPr>
            <w:r>
              <w:rPr>
                <w:color w:val="000000" w:themeColor="text1"/>
              </w:rPr>
              <w:t>OC3</w:t>
            </w:r>
          </w:p>
        </w:tc>
        <w:tc>
          <w:tcPr>
            <w:tcW w:w="1980" w:type="dxa"/>
            <w:tcBorders>
              <w:top w:val="nil"/>
              <w:left w:val="nil"/>
              <w:bottom w:val="nil"/>
              <w:right w:val="nil"/>
            </w:tcBorders>
            <w:shd w:val="clear" w:color="auto" w:fill="auto"/>
            <w:vAlign w:val="center"/>
            <w:hideMark/>
          </w:tcPr>
          <w:p w14:paraId="5B9D43CA" w14:textId="77777777" w:rsidR="007742CC" w:rsidRPr="00CF39F6" w:rsidRDefault="007742CC" w:rsidP="00BD7B0E">
            <w:pPr>
              <w:ind w:firstLineChars="100" w:firstLine="240"/>
              <w:jc w:val="center"/>
              <w:rPr>
                <w:color w:val="000000" w:themeColor="text1"/>
              </w:rPr>
            </w:pPr>
            <w:r w:rsidRPr="00CF39F6">
              <w:rPr>
                <w:color w:val="000000" w:themeColor="text1"/>
              </w:rPr>
              <w:t>0.64</w:t>
            </w:r>
          </w:p>
        </w:tc>
      </w:tr>
      <w:tr w:rsidR="007742CC" w:rsidRPr="00CF39F6" w14:paraId="074C8C44" w14:textId="77777777" w:rsidTr="000A29B1">
        <w:trPr>
          <w:trHeight w:val="75"/>
          <w:jc w:val="center"/>
        </w:trPr>
        <w:tc>
          <w:tcPr>
            <w:tcW w:w="7720" w:type="dxa"/>
            <w:tcBorders>
              <w:top w:val="nil"/>
              <w:left w:val="nil"/>
              <w:bottom w:val="nil"/>
              <w:right w:val="nil"/>
            </w:tcBorders>
            <w:shd w:val="clear" w:color="auto" w:fill="auto"/>
            <w:vAlign w:val="center"/>
            <w:hideMark/>
          </w:tcPr>
          <w:p w14:paraId="67B46A15" w14:textId="77777777" w:rsidR="007742CC" w:rsidRPr="00CF39F6" w:rsidRDefault="007742CC" w:rsidP="00BD7B0E">
            <w:pPr>
              <w:spacing w:before="60"/>
              <w:ind w:left="-110"/>
              <w:rPr>
                <w:i/>
                <w:iCs/>
                <w:color w:val="000000" w:themeColor="text1"/>
              </w:rPr>
            </w:pPr>
            <w:r w:rsidRPr="00CF39F6">
              <w:rPr>
                <w:i/>
                <w:iCs/>
                <w:color w:val="000000" w:themeColor="text1"/>
              </w:rPr>
              <w:t>Innovation performance (CR = 0.88, AVE = 0.61)</w:t>
            </w:r>
          </w:p>
        </w:tc>
        <w:tc>
          <w:tcPr>
            <w:tcW w:w="1980" w:type="dxa"/>
            <w:tcBorders>
              <w:top w:val="nil"/>
              <w:left w:val="nil"/>
              <w:bottom w:val="nil"/>
              <w:right w:val="nil"/>
            </w:tcBorders>
            <w:shd w:val="clear" w:color="auto" w:fill="auto"/>
            <w:vAlign w:val="center"/>
            <w:hideMark/>
          </w:tcPr>
          <w:p w14:paraId="0F5692DB" w14:textId="77777777" w:rsidR="007742CC" w:rsidRPr="00CF39F6" w:rsidRDefault="007742CC" w:rsidP="00BD7B0E">
            <w:pPr>
              <w:jc w:val="center"/>
              <w:rPr>
                <w:i/>
                <w:iCs/>
                <w:color w:val="000000" w:themeColor="text1"/>
              </w:rPr>
            </w:pPr>
          </w:p>
        </w:tc>
      </w:tr>
      <w:tr w:rsidR="007742CC" w:rsidRPr="00CF39F6" w14:paraId="20CE7747" w14:textId="77777777" w:rsidTr="000A29B1">
        <w:trPr>
          <w:trHeight w:val="300"/>
          <w:jc w:val="center"/>
        </w:trPr>
        <w:tc>
          <w:tcPr>
            <w:tcW w:w="7720" w:type="dxa"/>
            <w:tcBorders>
              <w:top w:val="nil"/>
              <w:left w:val="nil"/>
              <w:bottom w:val="nil"/>
              <w:right w:val="nil"/>
            </w:tcBorders>
            <w:shd w:val="clear" w:color="auto" w:fill="auto"/>
            <w:vAlign w:val="center"/>
            <w:hideMark/>
          </w:tcPr>
          <w:p w14:paraId="1EADC2BB" w14:textId="3D9B06A3" w:rsidR="007742CC" w:rsidRPr="00CF39F6" w:rsidRDefault="003C5902" w:rsidP="00BD7B0E">
            <w:pPr>
              <w:ind w:left="-110"/>
              <w:rPr>
                <w:color w:val="000000" w:themeColor="text1"/>
              </w:rPr>
            </w:pPr>
            <w:r>
              <w:rPr>
                <w:color w:val="000000" w:themeColor="text1"/>
              </w:rPr>
              <w:t>IN1</w:t>
            </w:r>
          </w:p>
        </w:tc>
        <w:tc>
          <w:tcPr>
            <w:tcW w:w="1980" w:type="dxa"/>
            <w:tcBorders>
              <w:top w:val="nil"/>
              <w:left w:val="nil"/>
              <w:bottom w:val="nil"/>
              <w:right w:val="nil"/>
            </w:tcBorders>
            <w:shd w:val="clear" w:color="auto" w:fill="auto"/>
            <w:vAlign w:val="center"/>
            <w:hideMark/>
          </w:tcPr>
          <w:p w14:paraId="0B1431FD" w14:textId="77777777" w:rsidR="007742CC" w:rsidRPr="00CF39F6" w:rsidRDefault="007742CC" w:rsidP="00BD7B0E">
            <w:pPr>
              <w:ind w:firstLineChars="100" w:firstLine="240"/>
              <w:jc w:val="center"/>
              <w:rPr>
                <w:color w:val="000000" w:themeColor="text1"/>
              </w:rPr>
            </w:pPr>
            <w:r w:rsidRPr="00CF39F6">
              <w:rPr>
                <w:color w:val="000000" w:themeColor="text1"/>
              </w:rPr>
              <w:t>0.87</w:t>
            </w:r>
          </w:p>
        </w:tc>
      </w:tr>
      <w:tr w:rsidR="007742CC" w:rsidRPr="00CF39F6" w14:paraId="48318A69" w14:textId="77777777" w:rsidTr="000A29B1">
        <w:trPr>
          <w:trHeight w:val="300"/>
          <w:jc w:val="center"/>
        </w:trPr>
        <w:tc>
          <w:tcPr>
            <w:tcW w:w="7720" w:type="dxa"/>
            <w:tcBorders>
              <w:top w:val="nil"/>
              <w:left w:val="nil"/>
              <w:bottom w:val="nil"/>
              <w:right w:val="nil"/>
            </w:tcBorders>
            <w:shd w:val="clear" w:color="auto" w:fill="auto"/>
            <w:vAlign w:val="center"/>
            <w:hideMark/>
          </w:tcPr>
          <w:p w14:paraId="2BC29365" w14:textId="622DCD1E" w:rsidR="007742CC" w:rsidRPr="00CF39F6" w:rsidRDefault="003C5902" w:rsidP="00BD7B0E">
            <w:pPr>
              <w:ind w:left="-110"/>
              <w:rPr>
                <w:color w:val="000000" w:themeColor="text1"/>
              </w:rPr>
            </w:pPr>
            <w:r>
              <w:rPr>
                <w:color w:val="000000" w:themeColor="text1"/>
              </w:rPr>
              <w:t>IN2</w:t>
            </w:r>
          </w:p>
        </w:tc>
        <w:tc>
          <w:tcPr>
            <w:tcW w:w="1980" w:type="dxa"/>
            <w:tcBorders>
              <w:top w:val="nil"/>
              <w:left w:val="nil"/>
              <w:bottom w:val="nil"/>
              <w:right w:val="nil"/>
            </w:tcBorders>
            <w:shd w:val="clear" w:color="auto" w:fill="auto"/>
            <w:vAlign w:val="center"/>
            <w:hideMark/>
          </w:tcPr>
          <w:p w14:paraId="629D50CC" w14:textId="77777777" w:rsidR="007742CC" w:rsidRPr="00CF39F6" w:rsidRDefault="007742CC" w:rsidP="00BD7B0E">
            <w:pPr>
              <w:ind w:firstLineChars="100" w:firstLine="240"/>
              <w:jc w:val="center"/>
              <w:rPr>
                <w:color w:val="000000" w:themeColor="text1"/>
              </w:rPr>
            </w:pPr>
            <w:r w:rsidRPr="00CF39F6">
              <w:rPr>
                <w:color w:val="000000" w:themeColor="text1"/>
              </w:rPr>
              <w:t>0.83</w:t>
            </w:r>
          </w:p>
        </w:tc>
      </w:tr>
      <w:tr w:rsidR="007742CC" w:rsidRPr="00CF39F6" w14:paraId="71CBF67A" w14:textId="77777777" w:rsidTr="000A29B1">
        <w:trPr>
          <w:trHeight w:val="300"/>
          <w:jc w:val="center"/>
        </w:trPr>
        <w:tc>
          <w:tcPr>
            <w:tcW w:w="7720" w:type="dxa"/>
            <w:tcBorders>
              <w:top w:val="nil"/>
              <w:left w:val="nil"/>
              <w:bottom w:val="nil"/>
              <w:right w:val="nil"/>
            </w:tcBorders>
            <w:shd w:val="clear" w:color="auto" w:fill="auto"/>
            <w:vAlign w:val="center"/>
            <w:hideMark/>
          </w:tcPr>
          <w:p w14:paraId="2F97B1FE" w14:textId="7ED1A4FA" w:rsidR="007742CC" w:rsidRPr="00CF39F6" w:rsidRDefault="003C5902" w:rsidP="00BD7B0E">
            <w:pPr>
              <w:ind w:left="-110"/>
              <w:rPr>
                <w:color w:val="000000" w:themeColor="text1"/>
              </w:rPr>
            </w:pPr>
            <w:r>
              <w:rPr>
                <w:color w:val="000000" w:themeColor="text1"/>
              </w:rPr>
              <w:t>IN3</w:t>
            </w:r>
          </w:p>
        </w:tc>
        <w:tc>
          <w:tcPr>
            <w:tcW w:w="1980" w:type="dxa"/>
            <w:tcBorders>
              <w:top w:val="nil"/>
              <w:left w:val="nil"/>
              <w:bottom w:val="nil"/>
              <w:right w:val="nil"/>
            </w:tcBorders>
            <w:shd w:val="clear" w:color="auto" w:fill="auto"/>
            <w:vAlign w:val="center"/>
            <w:hideMark/>
          </w:tcPr>
          <w:p w14:paraId="69941A90" w14:textId="77777777" w:rsidR="007742CC" w:rsidRPr="00CF39F6" w:rsidRDefault="007742CC" w:rsidP="00BD7B0E">
            <w:pPr>
              <w:ind w:firstLineChars="100" w:firstLine="240"/>
              <w:jc w:val="center"/>
              <w:rPr>
                <w:color w:val="000000" w:themeColor="text1"/>
              </w:rPr>
            </w:pPr>
            <w:r w:rsidRPr="00CF39F6">
              <w:rPr>
                <w:color w:val="000000" w:themeColor="text1"/>
              </w:rPr>
              <w:t>0.78</w:t>
            </w:r>
          </w:p>
        </w:tc>
      </w:tr>
      <w:tr w:rsidR="007742CC" w:rsidRPr="00CF39F6" w14:paraId="414170C9" w14:textId="77777777" w:rsidTr="000A29B1">
        <w:trPr>
          <w:trHeight w:val="300"/>
          <w:jc w:val="center"/>
        </w:trPr>
        <w:tc>
          <w:tcPr>
            <w:tcW w:w="7720" w:type="dxa"/>
            <w:tcBorders>
              <w:top w:val="nil"/>
              <w:left w:val="nil"/>
              <w:right w:val="nil"/>
            </w:tcBorders>
            <w:shd w:val="clear" w:color="auto" w:fill="auto"/>
            <w:vAlign w:val="center"/>
            <w:hideMark/>
          </w:tcPr>
          <w:p w14:paraId="38BBA34D" w14:textId="781D292E" w:rsidR="007742CC" w:rsidRPr="00CF39F6" w:rsidRDefault="003C5902" w:rsidP="00BD7B0E">
            <w:pPr>
              <w:ind w:left="-110"/>
              <w:rPr>
                <w:color w:val="000000" w:themeColor="text1"/>
              </w:rPr>
            </w:pPr>
            <w:r>
              <w:rPr>
                <w:color w:val="000000" w:themeColor="text1"/>
              </w:rPr>
              <w:t>IN4</w:t>
            </w:r>
          </w:p>
        </w:tc>
        <w:tc>
          <w:tcPr>
            <w:tcW w:w="1980" w:type="dxa"/>
            <w:tcBorders>
              <w:top w:val="nil"/>
              <w:left w:val="nil"/>
              <w:right w:val="nil"/>
            </w:tcBorders>
            <w:shd w:val="clear" w:color="auto" w:fill="auto"/>
            <w:vAlign w:val="center"/>
            <w:hideMark/>
          </w:tcPr>
          <w:p w14:paraId="117499EA" w14:textId="77777777" w:rsidR="007742CC" w:rsidRPr="00CF39F6" w:rsidRDefault="007742CC" w:rsidP="00BD7B0E">
            <w:pPr>
              <w:ind w:firstLineChars="100" w:firstLine="240"/>
              <w:jc w:val="center"/>
              <w:rPr>
                <w:color w:val="000000" w:themeColor="text1"/>
              </w:rPr>
            </w:pPr>
            <w:r w:rsidRPr="00CF39F6">
              <w:rPr>
                <w:color w:val="000000" w:themeColor="text1"/>
              </w:rPr>
              <w:t>0.68</w:t>
            </w:r>
          </w:p>
        </w:tc>
      </w:tr>
      <w:tr w:rsidR="007742CC" w:rsidRPr="00CF39F6" w14:paraId="3D464A15" w14:textId="77777777" w:rsidTr="000A29B1">
        <w:trPr>
          <w:trHeight w:val="300"/>
          <w:jc w:val="center"/>
        </w:trPr>
        <w:tc>
          <w:tcPr>
            <w:tcW w:w="7720" w:type="dxa"/>
            <w:tcBorders>
              <w:top w:val="nil"/>
              <w:left w:val="nil"/>
              <w:bottom w:val="double" w:sz="4" w:space="0" w:color="auto"/>
              <w:right w:val="nil"/>
            </w:tcBorders>
            <w:shd w:val="clear" w:color="auto" w:fill="auto"/>
            <w:vAlign w:val="center"/>
            <w:hideMark/>
          </w:tcPr>
          <w:p w14:paraId="0690B381" w14:textId="20CDACFB" w:rsidR="007742CC" w:rsidRPr="00CF39F6" w:rsidRDefault="003C5902" w:rsidP="00BD7B0E">
            <w:pPr>
              <w:spacing w:after="60"/>
              <w:ind w:left="-110"/>
              <w:rPr>
                <w:color w:val="000000" w:themeColor="text1"/>
              </w:rPr>
            </w:pPr>
            <w:r>
              <w:rPr>
                <w:color w:val="000000" w:themeColor="text1"/>
              </w:rPr>
              <w:t>IN5</w:t>
            </w:r>
          </w:p>
        </w:tc>
        <w:tc>
          <w:tcPr>
            <w:tcW w:w="1980" w:type="dxa"/>
            <w:tcBorders>
              <w:top w:val="nil"/>
              <w:left w:val="nil"/>
              <w:bottom w:val="double" w:sz="4" w:space="0" w:color="auto"/>
              <w:right w:val="nil"/>
            </w:tcBorders>
            <w:shd w:val="clear" w:color="auto" w:fill="auto"/>
            <w:vAlign w:val="center"/>
            <w:hideMark/>
          </w:tcPr>
          <w:p w14:paraId="7842FF3A" w14:textId="77777777" w:rsidR="007742CC" w:rsidRPr="00CF39F6" w:rsidRDefault="007742CC" w:rsidP="00BD7B0E">
            <w:pPr>
              <w:spacing w:after="60"/>
              <w:ind w:firstLineChars="100" w:firstLine="240"/>
              <w:jc w:val="center"/>
              <w:rPr>
                <w:color w:val="000000" w:themeColor="text1"/>
              </w:rPr>
            </w:pPr>
            <w:r w:rsidRPr="00CF39F6">
              <w:rPr>
                <w:color w:val="000000" w:themeColor="text1"/>
              </w:rPr>
              <w:t>0.72</w:t>
            </w:r>
          </w:p>
        </w:tc>
      </w:tr>
    </w:tbl>
    <w:p w14:paraId="07190494" w14:textId="77777777" w:rsidR="007742CC" w:rsidRDefault="007742CC" w:rsidP="007742CC">
      <w:pPr>
        <w:spacing w:line="360" w:lineRule="auto"/>
        <w:jc w:val="both"/>
        <w:rPr>
          <w:color w:val="000000" w:themeColor="text1"/>
        </w:rPr>
      </w:pPr>
    </w:p>
    <w:p w14:paraId="65D15F48" w14:textId="77777777" w:rsidR="007742CC" w:rsidRPr="003C1C32" w:rsidRDefault="007742CC" w:rsidP="007742CC">
      <w:pPr>
        <w:spacing w:line="360" w:lineRule="auto"/>
        <w:jc w:val="center"/>
        <w:rPr>
          <w:color w:val="000000" w:themeColor="text1"/>
          <w:sz w:val="22"/>
          <w:szCs w:val="22"/>
        </w:rPr>
      </w:pPr>
      <w:r w:rsidRPr="003C1C32">
        <w:rPr>
          <w:b/>
          <w:color w:val="000000" w:themeColor="text1"/>
          <w:sz w:val="22"/>
          <w:szCs w:val="22"/>
        </w:rPr>
        <w:t>Table III</w:t>
      </w:r>
      <w:r w:rsidRPr="003C1C32">
        <w:rPr>
          <w:bCs/>
          <w:color w:val="000000" w:themeColor="text1"/>
          <w:sz w:val="22"/>
          <w:szCs w:val="22"/>
        </w:rPr>
        <w:t>:</w:t>
      </w:r>
      <w:r w:rsidRPr="003C1C32">
        <w:rPr>
          <w:b/>
          <w:color w:val="000000" w:themeColor="text1"/>
          <w:sz w:val="22"/>
          <w:szCs w:val="22"/>
        </w:rPr>
        <w:t xml:space="preserve"> </w:t>
      </w:r>
      <w:r w:rsidRPr="003C1C32">
        <w:rPr>
          <w:color w:val="000000" w:themeColor="text1"/>
          <w:sz w:val="22"/>
          <w:szCs w:val="22"/>
        </w:rPr>
        <w:t>Measurement model validation</w:t>
      </w:r>
      <w:r>
        <w:rPr>
          <w:color w:val="000000" w:themeColor="text1"/>
          <w:sz w:val="22"/>
          <w:szCs w:val="22"/>
        </w:rPr>
        <w:t xml:space="preserve">: </w:t>
      </w:r>
      <w:r w:rsidRPr="003C1C32">
        <w:rPr>
          <w:color w:val="000000" w:themeColor="text1"/>
          <w:sz w:val="22"/>
          <w:szCs w:val="22"/>
        </w:rPr>
        <w:t>reliability and convergent validity.</w:t>
      </w:r>
    </w:p>
    <w:p w14:paraId="2C412BDE" w14:textId="77777777" w:rsidR="007742CC" w:rsidRDefault="007742CC" w:rsidP="007742CC">
      <w:pPr>
        <w:spacing w:line="360" w:lineRule="auto"/>
        <w:jc w:val="both"/>
        <w:rPr>
          <w:b/>
          <w:color w:val="000000" w:themeColor="text1"/>
        </w:rPr>
      </w:pPr>
    </w:p>
    <w:p w14:paraId="5B3CADE7" w14:textId="77777777" w:rsidR="007742CC" w:rsidRDefault="007742CC" w:rsidP="007742CC">
      <w:pPr>
        <w:spacing w:line="360" w:lineRule="auto"/>
        <w:jc w:val="both"/>
        <w:rPr>
          <w:b/>
          <w:color w:val="000000" w:themeColor="text1"/>
        </w:rPr>
      </w:pPr>
    </w:p>
    <w:p w14:paraId="41E850FB" w14:textId="77777777" w:rsidR="007742CC" w:rsidRDefault="007742CC" w:rsidP="007742CC">
      <w:pPr>
        <w:spacing w:line="360" w:lineRule="auto"/>
        <w:jc w:val="both"/>
        <w:rPr>
          <w:b/>
          <w:color w:val="000000" w:themeColor="text1"/>
        </w:rPr>
      </w:pPr>
    </w:p>
    <w:p w14:paraId="087793C4" w14:textId="77777777" w:rsidR="007742CC" w:rsidRDefault="007742CC" w:rsidP="007742CC">
      <w:pPr>
        <w:spacing w:line="360" w:lineRule="auto"/>
        <w:jc w:val="both"/>
        <w:rPr>
          <w:b/>
          <w:color w:val="000000" w:themeColor="text1"/>
        </w:rPr>
      </w:pPr>
    </w:p>
    <w:p w14:paraId="6E6C6CDD" w14:textId="77777777" w:rsidR="007742CC" w:rsidRDefault="007742CC" w:rsidP="007742CC">
      <w:pPr>
        <w:spacing w:line="360" w:lineRule="auto"/>
        <w:jc w:val="both"/>
        <w:rPr>
          <w:b/>
          <w:color w:val="000000" w:themeColor="text1"/>
        </w:rPr>
      </w:pPr>
    </w:p>
    <w:p w14:paraId="50994FFF" w14:textId="77777777" w:rsidR="007742CC" w:rsidRDefault="007742CC" w:rsidP="007742CC">
      <w:pPr>
        <w:spacing w:line="360" w:lineRule="auto"/>
        <w:jc w:val="both"/>
        <w:rPr>
          <w:b/>
          <w:color w:val="000000" w:themeColor="text1"/>
        </w:rPr>
      </w:pPr>
    </w:p>
    <w:p w14:paraId="249ED144" w14:textId="77777777" w:rsidR="007742CC" w:rsidRDefault="007742CC" w:rsidP="007742CC">
      <w:pPr>
        <w:spacing w:line="360" w:lineRule="auto"/>
        <w:jc w:val="both"/>
        <w:rPr>
          <w:b/>
          <w:color w:val="000000" w:themeColor="text1"/>
        </w:rPr>
      </w:pPr>
    </w:p>
    <w:p w14:paraId="7BCED931" w14:textId="77777777" w:rsidR="007742CC" w:rsidRPr="00CF39F6" w:rsidRDefault="007742CC" w:rsidP="007742CC">
      <w:pPr>
        <w:spacing w:line="360" w:lineRule="auto"/>
        <w:jc w:val="both"/>
        <w:rPr>
          <w:b/>
          <w:color w:val="000000" w:themeColor="text1"/>
        </w:rPr>
      </w:pPr>
    </w:p>
    <w:tbl>
      <w:tblPr>
        <w:tblW w:w="8789" w:type="dxa"/>
        <w:jc w:val="center"/>
        <w:tblLayout w:type="fixed"/>
        <w:tblLook w:val="04A0" w:firstRow="1" w:lastRow="0" w:firstColumn="1" w:lastColumn="0" w:noHBand="0" w:noVBand="1"/>
      </w:tblPr>
      <w:tblGrid>
        <w:gridCol w:w="3119"/>
        <w:gridCol w:w="850"/>
        <w:gridCol w:w="709"/>
        <w:gridCol w:w="851"/>
        <w:gridCol w:w="850"/>
        <w:gridCol w:w="851"/>
        <w:gridCol w:w="850"/>
        <w:gridCol w:w="709"/>
      </w:tblGrid>
      <w:tr w:rsidR="007742CC" w:rsidRPr="00CF39F6" w14:paraId="41FC55D2" w14:textId="77777777" w:rsidTr="000A29B1">
        <w:trPr>
          <w:trHeight w:val="350"/>
          <w:jc w:val="center"/>
        </w:trPr>
        <w:tc>
          <w:tcPr>
            <w:tcW w:w="3119" w:type="dxa"/>
            <w:tcBorders>
              <w:top w:val="single" w:sz="4" w:space="0" w:color="auto"/>
              <w:left w:val="nil"/>
              <w:bottom w:val="single" w:sz="4" w:space="0" w:color="auto"/>
              <w:right w:val="nil"/>
            </w:tcBorders>
            <w:shd w:val="clear" w:color="auto" w:fill="auto"/>
            <w:vAlign w:val="bottom"/>
            <w:hideMark/>
          </w:tcPr>
          <w:p w14:paraId="496F358B" w14:textId="77777777" w:rsidR="007742CC" w:rsidRPr="00CF39F6" w:rsidRDefault="007742CC" w:rsidP="000A29B1">
            <w:pPr>
              <w:spacing w:line="360" w:lineRule="auto"/>
              <w:rPr>
                <w:color w:val="000000" w:themeColor="text1"/>
              </w:rPr>
            </w:pPr>
            <w:r w:rsidRPr="00CF39F6">
              <w:rPr>
                <w:color w:val="000000" w:themeColor="text1"/>
              </w:rPr>
              <w:t> </w:t>
            </w:r>
          </w:p>
        </w:tc>
        <w:tc>
          <w:tcPr>
            <w:tcW w:w="850" w:type="dxa"/>
            <w:tcBorders>
              <w:top w:val="single" w:sz="4" w:space="0" w:color="auto"/>
              <w:left w:val="nil"/>
              <w:bottom w:val="single" w:sz="4" w:space="0" w:color="auto"/>
              <w:right w:val="nil"/>
            </w:tcBorders>
            <w:shd w:val="clear" w:color="auto" w:fill="auto"/>
            <w:vAlign w:val="center"/>
            <w:hideMark/>
          </w:tcPr>
          <w:p w14:paraId="4A66025E" w14:textId="77777777" w:rsidR="007742CC" w:rsidRPr="00CF39F6" w:rsidRDefault="007742CC" w:rsidP="000A29B1">
            <w:pPr>
              <w:spacing w:line="360" w:lineRule="auto"/>
              <w:jc w:val="center"/>
              <w:rPr>
                <w:b/>
                <w:bCs/>
                <w:color w:val="000000" w:themeColor="text1"/>
              </w:rPr>
            </w:pPr>
            <w:r w:rsidRPr="00CF39F6">
              <w:rPr>
                <w:b/>
                <w:bCs/>
                <w:color w:val="000000" w:themeColor="text1"/>
              </w:rPr>
              <w:t>Mean</w:t>
            </w:r>
          </w:p>
        </w:tc>
        <w:tc>
          <w:tcPr>
            <w:tcW w:w="709" w:type="dxa"/>
            <w:tcBorders>
              <w:top w:val="single" w:sz="4" w:space="0" w:color="auto"/>
              <w:left w:val="nil"/>
              <w:bottom w:val="single" w:sz="4" w:space="0" w:color="auto"/>
              <w:right w:val="nil"/>
            </w:tcBorders>
            <w:shd w:val="clear" w:color="auto" w:fill="auto"/>
            <w:vAlign w:val="center"/>
            <w:hideMark/>
          </w:tcPr>
          <w:p w14:paraId="4675A711" w14:textId="77777777" w:rsidR="007742CC" w:rsidRPr="00CF39F6" w:rsidRDefault="007742CC" w:rsidP="000A29B1">
            <w:pPr>
              <w:spacing w:line="360" w:lineRule="auto"/>
              <w:jc w:val="center"/>
              <w:rPr>
                <w:b/>
                <w:bCs/>
                <w:color w:val="000000" w:themeColor="text1"/>
              </w:rPr>
            </w:pPr>
            <w:r w:rsidRPr="00CF39F6">
              <w:rPr>
                <w:b/>
                <w:bCs/>
                <w:color w:val="000000" w:themeColor="text1"/>
              </w:rPr>
              <w:t>SD</w:t>
            </w:r>
          </w:p>
        </w:tc>
        <w:tc>
          <w:tcPr>
            <w:tcW w:w="851" w:type="dxa"/>
            <w:tcBorders>
              <w:top w:val="single" w:sz="4" w:space="0" w:color="auto"/>
              <w:left w:val="nil"/>
              <w:bottom w:val="single" w:sz="4" w:space="0" w:color="auto"/>
              <w:right w:val="nil"/>
            </w:tcBorders>
            <w:shd w:val="clear" w:color="auto" w:fill="auto"/>
            <w:vAlign w:val="center"/>
            <w:hideMark/>
          </w:tcPr>
          <w:p w14:paraId="2A9705A1" w14:textId="77777777" w:rsidR="007742CC" w:rsidRPr="00CF39F6" w:rsidRDefault="007742CC" w:rsidP="000A29B1">
            <w:pPr>
              <w:spacing w:line="360" w:lineRule="auto"/>
              <w:jc w:val="center"/>
              <w:rPr>
                <w:b/>
                <w:bCs/>
                <w:color w:val="000000" w:themeColor="text1"/>
              </w:rPr>
            </w:pPr>
            <w:r w:rsidRPr="00CF39F6">
              <w:rPr>
                <w:b/>
                <w:bCs/>
                <w:color w:val="000000" w:themeColor="text1"/>
              </w:rPr>
              <w:t>1</w:t>
            </w:r>
          </w:p>
        </w:tc>
        <w:tc>
          <w:tcPr>
            <w:tcW w:w="850" w:type="dxa"/>
            <w:tcBorders>
              <w:top w:val="single" w:sz="4" w:space="0" w:color="auto"/>
              <w:left w:val="nil"/>
              <w:bottom w:val="single" w:sz="4" w:space="0" w:color="auto"/>
              <w:right w:val="nil"/>
            </w:tcBorders>
            <w:shd w:val="clear" w:color="auto" w:fill="auto"/>
            <w:vAlign w:val="center"/>
            <w:hideMark/>
          </w:tcPr>
          <w:p w14:paraId="7EBFABC7" w14:textId="77777777" w:rsidR="007742CC" w:rsidRPr="00CF39F6" w:rsidRDefault="007742CC" w:rsidP="000A29B1">
            <w:pPr>
              <w:spacing w:line="360" w:lineRule="auto"/>
              <w:jc w:val="center"/>
              <w:rPr>
                <w:b/>
                <w:bCs/>
                <w:color w:val="000000" w:themeColor="text1"/>
              </w:rPr>
            </w:pPr>
            <w:r w:rsidRPr="00CF39F6">
              <w:rPr>
                <w:b/>
                <w:bCs/>
                <w:color w:val="000000" w:themeColor="text1"/>
              </w:rPr>
              <w:t>2</w:t>
            </w:r>
          </w:p>
        </w:tc>
        <w:tc>
          <w:tcPr>
            <w:tcW w:w="851" w:type="dxa"/>
            <w:tcBorders>
              <w:top w:val="single" w:sz="4" w:space="0" w:color="auto"/>
              <w:left w:val="nil"/>
              <w:bottom w:val="single" w:sz="4" w:space="0" w:color="auto"/>
              <w:right w:val="nil"/>
            </w:tcBorders>
            <w:shd w:val="clear" w:color="auto" w:fill="auto"/>
            <w:vAlign w:val="center"/>
            <w:hideMark/>
          </w:tcPr>
          <w:p w14:paraId="1A2DFDA3" w14:textId="77777777" w:rsidR="007742CC" w:rsidRPr="00CF39F6" w:rsidRDefault="007742CC" w:rsidP="000A29B1">
            <w:pPr>
              <w:spacing w:line="360" w:lineRule="auto"/>
              <w:jc w:val="center"/>
              <w:rPr>
                <w:b/>
                <w:bCs/>
                <w:color w:val="000000" w:themeColor="text1"/>
              </w:rPr>
            </w:pPr>
            <w:r w:rsidRPr="00CF39F6">
              <w:rPr>
                <w:b/>
                <w:bCs/>
                <w:color w:val="000000" w:themeColor="text1"/>
              </w:rPr>
              <w:t>3</w:t>
            </w:r>
          </w:p>
        </w:tc>
        <w:tc>
          <w:tcPr>
            <w:tcW w:w="850" w:type="dxa"/>
            <w:tcBorders>
              <w:top w:val="single" w:sz="4" w:space="0" w:color="auto"/>
              <w:left w:val="nil"/>
              <w:bottom w:val="single" w:sz="4" w:space="0" w:color="auto"/>
              <w:right w:val="nil"/>
            </w:tcBorders>
            <w:shd w:val="clear" w:color="auto" w:fill="auto"/>
            <w:vAlign w:val="center"/>
            <w:hideMark/>
          </w:tcPr>
          <w:p w14:paraId="716811EE" w14:textId="77777777" w:rsidR="007742CC" w:rsidRPr="00CF39F6" w:rsidRDefault="007742CC" w:rsidP="000A29B1">
            <w:pPr>
              <w:spacing w:line="360" w:lineRule="auto"/>
              <w:jc w:val="center"/>
              <w:rPr>
                <w:b/>
                <w:bCs/>
                <w:color w:val="000000" w:themeColor="text1"/>
              </w:rPr>
            </w:pPr>
            <w:r w:rsidRPr="00CF39F6">
              <w:rPr>
                <w:b/>
                <w:bCs/>
                <w:color w:val="000000" w:themeColor="text1"/>
              </w:rPr>
              <w:t>4</w:t>
            </w:r>
          </w:p>
        </w:tc>
        <w:tc>
          <w:tcPr>
            <w:tcW w:w="709" w:type="dxa"/>
            <w:tcBorders>
              <w:top w:val="single" w:sz="4" w:space="0" w:color="auto"/>
              <w:left w:val="nil"/>
              <w:bottom w:val="single" w:sz="4" w:space="0" w:color="auto"/>
              <w:right w:val="nil"/>
            </w:tcBorders>
            <w:shd w:val="clear" w:color="auto" w:fill="auto"/>
            <w:vAlign w:val="center"/>
            <w:hideMark/>
          </w:tcPr>
          <w:p w14:paraId="4084CEBF" w14:textId="77777777" w:rsidR="007742CC" w:rsidRPr="00CF39F6" w:rsidRDefault="007742CC" w:rsidP="000A29B1">
            <w:pPr>
              <w:spacing w:line="360" w:lineRule="auto"/>
              <w:jc w:val="center"/>
              <w:rPr>
                <w:b/>
                <w:bCs/>
                <w:color w:val="000000" w:themeColor="text1"/>
              </w:rPr>
            </w:pPr>
            <w:r w:rsidRPr="00CF39F6">
              <w:rPr>
                <w:b/>
                <w:bCs/>
                <w:color w:val="000000" w:themeColor="text1"/>
              </w:rPr>
              <w:t>5</w:t>
            </w:r>
          </w:p>
        </w:tc>
      </w:tr>
      <w:tr w:rsidR="007742CC" w:rsidRPr="00CF39F6" w14:paraId="45E7BDD5" w14:textId="77777777" w:rsidTr="000A29B1">
        <w:trPr>
          <w:trHeight w:val="495"/>
          <w:jc w:val="center"/>
        </w:trPr>
        <w:tc>
          <w:tcPr>
            <w:tcW w:w="3119" w:type="dxa"/>
            <w:tcBorders>
              <w:top w:val="nil"/>
              <w:left w:val="nil"/>
              <w:bottom w:val="nil"/>
              <w:right w:val="nil"/>
            </w:tcBorders>
            <w:shd w:val="clear" w:color="auto" w:fill="auto"/>
            <w:hideMark/>
          </w:tcPr>
          <w:p w14:paraId="08752A5D" w14:textId="77777777" w:rsidR="007742CC" w:rsidRPr="00CF39F6" w:rsidRDefault="007742CC" w:rsidP="000A29B1">
            <w:pPr>
              <w:spacing w:before="60" w:line="360" w:lineRule="auto"/>
              <w:ind w:left="-110"/>
              <w:rPr>
                <w:b/>
                <w:bCs/>
                <w:color w:val="000000" w:themeColor="text1"/>
              </w:rPr>
            </w:pPr>
            <w:r w:rsidRPr="00CF39F6">
              <w:rPr>
                <w:b/>
                <w:bCs/>
                <w:color w:val="000000" w:themeColor="text1"/>
              </w:rPr>
              <w:t>1:</w:t>
            </w:r>
            <w:r w:rsidRPr="00CF39F6">
              <w:rPr>
                <w:b/>
                <w:bCs/>
              </w:rPr>
              <w:t xml:space="preserve"> </w:t>
            </w:r>
            <w:r w:rsidRPr="00CF39F6">
              <w:rPr>
                <w:b/>
                <w:bCs/>
                <w:color w:val="000000" w:themeColor="text1"/>
              </w:rPr>
              <w:t>Performance orientation</w:t>
            </w:r>
          </w:p>
        </w:tc>
        <w:tc>
          <w:tcPr>
            <w:tcW w:w="850" w:type="dxa"/>
            <w:tcBorders>
              <w:top w:val="nil"/>
              <w:left w:val="nil"/>
              <w:bottom w:val="nil"/>
              <w:right w:val="nil"/>
            </w:tcBorders>
            <w:shd w:val="clear" w:color="auto" w:fill="auto"/>
            <w:hideMark/>
          </w:tcPr>
          <w:p w14:paraId="11E6F9CB" w14:textId="77777777" w:rsidR="007742CC" w:rsidRPr="00CF39F6" w:rsidRDefault="007742CC" w:rsidP="000A29B1">
            <w:pPr>
              <w:spacing w:before="60" w:line="360" w:lineRule="auto"/>
              <w:jc w:val="center"/>
              <w:rPr>
                <w:color w:val="000000" w:themeColor="text1"/>
              </w:rPr>
            </w:pPr>
            <w:r w:rsidRPr="00CF39F6">
              <w:rPr>
                <w:color w:val="000000" w:themeColor="text1"/>
              </w:rPr>
              <w:t>4.96</w:t>
            </w:r>
          </w:p>
        </w:tc>
        <w:tc>
          <w:tcPr>
            <w:tcW w:w="709" w:type="dxa"/>
            <w:tcBorders>
              <w:top w:val="nil"/>
              <w:left w:val="nil"/>
              <w:bottom w:val="nil"/>
              <w:right w:val="nil"/>
            </w:tcBorders>
            <w:shd w:val="clear" w:color="auto" w:fill="auto"/>
            <w:hideMark/>
          </w:tcPr>
          <w:p w14:paraId="6509A993" w14:textId="77777777" w:rsidR="007742CC" w:rsidRPr="00CF39F6" w:rsidRDefault="007742CC" w:rsidP="000A29B1">
            <w:pPr>
              <w:spacing w:before="60" w:line="360" w:lineRule="auto"/>
              <w:jc w:val="center"/>
              <w:rPr>
                <w:color w:val="000000" w:themeColor="text1"/>
              </w:rPr>
            </w:pPr>
            <w:r w:rsidRPr="00CF39F6">
              <w:rPr>
                <w:color w:val="000000" w:themeColor="text1"/>
              </w:rPr>
              <w:t>1.16</w:t>
            </w:r>
          </w:p>
        </w:tc>
        <w:tc>
          <w:tcPr>
            <w:tcW w:w="851" w:type="dxa"/>
            <w:tcBorders>
              <w:top w:val="nil"/>
              <w:left w:val="nil"/>
              <w:bottom w:val="nil"/>
              <w:right w:val="nil"/>
            </w:tcBorders>
            <w:shd w:val="clear" w:color="auto" w:fill="auto"/>
            <w:noWrap/>
            <w:hideMark/>
          </w:tcPr>
          <w:p w14:paraId="3EBB5B85" w14:textId="77777777" w:rsidR="007742CC" w:rsidRPr="00CF39F6" w:rsidRDefault="007742CC" w:rsidP="000A29B1">
            <w:pPr>
              <w:spacing w:before="60" w:line="360" w:lineRule="auto"/>
              <w:rPr>
                <w:b/>
                <w:bCs/>
                <w:color w:val="000000" w:themeColor="text1"/>
              </w:rPr>
            </w:pPr>
            <w:r w:rsidRPr="00CF39F6">
              <w:rPr>
                <w:b/>
                <w:bCs/>
                <w:color w:val="000000" w:themeColor="text1"/>
              </w:rPr>
              <w:t>0.77</w:t>
            </w:r>
          </w:p>
        </w:tc>
        <w:tc>
          <w:tcPr>
            <w:tcW w:w="850" w:type="dxa"/>
            <w:tcBorders>
              <w:top w:val="nil"/>
              <w:left w:val="nil"/>
              <w:bottom w:val="nil"/>
              <w:right w:val="nil"/>
            </w:tcBorders>
            <w:shd w:val="clear" w:color="auto" w:fill="auto"/>
            <w:noWrap/>
            <w:hideMark/>
          </w:tcPr>
          <w:p w14:paraId="34B2E578" w14:textId="77777777" w:rsidR="007742CC" w:rsidRPr="00CF39F6" w:rsidRDefault="007742CC" w:rsidP="000A29B1">
            <w:pPr>
              <w:spacing w:line="360" w:lineRule="auto"/>
              <w:jc w:val="center"/>
              <w:rPr>
                <w:color w:val="000000" w:themeColor="text1"/>
              </w:rPr>
            </w:pPr>
            <w:r w:rsidRPr="00CF39F6">
              <w:rPr>
                <w:color w:val="000000" w:themeColor="text1"/>
              </w:rPr>
              <w:t> </w:t>
            </w:r>
          </w:p>
        </w:tc>
        <w:tc>
          <w:tcPr>
            <w:tcW w:w="851" w:type="dxa"/>
            <w:tcBorders>
              <w:top w:val="nil"/>
              <w:left w:val="nil"/>
              <w:bottom w:val="nil"/>
              <w:right w:val="nil"/>
            </w:tcBorders>
            <w:shd w:val="clear" w:color="auto" w:fill="auto"/>
            <w:noWrap/>
            <w:hideMark/>
          </w:tcPr>
          <w:p w14:paraId="4E19F280" w14:textId="77777777" w:rsidR="007742CC" w:rsidRPr="00CF39F6" w:rsidRDefault="007742CC" w:rsidP="000A29B1">
            <w:pPr>
              <w:spacing w:line="360" w:lineRule="auto"/>
              <w:jc w:val="center"/>
              <w:rPr>
                <w:color w:val="000000" w:themeColor="text1"/>
              </w:rPr>
            </w:pPr>
            <w:r w:rsidRPr="00CF39F6">
              <w:rPr>
                <w:color w:val="000000" w:themeColor="text1"/>
              </w:rPr>
              <w:t> </w:t>
            </w:r>
          </w:p>
        </w:tc>
        <w:tc>
          <w:tcPr>
            <w:tcW w:w="850" w:type="dxa"/>
            <w:tcBorders>
              <w:top w:val="nil"/>
              <w:left w:val="nil"/>
              <w:bottom w:val="nil"/>
              <w:right w:val="nil"/>
            </w:tcBorders>
            <w:shd w:val="clear" w:color="auto" w:fill="auto"/>
            <w:noWrap/>
            <w:hideMark/>
          </w:tcPr>
          <w:p w14:paraId="54790465" w14:textId="77777777" w:rsidR="007742CC" w:rsidRPr="00CF39F6" w:rsidRDefault="007742CC" w:rsidP="000A29B1">
            <w:pPr>
              <w:spacing w:line="360" w:lineRule="auto"/>
              <w:jc w:val="center"/>
              <w:rPr>
                <w:color w:val="000000" w:themeColor="text1"/>
              </w:rPr>
            </w:pPr>
            <w:r w:rsidRPr="00CF39F6">
              <w:rPr>
                <w:color w:val="000000" w:themeColor="text1"/>
              </w:rPr>
              <w:t> </w:t>
            </w:r>
          </w:p>
        </w:tc>
        <w:tc>
          <w:tcPr>
            <w:tcW w:w="709" w:type="dxa"/>
            <w:tcBorders>
              <w:top w:val="nil"/>
              <w:left w:val="nil"/>
              <w:bottom w:val="nil"/>
              <w:right w:val="nil"/>
            </w:tcBorders>
            <w:shd w:val="clear" w:color="auto" w:fill="auto"/>
            <w:noWrap/>
            <w:hideMark/>
          </w:tcPr>
          <w:p w14:paraId="41AA861C" w14:textId="77777777" w:rsidR="007742CC" w:rsidRPr="00CF39F6" w:rsidRDefault="007742CC" w:rsidP="000A29B1">
            <w:pPr>
              <w:spacing w:line="360" w:lineRule="auto"/>
              <w:jc w:val="center"/>
              <w:rPr>
                <w:color w:val="000000" w:themeColor="text1"/>
              </w:rPr>
            </w:pPr>
            <w:r w:rsidRPr="00CF39F6">
              <w:rPr>
                <w:color w:val="000000" w:themeColor="text1"/>
              </w:rPr>
              <w:t> </w:t>
            </w:r>
          </w:p>
        </w:tc>
      </w:tr>
      <w:tr w:rsidR="007742CC" w:rsidRPr="00CF39F6" w14:paraId="36E0AC63" w14:textId="77777777" w:rsidTr="000A29B1">
        <w:trPr>
          <w:trHeight w:val="360"/>
          <w:jc w:val="center"/>
        </w:trPr>
        <w:tc>
          <w:tcPr>
            <w:tcW w:w="3119" w:type="dxa"/>
            <w:tcBorders>
              <w:top w:val="nil"/>
              <w:left w:val="nil"/>
              <w:bottom w:val="nil"/>
              <w:right w:val="nil"/>
            </w:tcBorders>
            <w:shd w:val="clear" w:color="auto" w:fill="auto"/>
            <w:hideMark/>
          </w:tcPr>
          <w:p w14:paraId="666A702A" w14:textId="77777777" w:rsidR="007742CC" w:rsidRPr="00CF39F6" w:rsidRDefault="007742CC" w:rsidP="000A29B1">
            <w:pPr>
              <w:spacing w:line="360" w:lineRule="auto"/>
              <w:ind w:hanging="110"/>
              <w:rPr>
                <w:b/>
                <w:bCs/>
                <w:color w:val="000000" w:themeColor="text1"/>
              </w:rPr>
            </w:pPr>
            <w:r w:rsidRPr="00CF39F6">
              <w:rPr>
                <w:b/>
                <w:bCs/>
                <w:color w:val="000000" w:themeColor="text1"/>
              </w:rPr>
              <w:t>2:</w:t>
            </w:r>
            <w:r w:rsidRPr="00CF39F6">
              <w:rPr>
                <w:b/>
                <w:bCs/>
              </w:rPr>
              <w:t xml:space="preserve"> </w:t>
            </w:r>
            <w:r w:rsidRPr="00CF39F6">
              <w:rPr>
                <w:b/>
                <w:bCs/>
                <w:color w:val="000000" w:themeColor="text1"/>
              </w:rPr>
              <w:t>Social orientation</w:t>
            </w:r>
          </w:p>
        </w:tc>
        <w:tc>
          <w:tcPr>
            <w:tcW w:w="850" w:type="dxa"/>
            <w:tcBorders>
              <w:top w:val="nil"/>
              <w:left w:val="nil"/>
              <w:bottom w:val="nil"/>
              <w:right w:val="nil"/>
            </w:tcBorders>
            <w:shd w:val="clear" w:color="auto" w:fill="auto"/>
            <w:hideMark/>
          </w:tcPr>
          <w:p w14:paraId="1C5DE8A8" w14:textId="77777777" w:rsidR="007742CC" w:rsidRPr="00CF39F6" w:rsidRDefault="007742CC" w:rsidP="000A29B1">
            <w:pPr>
              <w:spacing w:line="360" w:lineRule="auto"/>
              <w:jc w:val="center"/>
              <w:rPr>
                <w:color w:val="000000" w:themeColor="text1"/>
              </w:rPr>
            </w:pPr>
            <w:r w:rsidRPr="00CF39F6">
              <w:rPr>
                <w:color w:val="000000" w:themeColor="text1"/>
              </w:rPr>
              <w:t>5.09</w:t>
            </w:r>
          </w:p>
        </w:tc>
        <w:tc>
          <w:tcPr>
            <w:tcW w:w="709" w:type="dxa"/>
            <w:tcBorders>
              <w:top w:val="nil"/>
              <w:left w:val="nil"/>
              <w:bottom w:val="nil"/>
              <w:right w:val="nil"/>
            </w:tcBorders>
            <w:shd w:val="clear" w:color="auto" w:fill="auto"/>
            <w:hideMark/>
          </w:tcPr>
          <w:p w14:paraId="59B33000" w14:textId="77777777" w:rsidR="007742CC" w:rsidRPr="00CF39F6" w:rsidRDefault="007742CC" w:rsidP="000A29B1">
            <w:pPr>
              <w:spacing w:line="360" w:lineRule="auto"/>
              <w:jc w:val="center"/>
              <w:rPr>
                <w:color w:val="000000" w:themeColor="text1"/>
              </w:rPr>
            </w:pPr>
            <w:r w:rsidRPr="00CF39F6">
              <w:rPr>
                <w:color w:val="000000" w:themeColor="text1"/>
              </w:rPr>
              <w:t>1.08</w:t>
            </w:r>
          </w:p>
        </w:tc>
        <w:tc>
          <w:tcPr>
            <w:tcW w:w="851" w:type="dxa"/>
            <w:tcBorders>
              <w:top w:val="nil"/>
              <w:left w:val="nil"/>
              <w:bottom w:val="nil"/>
              <w:right w:val="nil"/>
            </w:tcBorders>
            <w:shd w:val="clear" w:color="auto" w:fill="auto"/>
            <w:noWrap/>
            <w:hideMark/>
          </w:tcPr>
          <w:p w14:paraId="4A4547F7" w14:textId="77777777" w:rsidR="007742CC" w:rsidRPr="00CF39F6" w:rsidRDefault="007742CC" w:rsidP="000A29B1">
            <w:pPr>
              <w:spacing w:line="360" w:lineRule="auto"/>
              <w:jc w:val="center"/>
              <w:rPr>
                <w:color w:val="000000" w:themeColor="text1"/>
              </w:rPr>
            </w:pPr>
            <w:r w:rsidRPr="00CF39F6">
              <w:rPr>
                <w:color w:val="000000" w:themeColor="text1"/>
              </w:rPr>
              <w:t>0.73</w:t>
            </w:r>
            <w:r w:rsidRPr="00CF39F6">
              <w:rPr>
                <w:color w:val="000000" w:themeColor="text1"/>
                <w:vertAlign w:val="superscript"/>
              </w:rPr>
              <w:t>**</w:t>
            </w:r>
            <w:r w:rsidRPr="00CF39F6">
              <w:rPr>
                <w:color w:val="000000" w:themeColor="text1"/>
              </w:rPr>
              <w:t xml:space="preserve"> </w:t>
            </w:r>
          </w:p>
        </w:tc>
        <w:tc>
          <w:tcPr>
            <w:tcW w:w="850" w:type="dxa"/>
            <w:tcBorders>
              <w:top w:val="nil"/>
              <w:left w:val="nil"/>
              <w:bottom w:val="nil"/>
              <w:right w:val="nil"/>
            </w:tcBorders>
            <w:shd w:val="clear" w:color="auto" w:fill="auto"/>
            <w:noWrap/>
            <w:hideMark/>
          </w:tcPr>
          <w:p w14:paraId="5EE6B202" w14:textId="77777777" w:rsidR="007742CC" w:rsidRPr="00CF39F6" w:rsidRDefault="007742CC" w:rsidP="000A29B1">
            <w:pPr>
              <w:spacing w:line="360" w:lineRule="auto"/>
              <w:rPr>
                <w:b/>
                <w:bCs/>
                <w:color w:val="000000" w:themeColor="text1"/>
              </w:rPr>
            </w:pPr>
            <w:r w:rsidRPr="00CF39F6">
              <w:rPr>
                <w:b/>
                <w:bCs/>
                <w:color w:val="000000" w:themeColor="text1"/>
              </w:rPr>
              <w:t>0.75</w:t>
            </w:r>
          </w:p>
        </w:tc>
        <w:tc>
          <w:tcPr>
            <w:tcW w:w="851" w:type="dxa"/>
            <w:tcBorders>
              <w:top w:val="nil"/>
              <w:left w:val="nil"/>
              <w:bottom w:val="nil"/>
              <w:right w:val="nil"/>
            </w:tcBorders>
            <w:shd w:val="clear" w:color="auto" w:fill="auto"/>
            <w:noWrap/>
            <w:hideMark/>
          </w:tcPr>
          <w:p w14:paraId="5347EA6A" w14:textId="77777777" w:rsidR="007742CC" w:rsidRPr="00CF39F6" w:rsidRDefault="007742CC" w:rsidP="000A29B1">
            <w:pPr>
              <w:spacing w:line="360" w:lineRule="auto"/>
              <w:jc w:val="center"/>
              <w:rPr>
                <w:b/>
                <w:bCs/>
                <w:color w:val="000000" w:themeColor="text1"/>
              </w:rPr>
            </w:pPr>
          </w:p>
        </w:tc>
        <w:tc>
          <w:tcPr>
            <w:tcW w:w="850" w:type="dxa"/>
            <w:tcBorders>
              <w:top w:val="nil"/>
              <w:left w:val="nil"/>
              <w:bottom w:val="nil"/>
              <w:right w:val="nil"/>
            </w:tcBorders>
            <w:shd w:val="clear" w:color="auto" w:fill="auto"/>
            <w:noWrap/>
            <w:hideMark/>
          </w:tcPr>
          <w:p w14:paraId="08F8CFBC" w14:textId="77777777" w:rsidR="007742CC" w:rsidRPr="00AB7B8D" w:rsidRDefault="007742CC" w:rsidP="000A29B1">
            <w:pPr>
              <w:spacing w:line="360" w:lineRule="auto"/>
              <w:jc w:val="center"/>
              <w:rPr>
                <w:color w:val="000000" w:themeColor="text1"/>
              </w:rPr>
            </w:pPr>
          </w:p>
        </w:tc>
        <w:tc>
          <w:tcPr>
            <w:tcW w:w="709" w:type="dxa"/>
            <w:tcBorders>
              <w:top w:val="nil"/>
              <w:left w:val="nil"/>
              <w:bottom w:val="nil"/>
              <w:right w:val="nil"/>
            </w:tcBorders>
            <w:shd w:val="clear" w:color="auto" w:fill="auto"/>
            <w:noWrap/>
            <w:hideMark/>
          </w:tcPr>
          <w:p w14:paraId="4C461000" w14:textId="77777777" w:rsidR="007742CC" w:rsidRPr="00AB7B8D" w:rsidRDefault="007742CC" w:rsidP="000A29B1">
            <w:pPr>
              <w:spacing w:line="360" w:lineRule="auto"/>
              <w:jc w:val="center"/>
              <w:rPr>
                <w:color w:val="000000" w:themeColor="text1"/>
              </w:rPr>
            </w:pPr>
          </w:p>
        </w:tc>
      </w:tr>
      <w:tr w:rsidR="007742CC" w:rsidRPr="00CF39F6" w14:paraId="736EA670" w14:textId="77777777" w:rsidTr="000A29B1">
        <w:trPr>
          <w:trHeight w:val="360"/>
          <w:jc w:val="center"/>
        </w:trPr>
        <w:tc>
          <w:tcPr>
            <w:tcW w:w="3119" w:type="dxa"/>
            <w:tcBorders>
              <w:top w:val="nil"/>
              <w:left w:val="nil"/>
              <w:bottom w:val="nil"/>
              <w:right w:val="nil"/>
            </w:tcBorders>
            <w:shd w:val="clear" w:color="auto" w:fill="auto"/>
            <w:hideMark/>
          </w:tcPr>
          <w:p w14:paraId="64422A61" w14:textId="77777777" w:rsidR="007742CC" w:rsidRPr="00CF39F6" w:rsidRDefault="007742CC" w:rsidP="000A29B1">
            <w:pPr>
              <w:spacing w:line="360" w:lineRule="auto"/>
              <w:ind w:hanging="110"/>
              <w:rPr>
                <w:b/>
                <w:bCs/>
                <w:color w:val="000000" w:themeColor="text1"/>
              </w:rPr>
            </w:pPr>
            <w:r w:rsidRPr="00CF39F6">
              <w:rPr>
                <w:b/>
                <w:bCs/>
                <w:color w:val="000000" w:themeColor="text1"/>
              </w:rPr>
              <w:t>3:</w:t>
            </w:r>
            <w:r w:rsidRPr="00CF39F6">
              <w:rPr>
                <w:b/>
                <w:bCs/>
              </w:rPr>
              <w:t xml:space="preserve"> </w:t>
            </w:r>
            <w:r w:rsidRPr="00CF39F6">
              <w:rPr>
                <w:b/>
                <w:bCs/>
                <w:color w:val="000000" w:themeColor="text1"/>
              </w:rPr>
              <w:t>Supply chain agility</w:t>
            </w:r>
          </w:p>
        </w:tc>
        <w:tc>
          <w:tcPr>
            <w:tcW w:w="850" w:type="dxa"/>
            <w:tcBorders>
              <w:top w:val="nil"/>
              <w:left w:val="nil"/>
              <w:bottom w:val="nil"/>
              <w:right w:val="nil"/>
            </w:tcBorders>
            <w:shd w:val="clear" w:color="auto" w:fill="auto"/>
            <w:hideMark/>
          </w:tcPr>
          <w:p w14:paraId="5960B1F7" w14:textId="77777777" w:rsidR="007742CC" w:rsidRPr="00CF39F6" w:rsidRDefault="007742CC" w:rsidP="000A29B1">
            <w:pPr>
              <w:spacing w:line="360" w:lineRule="auto"/>
              <w:jc w:val="center"/>
              <w:rPr>
                <w:color w:val="000000" w:themeColor="text1"/>
              </w:rPr>
            </w:pPr>
            <w:r w:rsidRPr="00CF39F6">
              <w:rPr>
                <w:color w:val="000000" w:themeColor="text1"/>
              </w:rPr>
              <w:t>5.06</w:t>
            </w:r>
          </w:p>
        </w:tc>
        <w:tc>
          <w:tcPr>
            <w:tcW w:w="709" w:type="dxa"/>
            <w:tcBorders>
              <w:top w:val="nil"/>
              <w:left w:val="nil"/>
              <w:bottom w:val="nil"/>
              <w:right w:val="nil"/>
            </w:tcBorders>
            <w:shd w:val="clear" w:color="auto" w:fill="auto"/>
            <w:hideMark/>
          </w:tcPr>
          <w:p w14:paraId="6D982BB1" w14:textId="77777777" w:rsidR="007742CC" w:rsidRPr="00CF39F6" w:rsidRDefault="007742CC" w:rsidP="000A29B1">
            <w:pPr>
              <w:spacing w:line="360" w:lineRule="auto"/>
              <w:jc w:val="center"/>
              <w:rPr>
                <w:color w:val="000000" w:themeColor="text1"/>
              </w:rPr>
            </w:pPr>
            <w:r w:rsidRPr="00CF39F6">
              <w:rPr>
                <w:color w:val="000000" w:themeColor="text1"/>
              </w:rPr>
              <w:t>1.23</w:t>
            </w:r>
          </w:p>
        </w:tc>
        <w:tc>
          <w:tcPr>
            <w:tcW w:w="851" w:type="dxa"/>
            <w:tcBorders>
              <w:top w:val="nil"/>
              <w:left w:val="nil"/>
              <w:bottom w:val="nil"/>
              <w:right w:val="nil"/>
            </w:tcBorders>
            <w:shd w:val="clear" w:color="auto" w:fill="auto"/>
            <w:noWrap/>
            <w:hideMark/>
          </w:tcPr>
          <w:p w14:paraId="01D112C6" w14:textId="77777777" w:rsidR="007742CC" w:rsidRPr="00CF39F6" w:rsidRDefault="007742CC" w:rsidP="000A29B1">
            <w:pPr>
              <w:spacing w:line="360" w:lineRule="auto"/>
              <w:jc w:val="center"/>
              <w:rPr>
                <w:color w:val="000000" w:themeColor="text1"/>
              </w:rPr>
            </w:pPr>
            <w:r w:rsidRPr="00CF39F6">
              <w:rPr>
                <w:color w:val="000000" w:themeColor="text1"/>
              </w:rPr>
              <w:t>0.52</w:t>
            </w:r>
            <w:r w:rsidRPr="00CF39F6">
              <w:rPr>
                <w:color w:val="000000" w:themeColor="text1"/>
                <w:vertAlign w:val="superscript"/>
              </w:rPr>
              <w:t>**</w:t>
            </w:r>
          </w:p>
        </w:tc>
        <w:tc>
          <w:tcPr>
            <w:tcW w:w="850" w:type="dxa"/>
            <w:tcBorders>
              <w:top w:val="nil"/>
              <w:left w:val="nil"/>
              <w:bottom w:val="nil"/>
              <w:right w:val="nil"/>
            </w:tcBorders>
            <w:shd w:val="clear" w:color="auto" w:fill="auto"/>
            <w:noWrap/>
            <w:hideMark/>
          </w:tcPr>
          <w:p w14:paraId="4CC9F7F1" w14:textId="77777777" w:rsidR="007742CC" w:rsidRPr="00CF39F6" w:rsidRDefault="007742CC" w:rsidP="000A29B1">
            <w:pPr>
              <w:spacing w:line="360" w:lineRule="auto"/>
              <w:jc w:val="center"/>
              <w:rPr>
                <w:color w:val="000000" w:themeColor="text1"/>
              </w:rPr>
            </w:pPr>
            <w:r w:rsidRPr="00CF39F6">
              <w:rPr>
                <w:color w:val="000000" w:themeColor="text1"/>
              </w:rPr>
              <w:t>0.54</w:t>
            </w:r>
            <w:r w:rsidRPr="00CF39F6">
              <w:rPr>
                <w:color w:val="000000" w:themeColor="text1"/>
                <w:vertAlign w:val="superscript"/>
              </w:rPr>
              <w:t>**</w:t>
            </w:r>
          </w:p>
        </w:tc>
        <w:tc>
          <w:tcPr>
            <w:tcW w:w="851" w:type="dxa"/>
            <w:tcBorders>
              <w:top w:val="nil"/>
              <w:left w:val="nil"/>
              <w:bottom w:val="nil"/>
              <w:right w:val="nil"/>
            </w:tcBorders>
            <w:shd w:val="clear" w:color="auto" w:fill="auto"/>
            <w:noWrap/>
            <w:hideMark/>
          </w:tcPr>
          <w:p w14:paraId="7B39B35D" w14:textId="77777777" w:rsidR="007742CC" w:rsidRPr="008529C3" w:rsidRDefault="007742CC" w:rsidP="000A29B1">
            <w:pPr>
              <w:spacing w:line="360" w:lineRule="auto"/>
              <w:rPr>
                <w:b/>
                <w:bCs/>
                <w:color w:val="000000" w:themeColor="text1"/>
              </w:rPr>
            </w:pPr>
            <w:r w:rsidRPr="008529C3">
              <w:rPr>
                <w:b/>
                <w:bCs/>
                <w:color w:val="000000" w:themeColor="text1"/>
              </w:rPr>
              <w:t>0.77</w:t>
            </w:r>
          </w:p>
        </w:tc>
        <w:tc>
          <w:tcPr>
            <w:tcW w:w="850" w:type="dxa"/>
            <w:tcBorders>
              <w:top w:val="nil"/>
              <w:left w:val="nil"/>
              <w:bottom w:val="nil"/>
              <w:right w:val="nil"/>
            </w:tcBorders>
            <w:shd w:val="clear" w:color="auto" w:fill="auto"/>
            <w:noWrap/>
            <w:hideMark/>
          </w:tcPr>
          <w:p w14:paraId="6FA2ED52" w14:textId="77777777" w:rsidR="007742CC" w:rsidRPr="00CF39F6" w:rsidRDefault="007742CC" w:rsidP="000A29B1">
            <w:pPr>
              <w:spacing w:line="360" w:lineRule="auto"/>
              <w:jc w:val="center"/>
              <w:rPr>
                <w:b/>
                <w:bCs/>
                <w:color w:val="000000" w:themeColor="text1"/>
              </w:rPr>
            </w:pPr>
          </w:p>
        </w:tc>
        <w:tc>
          <w:tcPr>
            <w:tcW w:w="709" w:type="dxa"/>
            <w:tcBorders>
              <w:top w:val="nil"/>
              <w:left w:val="nil"/>
              <w:bottom w:val="nil"/>
              <w:right w:val="nil"/>
            </w:tcBorders>
            <w:shd w:val="clear" w:color="auto" w:fill="auto"/>
            <w:noWrap/>
            <w:hideMark/>
          </w:tcPr>
          <w:p w14:paraId="58774A6A" w14:textId="77777777" w:rsidR="007742CC" w:rsidRPr="00AB7B8D" w:rsidRDefault="007742CC" w:rsidP="000A29B1">
            <w:pPr>
              <w:spacing w:line="360" w:lineRule="auto"/>
              <w:jc w:val="center"/>
              <w:rPr>
                <w:color w:val="000000" w:themeColor="text1"/>
              </w:rPr>
            </w:pPr>
          </w:p>
        </w:tc>
      </w:tr>
      <w:tr w:rsidR="007742CC" w:rsidRPr="00CF39F6" w14:paraId="4CAABB59" w14:textId="77777777" w:rsidTr="000A29B1">
        <w:trPr>
          <w:trHeight w:val="360"/>
          <w:jc w:val="center"/>
        </w:trPr>
        <w:tc>
          <w:tcPr>
            <w:tcW w:w="3119" w:type="dxa"/>
            <w:tcBorders>
              <w:top w:val="nil"/>
              <w:left w:val="nil"/>
              <w:bottom w:val="nil"/>
              <w:right w:val="nil"/>
            </w:tcBorders>
            <w:shd w:val="clear" w:color="auto" w:fill="auto"/>
            <w:hideMark/>
          </w:tcPr>
          <w:p w14:paraId="76F40009" w14:textId="77777777" w:rsidR="007742CC" w:rsidRPr="00CF39F6" w:rsidRDefault="007742CC" w:rsidP="000A29B1">
            <w:pPr>
              <w:spacing w:line="360" w:lineRule="auto"/>
              <w:ind w:hanging="110"/>
              <w:rPr>
                <w:b/>
                <w:bCs/>
                <w:color w:val="000000" w:themeColor="text1"/>
              </w:rPr>
            </w:pPr>
            <w:r w:rsidRPr="00CF39F6">
              <w:rPr>
                <w:b/>
                <w:bCs/>
                <w:color w:val="000000" w:themeColor="text1"/>
              </w:rPr>
              <w:t>4:</w:t>
            </w:r>
            <w:r w:rsidRPr="00CF39F6">
              <w:rPr>
                <w:b/>
                <w:bCs/>
              </w:rPr>
              <w:t xml:space="preserve"> </w:t>
            </w:r>
            <w:r w:rsidRPr="00CF39F6">
              <w:rPr>
                <w:b/>
                <w:bCs/>
                <w:color w:val="000000" w:themeColor="text1"/>
              </w:rPr>
              <w:t>Complementarity</w:t>
            </w:r>
          </w:p>
        </w:tc>
        <w:tc>
          <w:tcPr>
            <w:tcW w:w="850" w:type="dxa"/>
            <w:tcBorders>
              <w:top w:val="nil"/>
              <w:left w:val="nil"/>
              <w:bottom w:val="nil"/>
              <w:right w:val="nil"/>
            </w:tcBorders>
            <w:shd w:val="clear" w:color="auto" w:fill="auto"/>
            <w:hideMark/>
          </w:tcPr>
          <w:p w14:paraId="09B24219" w14:textId="77777777" w:rsidR="007742CC" w:rsidRPr="00CF39F6" w:rsidRDefault="007742CC" w:rsidP="000A29B1">
            <w:pPr>
              <w:spacing w:line="360" w:lineRule="auto"/>
              <w:jc w:val="center"/>
              <w:rPr>
                <w:color w:val="000000" w:themeColor="text1"/>
              </w:rPr>
            </w:pPr>
            <w:r w:rsidRPr="00CF39F6">
              <w:rPr>
                <w:color w:val="000000" w:themeColor="text1"/>
              </w:rPr>
              <w:t>5.14</w:t>
            </w:r>
          </w:p>
        </w:tc>
        <w:tc>
          <w:tcPr>
            <w:tcW w:w="709" w:type="dxa"/>
            <w:tcBorders>
              <w:top w:val="nil"/>
              <w:left w:val="nil"/>
              <w:bottom w:val="nil"/>
              <w:right w:val="nil"/>
            </w:tcBorders>
            <w:shd w:val="clear" w:color="auto" w:fill="auto"/>
            <w:hideMark/>
          </w:tcPr>
          <w:p w14:paraId="169E710E" w14:textId="77777777" w:rsidR="007742CC" w:rsidRPr="00CF39F6" w:rsidRDefault="007742CC" w:rsidP="000A29B1">
            <w:pPr>
              <w:spacing w:line="360" w:lineRule="auto"/>
              <w:jc w:val="center"/>
              <w:rPr>
                <w:color w:val="000000" w:themeColor="text1"/>
              </w:rPr>
            </w:pPr>
            <w:r w:rsidRPr="00CF39F6">
              <w:rPr>
                <w:color w:val="000000" w:themeColor="text1"/>
              </w:rPr>
              <w:t>1.10</w:t>
            </w:r>
          </w:p>
        </w:tc>
        <w:tc>
          <w:tcPr>
            <w:tcW w:w="851" w:type="dxa"/>
            <w:tcBorders>
              <w:top w:val="nil"/>
              <w:left w:val="nil"/>
              <w:bottom w:val="nil"/>
              <w:right w:val="nil"/>
            </w:tcBorders>
            <w:shd w:val="clear" w:color="auto" w:fill="auto"/>
            <w:noWrap/>
            <w:hideMark/>
          </w:tcPr>
          <w:p w14:paraId="5763F3DC" w14:textId="77777777" w:rsidR="007742CC" w:rsidRPr="00CF39F6" w:rsidRDefault="007742CC" w:rsidP="000A29B1">
            <w:pPr>
              <w:spacing w:line="360" w:lineRule="auto"/>
              <w:jc w:val="center"/>
              <w:rPr>
                <w:color w:val="000000" w:themeColor="text1"/>
              </w:rPr>
            </w:pPr>
            <w:r w:rsidRPr="00CF39F6">
              <w:rPr>
                <w:color w:val="000000" w:themeColor="text1"/>
              </w:rPr>
              <w:t>0.52</w:t>
            </w:r>
            <w:r w:rsidRPr="00CF39F6">
              <w:rPr>
                <w:color w:val="000000" w:themeColor="text1"/>
                <w:vertAlign w:val="superscript"/>
              </w:rPr>
              <w:t>**</w:t>
            </w:r>
          </w:p>
        </w:tc>
        <w:tc>
          <w:tcPr>
            <w:tcW w:w="850" w:type="dxa"/>
            <w:tcBorders>
              <w:top w:val="nil"/>
              <w:left w:val="nil"/>
              <w:bottom w:val="nil"/>
              <w:right w:val="nil"/>
            </w:tcBorders>
            <w:shd w:val="clear" w:color="auto" w:fill="auto"/>
            <w:noWrap/>
            <w:hideMark/>
          </w:tcPr>
          <w:p w14:paraId="308F2D98" w14:textId="77777777" w:rsidR="007742CC" w:rsidRPr="00CF39F6" w:rsidRDefault="007742CC" w:rsidP="000A29B1">
            <w:pPr>
              <w:spacing w:line="360" w:lineRule="auto"/>
              <w:jc w:val="center"/>
              <w:rPr>
                <w:color w:val="000000" w:themeColor="text1"/>
              </w:rPr>
            </w:pPr>
            <w:r w:rsidRPr="00CF39F6">
              <w:rPr>
                <w:color w:val="000000" w:themeColor="text1"/>
              </w:rPr>
              <w:t>0.60</w:t>
            </w:r>
            <w:r w:rsidRPr="00CF39F6">
              <w:rPr>
                <w:color w:val="000000" w:themeColor="text1"/>
                <w:vertAlign w:val="superscript"/>
              </w:rPr>
              <w:t>**</w:t>
            </w:r>
          </w:p>
        </w:tc>
        <w:tc>
          <w:tcPr>
            <w:tcW w:w="851" w:type="dxa"/>
            <w:tcBorders>
              <w:top w:val="nil"/>
              <w:left w:val="nil"/>
              <w:bottom w:val="nil"/>
              <w:right w:val="nil"/>
            </w:tcBorders>
            <w:shd w:val="clear" w:color="auto" w:fill="auto"/>
            <w:noWrap/>
            <w:hideMark/>
          </w:tcPr>
          <w:p w14:paraId="7FD4DE8E" w14:textId="77777777" w:rsidR="007742CC" w:rsidRPr="00CF39F6" w:rsidRDefault="007742CC" w:rsidP="000A29B1">
            <w:pPr>
              <w:spacing w:line="360" w:lineRule="auto"/>
              <w:jc w:val="center"/>
              <w:rPr>
                <w:color w:val="000000" w:themeColor="text1"/>
              </w:rPr>
            </w:pPr>
            <w:r w:rsidRPr="00CF39F6">
              <w:rPr>
                <w:color w:val="000000" w:themeColor="text1"/>
              </w:rPr>
              <w:t>0.56</w:t>
            </w:r>
            <w:r w:rsidRPr="00CF39F6">
              <w:rPr>
                <w:color w:val="000000" w:themeColor="text1"/>
                <w:vertAlign w:val="superscript"/>
              </w:rPr>
              <w:t>**</w:t>
            </w:r>
          </w:p>
        </w:tc>
        <w:tc>
          <w:tcPr>
            <w:tcW w:w="850" w:type="dxa"/>
            <w:tcBorders>
              <w:top w:val="nil"/>
              <w:left w:val="nil"/>
              <w:bottom w:val="nil"/>
              <w:right w:val="nil"/>
            </w:tcBorders>
            <w:shd w:val="clear" w:color="auto" w:fill="auto"/>
            <w:noWrap/>
            <w:hideMark/>
          </w:tcPr>
          <w:p w14:paraId="246AF296" w14:textId="77777777" w:rsidR="007742CC" w:rsidRPr="00CF39F6" w:rsidRDefault="007742CC" w:rsidP="000A29B1">
            <w:pPr>
              <w:spacing w:line="360" w:lineRule="auto"/>
              <w:rPr>
                <w:b/>
                <w:bCs/>
                <w:color w:val="000000" w:themeColor="text1"/>
              </w:rPr>
            </w:pPr>
            <w:r w:rsidRPr="00CF39F6">
              <w:rPr>
                <w:b/>
                <w:bCs/>
                <w:color w:val="000000" w:themeColor="text1"/>
              </w:rPr>
              <w:t>0.81</w:t>
            </w:r>
          </w:p>
        </w:tc>
        <w:tc>
          <w:tcPr>
            <w:tcW w:w="709" w:type="dxa"/>
            <w:tcBorders>
              <w:top w:val="nil"/>
              <w:left w:val="nil"/>
              <w:bottom w:val="nil"/>
              <w:right w:val="nil"/>
            </w:tcBorders>
            <w:shd w:val="clear" w:color="auto" w:fill="auto"/>
            <w:noWrap/>
            <w:hideMark/>
          </w:tcPr>
          <w:p w14:paraId="35E927DB" w14:textId="77777777" w:rsidR="007742CC" w:rsidRPr="00CF39F6" w:rsidRDefault="007742CC" w:rsidP="000A29B1">
            <w:pPr>
              <w:spacing w:line="360" w:lineRule="auto"/>
              <w:jc w:val="center"/>
              <w:rPr>
                <w:b/>
                <w:bCs/>
                <w:color w:val="000000" w:themeColor="text1"/>
              </w:rPr>
            </w:pPr>
          </w:p>
        </w:tc>
      </w:tr>
      <w:tr w:rsidR="007742CC" w:rsidRPr="00CF39F6" w14:paraId="34C43CDC" w14:textId="77777777" w:rsidTr="000A29B1">
        <w:trPr>
          <w:trHeight w:val="75"/>
          <w:jc w:val="center"/>
        </w:trPr>
        <w:tc>
          <w:tcPr>
            <w:tcW w:w="3119" w:type="dxa"/>
            <w:tcBorders>
              <w:top w:val="nil"/>
              <w:left w:val="nil"/>
              <w:right w:val="nil"/>
            </w:tcBorders>
            <w:shd w:val="clear" w:color="auto" w:fill="auto"/>
            <w:hideMark/>
          </w:tcPr>
          <w:p w14:paraId="4CE2276A" w14:textId="77777777" w:rsidR="007742CC" w:rsidRPr="00CF39F6" w:rsidRDefault="007742CC" w:rsidP="000A29B1">
            <w:pPr>
              <w:spacing w:line="360" w:lineRule="auto"/>
              <w:ind w:hanging="110"/>
              <w:rPr>
                <w:b/>
                <w:bCs/>
                <w:color w:val="000000" w:themeColor="text1"/>
              </w:rPr>
            </w:pPr>
            <w:r w:rsidRPr="00CF39F6">
              <w:rPr>
                <w:b/>
                <w:bCs/>
                <w:color w:val="000000" w:themeColor="text1"/>
              </w:rPr>
              <w:t>5:</w:t>
            </w:r>
            <w:r w:rsidRPr="00CF39F6">
              <w:rPr>
                <w:b/>
                <w:bCs/>
              </w:rPr>
              <w:t xml:space="preserve"> </w:t>
            </w:r>
            <w:r w:rsidRPr="00CF39F6">
              <w:rPr>
                <w:b/>
                <w:bCs/>
                <w:color w:val="000000" w:themeColor="text1"/>
              </w:rPr>
              <w:t>Innovation</w:t>
            </w:r>
          </w:p>
        </w:tc>
        <w:tc>
          <w:tcPr>
            <w:tcW w:w="850" w:type="dxa"/>
            <w:tcBorders>
              <w:top w:val="nil"/>
              <w:left w:val="nil"/>
              <w:right w:val="nil"/>
            </w:tcBorders>
            <w:shd w:val="clear" w:color="auto" w:fill="auto"/>
            <w:hideMark/>
          </w:tcPr>
          <w:p w14:paraId="1B0EDE6F" w14:textId="77777777" w:rsidR="007742CC" w:rsidRPr="00CF39F6" w:rsidRDefault="007742CC" w:rsidP="000A29B1">
            <w:pPr>
              <w:spacing w:line="360" w:lineRule="auto"/>
              <w:jc w:val="center"/>
              <w:rPr>
                <w:color w:val="000000" w:themeColor="text1"/>
              </w:rPr>
            </w:pPr>
            <w:r w:rsidRPr="00CF39F6">
              <w:rPr>
                <w:color w:val="000000" w:themeColor="text1"/>
              </w:rPr>
              <w:t>5.11</w:t>
            </w:r>
          </w:p>
        </w:tc>
        <w:tc>
          <w:tcPr>
            <w:tcW w:w="709" w:type="dxa"/>
            <w:tcBorders>
              <w:top w:val="nil"/>
              <w:left w:val="nil"/>
              <w:right w:val="nil"/>
            </w:tcBorders>
            <w:shd w:val="clear" w:color="auto" w:fill="auto"/>
            <w:hideMark/>
          </w:tcPr>
          <w:p w14:paraId="24780265" w14:textId="77777777" w:rsidR="007742CC" w:rsidRPr="00CF39F6" w:rsidRDefault="007742CC" w:rsidP="000A29B1">
            <w:pPr>
              <w:spacing w:line="360" w:lineRule="auto"/>
              <w:jc w:val="center"/>
              <w:rPr>
                <w:color w:val="000000" w:themeColor="text1"/>
              </w:rPr>
            </w:pPr>
            <w:r w:rsidRPr="00CF39F6">
              <w:rPr>
                <w:color w:val="000000" w:themeColor="text1"/>
              </w:rPr>
              <w:t>1.16</w:t>
            </w:r>
          </w:p>
        </w:tc>
        <w:tc>
          <w:tcPr>
            <w:tcW w:w="851" w:type="dxa"/>
            <w:tcBorders>
              <w:top w:val="nil"/>
              <w:left w:val="nil"/>
              <w:right w:val="nil"/>
            </w:tcBorders>
            <w:shd w:val="clear" w:color="auto" w:fill="auto"/>
            <w:noWrap/>
            <w:hideMark/>
          </w:tcPr>
          <w:p w14:paraId="2B00ADC4" w14:textId="77777777" w:rsidR="007742CC" w:rsidRPr="00CF39F6" w:rsidRDefault="007742CC" w:rsidP="000A29B1">
            <w:pPr>
              <w:spacing w:line="360" w:lineRule="auto"/>
              <w:jc w:val="center"/>
              <w:rPr>
                <w:color w:val="000000" w:themeColor="text1"/>
              </w:rPr>
            </w:pPr>
            <w:r w:rsidRPr="00CF39F6">
              <w:rPr>
                <w:color w:val="000000" w:themeColor="text1"/>
              </w:rPr>
              <w:t>0.37</w:t>
            </w:r>
            <w:r w:rsidRPr="00CF39F6">
              <w:rPr>
                <w:color w:val="000000" w:themeColor="text1"/>
                <w:vertAlign w:val="superscript"/>
              </w:rPr>
              <w:t>**</w:t>
            </w:r>
          </w:p>
        </w:tc>
        <w:tc>
          <w:tcPr>
            <w:tcW w:w="850" w:type="dxa"/>
            <w:tcBorders>
              <w:top w:val="nil"/>
              <w:left w:val="nil"/>
              <w:right w:val="nil"/>
            </w:tcBorders>
            <w:shd w:val="clear" w:color="auto" w:fill="auto"/>
            <w:noWrap/>
            <w:hideMark/>
          </w:tcPr>
          <w:p w14:paraId="54170035" w14:textId="77777777" w:rsidR="007742CC" w:rsidRPr="00CF39F6" w:rsidRDefault="007742CC" w:rsidP="000A29B1">
            <w:pPr>
              <w:spacing w:line="360" w:lineRule="auto"/>
              <w:jc w:val="center"/>
              <w:rPr>
                <w:color w:val="000000" w:themeColor="text1"/>
              </w:rPr>
            </w:pPr>
            <w:r w:rsidRPr="00CF39F6">
              <w:rPr>
                <w:color w:val="000000" w:themeColor="text1"/>
              </w:rPr>
              <w:t>0.39</w:t>
            </w:r>
            <w:r w:rsidRPr="00CF39F6">
              <w:rPr>
                <w:color w:val="000000" w:themeColor="text1"/>
                <w:vertAlign w:val="superscript"/>
              </w:rPr>
              <w:t>**</w:t>
            </w:r>
          </w:p>
        </w:tc>
        <w:tc>
          <w:tcPr>
            <w:tcW w:w="851" w:type="dxa"/>
            <w:tcBorders>
              <w:top w:val="nil"/>
              <w:left w:val="nil"/>
              <w:right w:val="nil"/>
            </w:tcBorders>
            <w:shd w:val="clear" w:color="auto" w:fill="auto"/>
            <w:noWrap/>
            <w:hideMark/>
          </w:tcPr>
          <w:p w14:paraId="116FE073" w14:textId="77777777" w:rsidR="007742CC" w:rsidRPr="00CF39F6" w:rsidRDefault="007742CC" w:rsidP="000A29B1">
            <w:pPr>
              <w:spacing w:line="360" w:lineRule="auto"/>
              <w:jc w:val="center"/>
              <w:rPr>
                <w:color w:val="000000" w:themeColor="text1"/>
              </w:rPr>
            </w:pPr>
            <w:r w:rsidRPr="00CF39F6">
              <w:rPr>
                <w:color w:val="000000" w:themeColor="text1"/>
              </w:rPr>
              <w:t>0.30</w:t>
            </w:r>
            <w:r w:rsidRPr="00CF39F6">
              <w:rPr>
                <w:color w:val="000000" w:themeColor="text1"/>
                <w:vertAlign w:val="superscript"/>
              </w:rPr>
              <w:t>**</w:t>
            </w:r>
          </w:p>
        </w:tc>
        <w:tc>
          <w:tcPr>
            <w:tcW w:w="850" w:type="dxa"/>
            <w:tcBorders>
              <w:top w:val="nil"/>
              <w:left w:val="nil"/>
              <w:right w:val="nil"/>
            </w:tcBorders>
            <w:shd w:val="clear" w:color="auto" w:fill="auto"/>
            <w:noWrap/>
            <w:hideMark/>
          </w:tcPr>
          <w:p w14:paraId="0C026489" w14:textId="77777777" w:rsidR="007742CC" w:rsidRPr="00CF39F6" w:rsidRDefault="007742CC" w:rsidP="000A29B1">
            <w:pPr>
              <w:spacing w:line="360" w:lineRule="auto"/>
              <w:jc w:val="center"/>
              <w:rPr>
                <w:color w:val="000000" w:themeColor="text1"/>
              </w:rPr>
            </w:pPr>
            <w:r w:rsidRPr="00CF39F6">
              <w:rPr>
                <w:color w:val="000000" w:themeColor="text1"/>
              </w:rPr>
              <w:t>0.34</w:t>
            </w:r>
            <w:r w:rsidRPr="00CF39F6">
              <w:rPr>
                <w:color w:val="000000" w:themeColor="text1"/>
                <w:vertAlign w:val="superscript"/>
              </w:rPr>
              <w:t>**</w:t>
            </w:r>
          </w:p>
        </w:tc>
        <w:tc>
          <w:tcPr>
            <w:tcW w:w="709" w:type="dxa"/>
            <w:tcBorders>
              <w:top w:val="nil"/>
              <w:left w:val="nil"/>
              <w:right w:val="nil"/>
            </w:tcBorders>
            <w:shd w:val="clear" w:color="auto" w:fill="auto"/>
            <w:noWrap/>
            <w:hideMark/>
          </w:tcPr>
          <w:p w14:paraId="52D79D8E" w14:textId="77777777" w:rsidR="007742CC" w:rsidRPr="00CF39F6" w:rsidRDefault="007742CC" w:rsidP="000A29B1">
            <w:pPr>
              <w:spacing w:line="360" w:lineRule="auto"/>
              <w:rPr>
                <w:b/>
                <w:bCs/>
                <w:color w:val="000000" w:themeColor="text1"/>
              </w:rPr>
            </w:pPr>
            <w:r w:rsidRPr="00CF39F6">
              <w:rPr>
                <w:b/>
                <w:bCs/>
                <w:color w:val="000000" w:themeColor="text1"/>
              </w:rPr>
              <w:t>0.78</w:t>
            </w:r>
          </w:p>
        </w:tc>
      </w:tr>
      <w:tr w:rsidR="007742CC" w:rsidRPr="00CF39F6" w14:paraId="5729168F" w14:textId="77777777" w:rsidTr="000A29B1">
        <w:trPr>
          <w:trHeight w:val="75"/>
          <w:jc w:val="center"/>
        </w:trPr>
        <w:tc>
          <w:tcPr>
            <w:tcW w:w="8789" w:type="dxa"/>
            <w:gridSpan w:val="8"/>
            <w:tcBorders>
              <w:top w:val="nil"/>
              <w:left w:val="nil"/>
              <w:bottom w:val="double" w:sz="4" w:space="0" w:color="auto"/>
              <w:right w:val="nil"/>
            </w:tcBorders>
            <w:shd w:val="clear" w:color="auto" w:fill="auto"/>
            <w:hideMark/>
          </w:tcPr>
          <w:p w14:paraId="675F8974" w14:textId="77777777" w:rsidR="007742CC" w:rsidRPr="00CF39F6" w:rsidRDefault="007742CC" w:rsidP="000A29B1">
            <w:pPr>
              <w:spacing w:line="360" w:lineRule="auto"/>
              <w:rPr>
                <w:color w:val="000000" w:themeColor="text1"/>
              </w:rPr>
            </w:pPr>
          </w:p>
        </w:tc>
      </w:tr>
    </w:tbl>
    <w:p w14:paraId="5E53499C" w14:textId="77777777" w:rsidR="007742CC" w:rsidRDefault="007742CC" w:rsidP="007742CC">
      <w:pPr>
        <w:spacing w:before="120" w:line="360" w:lineRule="auto"/>
        <w:ind w:left="284"/>
        <w:rPr>
          <w:color w:val="000000" w:themeColor="text1"/>
          <w:sz w:val="22"/>
          <w:szCs w:val="22"/>
        </w:rPr>
      </w:pPr>
      <w:r w:rsidRPr="00AB7B8D">
        <w:rPr>
          <w:b/>
          <w:bCs/>
          <w:color w:val="000000" w:themeColor="text1"/>
          <w:sz w:val="22"/>
          <w:szCs w:val="22"/>
        </w:rPr>
        <w:t>Notes:</w:t>
      </w:r>
      <w:r w:rsidRPr="00AB7B8D">
        <w:rPr>
          <w:color w:val="000000" w:themeColor="text1"/>
          <w:sz w:val="22"/>
          <w:szCs w:val="22"/>
        </w:rPr>
        <w:t xml:space="preserve"> </w:t>
      </w:r>
      <w:r w:rsidRPr="00AB7B8D">
        <w:rPr>
          <w:color w:val="000000" w:themeColor="text1"/>
          <w:sz w:val="22"/>
          <w:szCs w:val="22"/>
          <w:vertAlign w:val="superscript"/>
        </w:rPr>
        <w:t xml:space="preserve">** </w:t>
      </w:r>
      <w:r w:rsidRPr="00AB7B8D">
        <w:rPr>
          <w:color w:val="000000" w:themeColor="text1"/>
          <w:sz w:val="22"/>
          <w:szCs w:val="22"/>
        </w:rPr>
        <w:t xml:space="preserve">Correlation is significant at the 0.01 level; square-roots of AVEs are provided on the </w:t>
      </w:r>
    </w:p>
    <w:p w14:paraId="3C3BC176" w14:textId="77777777" w:rsidR="007742CC" w:rsidRPr="003C1C32" w:rsidRDefault="007742CC" w:rsidP="007742CC">
      <w:pPr>
        <w:spacing w:line="360" w:lineRule="auto"/>
        <w:ind w:left="993" w:firstLine="141"/>
        <w:rPr>
          <w:color w:val="000000" w:themeColor="text1"/>
          <w:sz w:val="22"/>
          <w:szCs w:val="22"/>
        </w:rPr>
      </w:pPr>
      <w:r w:rsidRPr="00AB7B8D">
        <w:rPr>
          <w:color w:val="000000" w:themeColor="text1"/>
          <w:sz w:val="22"/>
          <w:szCs w:val="22"/>
        </w:rPr>
        <w:t>diagonal.</w:t>
      </w:r>
    </w:p>
    <w:p w14:paraId="5B7992E6" w14:textId="77777777" w:rsidR="007742CC" w:rsidRDefault="007742CC" w:rsidP="007742CC">
      <w:pPr>
        <w:spacing w:before="120" w:line="360" w:lineRule="auto"/>
        <w:jc w:val="center"/>
        <w:rPr>
          <w:color w:val="000000" w:themeColor="text1"/>
          <w:sz w:val="22"/>
          <w:szCs w:val="22"/>
        </w:rPr>
      </w:pPr>
      <w:r w:rsidRPr="003C1C32">
        <w:rPr>
          <w:b/>
          <w:color w:val="000000" w:themeColor="text1"/>
          <w:sz w:val="22"/>
          <w:szCs w:val="22"/>
        </w:rPr>
        <w:t>Table IV</w:t>
      </w:r>
      <w:r>
        <w:rPr>
          <w:bCs/>
          <w:color w:val="000000" w:themeColor="text1"/>
          <w:sz w:val="22"/>
          <w:szCs w:val="22"/>
        </w:rPr>
        <w:t>:</w:t>
      </w:r>
      <w:r w:rsidRPr="003C1C32">
        <w:rPr>
          <w:b/>
          <w:color w:val="000000" w:themeColor="text1"/>
          <w:sz w:val="22"/>
          <w:szCs w:val="22"/>
        </w:rPr>
        <w:t xml:space="preserve"> </w:t>
      </w:r>
      <w:r w:rsidRPr="003C1C32">
        <w:rPr>
          <w:color w:val="000000" w:themeColor="text1"/>
          <w:sz w:val="22"/>
          <w:szCs w:val="22"/>
        </w:rPr>
        <w:t>Correlations, means and standard deviations</w:t>
      </w:r>
      <w:r>
        <w:rPr>
          <w:color w:val="000000" w:themeColor="text1"/>
          <w:sz w:val="22"/>
          <w:szCs w:val="22"/>
        </w:rPr>
        <w:t>.</w:t>
      </w:r>
    </w:p>
    <w:p w14:paraId="620562E3" w14:textId="77777777" w:rsidR="007742CC" w:rsidRDefault="007742CC" w:rsidP="007742CC">
      <w:pPr>
        <w:spacing w:after="160" w:line="360" w:lineRule="auto"/>
        <w:rPr>
          <w:rStyle w:val="fontstyle01"/>
          <w:rFonts w:ascii="Times New Roman" w:eastAsiaTheme="majorEastAsia" w:hAnsi="Times New Roman"/>
          <w:b/>
          <w:color w:val="000000" w:themeColor="text1"/>
          <w:sz w:val="24"/>
          <w:szCs w:val="24"/>
        </w:rPr>
      </w:pPr>
      <w:r>
        <w:rPr>
          <w:rStyle w:val="fontstyle01"/>
          <w:rFonts w:ascii="Times New Roman" w:eastAsiaTheme="majorEastAsia" w:hAnsi="Times New Roman"/>
          <w:b/>
          <w:color w:val="000000" w:themeColor="text1"/>
          <w:sz w:val="24"/>
          <w:szCs w:val="24"/>
        </w:rPr>
        <w:br w:type="page"/>
      </w:r>
    </w:p>
    <w:p w14:paraId="03AF766F" w14:textId="77777777" w:rsidR="007742CC" w:rsidRDefault="007742CC" w:rsidP="007742CC">
      <w:pPr>
        <w:spacing w:line="360" w:lineRule="auto"/>
        <w:rPr>
          <w:rStyle w:val="fontstyle01"/>
          <w:rFonts w:ascii="Times New Roman" w:eastAsiaTheme="majorEastAsia" w:hAnsi="Times New Roman"/>
          <w:b/>
          <w:color w:val="000000" w:themeColor="text1"/>
          <w:sz w:val="24"/>
          <w:szCs w:val="24"/>
        </w:rPr>
      </w:pPr>
    </w:p>
    <w:p w14:paraId="7D5F3D3D" w14:textId="77777777" w:rsidR="007742CC" w:rsidRPr="00CF39F6" w:rsidRDefault="007742CC" w:rsidP="007742CC">
      <w:pPr>
        <w:spacing w:line="360" w:lineRule="auto"/>
        <w:rPr>
          <w:rStyle w:val="fontstyle01"/>
          <w:rFonts w:ascii="Times New Roman" w:eastAsiaTheme="majorEastAsia" w:hAnsi="Times New Roman"/>
          <w:color w:val="000000" w:themeColor="text1"/>
          <w:sz w:val="24"/>
          <w:szCs w:val="24"/>
        </w:rPr>
      </w:pPr>
    </w:p>
    <w:tbl>
      <w:tblPr>
        <w:tblStyle w:val="TableGrid"/>
        <w:tblW w:w="972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40"/>
        <w:gridCol w:w="900"/>
        <w:gridCol w:w="1080"/>
      </w:tblGrid>
      <w:tr w:rsidR="007742CC" w:rsidRPr="00CF39F6" w14:paraId="242F14B5" w14:textId="77777777" w:rsidTr="000A29B1">
        <w:trPr>
          <w:trHeight w:val="419"/>
          <w:jc w:val="center"/>
        </w:trPr>
        <w:tc>
          <w:tcPr>
            <w:tcW w:w="7740" w:type="dxa"/>
            <w:tcBorders>
              <w:top w:val="single" w:sz="4" w:space="0" w:color="auto"/>
              <w:bottom w:val="single" w:sz="4" w:space="0" w:color="auto"/>
            </w:tcBorders>
            <w:vAlign w:val="center"/>
          </w:tcPr>
          <w:p w14:paraId="49BD40D9"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p>
        </w:tc>
        <w:tc>
          <w:tcPr>
            <w:tcW w:w="900" w:type="dxa"/>
            <w:tcBorders>
              <w:top w:val="single" w:sz="4" w:space="0" w:color="auto"/>
              <w:bottom w:val="single" w:sz="4" w:space="0" w:color="auto"/>
            </w:tcBorders>
            <w:vAlign w:val="center"/>
          </w:tcPr>
          <w:p w14:paraId="7C6DB00D" w14:textId="77777777" w:rsidR="007742CC" w:rsidRPr="003C1C32" w:rsidRDefault="007742CC" w:rsidP="000A29B1">
            <w:pPr>
              <w:spacing w:line="360" w:lineRule="auto"/>
              <w:jc w:val="center"/>
              <w:rPr>
                <w:rStyle w:val="fontstyle01"/>
                <w:rFonts w:ascii="Times New Roman" w:eastAsiaTheme="majorEastAsia" w:hAnsi="Times New Roman"/>
                <w:b/>
                <w:bCs/>
                <w:i/>
                <w:color w:val="000000" w:themeColor="text1"/>
                <w:sz w:val="24"/>
                <w:szCs w:val="24"/>
              </w:rPr>
            </w:pPr>
            <w:r w:rsidRPr="003C1C32">
              <w:rPr>
                <w:rStyle w:val="fontstyle01"/>
                <w:rFonts w:ascii="Times New Roman" w:eastAsiaTheme="majorEastAsia" w:hAnsi="Times New Roman"/>
                <w:b/>
                <w:bCs/>
                <w:i/>
                <w:color w:val="000000" w:themeColor="text1"/>
                <w:sz w:val="24"/>
                <w:szCs w:val="24"/>
              </w:rPr>
              <w:t>β</w:t>
            </w:r>
          </w:p>
        </w:tc>
        <w:tc>
          <w:tcPr>
            <w:tcW w:w="1080" w:type="dxa"/>
            <w:tcBorders>
              <w:top w:val="single" w:sz="4" w:space="0" w:color="auto"/>
              <w:bottom w:val="single" w:sz="4" w:space="0" w:color="auto"/>
            </w:tcBorders>
            <w:vAlign w:val="center"/>
          </w:tcPr>
          <w:p w14:paraId="1707E028" w14:textId="77777777" w:rsidR="007742CC" w:rsidRPr="003C1C32" w:rsidRDefault="007742CC" w:rsidP="000A29B1">
            <w:pPr>
              <w:spacing w:line="360" w:lineRule="auto"/>
              <w:jc w:val="center"/>
              <w:rPr>
                <w:rStyle w:val="fontstyle01"/>
                <w:rFonts w:ascii="Times New Roman" w:eastAsiaTheme="majorEastAsia" w:hAnsi="Times New Roman"/>
                <w:b/>
                <w:bCs/>
                <w:color w:val="000000" w:themeColor="text1"/>
                <w:sz w:val="24"/>
                <w:szCs w:val="24"/>
              </w:rPr>
            </w:pPr>
            <w:r w:rsidRPr="003C1C32">
              <w:rPr>
                <w:rStyle w:val="fontstyle01"/>
                <w:rFonts w:ascii="Times New Roman" w:eastAsiaTheme="majorEastAsia" w:hAnsi="Times New Roman"/>
                <w:b/>
                <w:bCs/>
                <w:i/>
                <w:color w:val="000000" w:themeColor="text1"/>
                <w:sz w:val="24"/>
                <w:szCs w:val="24"/>
              </w:rPr>
              <w:t>p</w:t>
            </w:r>
            <w:r w:rsidRPr="003C1C32">
              <w:rPr>
                <w:rStyle w:val="fontstyle01"/>
                <w:rFonts w:ascii="Times New Roman" w:eastAsiaTheme="majorEastAsia" w:hAnsi="Times New Roman"/>
                <w:b/>
                <w:bCs/>
                <w:color w:val="000000" w:themeColor="text1"/>
                <w:sz w:val="24"/>
                <w:szCs w:val="24"/>
              </w:rPr>
              <w:t>-value</w:t>
            </w:r>
          </w:p>
        </w:tc>
      </w:tr>
      <w:tr w:rsidR="007742CC" w:rsidRPr="00CF39F6" w14:paraId="7ADF199C" w14:textId="77777777" w:rsidTr="000A29B1">
        <w:trPr>
          <w:trHeight w:val="332"/>
          <w:jc w:val="center"/>
        </w:trPr>
        <w:tc>
          <w:tcPr>
            <w:tcW w:w="7740" w:type="dxa"/>
            <w:tcBorders>
              <w:top w:val="single" w:sz="4" w:space="0" w:color="auto"/>
            </w:tcBorders>
          </w:tcPr>
          <w:p w14:paraId="3D3A23BE" w14:textId="77777777" w:rsidR="007742CC" w:rsidRPr="00AB7B8D" w:rsidRDefault="007742CC" w:rsidP="000A29B1">
            <w:pPr>
              <w:spacing w:before="60" w:line="360" w:lineRule="auto"/>
              <w:ind w:left="-110"/>
              <w:rPr>
                <w:rStyle w:val="fontstyle01"/>
                <w:rFonts w:ascii="Times New Roman" w:eastAsiaTheme="majorEastAsia" w:hAnsi="Times New Roman"/>
                <w:i/>
                <w:color w:val="000000" w:themeColor="text1"/>
                <w:sz w:val="24"/>
                <w:szCs w:val="24"/>
              </w:rPr>
            </w:pPr>
            <w:r w:rsidRPr="003C1C32">
              <w:rPr>
                <w:rStyle w:val="fontstyle01"/>
                <w:rFonts w:ascii="Times New Roman" w:eastAsiaTheme="majorEastAsia" w:hAnsi="Times New Roman"/>
                <w:b/>
                <w:bCs/>
                <w:i/>
                <w:color w:val="000000" w:themeColor="text1"/>
                <w:sz w:val="24"/>
                <w:szCs w:val="24"/>
              </w:rPr>
              <w:t>Direct effects</w:t>
            </w:r>
            <w:r w:rsidRPr="00AB7B8D">
              <w:rPr>
                <w:rStyle w:val="fontstyle01"/>
                <w:rFonts w:ascii="Times New Roman" w:eastAsiaTheme="majorEastAsia" w:hAnsi="Times New Roman"/>
                <w:i/>
                <w:color w:val="000000" w:themeColor="text1"/>
                <w:sz w:val="24"/>
                <w:szCs w:val="24"/>
              </w:rPr>
              <w:t xml:space="preserve"> </w:t>
            </w:r>
            <w:r w:rsidRPr="00CF39F6">
              <w:rPr>
                <w:color w:val="000000" w:themeColor="text1"/>
              </w:rPr>
              <w:t>(</w:t>
            </w:r>
            <w:r w:rsidRPr="00CF39F6">
              <w:rPr>
                <w:i/>
                <w:color w:val="000000" w:themeColor="text1"/>
              </w:rPr>
              <w:t>χ</w:t>
            </w:r>
            <w:r w:rsidRPr="00CF39F6">
              <w:rPr>
                <w:color w:val="000000" w:themeColor="text1"/>
                <w:vertAlign w:val="superscript"/>
              </w:rPr>
              <w:t>2</w:t>
            </w:r>
            <w:r w:rsidRPr="00CF39F6">
              <w:rPr>
                <w:color w:val="000000" w:themeColor="text1"/>
              </w:rPr>
              <w:t xml:space="preserve"> = 1.87, </w:t>
            </w:r>
            <w:r w:rsidRPr="00CF39F6">
              <w:rPr>
                <w:i/>
                <w:color w:val="000000" w:themeColor="text1"/>
              </w:rPr>
              <w:t>p</w:t>
            </w:r>
            <w:r w:rsidRPr="00CF39F6">
              <w:rPr>
                <w:color w:val="000000" w:themeColor="text1"/>
              </w:rPr>
              <w:t xml:space="preserve"> &lt; 0.01; CFI = 0.95, RMSEA = 0.063)</w:t>
            </w:r>
          </w:p>
        </w:tc>
        <w:tc>
          <w:tcPr>
            <w:tcW w:w="900" w:type="dxa"/>
            <w:tcBorders>
              <w:top w:val="single" w:sz="4" w:space="0" w:color="auto"/>
            </w:tcBorders>
          </w:tcPr>
          <w:p w14:paraId="7A7A0E81" w14:textId="77777777" w:rsidR="007742CC" w:rsidRPr="00AB7B8D" w:rsidRDefault="007742CC" w:rsidP="000A29B1">
            <w:pPr>
              <w:spacing w:before="60" w:line="360" w:lineRule="auto"/>
              <w:jc w:val="center"/>
              <w:rPr>
                <w:rStyle w:val="fontstyle01"/>
                <w:rFonts w:ascii="Times New Roman" w:eastAsiaTheme="majorEastAsia" w:hAnsi="Times New Roman"/>
                <w:color w:val="000000" w:themeColor="text1"/>
                <w:sz w:val="24"/>
                <w:szCs w:val="24"/>
              </w:rPr>
            </w:pPr>
          </w:p>
        </w:tc>
        <w:tc>
          <w:tcPr>
            <w:tcW w:w="1080" w:type="dxa"/>
            <w:tcBorders>
              <w:top w:val="single" w:sz="4" w:space="0" w:color="auto"/>
            </w:tcBorders>
          </w:tcPr>
          <w:p w14:paraId="378B6CF1" w14:textId="77777777" w:rsidR="007742CC" w:rsidRPr="00AB7B8D" w:rsidRDefault="007742CC" w:rsidP="000A29B1">
            <w:pPr>
              <w:spacing w:before="60" w:line="360" w:lineRule="auto"/>
              <w:jc w:val="center"/>
              <w:rPr>
                <w:rStyle w:val="fontstyle01"/>
                <w:rFonts w:ascii="Times New Roman" w:eastAsiaTheme="majorEastAsia" w:hAnsi="Times New Roman"/>
                <w:color w:val="000000" w:themeColor="text1"/>
                <w:sz w:val="24"/>
                <w:szCs w:val="24"/>
              </w:rPr>
            </w:pPr>
          </w:p>
        </w:tc>
      </w:tr>
      <w:tr w:rsidR="007742CC" w:rsidRPr="00CF39F6" w14:paraId="3125EC30" w14:textId="77777777" w:rsidTr="000A29B1">
        <w:trPr>
          <w:trHeight w:val="278"/>
          <w:jc w:val="center"/>
        </w:trPr>
        <w:tc>
          <w:tcPr>
            <w:tcW w:w="7740" w:type="dxa"/>
          </w:tcPr>
          <w:p w14:paraId="5BE6817D" w14:textId="77777777" w:rsidR="007742CC" w:rsidRPr="00AB7B8D" w:rsidRDefault="007742CC" w:rsidP="000A29B1">
            <w:pPr>
              <w:spacing w:line="360" w:lineRule="auto"/>
              <w:ind w:left="-110"/>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 xml:space="preserve">Supply chain agility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Innovation </w:t>
            </w:r>
            <w:r>
              <w:rPr>
                <w:rStyle w:val="fontstyle01"/>
                <w:rFonts w:ascii="Times New Roman" w:eastAsiaTheme="majorEastAsia" w:hAnsi="Times New Roman"/>
                <w:color w:val="000000" w:themeColor="text1"/>
                <w:sz w:val="24"/>
                <w:szCs w:val="24"/>
              </w:rPr>
              <w:t>p</w:t>
            </w:r>
            <w:r w:rsidRPr="00AB7B8D">
              <w:rPr>
                <w:rStyle w:val="fontstyle01"/>
                <w:rFonts w:ascii="Times New Roman" w:eastAsiaTheme="majorEastAsia" w:hAnsi="Times New Roman"/>
                <w:color w:val="000000" w:themeColor="text1"/>
                <w:sz w:val="24"/>
                <w:szCs w:val="24"/>
              </w:rPr>
              <w:t>erformance</w:t>
            </w:r>
          </w:p>
        </w:tc>
        <w:tc>
          <w:tcPr>
            <w:tcW w:w="900" w:type="dxa"/>
          </w:tcPr>
          <w:p w14:paraId="35027027"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0.36</w:t>
            </w:r>
          </w:p>
        </w:tc>
        <w:tc>
          <w:tcPr>
            <w:tcW w:w="1080" w:type="dxa"/>
          </w:tcPr>
          <w:p w14:paraId="3995568B"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0.000</w:t>
            </w:r>
          </w:p>
        </w:tc>
      </w:tr>
      <w:tr w:rsidR="007742CC" w:rsidRPr="00CF39F6" w14:paraId="3ADF2C2C" w14:textId="77777777" w:rsidTr="000A29B1">
        <w:trPr>
          <w:trHeight w:val="252"/>
          <w:jc w:val="center"/>
        </w:trPr>
        <w:tc>
          <w:tcPr>
            <w:tcW w:w="7740" w:type="dxa"/>
          </w:tcPr>
          <w:p w14:paraId="16E2B12D" w14:textId="77777777" w:rsidR="007742CC" w:rsidRPr="00AB7B8D" w:rsidRDefault="007742CC" w:rsidP="000A29B1">
            <w:pPr>
              <w:spacing w:line="360" w:lineRule="auto"/>
              <w:ind w:left="-110"/>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 xml:space="preserve">Performance orientation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Supply chain agility</w:t>
            </w:r>
          </w:p>
        </w:tc>
        <w:tc>
          <w:tcPr>
            <w:tcW w:w="900" w:type="dxa"/>
          </w:tcPr>
          <w:p w14:paraId="11B3C69E"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0.30</w:t>
            </w:r>
          </w:p>
        </w:tc>
        <w:tc>
          <w:tcPr>
            <w:tcW w:w="1080" w:type="dxa"/>
          </w:tcPr>
          <w:p w14:paraId="38D768E0"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0.081</w:t>
            </w:r>
          </w:p>
        </w:tc>
      </w:tr>
      <w:tr w:rsidR="007742CC" w:rsidRPr="00CF39F6" w14:paraId="39792AEA" w14:textId="77777777" w:rsidTr="000A29B1">
        <w:trPr>
          <w:trHeight w:val="375"/>
          <w:jc w:val="center"/>
        </w:trPr>
        <w:tc>
          <w:tcPr>
            <w:tcW w:w="7740" w:type="dxa"/>
          </w:tcPr>
          <w:p w14:paraId="1EAE62D0" w14:textId="77777777" w:rsidR="007742CC" w:rsidRPr="00AB7B8D" w:rsidRDefault="007742CC" w:rsidP="000A29B1">
            <w:pPr>
              <w:spacing w:line="360" w:lineRule="auto"/>
              <w:ind w:left="-110"/>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 xml:space="preserve">Social orientation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Supply chain agility</w:t>
            </w:r>
          </w:p>
        </w:tc>
        <w:tc>
          <w:tcPr>
            <w:tcW w:w="900" w:type="dxa"/>
          </w:tcPr>
          <w:p w14:paraId="23117C56"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0.51</w:t>
            </w:r>
          </w:p>
        </w:tc>
        <w:tc>
          <w:tcPr>
            <w:tcW w:w="1080" w:type="dxa"/>
          </w:tcPr>
          <w:p w14:paraId="70DBC09D"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0.011</w:t>
            </w:r>
          </w:p>
        </w:tc>
      </w:tr>
      <w:tr w:rsidR="007742CC" w:rsidRPr="00CF39F6" w14:paraId="4FEF5139" w14:textId="77777777" w:rsidTr="000A29B1">
        <w:trPr>
          <w:trHeight w:val="300"/>
          <w:jc w:val="center"/>
        </w:trPr>
        <w:tc>
          <w:tcPr>
            <w:tcW w:w="7740" w:type="dxa"/>
          </w:tcPr>
          <w:p w14:paraId="787031CA" w14:textId="77777777" w:rsidR="007742CC" w:rsidRPr="00AB7B8D" w:rsidRDefault="007742CC" w:rsidP="000A29B1">
            <w:pPr>
              <w:spacing w:line="360" w:lineRule="auto"/>
              <w:ind w:left="-110"/>
              <w:rPr>
                <w:rStyle w:val="fontstyle01"/>
                <w:rFonts w:ascii="Times New Roman" w:eastAsiaTheme="majorEastAsia" w:hAnsi="Times New Roman"/>
                <w:i/>
                <w:color w:val="000000" w:themeColor="text1"/>
                <w:sz w:val="24"/>
                <w:szCs w:val="24"/>
              </w:rPr>
            </w:pPr>
            <w:r w:rsidRPr="003C1C32">
              <w:rPr>
                <w:rStyle w:val="fontstyle01"/>
                <w:rFonts w:ascii="Times New Roman" w:eastAsiaTheme="majorEastAsia" w:hAnsi="Times New Roman"/>
                <w:b/>
                <w:bCs/>
                <w:i/>
                <w:color w:val="000000" w:themeColor="text1"/>
                <w:sz w:val="24"/>
                <w:szCs w:val="24"/>
              </w:rPr>
              <w:t>Indirect effects</w:t>
            </w:r>
            <w:r w:rsidRPr="00AB7B8D">
              <w:rPr>
                <w:rStyle w:val="fontstyle01"/>
                <w:rFonts w:ascii="Times New Roman" w:eastAsiaTheme="majorEastAsia" w:hAnsi="Times New Roman"/>
                <w:i/>
                <w:color w:val="000000" w:themeColor="text1"/>
                <w:sz w:val="24"/>
                <w:szCs w:val="24"/>
              </w:rPr>
              <w:t xml:space="preserve"> </w:t>
            </w:r>
            <w:r w:rsidRPr="00CF39F6">
              <w:rPr>
                <w:color w:val="000000" w:themeColor="text1"/>
              </w:rPr>
              <w:t>(χ</w:t>
            </w:r>
            <w:r w:rsidRPr="00CF39F6">
              <w:rPr>
                <w:color w:val="000000" w:themeColor="text1"/>
                <w:vertAlign w:val="superscript"/>
              </w:rPr>
              <w:t>2</w:t>
            </w:r>
            <w:r w:rsidRPr="00CF39F6">
              <w:rPr>
                <w:color w:val="000000" w:themeColor="text1"/>
              </w:rPr>
              <w:t xml:space="preserve"> = 1.87, </w:t>
            </w:r>
            <w:r w:rsidRPr="00CF39F6">
              <w:rPr>
                <w:i/>
                <w:color w:val="000000" w:themeColor="text1"/>
              </w:rPr>
              <w:t>p</w:t>
            </w:r>
            <w:r w:rsidRPr="00CF39F6">
              <w:rPr>
                <w:color w:val="000000" w:themeColor="text1"/>
              </w:rPr>
              <w:t xml:space="preserve"> &lt; 0.01; CFI = 0.95, RMSEA = 0.063)</w:t>
            </w:r>
          </w:p>
        </w:tc>
        <w:tc>
          <w:tcPr>
            <w:tcW w:w="900" w:type="dxa"/>
          </w:tcPr>
          <w:p w14:paraId="033309F9"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p>
        </w:tc>
        <w:tc>
          <w:tcPr>
            <w:tcW w:w="1080" w:type="dxa"/>
          </w:tcPr>
          <w:p w14:paraId="58124509"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p>
        </w:tc>
      </w:tr>
      <w:tr w:rsidR="007742CC" w:rsidRPr="00CF39F6" w14:paraId="55099562" w14:textId="77777777" w:rsidTr="000A29B1">
        <w:trPr>
          <w:trHeight w:val="75"/>
          <w:jc w:val="center"/>
        </w:trPr>
        <w:tc>
          <w:tcPr>
            <w:tcW w:w="7740" w:type="dxa"/>
          </w:tcPr>
          <w:p w14:paraId="2B0BD837" w14:textId="77777777" w:rsidR="007742CC" w:rsidRPr="00AB7B8D" w:rsidRDefault="007742CC" w:rsidP="000A29B1">
            <w:pPr>
              <w:spacing w:line="360" w:lineRule="auto"/>
              <w:ind w:left="-110"/>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 xml:space="preserve">Performance orientation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Supply chain agility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Innovation </w:t>
            </w:r>
            <w:r>
              <w:rPr>
                <w:rStyle w:val="fontstyle01"/>
                <w:rFonts w:ascii="Times New Roman" w:eastAsiaTheme="majorEastAsia" w:hAnsi="Times New Roman"/>
                <w:color w:val="000000" w:themeColor="text1"/>
                <w:sz w:val="24"/>
                <w:szCs w:val="24"/>
              </w:rPr>
              <w:t>p</w:t>
            </w:r>
            <w:r w:rsidRPr="00AB7B8D">
              <w:rPr>
                <w:rStyle w:val="fontstyle01"/>
                <w:rFonts w:ascii="Times New Roman" w:eastAsiaTheme="majorEastAsia" w:hAnsi="Times New Roman"/>
                <w:color w:val="000000" w:themeColor="text1"/>
                <w:sz w:val="24"/>
                <w:szCs w:val="24"/>
              </w:rPr>
              <w:t xml:space="preserve">erformance </w:t>
            </w:r>
          </w:p>
        </w:tc>
        <w:tc>
          <w:tcPr>
            <w:tcW w:w="900" w:type="dxa"/>
          </w:tcPr>
          <w:p w14:paraId="00728E07"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0.11</w:t>
            </w:r>
          </w:p>
        </w:tc>
        <w:tc>
          <w:tcPr>
            <w:tcW w:w="1080" w:type="dxa"/>
          </w:tcPr>
          <w:p w14:paraId="45BF4011"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0.074</w:t>
            </w:r>
          </w:p>
        </w:tc>
      </w:tr>
      <w:tr w:rsidR="007742CC" w:rsidRPr="00CF39F6" w14:paraId="4AA19F12" w14:textId="77777777" w:rsidTr="000A29B1">
        <w:trPr>
          <w:trHeight w:val="374"/>
          <w:jc w:val="center"/>
        </w:trPr>
        <w:tc>
          <w:tcPr>
            <w:tcW w:w="7740" w:type="dxa"/>
          </w:tcPr>
          <w:p w14:paraId="6BB4A14C" w14:textId="77777777" w:rsidR="007742CC" w:rsidRPr="00AB7B8D" w:rsidRDefault="007742CC" w:rsidP="000A29B1">
            <w:pPr>
              <w:spacing w:line="360" w:lineRule="auto"/>
              <w:ind w:left="-110"/>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 xml:space="preserve">Social orientation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Supply chain agility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Innovation </w:t>
            </w:r>
            <w:r>
              <w:rPr>
                <w:rStyle w:val="fontstyle01"/>
                <w:rFonts w:ascii="Times New Roman" w:eastAsiaTheme="majorEastAsia" w:hAnsi="Times New Roman"/>
                <w:color w:val="000000" w:themeColor="text1"/>
                <w:sz w:val="24"/>
                <w:szCs w:val="24"/>
              </w:rPr>
              <w:t>p</w:t>
            </w:r>
            <w:r w:rsidRPr="00AB7B8D">
              <w:rPr>
                <w:rStyle w:val="fontstyle01"/>
                <w:rFonts w:ascii="Times New Roman" w:eastAsiaTheme="majorEastAsia" w:hAnsi="Times New Roman"/>
                <w:color w:val="000000" w:themeColor="text1"/>
                <w:sz w:val="24"/>
                <w:szCs w:val="24"/>
              </w:rPr>
              <w:t>erformance</w:t>
            </w:r>
          </w:p>
        </w:tc>
        <w:tc>
          <w:tcPr>
            <w:tcW w:w="900" w:type="dxa"/>
          </w:tcPr>
          <w:p w14:paraId="0B9CD281"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0.19</w:t>
            </w:r>
          </w:p>
        </w:tc>
        <w:tc>
          <w:tcPr>
            <w:tcW w:w="1080" w:type="dxa"/>
          </w:tcPr>
          <w:p w14:paraId="1A4455F0"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0.032</w:t>
            </w:r>
          </w:p>
        </w:tc>
      </w:tr>
      <w:tr w:rsidR="007742CC" w:rsidRPr="00CF39F6" w14:paraId="7C629F0E" w14:textId="77777777" w:rsidTr="000A29B1">
        <w:trPr>
          <w:trHeight w:val="113"/>
          <w:jc w:val="center"/>
        </w:trPr>
        <w:tc>
          <w:tcPr>
            <w:tcW w:w="7740" w:type="dxa"/>
          </w:tcPr>
          <w:p w14:paraId="356048EF" w14:textId="77777777" w:rsidR="007742CC" w:rsidRPr="00AB7B8D" w:rsidRDefault="007742CC" w:rsidP="000A29B1">
            <w:pPr>
              <w:spacing w:line="360" w:lineRule="auto"/>
              <w:ind w:left="-110"/>
              <w:rPr>
                <w:rStyle w:val="fontstyle01"/>
                <w:rFonts w:ascii="Times New Roman" w:eastAsiaTheme="majorEastAsia" w:hAnsi="Times New Roman"/>
                <w:i/>
                <w:color w:val="000000" w:themeColor="text1"/>
                <w:sz w:val="24"/>
                <w:szCs w:val="24"/>
              </w:rPr>
            </w:pPr>
            <w:r w:rsidRPr="003C1C32">
              <w:rPr>
                <w:rStyle w:val="fontstyle01"/>
                <w:rFonts w:ascii="Times New Roman" w:eastAsiaTheme="majorEastAsia" w:hAnsi="Times New Roman"/>
                <w:b/>
                <w:bCs/>
                <w:i/>
                <w:color w:val="000000" w:themeColor="text1"/>
                <w:sz w:val="24"/>
                <w:szCs w:val="24"/>
              </w:rPr>
              <w:t>Moderating effect</w:t>
            </w:r>
            <w:r w:rsidRPr="00AB7B8D">
              <w:rPr>
                <w:rStyle w:val="fontstyle01"/>
                <w:rFonts w:ascii="Times New Roman" w:eastAsiaTheme="majorEastAsia" w:hAnsi="Times New Roman"/>
                <w:i/>
                <w:color w:val="000000" w:themeColor="text1"/>
                <w:sz w:val="24"/>
                <w:szCs w:val="24"/>
              </w:rPr>
              <w:t xml:space="preserve"> </w:t>
            </w:r>
            <w:r w:rsidRPr="00CF39F6">
              <w:rPr>
                <w:color w:val="000000" w:themeColor="text1"/>
              </w:rPr>
              <w:t>(χ</w:t>
            </w:r>
            <w:r w:rsidRPr="00CF39F6">
              <w:rPr>
                <w:color w:val="000000" w:themeColor="text1"/>
                <w:vertAlign w:val="superscript"/>
              </w:rPr>
              <w:t>2</w:t>
            </w:r>
            <w:r w:rsidRPr="00CF39F6">
              <w:rPr>
                <w:color w:val="000000" w:themeColor="text1"/>
              </w:rPr>
              <w:t xml:space="preserve"> = 1.93, </w:t>
            </w:r>
            <w:r w:rsidRPr="00CF39F6">
              <w:rPr>
                <w:i/>
                <w:color w:val="000000" w:themeColor="text1"/>
              </w:rPr>
              <w:t>p</w:t>
            </w:r>
            <w:r w:rsidRPr="00CF39F6">
              <w:rPr>
                <w:color w:val="000000" w:themeColor="text1"/>
              </w:rPr>
              <w:t xml:space="preserve"> &lt; 0.01; CFI = 0.93, RMSEA = 0.065)</w:t>
            </w:r>
          </w:p>
        </w:tc>
        <w:tc>
          <w:tcPr>
            <w:tcW w:w="900" w:type="dxa"/>
          </w:tcPr>
          <w:p w14:paraId="49DAD908"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p>
        </w:tc>
        <w:tc>
          <w:tcPr>
            <w:tcW w:w="1080" w:type="dxa"/>
          </w:tcPr>
          <w:p w14:paraId="6BC4EA6F"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p>
        </w:tc>
      </w:tr>
      <w:tr w:rsidR="007742CC" w:rsidRPr="00CF39F6" w14:paraId="6A737224" w14:textId="77777777" w:rsidTr="000A29B1">
        <w:trPr>
          <w:trHeight w:val="585"/>
          <w:jc w:val="center"/>
        </w:trPr>
        <w:tc>
          <w:tcPr>
            <w:tcW w:w="7740" w:type="dxa"/>
            <w:tcBorders>
              <w:bottom w:val="double" w:sz="4" w:space="0" w:color="auto"/>
            </w:tcBorders>
          </w:tcPr>
          <w:p w14:paraId="6E7CCA4E" w14:textId="77777777" w:rsidR="007742CC" w:rsidRPr="00AB7B8D" w:rsidRDefault="007742CC" w:rsidP="000A29B1">
            <w:pPr>
              <w:spacing w:line="360" w:lineRule="auto"/>
              <w:ind w:left="-110"/>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 xml:space="preserve">Supply chain agility × Organizational complementarity </w:t>
            </w:r>
            <w:r w:rsidRPr="00AB7B8D">
              <w:rPr>
                <w:rStyle w:val="fontstyle01"/>
                <w:rFonts w:ascii="Times New Roman" w:eastAsiaTheme="majorEastAsia" w:hAnsi="Times New Roman"/>
                <w:color w:val="000000" w:themeColor="text1"/>
                <w:sz w:val="24"/>
                <w:szCs w:val="24"/>
              </w:rPr>
              <w:sym w:font="Wingdings" w:char="F0E0"/>
            </w:r>
            <w:r w:rsidRPr="00AB7B8D">
              <w:rPr>
                <w:rStyle w:val="fontstyle01"/>
                <w:rFonts w:ascii="Times New Roman" w:eastAsiaTheme="majorEastAsia" w:hAnsi="Times New Roman"/>
                <w:color w:val="000000" w:themeColor="text1"/>
                <w:sz w:val="24"/>
                <w:szCs w:val="24"/>
              </w:rPr>
              <w:t xml:space="preserve"> Innovation </w:t>
            </w:r>
            <w:r>
              <w:rPr>
                <w:rStyle w:val="fontstyle01"/>
                <w:rFonts w:ascii="Times New Roman" w:eastAsiaTheme="majorEastAsia" w:hAnsi="Times New Roman"/>
                <w:color w:val="000000" w:themeColor="text1"/>
                <w:sz w:val="24"/>
                <w:szCs w:val="24"/>
              </w:rPr>
              <w:t>p</w:t>
            </w:r>
            <w:r w:rsidRPr="00AB7B8D">
              <w:rPr>
                <w:rStyle w:val="fontstyle01"/>
                <w:rFonts w:ascii="Times New Roman" w:eastAsiaTheme="majorEastAsia" w:hAnsi="Times New Roman"/>
                <w:color w:val="000000" w:themeColor="text1"/>
                <w:sz w:val="24"/>
                <w:szCs w:val="24"/>
              </w:rPr>
              <w:t>erformance</w:t>
            </w:r>
          </w:p>
        </w:tc>
        <w:tc>
          <w:tcPr>
            <w:tcW w:w="900" w:type="dxa"/>
            <w:tcBorders>
              <w:bottom w:val="double" w:sz="4" w:space="0" w:color="auto"/>
            </w:tcBorders>
          </w:tcPr>
          <w:p w14:paraId="4469F3AB"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-0.13</w:t>
            </w:r>
          </w:p>
        </w:tc>
        <w:tc>
          <w:tcPr>
            <w:tcW w:w="1080" w:type="dxa"/>
            <w:tcBorders>
              <w:bottom w:val="double" w:sz="4" w:space="0" w:color="auto"/>
            </w:tcBorders>
          </w:tcPr>
          <w:p w14:paraId="2FB5BF2A" w14:textId="77777777" w:rsidR="007742CC" w:rsidRPr="00AB7B8D" w:rsidRDefault="007742CC" w:rsidP="000A29B1">
            <w:pPr>
              <w:spacing w:line="360" w:lineRule="auto"/>
              <w:jc w:val="center"/>
              <w:rPr>
                <w:rStyle w:val="fontstyle01"/>
                <w:rFonts w:ascii="Times New Roman" w:eastAsiaTheme="majorEastAsia" w:hAnsi="Times New Roman"/>
                <w:color w:val="000000" w:themeColor="text1"/>
                <w:sz w:val="24"/>
                <w:szCs w:val="24"/>
              </w:rPr>
            </w:pPr>
            <w:r w:rsidRPr="00AB7B8D">
              <w:rPr>
                <w:rStyle w:val="fontstyle01"/>
                <w:rFonts w:ascii="Times New Roman" w:eastAsiaTheme="majorEastAsia" w:hAnsi="Times New Roman"/>
                <w:color w:val="000000" w:themeColor="text1"/>
                <w:sz w:val="24"/>
                <w:szCs w:val="24"/>
              </w:rPr>
              <w:t>0.042</w:t>
            </w:r>
          </w:p>
        </w:tc>
      </w:tr>
    </w:tbl>
    <w:p w14:paraId="69EEBEA5" w14:textId="34934AE4" w:rsidR="00F85D1E" w:rsidRDefault="007742CC" w:rsidP="007742CC">
      <w:pPr>
        <w:pStyle w:val="EndNoteBibliography"/>
        <w:spacing w:before="120" w:after="0" w:line="360" w:lineRule="auto"/>
        <w:jc w:val="center"/>
        <w:rPr>
          <w:rStyle w:val="fontstyle01"/>
          <w:rFonts w:ascii="Times New Roman" w:hAnsi="Times New Roman"/>
          <w:color w:val="000000" w:themeColor="text1"/>
          <w:sz w:val="22"/>
          <w:szCs w:val="22"/>
        </w:rPr>
      </w:pPr>
      <w:r w:rsidRPr="003C1C32">
        <w:rPr>
          <w:b/>
          <w:sz w:val="22"/>
        </w:rPr>
        <w:t>Table V</w:t>
      </w:r>
      <w:r w:rsidRPr="003C1C32">
        <w:rPr>
          <w:b/>
          <w:bCs/>
          <w:color w:val="000000" w:themeColor="text1"/>
          <w:sz w:val="22"/>
        </w:rPr>
        <w:t>:</w:t>
      </w:r>
      <w:r w:rsidRPr="003C1C32">
        <w:rPr>
          <w:rStyle w:val="fontstyle01"/>
          <w:rFonts w:ascii="Times New Roman" w:hAnsi="Times New Roman"/>
          <w:b/>
          <w:color w:val="000000" w:themeColor="text1"/>
          <w:sz w:val="22"/>
          <w:szCs w:val="22"/>
        </w:rPr>
        <w:t xml:space="preserve"> </w:t>
      </w:r>
      <w:r w:rsidRPr="003C1C32">
        <w:rPr>
          <w:bCs/>
          <w:sz w:val="22"/>
        </w:rPr>
        <w:t>Structural</w:t>
      </w:r>
      <w:r w:rsidRPr="003C1C32">
        <w:rPr>
          <w:rStyle w:val="fontstyle01"/>
          <w:rFonts w:ascii="Times New Roman" w:hAnsi="Times New Roman"/>
          <w:bCs/>
          <w:color w:val="000000" w:themeColor="text1"/>
          <w:sz w:val="22"/>
          <w:szCs w:val="22"/>
        </w:rPr>
        <w:t xml:space="preserve"> m</w:t>
      </w:r>
      <w:r w:rsidRPr="003C1C32">
        <w:rPr>
          <w:rStyle w:val="fontstyle01"/>
          <w:rFonts w:ascii="Times New Roman" w:hAnsi="Times New Roman"/>
          <w:color w:val="000000" w:themeColor="text1"/>
          <w:sz w:val="22"/>
          <w:szCs w:val="22"/>
        </w:rPr>
        <w:t>odel results.</w:t>
      </w:r>
    </w:p>
    <w:p w14:paraId="11ACEA6B" w14:textId="77777777" w:rsidR="00F85D1E" w:rsidRDefault="00F85D1E">
      <w:pPr>
        <w:spacing w:after="160" w:line="259" w:lineRule="auto"/>
        <w:rPr>
          <w:rStyle w:val="fontstyle01"/>
          <w:rFonts w:ascii="Times New Roman" w:eastAsiaTheme="minorHAnsi" w:hAnsi="Times New Roman"/>
          <w:noProof/>
          <w:color w:val="000000" w:themeColor="text1"/>
          <w:sz w:val="22"/>
          <w:szCs w:val="22"/>
          <w:lang w:eastAsia="en-US"/>
        </w:rPr>
      </w:pPr>
      <w:r>
        <w:rPr>
          <w:rStyle w:val="fontstyle01"/>
          <w:rFonts w:ascii="Times New Roman" w:hAnsi="Times New Roman"/>
          <w:color w:val="000000" w:themeColor="text1"/>
          <w:sz w:val="22"/>
          <w:szCs w:val="22"/>
        </w:rPr>
        <w:br w:type="page"/>
      </w:r>
    </w:p>
    <w:p w14:paraId="432F9DBF" w14:textId="77777777" w:rsidR="00D70FC8" w:rsidRDefault="00D70FC8" w:rsidP="00D70FC8">
      <w:pPr>
        <w:jc w:val="center"/>
        <w:rPr>
          <w:b/>
          <w:bCs/>
        </w:rPr>
      </w:pPr>
      <w:r>
        <w:rPr>
          <w:b/>
          <w:bCs/>
        </w:rPr>
        <w:lastRenderedPageBreak/>
        <w:t xml:space="preserve">Appendix I: </w:t>
      </w:r>
      <w:r w:rsidRPr="00AD575F">
        <w:rPr>
          <w:b/>
          <w:bCs/>
        </w:rPr>
        <w:t>Measures employed in the study</w:t>
      </w:r>
    </w:p>
    <w:p w14:paraId="14C38454" w14:textId="77777777" w:rsidR="00D70FC8" w:rsidRDefault="00D70FC8" w:rsidP="00D70FC8">
      <w:pPr>
        <w:rPr>
          <w:b/>
          <w:bCs/>
        </w:rPr>
      </w:pPr>
      <w:r>
        <w:rPr>
          <w:b/>
          <w:bCs/>
        </w:rPr>
        <w:t>1. Performance management context [</w:t>
      </w:r>
      <w:r>
        <w:rPr>
          <w:b/>
          <w:bCs/>
          <w:i/>
          <w:iCs/>
        </w:rPr>
        <w:t xml:space="preserve">adapted </w:t>
      </w:r>
      <w:r w:rsidRPr="002A5466">
        <w:rPr>
          <w:b/>
          <w:bCs/>
        </w:rPr>
        <w:t>from</w:t>
      </w:r>
      <w:r>
        <w:rPr>
          <w:b/>
          <w:bCs/>
        </w:rPr>
        <w:t xml:space="preserve"> </w:t>
      </w:r>
      <w:r w:rsidRPr="002A5466">
        <w:rPr>
          <w:b/>
          <w:bCs/>
          <w:noProof/>
        </w:rPr>
        <w:t>Gibson and Birkinshaw</w:t>
      </w:r>
      <w:r>
        <w:rPr>
          <w:b/>
          <w:bCs/>
          <w:noProof/>
        </w:rPr>
        <w:t xml:space="preserve"> (2004)</w:t>
      </w:r>
      <w:r>
        <w:rPr>
          <w:b/>
          <w:bCs/>
        </w:rPr>
        <w:t>]</w:t>
      </w:r>
    </w:p>
    <w:p w14:paraId="2BB8391F" w14:textId="77777777" w:rsidR="00D70FC8" w:rsidRPr="002B3F28" w:rsidRDefault="00D70FC8" w:rsidP="00D70FC8">
      <w:pPr>
        <w:pStyle w:val="ListParagraph"/>
        <w:numPr>
          <w:ilvl w:val="0"/>
          <w:numId w:val="15"/>
        </w:numPr>
        <w:ind w:left="567" w:hanging="283"/>
        <w:rPr>
          <w:rFonts w:ascii="Times New Roman" w:hAnsi="Times New Roman" w:cs="Times New Roman"/>
          <w:sz w:val="24"/>
          <w:szCs w:val="24"/>
        </w:rPr>
      </w:pPr>
      <w:r w:rsidRPr="002B3F28">
        <w:rPr>
          <w:rFonts w:ascii="Times New Roman" w:hAnsi="Times New Roman" w:cs="Times New Roman"/>
          <w:sz w:val="24"/>
          <w:szCs w:val="24"/>
        </w:rPr>
        <w:t xml:space="preserve">We set challenging/aggressive goals. </w:t>
      </w:r>
    </w:p>
    <w:p w14:paraId="5574335A" w14:textId="77777777" w:rsidR="00D70FC8" w:rsidRPr="006A2B5F" w:rsidRDefault="00D70FC8" w:rsidP="00D70FC8">
      <w:pPr>
        <w:pStyle w:val="ListParagraph"/>
        <w:numPr>
          <w:ilvl w:val="0"/>
          <w:numId w:val="15"/>
        </w:numPr>
        <w:ind w:left="567" w:hanging="283"/>
        <w:rPr>
          <w:rFonts w:ascii="Times New Roman" w:hAnsi="Times New Roman" w:cs="Times New Roman"/>
          <w:sz w:val="24"/>
          <w:szCs w:val="24"/>
        </w:rPr>
      </w:pPr>
      <w:r w:rsidRPr="006A2B5F">
        <w:rPr>
          <w:rFonts w:ascii="Times New Roman" w:hAnsi="Times New Roman" w:cs="Times New Roman"/>
          <w:sz w:val="24"/>
          <w:szCs w:val="24"/>
        </w:rPr>
        <w:t xml:space="preserve">We issue creative challenges to </w:t>
      </w:r>
      <w:r>
        <w:rPr>
          <w:rFonts w:ascii="Times New Roman" w:hAnsi="Times New Roman" w:cs="Times New Roman"/>
          <w:sz w:val="24"/>
          <w:szCs w:val="24"/>
        </w:rPr>
        <w:t>our</w:t>
      </w:r>
      <w:r w:rsidRPr="006A2B5F">
        <w:rPr>
          <w:rFonts w:ascii="Times New Roman" w:hAnsi="Times New Roman" w:cs="Times New Roman"/>
          <w:sz w:val="24"/>
          <w:szCs w:val="24"/>
        </w:rPr>
        <w:t xml:space="preserve"> people, instead of narrowly defining tasks. </w:t>
      </w:r>
    </w:p>
    <w:p w14:paraId="65E2DC69" w14:textId="77777777" w:rsidR="00D70FC8" w:rsidRPr="006A2B5F" w:rsidRDefault="00D70FC8" w:rsidP="00D70FC8">
      <w:pPr>
        <w:pStyle w:val="ListParagraph"/>
        <w:numPr>
          <w:ilvl w:val="0"/>
          <w:numId w:val="15"/>
        </w:numPr>
        <w:ind w:left="567" w:hanging="283"/>
        <w:rPr>
          <w:rFonts w:ascii="Times New Roman" w:hAnsi="Times New Roman" w:cs="Times New Roman"/>
          <w:sz w:val="24"/>
          <w:szCs w:val="24"/>
        </w:rPr>
      </w:pPr>
      <w:r w:rsidRPr="006A2B5F">
        <w:rPr>
          <w:rFonts w:ascii="Times New Roman" w:hAnsi="Times New Roman" w:cs="Times New Roman"/>
          <w:sz w:val="24"/>
          <w:szCs w:val="24"/>
        </w:rPr>
        <w:t>We encourage our people to be more focused on getting their job done well than on getting promoted.</w:t>
      </w:r>
    </w:p>
    <w:p w14:paraId="4B2E8462" w14:textId="77777777" w:rsidR="00D70FC8" w:rsidRPr="006A2B5F" w:rsidRDefault="00D70FC8" w:rsidP="00D70FC8">
      <w:pPr>
        <w:pStyle w:val="ListParagraph"/>
        <w:numPr>
          <w:ilvl w:val="0"/>
          <w:numId w:val="15"/>
        </w:numPr>
        <w:ind w:left="567" w:hanging="283"/>
        <w:rPr>
          <w:rFonts w:ascii="Times New Roman" w:hAnsi="Times New Roman" w:cs="Times New Roman"/>
          <w:sz w:val="24"/>
          <w:szCs w:val="24"/>
        </w:rPr>
      </w:pPr>
      <w:r w:rsidRPr="006A2B5F">
        <w:rPr>
          <w:rFonts w:ascii="Times New Roman" w:hAnsi="Times New Roman" w:cs="Times New Roman"/>
          <w:sz w:val="24"/>
          <w:szCs w:val="24"/>
        </w:rPr>
        <w:t>We make a point of stretching our people.</w:t>
      </w:r>
    </w:p>
    <w:p w14:paraId="52996E14" w14:textId="77777777" w:rsidR="00D70FC8" w:rsidRDefault="00D70FC8" w:rsidP="00D70FC8">
      <w:pPr>
        <w:rPr>
          <w:b/>
          <w:bCs/>
        </w:rPr>
      </w:pPr>
      <w:r>
        <w:rPr>
          <w:b/>
          <w:bCs/>
        </w:rPr>
        <w:t>2. Social context [</w:t>
      </w:r>
      <w:r>
        <w:rPr>
          <w:b/>
          <w:bCs/>
          <w:i/>
          <w:iCs/>
        </w:rPr>
        <w:t xml:space="preserve">adapted </w:t>
      </w:r>
      <w:r w:rsidRPr="002A5466">
        <w:rPr>
          <w:b/>
          <w:bCs/>
        </w:rPr>
        <w:t>from</w:t>
      </w:r>
      <w:r>
        <w:rPr>
          <w:b/>
          <w:bCs/>
        </w:rPr>
        <w:t xml:space="preserve"> </w:t>
      </w:r>
      <w:r w:rsidRPr="002A5466">
        <w:rPr>
          <w:b/>
          <w:bCs/>
          <w:noProof/>
        </w:rPr>
        <w:t>Gibson and Birkinshaw</w:t>
      </w:r>
      <w:r>
        <w:rPr>
          <w:b/>
          <w:bCs/>
          <w:noProof/>
        </w:rPr>
        <w:t xml:space="preserve"> (2004)</w:t>
      </w:r>
      <w:r>
        <w:rPr>
          <w:b/>
          <w:bCs/>
        </w:rPr>
        <w:t>]</w:t>
      </w:r>
    </w:p>
    <w:p w14:paraId="6320E43C" w14:textId="77777777" w:rsidR="00D70FC8" w:rsidRPr="00106C1B" w:rsidRDefault="00D70FC8" w:rsidP="00D70FC8">
      <w:pPr>
        <w:pStyle w:val="ListParagraph"/>
        <w:numPr>
          <w:ilvl w:val="0"/>
          <w:numId w:val="16"/>
        </w:numPr>
        <w:ind w:left="567" w:hanging="283"/>
        <w:rPr>
          <w:rFonts w:ascii="Times New Roman" w:hAnsi="Times New Roman" w:cs="Times New Roman"/>
          <w:sz w:val="24"/>
          <w:szCs w:val="24"/>
        </w:rPr>
      </w:pPr>
      <w:r w:rsidRPr="00106C1B">
        <w:rPr>
          <w:rFonts w:ascii="Times New Roman" w:hAnsi="Times New Roman" w:cs="Times New Roman"/>
          <w:sz w:val="24"/>
          <w:szCs w:val="24"/>
        </w:rPr>
        <w:t>We devote considerable effort to developing their subordinates of management staff.</w:t>
      </w:r>
    </w:p>
    <w:p w14:paraId="7FE0AC02" w14:textId="77777777" w:rsidR="00D70FC8" w:rsidRPr="00106C1B" w:rsidRDefault="00D70FC8" w:rsidP="00D70FC8">
      <w:pPr>
        <w:pStyle w:val="ListParagraph"/>
        <w:numPr>
          <w:ilvl w:val="0"/>
          <w:numId w:val="16"/>
        </w:numPr>
        <w:ind w:left="567" w:hanging="283"/>
        <w:rPr>
          <w:rFonts w:ascii="Times New Roman" w:hAnsi="Times New Roman" w:cs="Times New Roman"/>
          <w:sz w:val="24"/>
          <w:szCs w:val="24"/>
        </w:rPr>
      </w:pPr>
      <w:r w:rsidRPr="00106C1B">
        <w:rPr>
          <w:rFonts w:ascii="Times New Roman" w:hAnsi="Times New Roman" w:cs="Times New Roman"/>
          <w:sz w:val="24"/>
          <w:szCs w:val="24"/>
        </w:rPr>
        <w:t>We give everyone sufficient authority to do their jobs well.</w:t>
      </w:r>
    </w:p>
    <w:p w14:paraId="6933BD3D" w14:textId="77777777" w:rsidR="00D70FC8" w:rsidRPr="00106C1B" w:rsidRDefault="00D70FC8" w:rsidP="00D70FC8">
      <w:pPr>
        <w:pStyle w:val="ListParagraph"/>
        <w:numPr>
          <w:ilvl w:val="0"/>
          <w:numId w:val="16"/>
        </w:numPr>
        <w:ind w:left="567" w:hanging="283"/>
        <w:rPr>
          <w:rFonts w:ascii="Times New Roman" w:hAnsi="Times New Roman" w:cs="Times New Roman"/>
          <w:sz w:val="24"/>
          <w:szCs w:val="24"/>
        </w:rPr>
      </w:pPr>
      <w:r w:rsidRPr="00106C1B">
        <w:rPr>
          <w:rFonts w:ascii="Times New Roman" w:hAnsi="Times New Roman" w:cs="Times New Roman"/>
          <w:sz w:val="24"/>
          <w:szCs w:val="24"/>
        </w:rPr>
        <w:t>We give ready access to information that others need.</w:t>
      </w:r>
    </w:p>
    <w:p w14:paraId="00EFB863" w14:textId="77777777" w:rsidR="00D70FC8" w:rsidRPr="00106C1B" w:rsidRDefault="00D70FC8" w:rsidP="00D70FC8">
      <w:pPr>
        <w:pStyle w:val="ListParagraph"/>
        <w:numPr>
          <w:ilvl w:val="0"/>
          <w:numId w:val="16"/>
        </w:numPr>
        <w:ind w:left="567" w:hanging="283"/>
        <w:rPr>
          <w:rFonts w:ascii="Times New Roman" w:hAnsi="Times New Roman" w:cs="Times New Roman"/>
          <w:sz w:val="24"/>
          <w:szCs w:val="24"/>
        </w:rPr>
      </w:pPr>
      <w:r w:rsidRPr="00106C1B">
        <w:rPr>
          <w:rFonts w:ascii="Times New Roman" w:hAnsi="Times New Roman" w:cs="Times New Roman"/>
          <w:sz w:val="24"/>
          <w:szCs w:val="24"/>
        </w:rPr>
        <w:t>We base decisions on facts and analysis, not politics.</w:t>
      </w:r>
    </w:p>
    <w:p w14:paraId="07815EAC" w14:textId="77777777" w:rsidR="00D70FC8" w:rsidRPr="00106C1B" w:rsidRDefault="00D70FC8" w:rsidP="00D70FC8">
      <w:pPr>
        <w:pStyle w:val="ListParagraph"/>
        <w:numPr>
          <w:ilvl w:val="0"/>
          <w:numId w:val="16"/>
        </w:numPr>
        <w:ind w:left="567" w:hanging="283"/>
        <w:rPr>
          <w:rFonts w:ascii="Times New Roman" w:hAnsi="Times New Roman" w:cs="Times New Roman"/>
          <w:sz w:val="24"/>
          <w:szCs w:val="24"/>
        </w:rPr>
      </w:pPr>
      <w:r w:rsidRPr="00106C1B">
        <w:rPr>
          <w:rFonts w:ascii="Times New Roman" w:hAnsi="Times New Roman" w:cs="Times New Roman"/>
          <w:sz w:val="24"/>
          <w:szCs w:val="24"/>
        </w:rPr>
        <w:t>We treat failure (in a good effort) as a learning opportunity, not something to be ashamed of.</w:t>
      </w:r>
    </w:p>
    <w:p w14:paraId="0919A283" w14:textId="77777777" w:rsidR="00D70FC8" w:rsidRPr="00106C1B" w:rsidRDefault="00D70FC8" w:rsidP="00D70FC8">
      <w:pPr>
        <w:pStyle w:val="ListParagraph"/>
        <w:numPr>
          <w:ilvl w:val="0"/>
          <w:numId w:val="16"/>
        </w:numPr>
        <w:ind w:left="567" w:hanging="283"/>
        <w:rPr>
          <w:rFonts w:ascii="Times New Roman" w:hAnsi="Times New Roman" w:cs="Times New Roman"/>
          <w:sz w:val="24"/>
          <w:szCs w:val="24"/>
        </w:rPr>
      </w:pPr>
      <w:r w:rsidRPr="00106C1B">
        <w:rPr>
          <w:rFonts w:ascii="Times New Roman" w:hAnsi="Times New Roman" w:cs="Times New Roman"/>
          <w:sz w:val="24"/>
          <w:szCs w:val="24"/>
        </w:rPr>
        <w:t>We set realistic goals.</w:t>
      </w:r>
    </w:p>
    <w:p w14:paraId="377C3925" w14:textId="77777777" w:rsidR="00D70FC8" w:rsidRDefault="00D70FC8" w:rsidP="00D70FC8">
      <w:pPr>
        <w:rPr>
          <w:b/>
          <w:bCs/>
        </w:rPr>
      </w:pPr>
      <w:r>
        <w:rPr>
          <w:b/>
          <w:bCs/>
        </w:rPr>
        <w:t>3. Supply chain agility [</w:t>
      </w:r>
      <w:r w:rsidRPr="00C53345">
        <w:rPr>
          <w:b/>
          <w:bCs/>
          <w:i/>
          <w:iCs/>
        </w:rPr>
        <w:t>ad</w:t>
      </w:r>
      <w:r>
        <w:rPr>
          <w:b/>
          <w:bCs/>
          <w:i/>
          <w:iCs/>
        </w:rPr>
        <w:t>a</w:t>
      </w:r>
      <w:r w:rsidRPr="00C53345">
        <w:rPr>
          <w:b/>
          <w:bCs/>
          <w:i/>
          <w:iCs/>
        </w:rPr>
        <w:t>pted</w:t>
      </w:r>
      <w:r>
        <w:rPr>
          <w:b/>
          <w:bCs/>
        </w:rPr>
        <w:t xml:space="preserve"> from Lee (2004) as validated in Whitten et al. (2012)]</w:t>
      </w:r>
    </w:p>
    <w:p w14:paraId="33A90F74" w14:textId="77777777" w:rsidR="00D70FC8" w:rsidRPr="00326F10" w:rsidRDefault="00D70FC8" w:rsidP="00D70FC8">
      <w:pPr>
        <w:pStyle w:val="ListParagraph"/>
        <w:numPr>
          <w:ilvl w:val="0"/>
          <w:numId w:val="14"/>
        </w:numPr>
        <w:ind w:left="567" w:hanging="283"/>
        <w:rPr>
          <w:rFonts w:ascii="Times New Roman" w:hAnsi="Times New Roman" w:cs="Times New Roman"/>
          <w:sz w:val="24"/>
          <w:szCs w:val="24"/>
        </w:rPr>
      </w:pPr>
      <w:r w:rsidRPr="00326F10">
        <w:rPr>
          <w:rFonts w:ascii="Times New Roman" w:hAnsi="Times New Roman" w:cs="Times New Roman"/>
          <w:sz w:val="24"/>
          <w:szCs w:val="24"/>
        </w:rPr>
        <w:t>Our organization works hard to promote the flow of information with its suppliers and customers.</w:t>
      </w:r>
    </w:p>
    <w:p w14:paraId="77C2B08D" w14:textId="77777777" w:rsidR="00D70FC8" w:rsidRPr="00326F10" w:rsidRDefault="00D70FC8" w:rsidP="00D70FC8">
      <w:pPr>
        <w:pStyle w:val="ListParagraph"/>
        <w:numPr>
          <w:ilvl w:val="0"/>
          <w:numId w:val="14"/>
        </w:numPr>
        <w:ind w:left="567" w:hanging="283"/>
        <w:rPr>
          <w:rFonts w:ascii="Times New Roman" w:hAnsi="Times New Roman" w:cs="Times New Roman"/>
          <w:sz w:val="24"/>
          <w:szCs w:val="24"/>
        </w:rPr>
      </w:pPr>
      <w:r w:rsidRPr="00326F10">
        <w:rPr>
          <w:rFonts w:ascii="Times New Roman" w:hAnsi="Times New Roman" w:cs="Times New Roman"/>
          <w:sz w:val="24"/>
          <w:szCs w:val="24"/>
        </w:rPr>
        <w:t>Our organization works hard to develop collaborative relationships with suppliers.</w:t>
      </w:r>
    </w:p>
    <w:p w14:paraId="02FC0225" w14:textId="77777777" w:rsidR="00D70FC8" w:rsidRPr="00E16EA8" w:rsidRDefault="00D70FC8" w:rsidP="00D70FC8">
      <w:pPr>
        <w:pStyle w:val="ListParagraph"/>
        <w:numPr>
          <w:ilvl w:val="0"/>
          <w:numId w:val="14"/>
        </w:numPr>
        <w:ind w:left="567" w:hanging="283"/>
        <w:rPr>
          <w:rFonts w:ascii="Times New Roman" w:hAnsi="Times New Roman" w:cs="Times New Roman"/>
          <w:i/>
          <w:iCs/>
          <w:sz w:val="24"/>
          <w:szCs w:val="24"/>
        </w:rPr>
      </w:pPr>
      <w:r w:rsidRPr="00E16EA8">
        <w:rPr>
          <w:rFonts w:ascii="Times New Roman" w:hAnsi="Times New Roman" w:cs="Times New Roman"/>
          <w:i/>
          <w:iCs/>
          <w:sz w:val="24"/>
          <w:szCs w:val="24"/>
        </w:rPr>
        <w:t>Our organization designs for postponement.</w:t>
      </w:r>
      <w:r>
        <w:rPr>
          <w:rStyle w:val="FootnoteReference"/>
          <w:rFonts w:ascii="Times New Roman" w:hAnsi="Times New Roman" w:cs="Times New Roman"/>
          <w:i/>
          <w:iCs/>
          <w:sz w:val="24"/>
          <w:szCs w:val="24"/>
        </w:rPr>
        <w:footnoteReference w:id="1"/>
      </w:r>
    </w:p>
    <w:p w14:paraId="18EAEEBB" w14:textId="77777777" w:rsidR="00D70FC8" w:rsidRPr="00010F41" w:rsidRDefault="00D70FC8" w:rsidP="00D70FC8">
      <w:pPr>
        <w:pStyle w:val="ListParagraph"/>
        <w:numPr>
          <w:ilvl w:val="0"/>
          <w:numId w:val="14"/>
        </w:numPr>
        <w:ind w:left="567" w:hanging="283"/>
        <w:rPr>
          <w:rFonts w:ascii="Times New Roman" w:hAnsi="Times New Roman" w:cs="Times New Roman"/>
          <w:i/>
          <w:iCs/>
          <w:sz w:val="24"/>
          <w:szCs w:val="24"/>
        </w:rPr>
      </w:pPr>
      <w:r w:rsidRPr="00010F41">
        <w:rPr>
          <w:rFonts w:ascii="Times New Roman" w:hAnsi="Times New Roman" w:cs="Times New Roman"/>
          <w:i/>
          <w:iCs/>
          <w:sz w:val="24"/>
          <w:szCs w:val="24"/>
        </w:rPr>
        <w:t>Our organization builds inventory buffers by maintaining a stockpile of inexpensive but key components.</w:t>
      </w:r>
    </w:p>
    <w:p w14:paraId="07D532A3" w14:textId="77777777" w:rsidR="00D70FC8" w:rsidRDefault="00D70FC8" w:rsidP="00D70FC8">
      <w:pPr>
        <w:pStyle w:val="ListParagraph"/>
        <w:numPr>
          <w:ilvl w:val="0"/>
          <w:numId w:val="14"/>
        </w:numPr>
        <w:ind w:left="567" w:hanging="283"/>
        <w:rPr>
          <w:rFonts w:ascii="Times New Roman" w:hAnsi="Times New Roman" w:cs="Times New Roman"/>
          <w:sz w:val="24"/>
          <w:szCs w:val="24"/>
        </w:rPr>
      </w:pPr>
      <w:r w:rsidRPr="00326F10">
        <w:rPr>
          <w:rFonts w:ascii="Times New Roman" w:hAnsi="Times New Roman" w:cs="Times New Roman"/>
          <w:sz w:val="24"/>
          <w:szCs w:val="24"/>
        </w:rPr>
        <w:t>Our organization draws up contingency plans and develops crisis management teams.</w:t>
      </w:r>
    </w:p>
    <w:p w14:paraId="19045243" w14:textId="77777777" w:rsidR="00D70FC8" w:rsidRPr="005114F7" w:rsidRDefault="00D70FC8" w:rsidP="00D70FC8">
      <w:pPr>
        <w:pStyle w:val="ListParagraph"/>
        <w:ind w:left="567"/>
        <w:rPr>
          <w:rFonts w:ascii="Times New Roman" w:hAnsi="Times New Roman" w:cs="Times New Roman"/>
          <w:sz w:val="10"/>
          <w:szCs w:val="10"/>
        </w:rPr>
      </w:pPr>
    </w:p>
    <w:p w14:paraId="55D48CE9" w14:textId="77777777" w:rsidR="00D70FC8" w:rsidRPr="00541951" w:rsidRDefault="00D70FC8" w:rsidP="00D70FC8">
      <w:pPr>
        <w:rPr>
          <w:color w:val="000000" w:themeColor="text1"/>
        </w:rPr>
      </w:pPr>
      <w:r>
        <w:rPr>
          <w:b/>
          <w:bCs/>
        </w:rPr>
        <w:t xml:space="preserve">4. </w:t>
      </w:r>
      <w:r w:rsidRPr="001E122C">
        <w:rPr>
          <w:b/>
          <w:iCs/>
          <w:color w:val="000000" w:themeColor="text1"/>
        </w:rPr>
        <w:t xml:space="preserve">Organizational </w:t>
      </w:r>
      <w:r>
        <w:rPr>
          <w:b/>
          <w:iCs/>
          <w:color w:val="000000" w:themeColor="text1"/>
        </w:rPr>
        <w:t>c</w:t>
      </w:r>
      <w:r w:rsidRPr="001E122C">
        <w:rPr>
          <w:b/>
          <w:iCs/>
          <w:color w:val="000000" w:themeColor="text1"/>
        </w:rPr>
        <w:t>omplementarity</w:t>
      </w:r>
      <w:r>
        <w:rPr>
          <w:b/>
          <w:i/>
          <w:color w:val="000000" w:themeColor="text1"/>
        </w:rPr>
        <w:t xml:space="preserve"> </w:t>
      </w:r>
      <w:r w:rsidRPr="001E122C">
        <w:rPr>
          <w:b/>
          <w:iCs/>
          <w:color w:val="000000" w:themeColor="text1"/>
        </w:rPr>
        <w:t>[</w:t>
      </w:r>
      <w:r>
        <w:rPr>
          <w:b/>
          <w:iCs/>
          <w:color w:val="000000" w:themeColor="text1"/>
        </w:rPr>
        <w:t xml:space="preserve">Adopted from </w:t>
      </w:r>
      <w:r w:rsidRPr="00541951">
        <w:rPr>
          <w:b/>
          <w:color w:val="000000" w:themeColor="text1"/>
        </w:rPr>
        <w:t>Cheung et al. (2010)</w:t>
      </w:r>
      <w:r>
        <w:rPr>
          <w:b/>
          <w:color w:val="000000" w:themeColor="text1"/>
        </w:rPr>
        <w:t>]</w:t>
      </w:r>
    </w:p>
    <w:p w14:paraId="562EA5CD" w14:textId="77777777" w:rsidR="00D70FC8" w:rsidRPr="001E122C" w:rsidRDefault="00D70FC8" w:rsidP="00D70FC8">
      <w:pPr>
        <w:pStyle w:val="ListParagraph"/>
        <w:numPr>
          <w:ilvl w:val="0"/>
          <w:numId w:val="17"/>
        </w:numPr>
        <w:ind w:left="567" w:hanging="283"/>
        <w:rPr>
          <w:rFonts w:ascii="Times New Roman" w:hAnsi="Times New Roman" w:cs="Times New Roman"/>
          <w:color w:val="000000" w:themeColor="text1"/>
          <w:sz w:val="24"/>
          <w:szCs w:val="24"/>
        </w:rPr>
      </w:pPr>
      <w:r w:rsidRPr="001E122C">
        <w:rPr>
          <w:rFonts w:ascii="Times New Roman" w:hAnsi="Times New Roman" w:cs="Times New Roman"/>
          <w:color w:val="000000" w:themeColor="text1"/>
          <w:sz w:val="24"/>
          <w:szCs w:val="24"/>
        </w:rPr>
        <w:t xml:space="preserve">The resources brought into the transactions by each firm have been very valuable for the other. </w:t>
      </w:r>
    </w:p>
    <w:p w14:paraId="569B9D89" w14:textId="77777777" w:rsidR="00D70FC8" w:rsidRPr="001E122C" w:rsidRDefault="00D70FC8" w:rsidP="00D70FC8">
      <w:pPr>
        <w:pStyle w:val="ListParagraph"/>
        <w:numPr>
          <w:ilvl w:val="0"/>
          <w:numId w:val="17"/>
        </w:numPr>
        <w:ind w:left="567" w:hanging="283"/>
        <w:rPr>
          <w:rFonts w:ascii="Times New Roman" w:hAnsi="Times New Roman" w:cs="Times New Roman"/>
          <w:color w:val="000000" w:themeColor="text1"/>
          <w:sz w:val="24"/>
          <w:szCs w:val="24"/>
        </w:rPr>
      </w:pPr>
      <w:r w:rsidRPr="001E122C">
        <w:rPr>
          <w:rFonts w:ascii="Times New Roman" w:hAnsi="Times New Roman" w:cs="Times New Roman"/>
          <w:color w:val="000000" w:themeColor="text1"/>
          <w:sz w:val="24"/>
          <w:szCs w:val="24"/>
        </w:rPr>
        <w:t xml:space="preserve">The resources brought into the transactions by each firm have been significant in getting the job done. </w:t>
      </w:r>
    </w:p>
    <w:p w14:paraId="2AF77879" w14:textId="77777777" w:rsidR="00D70FC8" w:rsidRPr="005114F7" w:rsidRDefault="00D70FC8" w:rsidP="00D70FC8">
      <w:pPr>
        <w:pStyle w:val="ListParagraph"/>
        <w:numPr>
          <w:ilvl w:val="0"/>
          <w:numId w:val="17"/>
        </w:numPr>
        <w:ind w:left="567" w:hanging="283"/>
        <w:rPr>
          <w:rFonts w:ascii="Times New Roman" w:hAnsi="Times New Roman" w:cs="Times New Roman"/>
          <w:sz w:val="24"/>
          <w:szCs w:val="24"/>
        </w:rPr>
      </w:pPr>
      <w:r w:rsidRPr="001E122C">
        <w:rPr>
          <w:rFonts w:ascii="Times New Roman" w:hAnsi="Times New Roman" w:cs="Times New Roman"/>
          <w:color w:val="000000" w:themeColor="text1"/>
          <w:sz w:val="24"/>
          <w:szCs w:val="24"/>
        </w:rPr>
        <w:t>Our two firms have separate abilities that, when combined, enable us to achieve goals beyond our individual reach.</w:t>
      </w:r>
      <w:r w:rsidRPr="001E122C">
        <w:rPr>
          <w:rFonts w:ascii="Times New Roman" w:hAnsi="Times New Roman" w:cs="Times New Roman"/>
          <w:sz w:val="24"/>
          <w:szCs w:val="24"/>
        </w:rPr>
        <w:fldChar w:fldCharType="begin"/>
      </w:r>
      <w:r w:rsidRPr="001E122C">
        <w:rPr>
          <w:rFonts w:ascii="Times New Roman" w:hAnsi="Times New Roman" w:cs="Times New Roman"/>
          <w:sz w:val="24"/>
          <w:szCs w:val="24"/>
        </w:rPr>
        <w:instrText xml:space="preserve"> ADDIN EN.REFLIST </w:instrText>
      </w:r>
      <w:r w:rsidR="00000000">
        <w:rPr>
          <w:rFonts w:ascii="Times New Roman" w:hAnsi="Times New Roman" w:cs="Times New Roman"/>
          <w:sz w:val="24"/>
          <w:szCs w:val="24"/>
        </w:rPr>
        <w:fldChar w:fldCharType="separate"/>
      </w:r>
      <w:r w:rsidRPr="001E122C">
        <w:rPr>
          <w:rFonts w:ascii="Times New Roman" w:hAnsi="Times New Roman" w:cs="Times New Roman"/>
          <w:sz w:val="24"/>
          <w:szCs w:val="24"/>
        </w:rPr>
        <w:fldChar w:fldCharType="end"/>
      </w:r>
    </w:p>
    <w:p w14:paraId="72D57C6A" w14:textId="77777777" w:rsidR="00D70FC8" w:rsidRDefault="00D70FC8" w:rsidP="00D70FC8">
      <w:pPr>
        <w:rPr>
          <w:b/>
          <w:iCs/>
          <w:color w:val="000000" w:themeColor="text1"/>
        </w:rPr>
      </w:pPr>
      <w:r>
        <w:rPr>
          <w:b/>
          <w:bCs/>
        </w:rPr>
        <w:t xml:space="preserve">5. </w:t>
      </w:r>
      <w:r>
        <w:rPr>
          <w:b/>
          <w:iCs/>
          <w:color w:val="000000" w:themeColor="text1"/>
        </w:rPr>
        <w:t>Innovation performance [Adopted from Oke (2013)]</w:t>
      </w:r>
    </w:p>
    <w:p w14:paraId="0312F323" w14:textId="77777777" w:rsidR="00D70FC8" w:rsidRDefault="00D70FC8" w:rsidP="00D70FC8">
      <w:pPr>
        <w:pStyle w:val="ListParagraph"/>
        <w:numPr>
          <w:ilvl w:val="0"/>
          <w:numId w:val="18"/>
        </w:numPr>
        <w:spacing w:line="276" w:lineRule="auto"/>
        <w:ind w:left="567" w:hanging="283"/>
        <w:rPr>
          <w:rFonts w:ascii="Times New Roman" w:hAnsi="Times New Roman" w:cs="Times New Roman"/>
          <w:sz w:val="24"/>
          <w:szCs w:val="24"/>
        </w:rPr>
      </w:pPr>
      <w:r w:rsidRPr="00A604A5">
        <w:rPr>
          <w:rFonts w:ascii="Times New Roman" w:hAnsi="Times New Roman" w:cs="Times New Roman"/>
          <w:sz w:val="24"/>
          <w:szCs w:val="24"/>
        </w:rPr>
        <w:t xml:space="preserve">Compared to our competitors, our business tends to be better at developing new products to meet customers’ needs. </w:t>
      </w:r>
    </w:p>
    <w:p w14:paraId="09062650" w14:textId="77777777" w:rsidR="00D70FC8" w:rsidRDefault="00D70FC8" w:rsidP="00D70FC8">
      <w:pPr>
        <w:pStyle w:val="ListParagraph"/>
        <w:numPr>
          <w:ilvl w:val="0"/>
          <w:numId w:val="18"/>
        </w:numPr>
        <w:spacing w:line="276" w:lineRule="auto"/>
        <w:ind w:left="567" w:hanging="283"/>
        <w:rPr>
          <w:rFonts w:ascii="Times New Roman" w:hAnsi="Times New Roman" w:cs="Times New Roman"/>
          <w:sz w:val="24"/>
          <w:szCs w:val="24"/>
        </w:rPr>
      </w:pPr>
      <w:r w:rsidRPr="00A604A5">
        <w:rPr>
          <w:rFonts w:ascii="Times New Roman" w:hAnsi="Times New Roman" w:cs="Times New Roman"/>
          <w:sz w:val="24"/>
          <w:szCs w:val="24"/>
        </w:rPr>
        <w:t xml:space="preserve">Compared to our competitors our business tends to be more effective at taking existing ideas and making them into new products. </w:t>
      </w:r>
    </w:p>
    <w:p w14:paraId="4BF87F11" w14:textId="77777777" w:rsidR="00D70FC8" w:rsidRDefault="00D70FC8" w:rsidP="00D70FC8">
      <w:pPr>
        <w:pStyle w:val="ListParagraph"/>
        <w:numPr>
          <w:ilvl w:val="0"/>
          <w:numId w:val="18"/>
        </w:numPr>
        <w:spacing w:line="276" w:lineRule="auto"/>
        <w:ind w:left="567" w:hanging="283"/>
        <w:rPr>
          <w:rFonts w:ascii="Times New Roman" w:hAnsi="Times New Roman" w:cs="Times New Roman"/>
          <w:sz w:val="24"/>
          <w:szCs w:val="24"/>
        </w:rPr>
      </w:pPr>
      <w:r w:rsidRPr="00A604A5">
        <w:rPr>
          <w:rFonts w:ascii="Times New Roman" w:hAnsi="Times New Roman" w:cs="Times New Roman"/>
          <w:sz w:val="24"/>
          <w:szCs w:val="24"/>
        </w:rPr>
        <w:t xml:space="preserve">The number of product innovations in our portfolio has been on the increase over the last 3 years. </w:t>
      </w:r>
    </w:p>
    <w:p w14:paraId="172F7BE5" w14:textId="77777777" w:rsidR="00D70FC8" w:rsidRDefault="00D70FC8" w:rsidP="00D70FC8">
      <w:pPr>
        <w:pStyle w:val="ListParagraph"/>
        <w:numPr>
          <w:ilvl w:val="0"/>
          <w:numId w:val="18"/>
        </w:numPr>
        <w:spacing w:line="276" w:lineRule="auto"/>
        <w:ind w:left="567" w:hanging="283"/>
        <w:rPr>
          <w:rFonts w:ascii="Times New Roman" w:hAnsi="Times New Roman" w:cs="Times New Roman"/>
          <w:sz w:val="24"/>
          <w:szCs w:val="24"/>
        </w:rPr>
      </w:pPr>
      <w:r w:rsidRPr="00A604A5">
        <w:rPr>
          <w:rFonts w:ascii="Times New Roman" w:hAnsi="Times New Roman" w:cs="Times New Roman"/>
          <w:sz w:val="24"/>
          <w:szCs w:val="24"/>
        </w:rPr>
        <w:lastRenderedPageBreak/>
        <w:t xml:space="preserve">The percentage of revenue due to new products has been on the increase over the last 3 years. </w:t>
      </w:r>
    </w:p>
    <w:p w14:paraId="13B0CAC0" w14:textId="77777777" w:rsidR="00D70FC8" w:rsidRDefault="00D70FC8" w:rsidP="00D70FC8">
      <w:pPr>
        <w:pStyle w:val="ListParagraph"/>
        <w:numPr>
          <w:ilvl w:val="0"/>
          <w:numId w:val="18"/>
        </w:numPr>
        <w:spacing w:line="276" w:lineRule="auto"/>
        <w:ind w:left="567" w:hanging="283"/>
        <w:rPr>
          <w:rFonts w:ascii="Times New Roman" w:hAnsi="Times New Roman" w:cs="Times New Roman"/>
          <w:sz w:val="24"/>
          <w:szCs w:val="24"/>
        </w:rPr>
      </w:pPr>
      <w:r w:rsidRPr="00A604A5">
        <w:rPr>
          <w:rFonts w:ascii="Times New Roman" w:hAnsi="Times New Roman" w:cs="Times New Roman"/>
          <w:sz w:val="24"/>
          <w:szCs w:val="24"/>
        </w:rPr>
        <w:t xml:space="preserve">Compared to the industry average, the time it takes between the conception of an innovation and its introduction into the </w:t>
      </w:r>
      <w:r>
        <w:rPr>
          <w:rFonts w:ascii="Times New Roman" w:hAnsi="Times New Roman" w:cs="Times New Roman"/>
          <w:sz w:val="24"/>
          <w:szCs w:val="24"/>
        </w:rPr>
        <w:t>marketplace</w:t>
      </w:r>
      <w:r w:rsidRPr="00A604A5">
        <w:rPr>
          <w:rFonts w:ascii="Times New Roman" w:hAnsi="Times New Roman" w:cs="Times New Roman"/>
          <w:sz w:val="24"/>
          <w:szCs w:val="24"/>
        </w:rPr>
        <w:t xml:space="preserve"> is significantly better.</w:t>
      </w:r>
    </w:p>
    <w:p w14:paraId="005ED0F7" w14:textId="77777777" w:rsidR="00D70FC8" w:rsidRPr="005114F7" w:rsidRDefault="00D70FC8" w:rsidP="00D70FC8"/>
    <w:p w14:paraId="67BC0EDE" w14:textId="77777777" w:rsidR="007742CC" w:rsidRDefault="007742CC" w:rsidP="007742CC">
      <w:pPr>
        <w:pStyle w:val="EndNoteBibliography"/>
        <w:spacing w:before="120" w:after="0" w:line="360" w:lineRule="auto"/>
        <w:jc w:val="center"/>
        <w:rPr>
          <w:rStyle w:val="fontstyle01"/>
          <w:rFonts w:ascii="Times New Roman" w:hAnsi="Times New Roman"/>
          <w:color w:val="000000" w:themeColor="text1"/>
          <w:sz w:val="22"/>
          <w:szCs w:val="22"/>
        </w:rPr>
      </w:pPr>
    </w:p>
    <w:p w14:paraId="0714AB8B" w14:textId="77777777" w:rsidR="007742CC" w:rsidRDefault="007742CC" w:rsidP="007742CC">
      <w:pPr>
        <w:pStyle w:val="EndNoteBibliography"/>
        <w:spacing w:before="120" w:after="0" w:line="360" w:lineRule="auto"/>
        <w:jc w:val="center"/>
        <w:rPr>
          <w:rStyle w:val="fontstyle01"/>
          <w:rFonts w:ascii="Times New Roman" w:hAnsi="Times New Roman"/>
          <w:color w:val="000000" w:themeColor="text1"/>
          <w:sz w:val="22"/>
          <w:szCs w:val="22"/>
        </w:rPr>
      </w:pPr>
    </w:p>
    <w:p w14:paraId="3F05A0AE" w14:textId="77777777" w:rsidR="007742CC" w:rsidRDefault="007742CC" w:rsidP="007742CC">
      <w:pPr>
        <w:pStyle w:val="EndNoteBibliography"/>
        <w:spacing w:before="120" w:after="0" w:line="360" w:lineRule="auto"/>
        <w:jc w:val="center"/>
        <w:rPr>
          <w:color w:val="000000" w:themeColor="text1"/>
          <w:sz w:val="22"/>
        </w:rPr>
      </w:pPr>
    </w:p>
    <w:p w14:paraId="55F1FAFE" w14:textId="77777777" w:rsidR="007742CC" w:rsidRDefault="007742CC" w:rsidP="007742CC">
      <w:pPr>
        <w:pStyle w:val="EndNoteBibliography"/>
        <w:spacing w:before="120" w:after="0" w:line="360" w:lineRule="auto"/>
        <w:jc w:val="center"/>
        <w:rPr>
          <w:color w:val="000000" w:themeColor="text1"/>
          <w:sz w:val="22"/>
        </w:rPr>
      </w:pPr>
    </w:p>
    <w:p w14:paraId="3F36BC90" w14:textId="77777777" w:rsidR="007742CC" w:rsidRPr="003C1C32" w:rsidRDefault="007742CC" w:rsidP="007742CC">
      <w:pPr>
        <w:pStyle w:val="EndNoteBibliography"/>
        <w:spacing w:before="120" w:after="0" w:line="360" w:lineRule="auto"/>
        <w:jc w:val="center"/>
        <w:rPr>
          <w:color w:val="000000" w:themeColor="text1"/>
          <w:sz w:val="22"/>
        </w:rPr>
      </w:pPr>
      <w:r>
        <w:rPr>
          <w:color w:val="000000" w:themeColor="text1"/>
          <w:sz w:val="22"/>
        </w:rPr>
        <w:fldChar w:fldCharType="begin"/>
      </w:r>
      <w:r>
        <w:rPr>
          <w:color w:val="000000" w:themeColor="text1"/>
          <w:sz w:val="22"/>
        </w:rPr>
        <w:instrText xml:space="preserve"> ADDIN </w:instrText>
      </w:r>
      <w:r>
        <w:rPr>
          <w:color w:val="000000" w:themeColor="text1"/>
          <w:sz w:val="22"/>
        </w:rPr>
        <w:fldChar w:fldCharType="end"/>
      </w:r>
    </w:p>
    <w:p w14:paraId="31ECB56F" w14:textId="77777777" w:rsidR="007742CC" w:rsidRPr="001D17B4" w:rsidRDefault="007742CC" w:rsidP="007742CC"/>
    <w:p w14:paraId="511A763D" w14:textId="552ED6DB" w:rsidR="00092ADB" w:rsidRPr="00E7256C" w:rsidRDefault="00092ADB"/>
    <w:sectPr w:rsidR="00092ADB" w:rsidRPr="00E7256C" w:rsidSect="00B86D8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E1CF01" w14:textId="77777777" w:rsidR="00FE4ADF" w:rsidRDefault="00FE4ADF">
      <w:r>
        <w:separator/>
      </w:r>
    </w:p>
  </w:endnote>
  <w:endnote w:type="continuationSeparator" w:id="0">
    <w:p w14:paraId="4E79543F" w14:textId="77777777" w:rsidR="00FE4ADF" w:rsidRDefault="00FE4A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dvOT4b47d116">
    <w:altName w:val="Times New Roman"/>
    <w:panose1 w:val="00000000000000000000"/>
    <w:charset w:val="00"/>
    <w:family w:val="roman"/>
    <w:notTrueType/>
    <w:pitch w:val="default"/>
  </w:font>
  <w:font w:name="AdvOT4b47d116+fb">
    <w:altName w:val="Times New Roman"/>
    <w:panose1 w:val="00000000000000000000"/>
    <w:charset w:val="00"/>
    <w:family w:val="roman"/>
    <w:notTrueType/>
    <w:pitch w:val="default"/>
  </w:font>
  <w:font w:name="AdvOTb63a3543.I">
    <w:altName w:val="Times New Roman"/>
    <w:panose1 w:val="00000000000000000000"/>
    <w:charset w:val="00"/>
    <w:family w:val="roman"/>
    <w:notTrueType/>
    <w:pitch w:val="default"/>
  </w:font>
  <w:font w:name="AdvOT4b47d116+20">
    <w:altName w:val="Times New Roman"/>
    <w:panose1 w:val="00000000000000000000"/>
    <w:charset w:val="00"/>
    <w:family w:val="roman"/>
    <w:notTrueType/>
    <w:pitch w:val="default"/>
  </w:font>
  <w:font w:name="AdvP4C4E51">
    <w:altName w:val="Times New Roman"/>
    <w:panose1 w:val="00000000000000000000"/>
    <w:charset w:val="00"/>
    <w:family w:val="roman"/>
    <w:notTrueType/>
    <w:pitch w:val="default"/>
  </w:font>
  <w:font w:name="Code">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12423058"/>
      <w:docPartObj>
        <w:docPartGallery w:val="Page Numbers (Bottom of Page)"/>
        <w:docPartUnique/>
      </w:docPartObj>
    </w:sdtPr>
    <w:sdtContent>
      <w:p w14:paraId="32963F20" w14:textId="77777777" w:rsidR="0053619A" w:rsidRDefault="0053619A" w:rsidP="009A7C0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0070A3" w14:textId="77777777" w:rsidR="0053619A" w:rsidRDefault="005361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26018662"/>
      <w:docPartObj>
        <w:docPartGallery w:val="Page Numbers (Bottom of Page)"/>
        <w:docPartUnique/>
      </w:docPartObj>
    </w:sdtPr>
    <w:sdtEndPr>
      <w:rPr>
        <w:rStyle w:val="PageNumber"/>
        <w:rFonts w:ascii="Times New Roman" w:hAnsi="Times New Roman" w:cs="Times New Roman"/>
        <w:sz w:val="24"/>
        <w:szCs w:val="24"/>
      </w:rPr>
    </w:sdtEndPr>
    <w:sdtContent>
      <w:p w14:paraId="34510414" w14:textId="77777777" w:rsidR="0053619A" w:rsidRPr="00CB7E4F" w:rsidRDefault="0053619A" w:rsidP="009A7C01">
        <w:pPr>
          <w:pStyle w:val="Footer"/>
          <w:framePr w:wrap="none" w:vAnchor="text" w:hAnchor="margin" w:xAlign="center" w:y="1"/>
          <w:rPr>
            <w:rStyle w:val="PageNumber"/>
            <w:rFonts w:ascii="Times New Roman" w:hAnsi="Times New Roman" w:cs="Times New Roman"/>
            <w:sz w:val="24"/>
            <w:szCs w:val="24"/>
          </w:rPr>
        </w:pPr>
        <w:r w:rsidRPr="00CB7E4F">
          <w:rPr>
            <w:rStyle w:val="PageNumber"/>
            <w:rFonts w:ascii="Times New Roman" w:hAnsi="Times New Roman" w:cs="Times New Roman"/>
            <w:sz w:val="24"/>
            <w:szCs w:val="24"/>
          </w:rPr>
          <w:fldChar w:fldCharType="begin"/>
        </w:r>
        <w:r w:rsidRPr="00CB7E4F">
          <w:rPr>
            <w:rStyle w:val="PageNumber"/>
            <w:rFonts w:ascii="Times New Roman" w:hAnsi="Times New Roman" w:cs="Times New Roman"/>
            <w:sz w:val="24"/>
            <w:szCs w:val="24"/>
          </w:rPr>
          <w:instrText xml:space="preserve"> PAGE </w:instrText>
        </w:r>
        <w:r w:rsidRPr="00CB7E4F">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20</w:t>
        </w:r>
        <w:r w:rsidRPr="00CB7E4F">
          <w:rPr>
            <w:rStyle w:val="PageNumber"/>
            <w:rFonts w:ascii="Times New Roman" w:hAnsi="Times New Roman" w:cs="Times New Roman"/>
            <w:sz w:val="24"/>
            <w:szCs w:val="24"/>
          </w:rPr>
          <w:fldChar w:fldCharType="end"/>
        </w:r>
      </w:p>
    </w:sdtContent>
  </w:sdt>
  <w:p w14:paraId="23163D72" w14:textId="77777777" w:rsidR="0053619A" w:rsidRPr="00CB7E4F" w:rsidRDefault="0053619A">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C678ED" w14:textId="77777777" w:rsidR="00FE4ADF" w:rsidRDefault="00FE4ADF">
      <w:r>
        <w:separator/>
      </w:r>
    </w:p>
  </w:footnote>
  <w:footnote w:type="continuationSeparator" w:id="0">
    <w:p w14:paraId="72871AAB" w14:textId="77777777" w:rsidR="00FE4ADF" w:rsidRDefault="00FE4ADF">
      <w:r>
        <w:continuationSeparator/>
      </w:r>
    </w:p>
  </w:footnote>
  <w:footnote w:id="1">
    <w:p w14:paraId="50834376" w14:textId="77777777" w:rsidR="00D70FC8" w:rsidRPr="00E16EA8" w:rsidRDefault="00D70FC8" w:rsidP="00D70FC8">
      <w:pPr>
        <w:pStyle w:val="FootnoteText"/>
        <w:rPr>
          <w:rFonts w:ascii="Times New Roman" w:hAnsi="Times New Roman" w:cs="Times New Roman"/>
          <w:sz w:val="22"/>
          <w:szCs w:val="22"/>
        </w:rPr>
      </w:pPr>
      <w:r w:rsidRPr="00E16EA8">
        <w:rPr>
          <w:rStyle w:val="FootnoteReference"/>
          <w:rFonts w:ascii="Times New Roman" w:hAnsi="Times New Roman" w:cs="Times New Roman"/>
          <w:sz w:val="22"/>
          <w:szCs w:val="22"/>
        </w:rPr>
        <w:footnoteRef/>
      </w:r>
      <w:r w:rsidRPr="00E16EA8">
        <w:rPr>
          <w:rFonts w:ascii="Times New Roman" w:hAnsi="Times New Roman" w:cs="Times New Roman"/>
          <w:sz w:val="22"/>
          <w:szCs w:val="22"/>
        </w:rPr>
        <w:t xml:space="preserve"> </w:t>
      </w:r>
      <w:r w:rsidRPr="00E16EA8">
        <w:rPr>
          <w:rFonts w:ascii="Times New Roman" w:hAnsi="Times New Roman" w:cs="Times New Roman"/>
          <w:i/>
          <w:iCs/>
          <w:sz w:val="22"/>
          <w:szCs w:val="22"/>
        </w:rPr>
        <w:t>Italicized</w:t>
      </w:r>
      <w:r>
        <w:rPr>
          <w:rFonts w:ascii="Times New Roman" w:hAnsi="Times New Roman" w:cs="Times New Roman"/>
          <w:sz w:val="22"/>
          <w:szCs w:val="22"/>
        </w:rPr>
        <w:t xml:space="preserve"> measures were deleted during the validation process.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E3ACB"/>
    <w:multiLevelType w:val="multilevel"/>
    <w:tmpl w:val="76947244"/>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isLgl/>
      <w:lvlText w:val="%1.%2"/>
      <w:lvlJc w:val="left"/>
      <w:pPr>
        <w:ind w:left="360" w:hanging="360"/>
      </w:pPr>
      <w:rPr>
        <w:rFonts w:ascii="Times New Roman" w:hAnsi="Times New Roman" w:cs="Times New Roman" w:hint="default"/>
        <w:i/>
        <w:iCs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6E52BA0"/>
    <w:multiLevelType w:val="hybridMultilevel"/>
    <w:tmpl w:val="90DCC2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10306D"/>
    <w:multiLevelType w:val="hybridMultilevel"/>
    <w:tmpl w:val="7FBE1534"/>
    <w:lvl w:ilvl="0" w:tplc="D95A123A">
      <w:start w:val="2"/>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 w15:restartNumberingAfterBreak="0">
    <w:nsid w:val="0C08322F"/>
    <w:multiLevelType w:val="hybridMultilevel"/>
    <w:tmpl w:val="F306C75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4EC5BFE"/>
    <w:multiLevelType w:val="hybridMultilevel"/>
    <w:tmpl w:val="C1E649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B572CC"/>
    <w:multiLevelType w:val="hybridMultilevel"/>
    <w:tmpl w:val="AD1485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D72FDA"/>
    <w:multiLevelType w:val="hybridMultilevel"/>
    <w:tmpl w:val="50042A5A"/>
    <w:lvl w:ilvl="0" w:tplc="2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49530F2"/>
    <w:multiLevelType w:val="hybridMultilevel"/>
    <w:tmpl w:val="0E66B0D6"/>
    <w:lvl w:ilvl="0" w:tplc="7916D2AA">
      <w:start w:val="1"/>
      <w:numFmt w:val="decimal"/>
      <w:lvlText w:val="%1)"/>
      <w:lvlJc w:val="left"/>
      <w:pPr>
        <w:ind w:left="76" w:hanging="360"/>
      </w:pPr>
      <w:rPr>
        <w:rFonts w:ascii="Times New Roman" w:hAnsi="Times New Roman" w:cs="Times New Roman" w:hint="default"/>
        <w:sz w:val="24"/>
        <w:szCs w:val="24"/>
      </w:rPr>
    </w:lvl>
    <w:lvl w:ilvl="1" w:tplc="20000019">
      <w:start w:val="1"/>
      <w:numFmt w:val="lowerLetter"/>
      <w:lvlText w:val="%2."/>
      <w:lvlJc w:val="left"/>
      <w:pPr>
        <w:ind w:left="796" w:hanging="360"/>
      </w:pPr>
    </w:lvl>
    <w:lvl w:ilvl="2" w:tplc="2000001B">
      <w:start w:val="1"/>
      <w:numFmt w:val="lowerRoman"/>
      <w:lvlText w:val="%3."/>
      <w:lvlJc w:val="right"/>
      <w:pPr>
        <w:ind w:left="1516" w:hanging="180"/>
      </w:pPr>
    </w:lvl>
    <w:lvl w:ilvl="3" w:tplc="2000000F" w:tentative="1">
      <w:start w:val="1"/>
      <w:numFmt w:val="decimal"/>
      <w:lvlText w:val="%4."/>
      <w:lvlJc w:val="left"/>
      <w:pPr>
        <w:ind w:left="2236" w:hanging="360"/>
      </w:pPr>
    </w:lvl>
    <w:lvl w:ilvl="4" w:tplc="20000019" w:tentative="1">
      <w:start w:val="1"/>
      <w:numFmt w:val="lowerLetter"/>
      <w:lvlText w:val="%5."/>
      <w:lvlJc w:val="left"/>
      <w:pPr>
        <w:ind w:left="2956" w:hanging="360"/>
      </w:pPr>
    </w:lvl>
    <w:lvl w:ilvl="5" w:tplc="2000001B" w:tentative="1">
      <w:start w:val="1"/>
      <w:numFmt w:val="lowerRoman"/>
      <w:lvlText w:val="%6."/>
      <w:lvlJc w:val="right"/>
      <w:pPr>
        <w:ind w:left="3676" w:hanging="180"/>
      </w:pPr>
    </w:lvl>
    <w:lvl w:ilvl="6" w:tplc="2000000F" w:tentative="1">
      <w:start w:val="1"/>
      <w:numFmt w:val="decimal"/>
      <w:lvlText w:val="%7."/>
      <w:lvlJc w:val="left"/>
      <w:pPr>
        <w:ind w:left="4396" w:hanging="360"/>
      </w:pPr>
    </w:lvl>
    <w:lvl w:ilvl="7" w:tplc="20000019" w:tentative="1">
      <w:start w:val="1"/>
      <w:numFmt w:val="lowerLetter"/>
      <w:lvlText w:val="%8."/>
      <w:lvlJc w:val="left"/>
      <w:pPr>
        <w:ind w:left="5116" w:hanging="360"/>
      </w:pPr>
    </w:lvl>
    <w:lvl w:ilvl="8" w:tplc="2000001B" w:tentative="1">
      <w:start w:val="1"/>
      <w:numFmt w:val="lowerRoman"/>
      <w:lvlText w:val="%9."/>
      <w:lvlJc w:val="right"/>
      <w:pPr>
        <w:ind w:left="5836" w:hanging="180"/>
      </w:pPr>
    </w:lvl>
  </w:abstractNum>
  <w:abstractNum w:abstractNumId="8" w15:restartNumberingAfterBreak="0">
    <w:nsid w:val="2640100C"/>
    <w:multiLevelType w:val="multilevel"/>
    <w:tmpl w:val="76947244"/>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isLgl/>
      <w:lvlText w:val="%1.%2"/>
      <w:lvlJc w:val="left"/>
      <w:pPr>
        <w:ind w:left="360" w:hanging="360"/>
      </w:pPr>
      <w:rPr>
        <w:rFonts w:ascii="Times New Roman" w:hAnsi="Times New Roman" w:cs="Times New Roman" w:hint="default"/>
        <w:i/>
        <w:iCs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9C81AA9"/>
    <w:multiLevelType w:val="hybridMultilevel"/>
    <w:tmpl w:val="05D879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D152F3"/>
    <w:multiLevelType w:val="hybridMultilevel"/>
    <w:tmpl w:val="B61E42C6"/>
    <w:lvl w:ilvl="0" w:tplc="20000001">
      <w:start w:val="1"/>
      <w:numFmt w:val="bullet"/>
      <w:lvlText w:val=""/>
      <w:lvlJc w:val="left"/>
      <w:pPr>
        <w:ind w:left="1080" w:hanging="72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2733508"/>
    <w:multiLevelType w:val="hybridMultilevel"/>
    <w:tmpl w:val="A6BADDF8"/>
    <w:lvl w:ilvl="0" w:tplc="D8189828">
      <w:start w:val="1"/>
      <w:numFmt w:val="upperRoman"/>
      <w:lvlText w:val="%1."/>
      <w:lvlJc w:val="left"/>
      <w:pPr>
        <w:ind w:left="1080" w:hanging="72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373E7702"/>
    <w:multiLevelType w:val="hybridMultilevel"/>
    <w:tmpl w:val="78B2C5D0"/>
    <w:lvl w:ilvl="0" w:tplc="20000001">
      <w:start w:val="1"/>
      <w:numFmt w:val="bullet"/>
      <w:lvlText w:val=""/>
      <w:lvlJc w:val="left"/>
      <w:pPr>
        <w:ind w:left="1080" w:hanging="72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AAD49B4"/>
    <w:multiLevelType w:val="hybridMultilevel"/>
    <w:tmpl w:val="3CA2906C"/>
    <w:lvl w:ilvl="0" w:tplc="30408F56">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4" w15:restartNumberingAfterBreak="0">
    <w:nsid w:val="51FB6266"/>
    <w:multiLevelType w:val="hybridMultilevel"/>
    <w:tmpl w:val="327AF95E"/>
    <w:lvl w:ilvl="0" w:tplc="20000001">
      <w:start w:val="1"/>
      <w:numFmt w:val="bullet"/>
      <w:lvlText w:val=""/>
      <w:lvlJc w:val="left"/>
      <w:pPr>
        <w:ind w:left="1080" w:hanging="72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119423A"/>
    <w:multiLevelType w:val="hybridMultilevel"/>
    <w:tmpl w:val="2B7EC67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B8F1D79"/>
    <w:multiLevelType w:val="hybridMultilevel"/>
    <w:tmpl w:val="C116E3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7C966ACC"/>
    <w:multiLevelType w:val="multilevel"/>
    <w:tmpl w:val="76947244"/>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isLgl/>
      <w:lvlText w:val="%1.%2"/>
      <w:lvlJc w:val="left"/>
      <w:pPr>
        <w:ind w:left="360" w:hanging="360"/>
      </w:pPr>
      <w:rPr>
        <w:rFonts w:ascii="Times New Roman" w:hAnsi="Times New Roman" w:cs="Times New Roman" w:hint="default"/>
        <w:i/>
        <w:iCs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98380980">
    <w:abstractNumId w:val="1"/>
  </w:num>
  <w:num w:numId="2" w16cid:durableId="415712239">
    <w:abstractNumId w:val="15"/>
  </w:num>
  <w:num w:numId="3" w16cid:durableId="1587180026">
    <w:abstractNumId w:val="17"/>
  </w:num>
  <w:num w:numId="4" w16cid:durableId="1263344099">
    <w:abstractNumId w:val="4"/>
  </w:num>
  <w:num w:numId="5" w16cid:durableId="897590971">
    <w:abstractNumId w:val="9"/>
  </w:num>
  <w:num w:numId="6" w16cid:durableId="664863099">
    <w:abstractNumId w:val="3"/>
  </w:num>
  <w:num w:numId="7" w16cid:durableId="2035956512">
    <w:abstractNumId w:val="5"/>
  </w:num>
  <w:num w:numId="8" w16cid:durableId="1345475203">
    <w:abstractNumId w:val="0"/>
  </w:num>
  <w:num w:numId="9" w16cid:durableId="440879459">
    <w:abstractNumId w:val="8"/>
  </w:num>
  <w:num w:numId="10" w16cid:durableId="1859927333">
    <w:abstractNumId w:val="11"/>
  </w:num>
  <w:num w:numId="11" w16cid:durableId="97796424">
    <w:abstractNumId w:val="7"/>
  </w:num>
  <w:num w:numId="12" w16cid:durableId="1622567562">
    <w:abstractNumId w:val="2"/>
  </w:num>
  <w:num w:numId="13" w16cid:durableId="1968926681">
    <w:abstractNumId w:val="13"/>
  </w:num>
  <w:num w:numId="14" w16cid:durableId="1774546185">
    <w:abstractNumId w:val="12"/>
  </w:num>
  <w:num w:numId="15" w16cid:durableId="878129273">
    <w:abstractNumId w:val="14"/>
  </w:num>
  <w:num w:numId="16" w16cid:durableId="58789447">
    <w:abstractNumId w:val="10"/>
  </w:num>
  <w:num w:numId="17" w16cid:durableId="860358161">
    <w:abstractNumId w:val="16"/>
  </w:num>
  <w:num w:numId="18" w16cid:durableId="179733008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EwNzUwsjA2tDQ2sTBS0lEKTi0uzszPAykwrwUAdIQ5sSwAAAA="/>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ewd29dz4ds0vmee9zpx5s9udxtatsf5ffpw&quot;&gt;My EndNote Library-Saved&lt;record-ids&gt;&lt;item&gt;24&lt;/item&gt;&lt;item&gt;46&lt;/item&gt;&lt;item&gt;113&lt;/item&gt;&lt;item&gt;115&lt;/item&gt;&lt;item&gt;117&lt;/item&gt;&lt;item&gt;184&lt;/item&gt;&lt;item&gt;286&lt;/item&gt;&lt;item&gt;316&lt;/item&gt;&lt;item&gt;372&lt;/item&gt;&lt;item&gt;479&lt;/item&gt;&lt;item&gt;897&lt;/item&gt;&lt;item&gt;929&lt;/item&gt;&lt;item&gt;958&lt;/item&gt;&lt;item&gt;964&lt;/item&gt;&lt;item&gt;1035&lt;/item&gt;&lt;item&gt;1037&lt;/item&gt;&lt;item&gt;1086&lt;/item&gt;&lt;item&gt;1099&lt;/item&gt;&lt;item&gt;1105&lt;/item&gt;&lt;item&gt;1216&lt;/item&gt;&lt;item&gt;1227&lt;/item&gt;&lt;item&gt;1264&lt;/item&gt;&lt;item&gt;1281&lt;/item&gt;&lt;item&gt;1282&lt;/item&gt;&lt;item&gt;1294&lt;/item&gt;&lt;item&gt;1326&lt;/item&gt;&lt;item&gt;1372&lt;/item&gt;&lt;item&gt;1430&lt;/item&gt;&lt;item&gt;1519&lt;/item&gt;&lt;item&gt;1522&lt;/item&gt;&lt;item&gt;1537&lt;/item&gt;&lt;item&gt;1541&lt;/item&gt;&lt;item&gt;1548&lt;/item&gt;&lt;item&gt;1549&lt;/item&gt;&lt;item&gt;1554&lt;/item&gt;&lt;item&gt;1556&lt;/item&gt;&lt;item&gt;1560&lt;/item&gt;&lt;item&gt;1561&lt;/item&gt;&lt;item&gt;1563&lt;/item&gt;&lt;item&gt;1567&lt;/item&gt;&lt;item&gt;1568&lt;/item&gt;&lt;item&gt;1615&lt;/item&gt;&lt;item&gt;1669&lt;/item&gt;&lt;item&gt;1670&lt;/item&gt;&lt;item&gt;1671&lt;/item&gt;&lt;item&gt;1676&lt;/item&gt;&lt;item&gt;1679&lt;/item&gt;&lt;item&gt;1680&lt;/item&gt;&lt;item&gt;1683&lt;/item&gt;&lt;item&gt;1684&lt;/item&gt;&lt;item&gt;1774&lt;/item&gt;&lt;item&gt;1775&lt;/item&gt;&lt;item&gt;1776&lt;/item&gt;&lt;item&gt;1777&lt;/item&gt;&lt;item&gt;1778&lt;/item&gt;&lt;item&gt;1779&lt;/item&gt;&lt;item&gt;1780&lt;/item&gt;&lt;item&gt;1781&lt;/item&gt;&lt;item&gt;1782&lt;/item&gt;&lt;item&gt;1783&lt;/item&gt;&lt;item&gt;1784&lt;/item&gt;&lt;item&gt;1785&lt;/item&gt;&lt;item&gt;1786&lt;/item&gt;&lt;item&gt;1787&lt;/item&gt;&lt;item&gt;1788&lt;/item&gt;&lt;item&gt;1789&lt;/item&gt;&lt;item&gt;1790&lt;/item&gt;&lt;item&gt;1791&lt;/item&gt;&lt;item&gt;1792&lt;/item&gt;&lt;item&gt;1793&lt;/item&gt;&lt;item&gt;1797&lt;/item&gt;&lt;item&gt;1798&lt;/item&gt;&lt;item&gt;1799&lt;/item&gt;&lt;item&gt;1800&lt;/item&gt;&lt;item&gt;1801&lt;/item&gt;&lt;item&gt;1802&lt;/item&gt;&lt;/record-ids&gt;&lt;/item&gt;&lt;/Libraries&gt;"/>
  </w:docVars>
  <w:rsids>
    <w:rsidRoot w:val="0035750F"/>
    <w:rsid w:val="00002625"/>
    <w:rsid w:val="00004804"/>
    <w:rsid w:val="000058FA"/>
    <w:rsid w:val="0000789E"/>
    <w:rsid w:val="00011FC7"/>
    <w:rsid w:val="00021F2F"/>
    <w:rsid w:val="0003709A"/>
    <w:rsid w:val="0005417F"/>
    <w:rsid w:val="00071552"/>
    <w:rsid w:val="000731CB"/>
    <w:rsid w:val="00075AB9"/>
    <w:rsid w:val="0008059C"/>
    <w:rsid w:val="000918F4"/>
    <w:rsid w:val="00092ADB"/>
    <w:rsid w:val="000949FD"/>
    <w:rsid w:val="00096579"/>
    <w:rsid w:val="000A5DDD"/>
    <w:rsid w:val="000B71F5"/>
    <w:rsid w:val="000C62AB"/>
    <w:rsid w:val="000D27CF"/>
    <w:rsid w:val="000D5FAD"/>
    <w:rsid w:val="000E5BE3"/>
    <w:rsid w:val="000F27AE"/>
    <w:rsid w:val="000F4DF7"/>
    <w:rsid w:val="0013236D"/>
    <w:rsid w:val="00137828"/>
    <w:rsid w:val="00141831"/>
    <w:rsid w:val="00160211"/>
    <w:rsid w:val="00164F2D"/>
    <w:rsid w:val="00170245"/>
    <w:rsid w:val="001757D4"/>
    <w:rsid w:val="00176568"/>
    <w:rsid w:val="00176DCD"/>
    <w:rsid w:val="0018666C"/>
    <w:rsid w:val="001B79BB"/>
    <w:rsid w:val="001C15F7"/>
    <w:rsid w:val="001C382B"/>
    <w:rsid w:val="001C5146"/>
    <w:rsid w:val="001C75BA"/>
    <w:rsid w:val="001E11A4"/>
    <w:rsid w:val="001E6A6B"/>
    <w:rsid w:val="001F3CC5"/>
    <w:rsid w:val="001F3D7E"/>
    <w:rsid w:val="001F4A60"/>
    <w:rsid w:val="001F60C3"/>
    <w:rsid w:val="0020485A"/>
    <w:rsid w:val="00212755"/>
    <w:rsid w:val="00236B3B"/>
    <w:rsid w:val="002402E3"/>
    <w:rsid w:val="00247B52"/>
    <w:rsid w:val="00254F20"/>
    <w:rsid w:val="002725A6"/>
    <w:rsid w:val="002742D4"/>
    <w:rsid w:val="002818CE"/>
    <w:rsid w:val="00285BC1"/>
    <w:rsid w:val="0029469D"/>
    <w:rsid w:val="00295164"/>
    <w:rsid w:val="00296789"/>
    <w:rsid w:val="0029736A"/>
    <w:rsid w:val="00297F9B"/>
    <w:rsid w:val="002A3899"/>
    <w:rsid w:val="002A5B14"/>
    <w:rsid w:val="002C456E"/>
    <w:rsid w:val="002D27ED"/>
    <w:rsid w:val="002D53ED"/>
    <w:rsid w:val="002E52C5"/>
    <w:rsid w:val="002F27ED"/>
    <w:rsid w:val="002F515D"/>
    <w:rsid w:val="00304499"/>
    <w:rsid w:val="0031624B"/>
    <w:rsid w:val="003232BC"/>
    <w:rsid w:val="003332AE"/>
    <w:rsid w:val="0033454D"/>
    <w:rsid w:val="00334C58"/>
    <w:rsid w:val="00344387"/>
    <w:rsid w:val="00350C3A"/>
    <w:rsid w:val="00350CFE"/>
    <w:rsid w:val="0035232B"/>
    <w:rsid w:val="00355854"/>
    <w:rsid w:val="0035750F"/>
    <w:rsid w:val="00375B5E"/>
    <w:rsid w:val="003766F9"/>
    <w:rsid w:val="00380337"/>
    <w:rsid w:val="003956B8"/>
    <w:rsid w:val="003A068C"/>
    <w:rsid w:val="003A6333"/>
    <w:rsid w:val="003B3C1A"/>
    <w:rsid w:val="003C5902"/>
    <w:rsid w:val="00402945"/>
    <w:rsid w:val="004276F7"/>
    <w:rsid w:val="004357C5"/>
    <w:rsid w:val="004364BA"/>
    <w:rsid w:val="00454759"/>
    <w:rsid w:val="00456843"/>
    <w:rsid w:val="00456F7E"/>
    <w:rsid w:val="00457B46"/>
    <w:rsid w:val="00461C23"/>
    <w:rsid w:val="0046708C"/>
    <w:rsid w:val="00480701"/>
    <w:rsid w:val="004831DB"/>
    <w:rsid w:val="00485B1C"/>
    <w:rsid w:val="00496BC3"/>
    <w:rsid w:val="004A60E6"/>
    <w:rsid w:val="004B07E1"/>
    <w:rsid w:val="004D079E"/>
    <w:rsid w:val="004D5065"/>
    <w:rsid w:val="004E31EC"/>
    <w:rsid w:val="004F2373"/>
    <w:rsid w:val="00500D9C"/>
    <w:rsid w:val="00503FB6"/>
    <w:rsid w:val="00507A9E"/>
    <w:rsid w:val="005105CC"/>
    <w:rsid w:val="00511DA7"/>
    <w:rsid w:val="00515739"/>
    <w:rsid w:val="00520B6A"/>
    <w:rsid w:val="00526DCE"/>
    <w:rsid w:val="0053619A"/>
    <w:rsid w:val="005363CF"/>
    <w:rsid w:val="005438DF"/>
    <w:rsid w:val="00554381"/>
    <w:rsid w:val="005651FB"/>
    <w:rsid w:val="00566560"/>
    <w:rsid w:val="005A7D69"/>
    <w:rsid w:val="005C3F70"/>
    <w:rsid w:val="005D20F0"/>
    <w:rsid w:val="005D788F"/>
    <w:rsid w:val="005D795B"/>
    <w:rsid w:val="00616A05"/>
    <w:rsid w:val="006331EA"/>
    <w:rsid w:val="00637173"/>
    <w:rsid w:val="00643AA8"/>
    <w:rsid w:val="00650B25"/>
    <w:rsid w:val="006659B3"/>
    <w:rsid w:val="00667D59"/>
    <w:rsid w:val="00686375"/>
    <w:rsid w:val="0069779E"/>
    <w:rsid w:val="006A1B68"/>
    <w:rsid w:val="006B6325"/>
    <w:rsid w:val="006D150E"/>
    <w:rsid w:val="00705840"/>
    <w:rsid w:val="0071170B"/>
    <w:rsid w:val="0071325F"/>
    <w:rsid w:val="007243E2"/>
    <w:rsid w:val="00733A89"/>
    <w:rsid w:val="00736D79"/>
    <w:rsid w:val="00743D95"/>
    <w:rsid w:val="00751DC2"/>
    <w:rsid w:val="00751E83"/>
    <w:rsid w:val="0076143E"/>
    <w:rsid w:val="00770AC1"/>
    <w:rsid w:val="00772391"/>
    <w:rsid w:val="007742CC"/>
    <w:rsid w:val="0078313B"/>
    <w:rsid w:val="007840ED"/>
    <w:rsid w:val="00791BB3"/>
    <w:rsid w:val="007A4CF7"/>
    <w:rsid w:val="007B4AC3"/>
    <w:rsid w:val="007D0421"/>
    <w:rsid w:val="008065D1"/>
    <w:rsid w:val="00827C9D"/>
    <w:rsid w:val="00861087"/>
    <w:rsid w:val="008738BB"/>
    <w:rsid w:val="00887FB4"/>
    <w:rsid w:val="00893890"/>
    <w:rsid w:val="00895535"/>
    <w:rsid w:val="008A14AF"/>
    <w:rsid w:val="008A1B28"/>
    <w:rsid w:val="008A4FEC"/>
    <w:rsid w:val="008C6D4A"/>
    <w:rsid w:val="008D518D"/>
    <w:rsid w:val="008E0E01"/>
    <w:rsid w:val="008E2385"/>
    <w:rsid w:val="008E65F7"/>
    <w:rsid w:val="008F3B58"/>
    <w:rsid w:val="00900D2C"/>
    <w:rsid w:val="009059C3"/>
    <w:rsid w:val="00914DF5"/>
    <w:rsid w:val="00917B5D"/>
    <w:rsid w:val="009255AC"/>
    <w:rsid w:val="00934C4E"/>
    <w:rsid w:val="00953252"/>
    <w:rsid w:val="00966E7D"/>
    <w:rsid w:val="00973ECA"/>
    <w:rsid w:val="00981A55"/>
    <w:rsid w:val="00981D8C"/>
    <w:rsid w:val="00984D34"/>
    <w:rsid w:val="009B4770"/>
    <w:rsid w:val="009B4C3A"/>
    <w:rsid w:val="009B6E3D"/>
    <w:rsid w:val="009C5676"/>
    <w:rsid w:val="009E3E29"/>
    <w:rsid w:val="009F511E"/>
    <w:rsid w:val="00A011FD"/>
    <w:rsid w:val="00A2566F"/>
    <w:rsid w:val="00A36CED"/>
    <w:rsid w:val="00A44316"/>
    <w:rsid w:val="00A54A25"/>
    <w:rsid w:val="00A569AA"/>
    <w:rsid w:val="00A61F1A"/>
    <w:rsid w:val="00A70589"/>
    <w:rsid w:val="00A72FE3"/>
    <w:rsid w:val="00A74C8A"/>
    <w:rsid w:val="00A76314"/>
    <w:rsid w:val="00A87BD0"/>
    <w:rsid w:val="00A90AAF"/>
    <w:rsid w:val="00A936F0"/>
    <w:rsid w:val="00A93855"/>
    <w:rsid w:val="00A94D2F"/>
    <w:rsid w:val="00A94E4A"/>
    <w:rsid w:val="00AB5F42"/>
    <w:rsid w:val="00AC0D86"/>
    <w:rsid w:val="00AF6135"/>
    <w:rsid w:val="00B01F23"/>
    <w:rsid w:val="00B179A6"/>
    <w:rsid w:val="00B40885"/>
    <w:rsid w:val="00B4620C"/>
    <w:rsid w:val="00B535BA"/>
    <w:rsid w:val="00B54A8C"/>
    <w:rsid w:val="00B6260C"/>
    <w:rsid w:val="00B706AB"/>
    <w:rsid w:val="00B71EF6"/>
    <w:rsid w:val="00B91E81"/>
    <w:rsid w:val="00BA2604"/>
    <w:rsid w:val="00BA32D2"/>
    <w:rsid w:val="00BA7A09"/>
    <w:rsid w:val="00BB078D"/>
    <w:rsid w:val="00BC11CC"/>
    <w:rsid w:val="00BC1F9F"/>
    <w:rsid w:val="00BC32B0"/>
    <w:rsid w:val="00BC4D7D"/>
    <w:rsid w:val="00BD69AE"/>
    <w:rsid w:val="00BD7B0E"/>
    <w:rsid w:val="00BE61F9"/>
    <w:rsid w:val="00BF4CE5"/>
    <w:rsid w:val="00BF61D3"/>
    <w:rsid w:val="00C0664B"/>
    <w:rsid w:val="00C122E7"/>
    <w:rsid w:val="00C228B5"/>
    <w:rsid w:val="00C240B8"/>
    <w:rsid w:val="00C37350"/>
    <w:rsid w:val="00C564D6"/>
    <w:rsid w:val="00C72063"/>
    <w:rsid w:val="00C74D0F"/>
    <w:rsid w:val="00CB6532"/>
    <w:rsid w:val="00CC2676"/>
    <w:rsid w:val="00CC52DC"/>
    <w:rsid w:val="00CD7898"/>
    <w:rsid w:val="00CE612C"/>
    <w:rsid w:val="00CF3AAC"/>
    <w:rsid w:val="00D028D8"/>
    <w:rsid w:val="00D53145"/>
    <w:rsid w:val="00D65225"/>
    <w:rsid w:val="00D70FC8"/>
    <w:rsid w:val="00D7693C"/>
    <w:rsid w:val="00D77CEC"/>
    <w:rsid w:val="00D804E5"/>
    <w:rsid w:val="00DA3FE1"/>
    <w:rsid w:val="00DB0C05"/>
    <w:rsid w:val="00DE5264"/>
    <w:rsid w:val="00DF6114"/>
    <w:rsid w:val="00E146BD"/>
    <w:rsid w:val="00E172F5"/>
    <w:rsid w:val="00E40A25"/>
    <w:rsid w:val="00E7256C"/>
    <w:rsid w:val="00E7662A"/>
    <w:rsid w:val="00E81E7E"/>
    <w:rsid w:val="00E87C88"/>
    <w:rsid w:val="00E95ECD"/>
    <w:rsid w:val="00EA147F"/>
    <w:rsid w:val="00EA2282"/>
    <w:rsid w:val="00EA2BC5"/>
    <w:rsid w:val="00EA3AA4"/>
    <w:rsid w:val="00EB3FD4"/>
    <w:rsid w:val="00EB7362"/>
    <w:rsid w:val="00EC404D"/>
    <w:rsid w:val="00EC45EB"/>
    <w:rsid w:val="00EC5A59"/>
    <w:rsid w:val="00ED1CA4"/>
    <w:rsid w:val="00ED5C23"/>
    <w:rsid w:val="00EE5F64"/>
    <w:rsid w:val="00F1092E"/>
    <w:rsid w:val="00F10EF7"/>
    <w:rsid w:val="00F24039"/>
    <w:rsid w:val="00F24666"/>
    <w:rsid w:val="00F31BCF"/>
    <w:rsid w:val="00F35DC2"/>
    <w:rsid w:val="00F4480B"/>
    <w:rsid w:val="00F606BB"/>
    <w:rsid w:val="00F615EC"/>
    <w:rsid w:val="00F66EDA"/>
    <w:rsid w:val="00F85D1E"/>
    <w:rsid w:val="00F93F28"/>
    <w:rsid w:val="00FB3847"/>
    <w:rsid w:val="00FE3BE7"/>
    <w:rsid w:val="00FE4ADF"/>
    <w:rsid w:val="00FE6666"/>
    <w:rsid w:val="00FE6717"/>
    <w:rsid w:val="00FF4F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C69C04"/>
  <w15:chartTrackingRefBased/>
  <w15:docId w15:val="{1116A7C1-5EB9-42C5-8A75-2F204389E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42CC"/>
    <w:pPr>
      <w:spacing w:after="0" w:line="240" w:lineRule="auto"/>
    </w:pPr>
    <w:rPr>
      <w:rFonts w:ascii="Times New Roman" w:eastAsia="Times New Roman" w:hAnsi="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7742CC"/>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Heading2">
    <w:name w:val="heading 2"/>
    <w:basedOn w:val="Normal"/>
    <w:link w:val="Heading2Char"/>
    <w:uiPriority w:val="9"/>
    <w:qFormat/>
    <w:rsid w:val="007742CC"/>
    <w:pPr>
      <w:spacing w:before="100" w:beforeAutospacing="1" w:after="100" w:afterAutospacing="1"/>
      <w:outlineLvl w:val="1"/>
    </w:pPr>
    <w:rPr>
      <w:b/>
      <w:bCs/>
      <w:sz w:val="36"/>
      <w:szCs w:val="3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42CC"/>
    <w:rPr>
      <w:rFonts w:asciiTheme="majorHAnsi" w:eastAsiaTheme="majorEastAsia" w:hAnsiTheme="majorHAnsi" w:cstheme="majorBidi"/>
      <w:color w:val="2F5496" w:themeColor="accent1" w:themeShade="BF"/>
      <w:kern w:val="0"/>
      <w:sz w:val="32"/>
      <w:szCs w:val="32"/>
      <w14:ligatures w14:val="none"/>
    </w:rPr>
  </w:style>
  <w:style w:type="character" w:customStyle="1" w:styleId="Heading2Char">
    <w:name w:val="Heading 2 Char"/>
    <w:basedOn w:val="DefaultParagraphFont"/>
    <w:link w:val="Heading2"/>
    <w:uiPriority w:val="9"/>
    <w:rsid w:val="007742CC"/>
    <w:rPr>
      <w:rFonts w:ascii="Times New Roman" w:eastAsia="Times New Roman" w:hAnsi="Times New Roman" w:cs="Times New Roman"/>
      <w:b/>
      <w:bCs/>
      <w:kern w:val="0"/>
      <w:sz w:val="36"/>
      <w:szCs w:val="36"/>
      <w14:ligatures w14:val="none"/>
    </w:rPr>
  </w:style>
  <w:style w:type="character" w:customStyle="1" w:styleId="fontstyle01">
    <w:name w:val="fontstyle01"/>
    <w:basedOn w:val="DefaultParagraphFont"/>
    <w:rsid w:val="007742CC"/>
    <w:rPr>
      <w:rFonts w:ascii="AdvOT4b47d116" w:hAnsi="AdvOT4b47d116" w:hint="default"/>
      <w:b w:val="0"/>
      <w:bCs w:val="0"/>
      <w:i w:val="0"/>
      <w:iCs w:val="0"/>
      <w:color w:val="242021"/>
      <w:sz w:val="18"/>
      <w:szCs w:val="18"/>
    </w:rPr>
  </w:style>
  <w:style w:type="character" w:customStyle="1" w:styleId="fontstyle21">
    <w:name w:val="fontstyle21"/>
    <w:basedOn w:val="DefaultParagraphFont"/>
    <w:rsid w:val="007742CC"/>
    <w:rPr>
      <w:rFonts w:ascii="AdvOT4b47d116+fb" w:hAnsi="AdvOT4b47d116+fb" w:hint="default"/>
      <w:b w:val="0"/>
      <w:bCs w:val="0"/>
      <w:i w:val="0"/>
      <w:iCs w:val="0"/>
      <w:color w:val="242021"/>
      <w:sz w:val="18"/>
      <w:szCs w:val="18"/>
    </w:rPr>
  </w:style>
  <w:style w:type="character" w:customStyle="1" w:styleId="fontstyle31">
    <w:name w:val="fontstyle31"/>
    <w:basedOn w:val="DefaultParagraphFont"/>
    <w:rsid w:val="007742CC"/>
    <w:rPr>
      <w:rFonts w:ascii="AdvOTb63a3543.I" w:hAnsi="AdvOTb63a3543.I" w:hint="default"/>
      <w:b w:val="0"/>
      <w:bCs w:val="0"/>
      <w:i w:val="0"/>
      <w:iCs w:val="0"/>
      <w:color w:val="0000FF"/>
      <w:sz w:val="18"/>
      <w:szCs w:val="18"/>
    </w:rPr>
  </w:style>
  <w:style w:type="character" w:customStyle="1" w:styleId="fontstyle41">
    <w:name w:val="fontstyle41"/>
    <w:basedOn w:val="DefaultParagraphFont"/>
    <w:rsid w:val="007742CC"/>
    <w:rPr>
      <w:rFonts w:ascii="AdvOT4b47d116+20" w:hAnsi="AdvOT4b47d116+20" w:hint="default"/>
      <w:b w:val="0"/>
      <w:bCs w:val="0"/>
      <w:i w:val="0"/>
      <w:iCs w:val="0"/>
      <w:color w:val="242021"/>
      <w:sz w:val="18"/>
      <w:szCs w:val="18"/>
    </w:rPr>
  </w:style>
  <w:style w:type="character" w:styleId="Hyperlink">
    <w:name w:val="Hyperlink"/>
    <w:basedOn w:val="DefaultParagraphFont"/>
    <w:uiPriority w:val="99"/>
    <w:unhideWhenUsed/>
    <w:rsid w:val="007742CC"/>
    <w:rPr>
      <w:color w:val="0563C1" w:themeColor="hyperlink"/>
      <w:u w:val="single"/>
    </w:rPr>
  </w:style>
  <w:style w:type="character" w:customStyle="1" w:styleId="fontstyle51">
    <w:name w:val="fontstyle51"/>
    <w:basedOn w:val="DefaultParagraphFont"/>
    <w:rsid w:val="007742CC"/>
    <w:rPr>
      <w:rFonts w:ascii="AdvP4C4E51" w:hAnsi="AdvP4C4E51" w:hint="default"/>
      <w:b w:val="0"/>
      <w:bCs w:val="0"/>
      <w:i w:val="0"/>
      <w:iCs w:val="0"/>
      <w:color w:val="242021"/>
      <w:sz w:val="18"/>
      <w:szCs w:val="18"/>
    </w:rPr>
  </w:style>
  <w:style w:type="character" w:customStyle="1" w:styleId="fontstyle61">
    <w:name w:val="fontstyle61"/>
    <w:basedOn w:val="DefaultParagraphFont"/>
    <w:rsid w:val="007742CC"/>
    <w:rPr>
      <w:rFonts w:ascii="AdvOT4b47d116+20" w:hAnsi="AdvOT4b47d116+20" w:hint="default"/>
      <w:b w:val="0"/>
      <w:bCs w:val="0"/>
      <w:i w:val="0"/>
      <w:iCs w:val="0"/>
      <w:color w:val="242021"/>
      <w:sz w:val="18"/>
      <w:szCs w:val="18"/>
    </w:rPr>
  </w:style>
  <w:style w:type="character" w:styleId="PlaceholderText">
    <w:name w:val="Placeholder Text"/>
    <w:basedOn w:val="DefaultParagraphFont"/>
    <w:uiPriority w:val="99"/>
    <w:semiHidden/>
    <w:rsid w:val="007742CC"/>
    <w:rPr>
      <w:color w:val="808080"/>
    </w:rPr>
  </w:style>
  <w:style w:type="table" w:styleId="TableGrid">
    <w:name w:val="Table Grid"/>
    <w:basedOn w:val="TableNormal"/>
    <w:uiPriority w:val="39"/>
    <w:rsid w:val="007742CC"/>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742CC"/>
    <w:pPr>
      <w:spacing w:before="100" w:beforeAutospacing="1" w:after="100" w:afterAutospacing="1"/>
    </w:pPr>
    <w:rPr>
      <w:rFonts w:eastAsiaTheme="minorEastAsia"/>
      <w:lang w:eastAsia="en-US"/>
    </w:rPr>
  </w:style>
  <w:style w:type="paragraph" w:styleId="Revision">
    <w:name w:val="Revision"/>
    <w:hidden/>
    <w:uiPriority w:val="99"/>
    <w:semiHidden/>
    <w:rsid w:val="007742CC"/>
    <w:pPr>
      <w:spacing w:after="0" w:line="240" w:lineRule="auto"/>
    </w:pPr>
    <w:rPr>
      <w:kern w:val="0"/>
      <w14:ligatures w14:val="none"/>
    </w:rPr>
  </w:style>
  <w:style w:type="character" w:styleId="CommentReference">
    <w:name w:val="annotation reference"/>
    <w:basedOn w:val="DefaultParagraphFont"/>
    <w:uiPriority w:val="99"/>
    <w:semiHidden/>
    <w:unhideWhenUsed/>
    <w:rsid w:val="007742CC"/>
    <w:rPr>
      <w:sz w:val="16"/>
      <w:szCs w:val="16"/>
    </w:rPr>
  </w:style>
  <w:style w:type="paragraph" w:styleId="CommentText">
    <w:name w:val="annotation text"/>
    <w:basedOn w:val="Normal"/>
    <w:link w:val="CommentTextChar"/>
    <w:uiPriority w:val="99"/>
    <w:unhideWhenUsed/>
    <w:rsid w:val="007742CC"/>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7742CC"/>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7742CC"/>
    <w:rPr>
      <w:b/>
      <w:bCs/>
    </w:rPr>
  </w:style>
  <w:style w:type="character" w:customStyle="1" w:styleId="CommentSubjectChar">
    <w:name w:val="Comment Subject Char"/>
    <w:basedOn w:val="CommentTextChar"/>
    <w:link w:val="CommentSubject"/>
    <w:uiPriority w:val="99"/>
    <w:semiHidden/>
    <w:rsid w:val="007742CC"/>
    <w:rPr>
      <w:b/>
      <w:bCs/>
      <w:kern w:val="0"/>
      <w:sz w:val="20"/>
      <w:szCs w:val="20"/>
      <w14:ligatures w14:val="none"/>
    </w:rPr>
  </w:style>
  <w:style w:type="paragraph" w:styleId="BalloonText">
    <w:name w:val="Balloon Text"/>
    <w:basedOn w:val="Normal"/>
    <w:link w:val="BalloonTextChar"/>
    <w:uiPriority w:val="99"/>
    <w:semiHidden/>
    <w:unhideWhenUsed/>
    <w:rsid w:val="007742CC"/>
    <w:rPr>
      <w:rFonts w:eastAsiaTheme="minorHAnsi"/>
      <w:sz w:val="18"/>
      <w:szCs w:val="18"/>
      <w:lang w:eastAsia="en-US"/>
    </w:rPr>
  </w:style>
  <w:style w:type="character" w:customStyle="1" w:styleId="BalloonTextChar">
    <w:name w:val="Balloon Text Char"/>
    <w:basedOn w:val="DefaultParagraphFont"/>
    <w:link w:val="BalloonText"/>
    <w:uiPriority w:val="99"/>
    <w:semiHidden/>
    <w:rsid w:val="007742CC"/>
    <w:rPr>
      <w:rFonts w:ascii="Times New Roman" w:hAnsi="Times New Roman" w:cs="Times New Roman"/>
      <w:kern w:val="0"/>
      <w:sz w:val="18"/>
      <w:szCs w:val="18"/>
      <w14:ligatures w14:val="none"/>
    </w:rPr>
  </w:style>
  <w:style w:type="character" w:customStyle="1" w:styleId="apple-converted-space">
    <w:name w:val="apple-converted-space"/>
    <w:basedOn w:val="DefaultParagraphFont"/>
    <w:rsid w:val="007742CC"/>
  </w:style>
  <w:style w:type="paragraph" w:customStyle="1" w:styleId="EndNoteBibliographyTitle">
    <w:name w:val="EndNote Bibliography Title"/>
    <w:basedOn w:val="Normal"/>
    <w:link w:val="EndNoteBibliographyTitleChar"/>
    <w:rsid w:val="007742CC"/>
    <w:pPr>
      <w:spacing w:line="259" w:lineRule="auto"/>
      <w:jc w:val="center"/>
    </w:pPr>
    <w:rPr>
      <w:rFonts w:eastAsiaTheme="minorHAnsi"/>
      <w:noProof/>
      <w:szCs w:val="22"/>
      <w:lang w:eastAsia="en-US"/>
    </w:rPr>
  </w:style>
  <w:style w:type="character" w:customStyle="1" w:styleId="EndNoteBibliographyTitleChar">
    <w:name w:val="EndNote Bibliography Title Char"/>
    <w:basedOn w:val="DefaultParagraphFont"/>
    <w:link w:val="EndNoteBibliographyTitle"/>
    <w:rsid w:val="007742CC"/>
    <w:rPr>
      <w:rFonts w:ascii="Times New Roman" w:hAnsi="Times New Roman" w:cs="Times New Roman"/>
      <w:noProof/>
      <w:kern w:val="0"/>
      <w:sz w:val="24"/>
      <w14:ligatures w14:val="none"/>
    </w:rPr>
  </w:style>
  <w:style w:type="paragraph" w:customStyle="1" w:styleId="EndNoteBibliography">
    <w:name w:val="EndNote Bibliography"/>
    <w:basedOn w:val="Normal"/>
    <w:link w:val="EndNoteBibliographyChar"/>
    <w:rsid w:val="007742CC"/>
    <w:pPr>
      <w:spacing w:after="160"/>
    </w:pPr>
    <w:rPr>
      <w:rFonts w:eastAsiaTheme="minorHAnsi"/>
      <w:noProof/>
      <w:szCs w:val="22"/>
      <w:lang w:eastAsia="en-US"/>
    </w:rPr>
  </w:style>
  <w:style w:type="character" w:customStyle="1" w:styleId="EndNoteBibliographyChar">
    <w:name w:val="EndNote Bibliography Char"/>
    <w:basedOn w:val="DefaultParagraphFont"/>
    <w:link w:val="EndNoteBibliography"/>
    <w:rsid w:val="007742CC"/>
    <w:rPr>
      <w:rFonts w:ascii="Times New Roman" w:hAnsi="Times New Roman" w:cs="Times New Roman"/>
      <w:noProof/>
      <w:kern w:val="0"/>
      <w:sz w:val="24"/>
      <w14:ligatures w14:val="none"/>
    </w:rPr>
  </w:style>
  <w:style w:type="paragraph" w:styleId="ListParagraph">
    <w:name w:val="List Paragraph"/>
    <w:basedOn w:val="Normal"/>
    <w:uiPriority w:val="34"/>
    <w:qFormat/>
    <w:rsid w:val="007742CC"/>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highlight">
    <w:name w:val="highlight"/>
    <w:basedOn w:val="DefaultParagraphFont"/>
    <w:rsid w:val="007742CC"/>
  </w:style>
  <w:style w:type="character" w:customStyle="1" w:styleId="referencemixed-citation">
    <w:name w:val="reference__mixed-citation"/>
    <w:basedOn w:val="DefaultParagraphFont"/>
    <w:rsid w:val="007742CC"/>
  </w:style>
  <w:style w:type="character" w:customStyle="1" w:styleId="referenceperson-group">
    <w:name w:val="reference__person-group"/>
    <w:basedOn w:val="DefaultParagraphFont"/>
    <w:rsid w:val="007742CC"/>
  </w:style>
  <w:style w:type="character" w:customStyle="1" w:styleId="referencestring-name">
    <w:name w:val="reference__string-name"/>
    <w:basedOn w:val="DefaultParagraphFont"/>
    <w:rsid w:val="007742CC"/>
  </w:style>
  <w:style w:type="character" w:customStyle="1" w:styleId="referencesurname">
    <w:name w:val="reference__surname"/>
    <w:basedOn w:val="DefaultParagraphFont"/>
    <w:rsid w:val="007742CC"/>
  </w:style>
  <w:style w:type="character" w:customStyle="1" w:styleId="referencegiven-names">
    <w:name w:val="reference__given-names"/>
    <w:basedOn w:val="DefaultParagraphFont"/>
    <w:rsid w:val="007742CC"/>
  </w:style>
  <w:style w:type="character" w:customStyle="1" w:styleId="referenceyear">
    <w:name w:val="reference__year"/>
    <w:basedOn w:val="DefaultParagraphFont"/>
    <w:rsid w:val="007742CC"/>
  </w:style>
  <w:style w:type="character" w:customStyle="1" w:styleId="referencearticle-title">
    <w:name w:val="reference__article-title"/>
    <w:basedOn w:val="DefaultParagraphFont"/>
    <w:rsid w:val="007742CC"/>
  </w:style>
  <w:style w:type="character" w:customStyle="1" w:styleId="referencesource">
    <w:name w:val="reference__source"/>
    <w:basedOn w:val="DefaultParagraphFont"/>
    <w:rsid w:val="007742CC"/>
  </w:style>
  <w:style w:type="character" w:customStyle="1" w:styleId="referencevolume">
    <w:name w:val="reference__volume"/>
    <w:basedOn w:val="DefaultParagraphFont"/>
    <w:rsid w:val="007742CC"/>
  </w:style>
  <w:style w:type="character" w:customStyle="1" w:styleId="referencefpage">
    <w:name w:val="reference__fpage"/>
    <w:basedOn w:val="DefaultParagraphFont"/>
    <w:rsid w:val="007742CC"/>
  </w:style>
  <w:style w:type="character" w:customStyle="1" w:styleId="referencelpage">
    <w:name w:val="reference__lpage"/>
    <w:basedOn w:val="DefaultParagraphFont"/>
    <w:rsid w:val="007742CC"/>
  </w:style>
  <w:style w:type="character" w:customStyle="1" w:styleId="contribdegrees">
    <w:name w:val="contribdegrees"/>
    <w:basedOn w:val="DefaultParagraphFont"/>
    <w:rsid w:val="007742CC"/>
  </w:style>
  <w:style w:type="paragraph" w:styleId="Header">
    <w:name w:val="header"/>
    <w:basedOn w:val="Normal"/>
    <w:link w:val="HeaderChar"/>
    <w:uiPriority w:val="99"/>
    <w:unhideWhenUsed/>
    <w:rsid w:val="007742CC"/>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7742CC"/>
    <w:rPr>
      <w:kern w:val="0"/>
      <w14:ligatures w14:val="none"/>
    </w:rPr>
  </w:style>
  <w:style w:type="paragraph" w:styleId="Footer">
    <w:name w:val="footer"/>
    <w:basedOn w:val="Normal"/>
    <w:link w:val="FooterChar"/>
    <w:uiPriority w:val="99"/>
    <w:unhideWhenUsed/>
    <w:rsid w:val="007742CC"/>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7742CC"/>
    <w:rPr>
      <w:kern w:val="0"/>
      <w14:ligatures w14:val="none"/>
    </w:rPr>
  </w:style>
  <w:style w:type="character" w:styleId="PageNumber">
    <w:name w:val="page number"/>
    <w:basedOn w:val="DefaultParagraphFont"/>
    <w:uiPriority w:val="99"/>
    <w:semiHidden/>
    <w:unhideWhenUsed/>
    <w:rsid w:val="007742CC"/>
  </w:style>
  <w:style w:type="character" w:customStyle="1" w:styleId="ref-lnk">
    <w:name w:val="ref-lnk"/>
    <w:basedOn w:val="DefaultParagraphFont"/>
    <w:rsid w:val="007742CC"/>
  </w:style>
  <w:style w:type="character" w:customStyle="1" w:styleId="ref-overlay">
    <w:name w:val="ref-overlay"/>
    <w:basedOn w:val="DefaultParagraphFont"/>
    <w:rsid w:val="007742CC"/>
  </w:style>
  <w:style w:type="character" w:customStyle="1" w:styleId="hlfld-contribauthor">
    <w:name w:val="hlfld-contribauthor"/>
    <w:basedOn w:val="DefaultParagraphFont"/>
    <w:rsid w:val="007742CC"/>
  </w:style>
  <w:style w:type="character" w:customStyle="1" w:styleId="nlmgiven-names">
    <w:name w:val="nlm_given-names"/>
    <w:basedOn w:val="DefaultParagraphFont"/>
    <w:rsid w:val="007742CC"/>
  </w:style>
  <w:style w:type="character" w:customStyle="1" w:styleId="nlmyear">
    <w:name w:val="nlm_year"/>
    <w:basedOn w:val="DefaultParagraphFont"/>
    <w:rsid w:val="007742CC"/>
  </w:style>
  <w:style w:type="character" w:customStyle="1" w:styleId="nlmarticle-title">
    <w:name w:val="nlm_article-title"/>
    <w:basedOn w:val="DefaultParagraphFont"/>
    <w:rsid w:val="007742CC"/>
  </w:style>
  <w:style w:type="character" w:customStyle="1" w:styleId="nlmfpage">
    <w:name w:val="nlm_fpage"/>
    <w:basedOn w:val="DefaultParagraphFont"/>
    <w:rsid w:val="007742CC"/>
  </w:style>
  <w:style w:type="character" w:customStyle="1" w:styleId="nlmlpage">
    <w:name w:val="nlm_lpage"/>
    <w:basedOn w:val="DefaultParagraphFont"/>
    <w:rsid w:val="007742CC"/>
  </w:style>
  <w:style w:type="paragraph" w:customStyle="1" w:styleId="Default">
    <w:name w:val="Default"/>
    <w:rsid w:val="007742CC"/>
    <w:pPr>
      <w:autoSpaceDE w:val="0"/>
      <w:autoSpaceDN w:val="0"/>
      <w:adjustRightInd w:val="0"/>
      <w:spacing w:after="0" w:line="240" w:lineRule="auto"/>
    </w:pPr>
    <w:rPr>
      <w:rFonts w:ascii="Code" w:hAnsi="Code" w:cs="Code"/>
      <w:color w:val="000000"/>
      <w:kern w:val="0"/>
      <w:sz w:val="24"/>
      <w:szCs w:val="24"/>
      <w:lang w:val="en-GB"/>
      <w14:ligatures w14:val="none"/>
    </w:rPr>
  </w:style>
  <w:style w:type="character" w:customStyle="1" w:styleId="hgkelc">
    <w:name w:val="hgkelc"/>
    <w:basedOn w:val="DefaultParagraphFont"/>
    <w:rsid w:val="007742CC"/>
  </w:style>
  <w:style w:type="character" w:customStyle="1" w:styleId="referenceissue">
    <w:name w:val="reference__issue"/>
    <w:basedOn w:val="DefaultParagraphFont"/>
    <w:rsid w:val="007742CC"/>
  </w:style>
  <w:style w:type="character" w:styleId="Emphasis">
    <w:name w:val="Emphasis"/>
    <w:basedOn w:val="DefaultParagraphFont"/>
    <w:uiPriority w:val="20"/>
    <w:qFormat/>
    <w:rsid w:val="007742CC"/>
    <w:rPr>
      <w:i/>
      <w:iCs/>
    </w:rPr>
  </w:style>
  <w:style w:type="paragraph" w:styleId="NoSpacing">
    <w:name w:val="No Spacing"/>
    <w:uiPriority w:val="1"/>
    <w:qFormat/>
    <w:rsid w:val="007742CC"/>
    <w:pPr>
      <w:spacing w:after="0" w:line="240" w:lineRule="auto"/>
    </w:pPr>
    <w:rPr>
      <w:kern w:val="0"/>
      <w14:ligatures w14:val="none"/>
    </w:rPr>
  </w:style>
  <w:style w:type="character" w:styleId="UnresolvedMention">
    <w:name w:val="Unresolved Mention"/>
    <w:basedOn w:val="DefaultParagraphFont"/>
    <w:uiPriority w:val="99"/>
    <w:semiHidden/>
    <w:unhideWhenUsed/>
    <w:rsid w:val="007742CC"/>
    <w:rPr>
      <w:color w:val="605E5C"/>
      <w:shd w:val="clear" w:color="auto" w:fill="E1DFDD"/>
    </w:rPr>
  </w:style>
  <w:style w:type="character" w:styleId="FollowedHyperlink">
    <w:name w:val="FollowedHyperlink"/>
    <w:basedOn w:val="DefaultParagraphFont"/>
    <w:uiPriority w:val="99"/>
    <w:semiHidden/>
    <w:unhideWhenUsed/>
    <w:rsid w:val="007742CC"/>
    <w:rPr>
      <w:color w:val="954F72" w:themeColor="followedHyperlink"/>
      <w:u w:val="single"/>
    </w:rPr>
  </w:style>
  <w:style w:type="paragraph" w:styleId="FootnoteText">
    <w:name w:val="footnote text"/>
    <w:basedOn w:val="Normal"/>
    <w:link w:val="FootnoteTextChar"/>
    <w:uiPriority w:val="99"/>
    <w:semiHidden/>
    <w:unhideWhenUsed/>
    <w:rsid w:val="00D70FC8"/>
    <w:rPr>
      <w:rFonts w:asciiTheme="minorHAnsi" w:eastAsiaTheme="minorHAnsi" w:hAnsiTheme="minorHAnsi" w:cstheme="minorBidi"/>
      <w:kern w:val="2"/>
      <w:sz w:val="20"/>
      <w:szCs w:val="20"/>
      <w:lang w:eastAsia="en-US"/>
      <w14:ligatures w14:val="standardContextual"/>
    </w:rPr>
  </w:style>
  <w:style w:type="character" w:customStyle="1" w:styleId="FootnoteTextChar">
    <w:name w:val="Footnote Text Char"/>
    <w:basedOn w:val="DefaultParagraphFont"/>
    <w:link w:val="FootnoteText"/>
    <w:uiPriority w:val="99"/>
    <w:semiHidden/>
    <w:rsid w:val="00D70FC8"/>
    <w:rPr>
      <w:sz w:val="20"/>
      <w:szCs w:val="20"/>
    </w:rPr>
  </w:style>
  <w:style w:type="character" w:styleId="FootnoteReference">
    <w:name w:val="footnote reference"/>
    <w:basedOn w:val="DefaultParagraphFont"/>
    <w:uiPriority w:val="99"/>
    <w:semiHidden/>
    <w:unhideWhenUsed/>
    <w:rsid w:val="00D70FC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08/09555341011023551" TargetMode="External"/><Relationship Id="rId18" Type="http://schemas.openxmlformats.org/officeDocument/2006/relationships/hyperlink" Target="https://www.pakistantoday.com.pk/" TargetMode="External"/><Relationship Id="rId26" Type="http://schemas.openxmlformats.org/officeDocument/2006/relationships/hyperlink" Target="https://doi.org/https://doi.org/10.1016/j.emj.2023.01.005" TargetMode="External"/><Relationship Id="rId39" Type="http://schemas.openxmlformats.org/officeDocument/2006/relationships/image" Target="media/image1.png"/><Relationship Id="rId21" Type="http://schemas.openxmlformats.org/officeDocument/2006/relationships/hyperlink" Target="https://www.mckinsey.com/business-functions/organization/our-insights/agility-in-the-time-of-covid-19-changing-your-operating-model-in-an-age-of-turbulence" TargetMode="External"/><Relationship Id="rId34" Type="http://schemas.openxmlformats.org/officeDocument/2006/relationships/hyperlink" Target="https://wits.worldbank.org/CountryProfile/en/Country/PAK/Year/2021/TradeFlow/Export/Partner/all/Product/UNCTAD-SoP1" TargetMode="External"/><Relationship Id="rId7" Type="http://schemas.openxmlformats.org/officeDocument/2006/relationships/hyperlink" Target="https://www.emerald.com/insight/search?q=Rafaela%20Alfalla-Luque" TargetMode="External"/><Relationship Id="rId2" Type="http://schemas.openxmlformats.org/officeDocument/2006/relationships/styles" Target="styles.xml"/><Relationship Id="rId16" Type="http://schemas.openxmlformats.org/officeDocument/2006/relationships/hyperlink" Target="https://doi.org/https://doi.org/10.1016/j.emj.2023.08.001" TargetMode="External"/><Relationship Id="rId20" Type="http://schemas.openxmlformats.org/officeDocument/2006/relationships/hyperlink" Target="https://doi.org/https://doi.org/10.1016/j.emj.2022.04.007" TargetMode="External"/><Relationship Id="rId29" Type="http://schemas.openxmlformats.org/officeDocument/2006/relationships/hyperlink" Target="https://doi.org/10.1108/IJOPM-12-2020-0837"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https://doi.org/10.1016/j.emj.2016.01.008" TargetMode="External"/><Relationship Id="rId24" Type="http://schemas.openxmlformats.org/officeDocument/2006/relationships/hyperlink" Target="https://doi.org/10.1007/s00191-021-00722-x" TargetMode="External"/><Relationship Id="rId32" Type="http://schemas.openxmlformats.org/officeDocument/2006/relationships/hyperlink" Target="https://doi.org/10.1525/cmr.2016.58.4.13" TargetMode="External"/><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dawn.com/news/1782197" TargetMode="External"/><Relationship Id="rId23" Type="http://schemas.openxmlformats.org/officeDocument/2006/relationships/hyperlink" Target="https://doi.org/10.1080/16258312.2022.2031276" TargetMode="External"/><Relationship Id="rId28" Type="http://schemas.openxmlformats.org/officeDocument/2006/relationships/hyperlink" Target="https://doi.org/https://doi.org/10.1016/j.emj.2022.12.006" TargetMode="External"/><Relationship Id="rId36" Type="http://schemas.openxmlformats.org/officeDocument/2006/relationships/hyperlink" Target="https://doi.org/https://doi.org/10.1016/j.pursup.2023.100822" TargetMode="External"/><Relationship Id="rId10" Type="http://schemas.openxmlformats.org/officeDocument/2006/relationships/hyperlink" Target="https://doi.org/10.1108/SCM-02-2019-0074" TargetMode="External"/><Relationship Id="rId19" Type="http://schemas.openxmlformats.org/officeDocument/2006/relationships/hyperlink" Target="https://profit.pakistantoday.com.pk/2019/02/05/active-social-media-users-in-pakistan-grow-by-5-7-report/" TargetMode="External"/><Relationship Id="rId31" Type="http://schemas.openxmlformats.org/officeDocument/2006/relationships/hyperlink" Target="https://doi.org/10.1108/IJOPM-08-2022-0529" TargetMode="External"/><Relationship Id="rId4" Type="http://schemas.openxmlformats.org/officeDocument/2006/relationships/webSettings" Target="webSettings.xml"/><Relationship Id="rId9" Type="http://schemas.openxmlformats.org/officeDocument/2006/relationships/hyperlink" Target="https://doi.org/https://doi.org/10.1016/j.emj.2021.01.003" TargetMode="External"/><Relationship Id="rId14" Type="http://schemas.openxmlformats.org/officeDocument/2006/relationships/hyperlink" Target="https://doi.org/https://doi.org/10.1016/j.emj.2022.02.002" TargetMode="External"/><Relationship Id="rId22" Type="http://schemas.openxmlformats.org/officeDocument/2006/relationships/hyperlink" Target="https://doi.org/https://doi.org/10.1002/joom.1210" TargetMode="External"/><Relationship Id="rId27" Type="http://schemas.openxmlformats.org/officeDocument/2006/relationships/hyperlink" Target="https://doi.org/https://doi.org/10.1111/jscm.12020" TargetMode="External"/><Relationship Id="rId30" Type="http://schemas.openxmlformats.org/officeDocument/2006/relationships/hyperlink" Target="https://doi.org/https://doi.org/10.1002/smj.450" TargetMode="External"/><Relationship Id="rId35" Type="http://schemas.openxmlformats.org/officeDocument/2006/relationships/hyperlink" Target="https://doi.org/https://doi.org/10.1016/j.tre.2020.102019" TargetMode="External"/><Relationship Id="rId8" Type="http://schemas.openxmlformats.org/officeDocument/2006/relationships/hyperlink" Target="https://doi.org/10.1108/IJOPM-05-2022-0316" TargetMode="External"/><Relationship Id="rId3" Type="http://schemas.openxmlformats.org/officeDocument/2006/relationships/settings" Target="settings.xml"/><Relationship Id="rId12" Type="http://schemas.openxmlformats.org/officeDocument/2006/relationships/hyperlink" Target="https://doi.org/10.1080/00207543.2012.728011" TargetMode="External"/><Relationship Id="rId17" Type="http://schemas.openxmlformats.org/officeDocument/2006/relationships/hyperlink" Target="https://doi.org/10.1080/00207543.2014.970707" TargetMode="External"/><Relationship Id="rId25" Type="http://schemas.openxmlformats.org/officeDocument/2006/relationships/hyperlink" Target="https://doi.org/https://doi.org/10.1016/j.emj.2017.02.006" TargetMode="External"/><Relationship Id="rId33" Type="http://schemas.openxmlformats.org/officeDocument/2006/relationships/hyperlink" Target="http://www.worldbank.org/en/news/press-release/2017/05/19/pakistan-to-record-highest-growth-rate-in-nine-years-wb-report"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775</TotalTime>
  <Pages>44</Pages>
  <Words>24868</Words>
  <Characters>150703</Characters>
  <Application>Microsoft Office Word</Application>
  <DocSecurity>0</DocSecurity>
  <Lines>3014</Lines>
  <Paragraphs>1147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Aslam</dc:creator>
  <cp:keywords/>
  <dc:description/>
  <cp:lastModifiedBy>Haris Aslam</cp:lastModifiedBy>
  <cp:revision>283</cp:revision>
  <dcterms:created xsi:type="dcterms:W3CDTF">2023-11-10T07:30:00Z</dcterms:created>
  <dcterms:modified xsi:type="dcterms:W3CDTF">2023-11-22T05:56:00Z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bb0930d6fcfc36d2049e230d9faffb399bf51f0e424223856a7399c3687b9072</vt:lpwstr>
  </property>
</Properties>
</file>