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3BE" w:rsidRDefault="00027EA8" w:rsidP="00FF1A22">
      <w:pPr>
        <w:jc w:val="center"/>
        <w:rPr>
          <w:b/>
          <w:u w:val="single"/>
        </w:rPr>
      </w:pPr>
      <w:r>
        <w:rPr>
          <w:b/>
          <w:u w:val="single"/>
        </w:rPr>
        <w:t>LA RELIGION : AFFAIRE DE L’HOMME, AFFAIRE DE DIEU ?</w:t>
      </w:r>
    </w:p>
    <w:p w:rsidR="00027EA8" w:rsidRDefault="006E2FB5" w:rsidP="00027EA8">
      <w:pPr>
        <w:jc w:val="center"/>
        <w:rPr>
          <w:b/>
          <w:u w:val="single"/>
        </w:rPr>
      </w:pPr>
      <w:r>
        <w:rPr>
          <w:b/>
          <w:u w:val="single"/>
        </w:rPr>
        <w:t>PERSPECTIVES HEGELIENNES</w:t>
      </w:r>
    </w:p>
    <w:p w:rsidR="00027EA8" w:rsidRDefault="00027EA8" w:rsidP="00027EA8">
      <w:pPr>
        <w:jc w:val="center"/>
        <w:rPr>
          <w:b/>
          <w:u w:val="single"/>
        </w:rPr>
      </w:pPr>
    </w:p>
    <w:p w:rsidR="00027EA8" w:rsidRDefault="00027EA8" w:rsidP="00027EA8">
      <w:pPr>
        <w:jc w:val="both"/>
      </w:pPr>
      <w:r>
        <w:t xml:space="preserve">Je commencerai par situer mon intervention dans le cadre du colloque. « Dieu au risque de la religion », cela peut s’entendre de deux manières différentes : d’une part, dans une perspective que je qualifierais volontiers de dualiste ; de l’autre, dans une perspective davantage unitaire bien qu’elle n’ait rien de simple ni, surtout, d’abstraitement simplificateur. Dans le premier cas, le risque que représente la religion pour Dieu est perçu comme quelque chose qui </w:t>
      </w:r>
      <w:r w:rsidR="00935857">
        <w:t xml:space="preserve"> </w:t>
      </w:r>
      <w:r w:rsidR="0049766B">
        <w:t xml:space="preserve">lui </w:t>
      </w:r>
      <w:r>
        <w:t>est essenti</w:t>
      </w:r>
      <w:r w:rsidR="0049766B">
        <w:t>ellement extérieur et étranger</w:t>
      </w:r>
      <w:r>
        <w:t>, n’ayant rien à voir avec sa divinité authentique, tandis que dans le deuxième cas, au contraire, ce même risque est pour ainsi dire internalisé et entendu comme par</w:t>
      </w:r>
      <w:r w:rsidR="00372DB3">
        <w:t>t</w:t>
      </w:r>
      <w:r>
        <w:t xml:space="preserve"> intégrante de la vie même de Dieu, à quoi celui-ci ne saurait en conséquence se soustraire.</w:t>
      </w:r>
    </w:p>
    <w:p w:rsidR="007A4081" w:rsidRDefault="007A4081" w:rsidP="00027EA8">
      <w:pPr>
        <w:jc w:val="both"/>
      </w:pPr>
    </w:p>
    <w:p w:rsidR="007A4081" w:rsidRDefault="007A4081" w:rsidP="00027EA8">
      <w:pPr>
        <w:jc w:val="both"/>
      </w:pPr>
      <w:r>
        <w:t>Mais commençons par le commencement en nous demandant tout d’abord si la religion constitue bien un risque pour Die</w:t>
      </w:r>
      <w:r w:rsidR="00372DB3">
        <w:t>u et  si oui, dans quel sens</w:t>
      </w:r>
      <w:r>
        <w:t xml:space="preserve">. A la première de ces deux questions, il faut, me semble-t-il, répondre sans hésitation par l’affirmative : oui, la religion est bien un risque pour Dieu, et cela non pas simplement et un peu superficiellement parce qu’elle menace à tout moment de dégénérer en idolâtrie et en superstition, mais </w:t>
      </w:r>
      <w:r w:rsidR="00935857">
        <w:t>p</w:t>
      </w:r>
      <w:r>
        <w:t xml:space="preserve">arce que, plus fondamentalement, elle compromet </w:t>
      </w:r>
      <w:r>
        <w:rPr>
          <w:i/>
        </w:rPr>
        <w:t xml:space="preserve">en tant que telle </w:t>
      </w:r>
      <w:r>
        <w:t xml:space="preserve">la divinité même de Dieu dont elle met en crise l’une des </w:t>
      </w:r>
      <w:r w:rsidR="00935857">
        <w:t>r</w:t>
      </w:r>
      <w:r>
        <w:t>eprésentations les plus couramment avérée</w:t>
      </w:r>
      <w:r w:rsidR="00935857">
        <w:t xml:space="preserve">s. De fait, ce qui se produit dans la religion, au principe même de celle-ci, c’est que Dieu devient </w:t>
      </w:r>
      <w:r w:rsidR="00935857">
        <w:rPr>
          <w:i/>
        </w:rPr>
        <w:t>Dieu pour l’homme</w:t>
      </w:r>
      <w:r w:rsidR="00935857">
        <w:t xml:space="preserve">, qu’en elle il se décline, se découvre, se donne à voir ou à entendre, quelle que soit la forme sous laquelle s’opère cette manifestation du divin et que ce soit même pour le dire inconnaissable ou ineffable, tant il est vrai que la religion en tant que rapport de l’homme à Dieu suppose quelque chose comme une théophanie ou une « révélation ». Disons la même chose autrement en mobilisant une des étymologies classiques du mot « religion » : la religion comme telle </w:t>
      </w:r>
      <w:r w:rsidR="00935857">
        <w:rPr>
          <w:i/>
        </w:rPr>
        <w:t>relie</w:t>
      </w:r>
      <w:r w:rsidR="00FF1A22">
        <w:rPr>
          <w:rStyle w:val="Appelnotedebasdep"/>
          <w:i/>
        </w:rPr>
        <w:footnoteReference w:id="2"/>
      </w:r>
      <w:r w:rsidR="00935857">
        <w:t xml:space="preserve">, elle instaure une </w:t>
      </w:r>
      <w:r w:rsidR="00935857">
        <w:rPr>
          <w:i/>
        </w:rPr>
        <w:t>relation</w:t>
      </w:r>
      <w:r w:rsidR="00935857">
        <w:t xml:space="preserve"> à Dieu ou, plutôt, elle met Dieu en relation, et en relation avec autre chose que lui-même qui est le monde et plus spécifiquement l’homme. </w:t>
      </w:r>
      <w:r w:rsidR="00827391">
        <w:t xml:space="preserve">En ce sens, elle sort Dieu de sa divinité, c’est-à-dire de son absoluité en vertu de laquelle, détaché de tout lien et de toute dépendance – totalement délié : </w:t>
      </w:r>
      <w:r w:rsidR="00827391">
        <w:rPr>
          <w:i/>
        </w:rPr>
        <w:t>absolutus</w:t>
      </w:r>
      <w:r w:rsidR="00827391">
        <w:t xml:space="preserve"> -, il est strictement autosubsistant, pur rapport</w:t>
      </w:r>
      <w:r w:rsidR="00372DB3">
        <w:t xml:space="preserve"> à soi parfaitement bienheureux</w:t>
      </w:r>
      <w:r w:rsidR="00827391">
        <w:t xml:space="preserve"> qui n’a besoin de rien ni de personne, à ce titre radicalement séparé et transcendant. Ainsi, pour nous résumer, si la religion constitue bien en tant que </w:t>
      </w:r>
      <w:r w:rsidR="008A5FF9">
        <w:t>t</w:t>
      </w:r>
      <w:r w:rsidR="00827391">
        <w:t>elle un risque pour Dieu, c’est dans la mesure où le tournant d’origine vers nous – vers nos prières, notre vénération, nos cultes et nos pensées -, elle instaure du fait même une brèche dans sa divinité qu’elle met en relation avec autre chose qu’elle-même. En ce sens, dès qu’entrée en religion et quoi que celle-ci en ait, la divinité de Dieu se trouve</w:t>
      </w:r>
      <w:r w:rsidR="006B141E">
        <w:t xml:space="preserve"> mise en péril.</w:t>
      </w:r>
    </w:p>
    <w:p w:rsidR="006B141E" w:rsidRDefault="006B141E" w:rsidP="00027EA8">
      <w:pPr>
        <w:jc w:val="both"/>
      </w:pPr>
    </w:p>
    <w:p w:rsidR="006B141E" w:rsidRDefault="006B141E" w:rsidP="00027EA8">
      <w:pPr>
        <w:jc w:val="both"/>
      </w:pPr>
      <w:r>
        <w:lastRenderedPageBreak/>
        <w:t>Toute la question est alors celle de la nature et de la provenance de ce péril, et c’est ici qu’interviennent les deux perspectives que j’évoquais en commençant. De fait, cette brèche dans le divin qu’opère la religion, on peut l’imputer soit à l’homme, soit à Dieu même.</w:t>
      </w:r>
    </w:p>
    <w:p w:rsidR="006B141E" w:rsidRDefault="006B141E" w:rsidP="00027EA8">
      <w:pPr>
        <w:jc w:val="both"/>
      </w:pPr>
    </w:p>
    <w:p w:rsidR="006B141E" w:rsidRDefault="006B141E" w:rsidP="00027EA8">
      <w:pPr>
        <w:jc w:val="both"/>
      </w:pPr>
      <w:r>
        <w:t>Dans la première perspective, que je qualifiais de dualiste, la religion, avec la menace qu’elle constitue, n’a rien à voir avec Dieu et ne saurait provenir de lui. Elle est affaire strictement humaine, issue du seul besoin de l’homme avec toutes les équivoques qui entourent celui-ci, et, comme telle, elle doit être l’objet de toutes les méfiances. L’apparence et la fausseté la guettent consubstantiellement, celles en particulier qui consistent à corrompre Dieu en le profanant et le rabaissant : en le ramenant à hauteur d’homme et en le proportionnant au désir de celui-ci.</w:t>
      </w:r>
      <w:r w:rsidR="00B336E1">
        <w:t xml:space="preserve"> Bref, elle est foncièrement idolâtrique, constitutivement déchéante et suspecte. Dieu est par essence au-delà de toute espèce de rapport à autre chose que lui-même et donc au-delà de toute religion qui ne peut que le dénaturer : il n’a en somme rien de religieux. Dans ces conditions, la vraie religion, c’est la critique de la religion, c’est la religion qui se sait constitutivement en défaut par rapport à l’authentique divinité de Dieu et qui se suspend en regard de celle-ci qu’elle situe toujours au-delà, toujours ailleurs et plus loin, scellée à tout jamais dans le mystère de sa pure égalité à soi sans faille.</w:t>
      </w:r>
    </w:p>
    <w:p w:rsidR="00FC6FFA" w:rsidRDefault="00FC6FFA" w:rsidP="00027EA8">
      <w:pPr>
        <w:jc w:val="both"/>
      </w:pPr>
    </w:p>
    <w:p w:rsidR="00FC6FFA" w:rsidRDefault="00FC6FFA" w:rsidP="00027EA8">
      <w:pPr>
        <w:jc w:val="both"/>
      </w:pPr>
      <w:r>
        <w:t>On ne saurait bien entendu ignorer l’importance et l’intérêt de pareille vigilance critique exercée par la religion à l’endroit d’elle-même : elle est requise par le danger toujours présent de l’idolâtrie et du dogmatisme. Il me paraît toutefois tout aussi clair que la perspective qui vient d’être évoquée ne va pas sans soulever de très sérieuses difficultés. Qu’il me suffise ici d’en pointer brièvement deux qui sont d’ordres et de niveaux différents. Du point de vue de la cohérence logique tout d’abord, il faut, me semble-t-il, convenir que quoi que nous puissions dire à propos de Dieu, ce que nous en disons l’inscrit par définition dans un rapport à nous : Dieu est toujours déjà Dieu pour nous, auprès de nous, même lorsque nous prétendons l’invoquer dans la pureté de sa divinité indemne de tout rapport à autre chose que lui ; pour cela, nous arrivons en réalité toujours trop tard. Par ailleurs, du point de vue chrétien cette fois, qui est celui de la tradition dans laquelle nous nous insérons</w:t>
      </w:r>
      <w:r w:rsidR="00792E90">
        <w:t>, le Dieu qu’on nous enseigne est un Dieu foncièrement atypique, à la divinité pour le moins décalée et même contradictoire, en l’espèce un Dieu de bonté et d’amour, qui est comme tel « diffusif de soi »</w:t>
      </w:r>
      <w:r w:rsidR="004F1A8E">
        <w:rPr>
          <w:rStyle w:val="Appelnotedebasdep"/>
        </w:rPr>
        <w:footnoteReference w:id="3"/>
      </w:r>
      <w:r w:rsidR="00792E90">
        <w:t>, c’est-à-dire dont la nature est de se communiquer, de se révéler, de se donner, fût-ce au risque de sa divinité et dans le sacrifice de celle-ci. Ces considérations nous engagent à nous tourner vers la deuxième perspective, celle où loin d’être affaire simplement humaine, la religion est aussi affaire de Dieu.</w:t>
      </w:r>
    </w:p>
    <w:p w:rsidR="00DB05F4" w:rsidRDefault="00DB05F4" w:rsidP="00027EA8">
      <w:pPr>
        <w:jc w:val="both"/>
      </w:pPr>
    </w:p>
    <w:p w:rsidR="00DB05F4" w:rsidRDefault="00DB05F4" w:rsidP="00027EA8">
      <w:pPr>
        <w:jc w:val="both"/>
      </w:pPr>
      <w:r>
        <w:t xml:space="preserve">Situer ou enraciner la religion en Dieu même, c’est dire que l’essence de Dieu est d’être </w:t>
      </w:r>
      <w:r>
        <w:rPr>
          <w:i/>
        </w:rPr>
        <w:t>Dieu pour nous</w:t>
      </w:r>
      <w:r>
        <w:t xml:space="preserve">, que, contrairement à la représentation habituellement reçue de l’absolu, il n’est pas un Dieu lointain, séparé, solitairement fermé sur sa perfection souveraine, mais qu’il est un Dieu intrinsèquement religieux qui, du dedans de lui-même, se tourne vers l’autre que lui, qui court donc le risque d’une telle relation avec tout ce qu’elle implique de possible falsification idolâtrique et qui, </w:t>
      </w:r>
      <w:r>
        <w:lastRenderedPageBreak/>
        <w:t>en fin de compte, n’est nulle part ailleurs que dans le danger de cette brèche qui le sort de sa divinité autarcique pour l’exposer à la finitude du monde et de l’homme.</w:t>
      </w:r>
    </w:p>
    <w:p w:rsidR="00DB05F4" w:rsidRDefault="00DB05F4" w:rsidP="00027EA8">
      <w:pPr>
        <w:jc w:val="both"/>
      </w:pPr>
    </w:p>
    <w:p w:rsidR="00DB05F4" w:rsidRDefault="00DB05F4" w:rsidP="00027EA8">
      <w:pPr>
        <w:jc w:val="both"/>
      </w:pPr>
      <w:r>
        <w:t xml:space="preserve">Mais, fera-t-on aisément valoir, est-ce que pareille perspective n’entraîne pas à son tour de très réels problèmes, au moins aussi épineux – sinon davantage – que celle qui a été évoquée en premier lieu ? Ne conduit-elle pas, en particulier, à abdiquer la divinité même de Dieu, à concevoir un Dieu par trop humain, </w:t>
      </w:r>
      <w:r w:rsidR="005E6645">
        <w:t xml:space="preserve">par trop proche de l’homme et de ses limites que pour être encore réellement Dieu ? Bref – et voilà notre question qui se profile -, la religion : affaire simplement humaine ou affaire de Dieu ? Est-ce l’homme qui, dans la religion, se tourne du dedans de sa faiblesse et de son inquiétude vers le divin comme vers une norme souveraine qui, de haut et de loin, est censée réguler sa conduite et son monde ? Ou bien faut-il dire de façon assurément plus mystérieuse que c’est Dieu qui institue la relation religieuse en la nourrissant de sa propre vie dès lors intrinsèquement ouverte à son autre ? C’est face à cette hésitation fondamentale concernant la nature du religieux que je souhaite me tourner vers Hegel, car il me semble que ce philosophe, qui a très puissamment pensé la religion, permet d’y apporter une réponse qui, pour n’être assurément pas elle-même exempte d’ambiguïté et de difficulté, </w:t>
      </w:r>
      <w:r w:rsidR="00A446FF">
        <w:t xml:space="preserve">présente en tout cas l’intérêt d’éviter toute unilatéralité simplificatrice en articulant l’un à l’autre les deux bouts de la chaîne : la religion est </w:t>
      </w:r>
      <w:r w:rsidR="00A446FF" w:rsidRPr="00A446FF">
        <w:rPr>
          <w:i/>
        </w:rPr>
        <w:t>à la fois</w:t>
      </w:r>
      <w:r w:rsidR="00A446FF">
        <w:t>, dans l’union la plus intime, affaire de l’homme et affaire de Dieu, concernant chacun des deux au plus profond de lui-même au sein d’une relation croisée qui les renvoie essentiellement l’un à l’autre.</w:t>
      </w:r>
    </w:p>
    <w:p w:rsidR="00A446FF" w:rsidRDefault="00A446FF" w:rsidP="00027EA8">
      <w:pPr>
        <w:jc w:val="both"/>
      </w:pPr>
    </w:p>
    <w:p w:rsidR="00A446FF" w:rsidRDefault="00A446FF" w:rsidP="00027EA8">
      <w:pPr>
        <w:jc w:val="both"/>
      </w:pPr>
      <w:r>
        <w:t>C’est ce qu’il nous faut à présent examiner d’un peu plus près.</w:t>
      </w:r>
    </w:p>
    <w:p w:rsidR="00A446FF" w:rsidRDefault="00A446FF" w:rsidP="00027EA8">
      <w:pPr>
        <w:jc w:val="both"/>
      </w:pPr>
    </w:p>
    <w:p w:rsidR="00027EA8" w:rsidRDefault="00A446FF" w:rsidP="00A82C3C">
      <w:pPr>
        <w:jc w:val="both"/>
      </w:pPr>
      <w:r>
        <w:t xml:space="preserve">Mais, tout d’abord, il convient de préciser par où nous allons aborder la philosophie de la religion de Hegel. En effet, d’un bout à l’autre de son œuvre, de ce qu’il est convenu d’appeler ses </w:t>
      </w:r>
      <w:r>
        <w:rPr>
          <w:i/>
        </w:rPr>
        <w:t>Ecrits de jeunesse</w:t>
      </w:r>
      <w:r>
        <w:t xml:space="preserve"> jusqu’à ses textes les plus tar</w:t>
      </w:r>
      <w:r w:rsidR="008A5FF9">
        <w:t>d</w:t>
      </w:r>
      <w:r>
        <w:t>ifs, Hegel n’a cessé de méditer le thème religieux au sein d’une réflexion ample et foisonnante qui, de surcroît, a</w:t>
      </w:r>
      <w:r w:rsidR="00463771">
        <w:t xml:space="preserve"> connu en cours de route d’</w:t>
      </w:r>
      <w:r w:rsidR="00606197">
        <w:t>importantes modifications. Mon</w:t>
      </w:r>
      <w:r w:rsidR="00463771">
        <w:t xml:space="preserve"> propos n’est évidemment pas de retracer ici l’évolution de la problématique religieuse chez Hegel, pas plus que de l’envisager dans toute l’ampleur de ses développements. C’est uniquement en rapport avec le problème qui nous occupe – celui, en somme, de la religion comme lien entre l’homme et</w:t>
      </w:r>
      <w:r w:rsidR="00606197">
        <w:t xml:space="preserve"> Dieu – que j’entend</w:t>
      </w:r>
      <w:r w:rsidR="00463771">
        <w:t xml:space="preserve">s le </w:t>
      </w:r>
      <w:r w:rsidR="00606197">
        <w:t>consulter. Et encore ne pourrai-je</w:t>
      </w:r>
      <w:r w:rsidR="00463771">
        <w:t xml:space="preserve"> le faire que de façon fo</w:t>
      </w:r>
      <w:r w:rsidR="009315C3">
        <w:t>rcément schématique et sommaire</w:t>
      </w:r>
      <w:r w:rsidR="00463771">
        <w:t>. A cet effet, pour bie</w:t>
      </w:r>
      <w:r w:rsidR="00606197">
        <w:t>n cibler notre propos, je me référerai</w:t>
      </w:r>
      <w:r w:rsidR="00463771">
        <w:t xml:space="preserve"> prioritairement aux Introductions aux leçons que Hegel a consacrées à la philosophie de la religion dans le cadre de son enseignement à l’Université de Berlin</w:t>
      </w:r>
      <w:r w:rsidR="0049766B">
        <w:t xml:space="preserve"> entre 1821 et 1831</w:t>
      </w:r>
      <w:r w:rsidR="00822DE7">
        <w:rPr>
          <w:rStyle w:val="Appelnotedebasdep"/>
        </w:rPr>
        <w:footnoteReference w:id="4"/>
      </w:r>
      <w:r w:rsidR="00463771">
        <w:t>. Nous trouverons en effet dans ces textes introductifs, qui n’ont rien de simples prologues oratoires ou programmatiques</w:t>
      </w:r>
      <w:r w:rsidR="009315C3">
        <w:t>, mais qui nouent déjà quelques-</w:t>
      </w:r>
      <w:r w:rsidR="00463771">
        <w:t>uns des axes majeurs de la pensée hégélienne de la religion parvenue à la pleine maturité de son propos, de quoi alimenter notre réflexion.</w:t>
      </w:r>
    </w:p>
    <w:p w:rsidR="00A82C3C" w:rsidRDefault="00A82C3C" w:rsidP="00A82C3C">
      <w:pPr>
        <w:jc w:val="both"/>
      </w:pPr>
    </w:p>
    <w:p w:rsidR="00A82C3C" w:rsidRDefault="00A82C3C" w:rsidP="00A82C3C">
      <w:pPr>
        <w:jc w:val="both"/>
      </w:pPr>
      <w:r>
        <w:lastRenderedPageBreak/>
        <w:t xml:space="preserve">Que la religion soit tout d’abord affaire humaine, davantage : qu’elle soit l’affaire </w:t>
      </w:r>
      <w:r>
        <w:rPr>
          <w:i/>
        </w:rPr>
        <w:t>centrale</w:t>
      </w:r>
      <w:r>
        <w:t xml:space="preserve"> de l’homme, l’alpha et l’oméga de sa vie d’homme en quoi il trouve le sens et le but ultime de tout ce qu’il est et fait, de toute la diversité d’activités et d’occupations de son existence quotidienne, autrement indéfiniment m</w:t>
      </w:r>
      <w:r w:rsidR="004F162A">
        <w:t>orcelée dans le labyrinthe d’une</w:t>
      </w:r>
      <w:r>
        <w:t xml:space="preserve"> finitude</w:t>
      </w:r>
      <w:r w:rsidR="004F162A">
        <w:t xml:space="preserve"> aliénante</w:t>
      </w:r>
      <w:r>
        <w:t>, voilà qui pour Hegel n’a jamais fait aucun doute et qu’il proclame solennellement au seuil de chacune des Introductions à ses leçons de Berlin. C’est que, explique-t-il, l’homme est un être de pensée et de conscience – il est un être d’</w:t>
      </w:r>
      <w:r>
        <w:rPr>
          <w:i/>
        </w:rPr>
        <w:t>esprit</w:t>
      </w:r>
      <w:r>
        <w:t xml:space="preserve"> </w:t>
      </w:r>
      <w:r w:rsidR="0017510A">
        <w:t xml:space="preserve">– et, comme tel, il est originairement ouvert à la vérité, intimement traversé par le besoin et l’exigence de celle-ci, entendons : de </w:t>
      </w:r>
      <w:r w:rsidR="0017510A">
        <w:rPr>
          <w:i/>
        </w:rPr>
        <w:t>la</w:t>
      </w:r>
      <w:r w:rsidR="0017510A">
        <w:t xml:space="preserve"> vérité pure et simple, totale et absolue, qui, l’affranchissant entièrement de la finitude et de ses entraves, est seule à même de l’amener à la </w:t>
      </w:r>
      <w:r w:rsidR="0017510A">
        <w:rPr>
          <w:i/>
        </w:rPr>
        <w:t>liberté</w:t>
      </w:r>
      <w:r w:rsidR="0017510A">
        <w:t xml:space="preserve"> à laquelle il aspire essentiellement et, par là, de lui apporter le </w:t>
      </w:r>
      <w:r w:rsidR="0017510A">
        <w:rPr>
          <w:i/>
        </w:rPr>
        <w:t>contentement</w:t>
      </w:r>
      <w:r w:rsidR="0017510A">
        <w:t xml:space="preserve"> véritable. Non pas – précisons-le d’emblée – qu’il s’agisse dès lors de fuir unilatéralement le fini pour se réfugier dans un pur au-delà de celui-ci, ce qui ne pourrait au contraire que pervertir toute l’entreprise. Non, ce qui constitue l’horizon de toute la philosophie de l’absolu développée par Hegel, c’est, comme on le sait, celui de la réconciliation de l’infini et du fini, et la religion elle-même, dans sa figure</w:t>
      </w:r>
      <w:r w:rsidR="00715FB7">
        <w:t xml:space="preserve"> la plus accomplie, celle du christianisme, n’a à ses </w:t>
      </w:r>
      <w:r w:rsidR="00852CDF">
        <w:t>yeux pas d’autre propos que celui-là</w:t>
      </w:r>
      <w:r w:rsidR="00715FB7">
        <w:t>, même s’il n’est pas assuré qu’elle puisse, en tant</w:t>
      </w:r>
      <w:r w:rsidR="00413FAF">
        <w:t xml:space="preserve"> que religion, y parvenir parfaite</w:t>
      </w:r>
      <w:r w:rsidR="00715FB7">
        <w:t>ment</w:t>
      </w:r>
      <w:r w:rsidR="00413FAF">
        <w:rPr>
          <w:rStyle w:val="Appelnotedebasdep"/>
        </w:rPr>
        <w:footnoteReference w:id="5"/>
      </w:r>
      <w:r w:rsidR="00715FB7">
        <w:t>.</w:t>
      </w:r>
      <w:r w:rsidR="00852CDF">
        <w:t xml:space="preserve"> Donc pas question chez Hegel d’une quelconque fuite en dehors du monde, d’autant qu’un des traits de la modernité dont il est particulièrement conscient est précisément d’avoir recentré l’attention et l’intérêt sur celui-ci et de l’avoir globalement revalorisé, mais, en revanche, la conviction que le fini, réduit à sa seule finitude, ne saurait constituer le séjour de l’homme comme être d’esprit et que d’une telle finitude, refermée sur elle-même, il ne peut chercher qu’à se libérer.</w:t>
      </w:r>
    </w:p>
    <w:p w:rsidR="00D85AA7" w:rsidRDefault="00D85AA7" w:rsidP="00A82C3C">
      <w:pPr>
        <w:jc w:val="both"/>
      </w:pPr>
    </w:p>
    <w:p w:rsidR="00D85AA7" w:rsidRDefault="00D85AA7" w:rsidP="00A82C3C">
      <w:pPr>
        <w:jc w:val="both"/>
      </w:pPr>
      <w:r>
        <w:t xml:space="preserve">Or la religion est ce dans quoi s’exprime, de la façon la plus originaire et la plus universelle, cette exigence d’absolu qui fait corps avec l’être d’esprit qu’est l’homme. Elle est, si l’on veut, le mode premier, en quelque manière immédiat et, à ce titre, nécessaire et incontournable de l’ouverture de l’homme à la vérité. Bref, l’homme est comme tel </w:t>
      </w:r>
      <w:r>
        <w:rPr>
          <w:i/>
        </w:rPr>
        <w:t>homo religiosus</w:t>
      </w:r>
      <w:r>
        <w:t>, la religion étant symétriquement « ce qui fait que l’homme est homme »</w:t>
      </w:r>
      <w:r w:rsidR="005A7BD6">
        <w:rPr>
          <w:rStyle w:val="Appelnotedebasdep"/>
        </w:rPr>
        <w:footnoteReference w:id="6"/>
      </w:r>
      <w:r>
        <w:t>, le témoin irrécusable de sa constitution intrinsèquement spirituelle. Certes, remarque Hegel, la liberté de l’homme – plus exactement, ce qui</w:t>
      </w:r>
      <w:r w:rsidR="00D932CF">
        <w:t xml:space="preserve"> en celle-ci constitue</w:t>
      </w:r>
      <w:r>
        <w:t xml:space="preserve"> la puissance de l’arbitraire</w:t>
      </w:r>
      <w:r w:rsidR="00EC69F8">
        <w:t xml:space="preserve"> (</w:t>
      </w:r>
      <w:r w:rsidR="00EC69F8">
        <w:rPr>
          <w:i/>
        </w:rPr>
        <w:t>Willkür</w:t>
      </w:r>
      <w:r w:rsidR="00EC69F8">
        <w:t xml:space="preserve">) – peut faire en sorte qu’il en vienne à s’écarter de cette « nécessité de la </w:t>
      </w:r>
      <w:r w:rsidR="00EC69F8" w:rsidRPr="00EC69F8">
        <w:rPr>
          <w:i/>
        </w:rPr>
        <w:t>nature spirituelle universelle</w:t>
      </w:r>
      <w:r w:rsidR="005A7BD6">
        <w:t> »</w:t>
      </w:r>
      <w:r w:rsidR="005A7BD6">
        <w:rPr>
          <w:rStyle w:val="Appelnotedebasdep"/>
        </w:rPr>
        <w:footnoteReference w:id="7"/>
      </w:r>
      <w:r w:rsidR="00EC69F8">
        <w:t xml:space="preserve"> et à « travailler à l’encontre de sa </w:t>
      </w:r>
      <w:r w:rsidR="00EC69F8" w:rsidRPr="00EC69F8">
        <w:rPr>
          <w:i/>
        </w:rPr>
        <w:t>destination</w:t>
      </w:r>
      <w:r w:rsidR="00EC69F8">
        <w:t> »</w:t>
      </w:r>
      <w:r w:rsidR="005A7BD6">
        <w:rPr>
          <w:rStyle w:val="Appelnotedebasdep"/>
        </w:rPr>
        <w:footnoteReference w:id="8"/>
      </w:r>
      <w:r w:rsidR="00EC69F8">
        <w:t xml:space="preserve">. Mais, assure-t-il aussitôt, « il n’est en fait aucun </w:t>
      </w:r>
      <w:r w:rsidR="00EC69F8" w:rsidRPr="00E623DB">
        <w:rPr>
          <w:i/>
        </w:rPr>
        <w:t>homme si</w:t>
      </w:r>
      <w:r w:rsidR="00EC69F8">
        <w:t xml:space="preserve"> </w:t>
      </w:r>
      <w:r w:rsidR="00EC69F8" w:rsidRPr="00E623DB">
        <w:rPr>
          <w:i/>
        </w:rPr>
        <w:t>corrompu</w:t>
      </w:r>
      <w:r w:rsidR="00EC69F8">
        <w:t xml:space="preserve">, si perdu, </w:t>
      </w:r>
      <w:r w:rsidR="00EC69F8" w:rsidRPr="00E623DB">
        <w:rPr>
          <w:i/>
        </w:rPr>
        <w:t>si mauvais</w:t>
      </w:r>
      <w:r w:rsidR="00EC69F8">
        <w:t xml:space="preserve"> et </w:t>
      </w:r>
      <w:r w:rsidR="00EC69F8" w:rsidRPr="00E623DB">
        <w:rPr>
          <w:i/>
        </w:rPr>
        <w:t>si misérable</w:t>
      </w:r>
      <w:r w:rsidR="00EC69F8">
        <w:t xml:space="preserve"> qu’il serait </w:t>
      </w:r>
      <w:r w:rsidR="00EC69F8" w:rsidRPr="00E623DB">
        <w:rPr>
          <w:i/>
        </w:rPr>
        <w:t>absolument</w:t>
      </w:r>
      <w:r w:rsidR="00EC69F8">
        <w:t xml:space="preserve"> dépourvu de religion, qu’il [ne] </w:t>
      </w:r>
      <w:r w:rsidR="00E623DB">
        <w:t xml:space="preserve">la </w:t>
      </w:r>
      <w:r w:rsidR="00E623DB" w:rsidRPr="00E623DB">
        <w:rPr>
          <w:i/>
        </w:rPr>
        <w:t>connaîtrait</w:t>
      </w:r>
      <w:r w:rsidR="00E623DB">
        <w:t xml:space="preserve"> [pas], n’en</w:t>
      </w:r>
      <w:r w:rsidR="00FD0E6F">
        <w:t xml:space="preserve"> aurait aucune conscience, ne fû</w:t>
      </w:r>
      <w:r w:rsidR="00E623DB">
        <w:t xml:space="preserve">t-ce que la </w:t>
      </w:r>
      <w:r w:rsidR="00E623DB" w:rsidRPr="00E623DB">
        <w:rPr>
          <w:i/>
        </w:rPr>
        <w:t>crainte</w:t>
      </w:r>
      <w:r w:rsidR="00E623DB">
        <w:t xml:space="preserve">, la nostalgie ou la </w:t>
      </w:r>
      <w:r w:rsidR="00E623DB" w:rsidRPr="00E623DB">
        <w:rPr>
          <w:i/>
        </w:rPr>
        <w:t>haine</w:t>
      </w:r>
      <w:r w:rsidR="00E623DB">
        <w:t xml:space="preserve"> </w:t>
      </w:r>
      <w:r w:rsidR="00E623DB" w:rsidRPr="00E623DB">
        <w:rPr>
          <w:i/>
        </w:rPr>
        <w:t>qu’il en aurait</w:t>
      </w:r>
      <w:r w:rsidR="00E623DB">
        <w:t> »</w:t>
      </w:r>
      <w:r w:rsidR="005A7BD6">
        <w:rPr>
          <w:rStyle w:val="Appelnotedebasdep"/>
        </w:rPr>
        <w:footnoteReference w:id="9"/>
      </w:r>
      <w:r w:rsidR="00E623DB">
        <w:t xml:space="preserve">.  Et il conclut ce </w:t>
      </w:r>
      <w:r w:rsidR="00AB67E0">
        <w:t>développement</w:t>
      </w:r>
      <w:r w:rsidR="00E623DB">
        <w:t xml:space="preserve"> par ces mots : « Du fait que l’</w:t>
      </w:r>
      <w:r w:rsidR="00E623DB" w:rsidRPr="00E623DB">
        <w:rPr>
          <w:i/>
        </w:rPr>
        <w:t>homme</w:t>
      </w:r>
      <w:r w:rsidR="00E623DB">
        <w:t xml:space="preserve"> est</w:t>
      </w:r>
      <w:r w:rsidR="00E623DB" w:rsidRPr="00E623DB">
        <w:rPr>
          <w:i/>
        </w:rPr>
        <w:t xml:space="preserve"> homme</w:t>
      </w:r>
      <w:r w:rsidR="00E623DB">
        <w:t xml:space="preserve">, et non </w:t>
      </w:r>
      <w:r w:rsidR="00AB67E0">
        <w:t>p</w:t>
      </w:r>
      <w:r w:rsidR="00E623DB">
        <w:t xml:space="preserve">as un animal, [la religion] </w:t>
      </w:r>
      <w:r w:rsidR="00E623DB">
        <w:lastRenderedPageBreak/>
        <w:t>n’est pas une sensation ou une intuition qui lui serait étrangère »</w:t>
      </w:r>
      <w:r w:rsidR="005A7BD6">
        <w:rPr>
          <w:rStyle w:val="Appelnotedebasdep"/>
        </w:rPr>
        <w:footnoteReference w:id="10"/>
      </w:r>
      <w:r w:rsidR="00E623DB">
        <w:t>. On notera au passage</w:t>
      </w:r>
      <w:r w:rsidR="00AB67E0">
        <w:t>, sans pouvoir</w:t>
      </w:r>
      <w:r w:rsidR="00E70994">
        <w:t xml:space="preserve"> ici</w:t>
      </w:r>
      <w:r w:rsidR="00AB67E0">
        <w:t xml:space="preserve"> s’y attarder, qu’il y a là, aux yeux de Hegel, une pierre de touche décisive permettant de distinguer religion et philosophie. Car toutes deux ont pour lui le même objet, le même contenu, qui est la vérité, l’absolu, en termes religieux : Dieu. Et c’est dans cette mesure qu’il peut soutenir que « la philosophie est théologie » et « service de </w:t>
      </w:r>
      <w:r w:rsidR="00E70994">
        <w:t>Dieu »</w:t>
      </w:r>
      <w:r w:rsidR="007654F2">
        <w:rPr>
          <w:rStyle w:val="Appelnotedebasdep"/>
        </w:rPr>
        <w:footnoteReference w:id="11"/>
      </w:r>
      <w:r w:rsidR="00E70994">
        <w:t>. Mais,</w:t>
      </w:r>
      <w:r w:rsidR="00AB67E0">
        <w:t xml:space="preserve"> de la </w:t>
      </w:r>
      <w:r w:rsidR="00AB67E0">
        <w:rPr>
          <w:i/>
        </w:rPr>
        <w:t>manière</w:t>
      </w:r>
      <w:r w:rsidR="00AB67E0">
        <w:t xml:space="preserve"> dont chacune se rapporte à ce même objet et cultive ce même souci de la vérité – en bref, la manière de la </w:t>
      </w:r>
      <w:r w:rsidR="00AB67E0">
        <w:rPr>
          <w:i/>
        </w:rPr>
        <w:t>représentatio</w:t>
      </w:r>
      <w:r w:rsidR="007654F2">
        <w:rPr>
          <w:i/>
        </w:rPr>
        <w:t>n</w:t>
      </w:r>
      <w:r w:rsidR="00E46644">
        <w:t>, apparentée à</w:t>
      </w:r>
      <w:r w:rsidR="007654F2">
        <w:t xml:space="preserve"> la pensée commune,</w:t>
      </w:r>
      <w:r w:rsidR="00AB67E0">
        <w:t xml:space="preserve"> dans la religion, celle du </w:t>
      </w:r>
      <w:r w:rsidR="00AB67E0">
        <w:rPr>
          <w:i/>
        </w:rPr>
        <w:t>concept</w:t>
      </w:r>
      <w:r w:rsidR="00AB67E0">
        <w:t xml:space="preserve"> ou de la pensée pure dans la philosophie -</w:t>
      </w:r>
      <w:r w:rsidR="00E70994">
        <w:t xml:space="preserve">, il résulte que la religion est le mode sous lequel la vérité est donnée pour </w:t>
      </w:r>
      <w:r w:rsidR="00E70994">
        <w:rPr>
          <w:i/>
        </w:rPr>
        <w:t>tous</w:t>
      </w:r>
      <w:r w:rsidR="00E70994">
        <w:t xml:space="preserve"> les hommes, directement présente et accessible à chacun, quels que soient l’époque et le peuple auxquels il appartienne de même que sa position en celui-ci, tandis que, telle que développée dans la philosophie, la vérité est seulement </w:t>
      </w:r>
      <w:r w:rsidR="00E70994">
        <w:rPr>
          <w:i/>
        </w:rPr>
        <w:t>pour quelques-uns</w:t>
      </w:r>
      <w:r w:rsidR="00E70994">
        <w:t xml:space="preserve"> tant du point de vue de son émergence dans l’histoire</w:t>
      </w:r>
      <w:r w:rsidR="00E46644">
        <w:t>, qui remonte à la Grèce ancienne,</w:t>
      </w:r>
      <w:r w:rsidR="00E70994">
        <w:t xml:space="preserve"> que des capacités particulières qu’elle requiert de ceux qui s’y </w:t>
      </w:r>
      <w:r w:rsidR="00D932CF">
        <w:t>adonn</w:t>
      </w:r>
      <w:r w:rsidR="00E70994">
        <w:t>en</w:t>
      </w:r>
      <w:r w:rsidR="00C87813">
        <w:t>t. J’ajoute, sans pouvoir</w:t>
      </w:r>
      <w:r w:rsidR="00E70994">
        <w:t xml:space="preserve"> une fois</w:t>
      </w:r>
      <w:r w:rsidR="00C87813">
        <w:t xml:space="preserve"> de plus le détailler</w:t>
      </w:r>
      <w:r w:rsidR="00E70994">
        <w:t xml:space="preserve"> </w:t>
      </w:r>
      <w:r w:rsidR="00C87813">
        <w:t xml:space="preserve">ici </w:t>
      </w:r>
      <w:r w:rsidR="00E70994">
        <w:t>davantage, qu’il n’est pas du tout sûr que cette confidentialité et cet ésotérisme de la philosophie soient, dans l’esprit de Hegel, tout uniment à son avantage</w:t>
      </w:r>
      <w:r w:rsidR="00D932CF">
        <w:t xml:space="preserve"> et lui assurent une suprématie indisc</w:t>
      </w:r>
      <w:r w:rsidR="00C87813">
        <w:t>utable sur la</w:t>
      </w:r>
      <w:r w:rsidR="00FD0E6F">
        <w:t xml:space="preserve"> religion, comme on le pense souv</w:t>
      </w:r>
      <w:r w:rsidR="00933F6A">
        <w:t>ent chez les interprètes du philosophe</w:t>
      </w:r>
      <w:r w:rsidR="00D932CF">
        <w:t xml:space="preserve">. Quoi qu’il soit de ce dernier point, qui concerne la question fort complexe et délicate du rapport religion/philosophie chez Hegel, retenons pour notre propos ceci : la religion, en tant que relation de l’homme au divin, c’est ce qui, inscrit au plus intime de l’humanité même de l’homme en tant qu’être d’esprit, se retrouve « chez tous les peuples et tous </w:t>
      </w:r>
      <w:r w:rsidR="00E70994">
        <w:t xml:space="preserve"> </w:t>
      </w:r>
      <w:r w:rsidR="00D932CF">
        <w:t>les hommes », « comme le dimanche de la vie »</w:t>
      </w:r>
      <w:r w:rsidR="007654F2">
        <w:rPr>
          <w:rStyle w:val="Appelnotedebasdep"/>
        </w:rPr>
        <w:footnoteReference w:id="12"/>
      </w:r>
      <w:r w:rsidR="00D932CF">
        <w:t xml:space="preserve"> qui en illumine les jours ouvrables.</w:t>
      </w:r>
      <w:r w:rsidR="00AB67E0">
        <w:t xml:space="preserve"> </w:t>
      </w:r>
    </w:p>
    <w:p w:rsidR="00933F6A" w:rsidRDefault="00933F6A" w:rsidP="00A82C3C">
      <w:pPr>
        <w:jc w:val="both"/>
      </w:pPr>
    </w:p>
    <w:p w:rsidR="00C87813" w:rsidRDefault="0069078F" w:rsidP="00A82C3C">
      <w:pPr>
        <w:jc w:val="both"/>
      </w:pPr>
      <w:r>
        <w:t xml:space="preserve">Maintenant, si la religion s’enracine bien ainsi au plus profond de l’homme, cela ne veut toutefois pas dire qu’elle soit </w:t>
      </w:r>
      <w:r>
        <w:rPr>
          <w:i/>
        </w:rPr>
        <w:t>seulement</w:t>
      </w:r>
      <w:r>
        <w:t xml:space="preserve"> son affaire, un pur et simple produit de l’homme qui ne serait que de son fait. La religion « n’est pas une invention de l’homme »</w:t>
      </w:r>
      <w:r w:rsidR="001F2DEF">
        <w:rPr>
          <w:rStyle w:val="Appelnotedebasdep"/>
        </w:rPr>
        <w:footnoteReference w:id="13"/>
      </w:r>
      <w:r w:rsidR="001F2DEF">
        <w:t>, observe Hegel</w:t>
      </w:r>
      <w:r>
        <w:t xml:space="preserve">, elle n’est donc pas d’ordre simplement anthropologique, auquel cas elle risquerait fort bien de n’être qu’une illusion ou une supercherie. Or si ceci, elle peut assurément toujours le devenir, si, en d’autres mots, </w:t>
      </w:r>
      <w:r w:rsidR="0027330D">
        <w:t>elle peut</w:t>
      </w:r>
      <w:r>
        <w:t xml:space="preserve"> à tout moment </w:t>
      </w:r>
      <w:r w:rsidR="0027330D">
        <w:t xml:space="preserve">dégénérer </w:t>
      </w:r>
      <w:r>
        <w:t>en tromperie et en superstition, cela ne correspond cependant pas à la vérité de son essence</w:t>
      </w:r>
      <w:r w:rsidR="0027330D">
        <w:t xml:space="preserve"> en vertu de laquelle, loin d’être simplement affaire humaine, elle est aussi </w:t>
      </w:r>
      <w:r w:rsidR="0027330D">
        <w:rPr>
          <w:i/>
        </w:rPr>
        <w:t>affaire de Dieu</w:t>
      </w:r>
      <w:r w:rsidR="0027330D">
        <w:t>. Ce que Hegel exprime en ces termes : « La religion est une production de l’esprit divin »</w:t>
      </w:r>
      <w:r w:rsidR="001F2DEF">
        <w:rPr>
          <w:rStyle w:val="Appelnotedebasdep"/>
        </w:rPr>
        <w:footnoteReference w:id="14"/>
      </w:r>
      <w:r w:rsidR="000D606A">
        <w:t>. Le concept</w:t>
      </w:r>
      <w:r w:rsidR="0027330D">
        <w:t xml:space="preserve"> à tous égards </w:t>
      </w:r>
      <w:r w:rsidR="000D606A">
        <w:t xml:space="preserve">ici </w:t>
      </w:r>
      <w:r w:rsidR="0027330D">
        <w:t>décisif est celui d’</w:t>
      </w:r>
      <w:r w:rsidR="0027330D">
        <w:rPr>
          <w:i/>
        </w:rPr>
        <w:t>esprit</w:t>
      </w:r>
      <w:r w:rsidR="0027330D">
        <w:t xml:space="preserve">, dont on se souviendra que Hegel l’avait déjà imputé à l’homme en tant qu’il est essentiellement concerné par la religion. Autrement dit, c’est sur le terrain de ce qu’il nomme l’esprit que Hegel fait se croiser divin et humain au sein de la religion. Aussi bien nous trouvons-nous ici au cœur de notre </w:t>
      </w:r>
      <w:r w:rsidR="000D606A">
        <w:t>recherche. Posons donc la question : qu’en est-il de l’esprit selon Hegel ? Et pour prendre la question par le bout où elle vient de se présenter à nous : qu’en est-il de Dieu en tant qu’ « esprit divin » ?</w:t>
      </w:r>
    </w:p>
    <w:p w:rsidR="00933F6A" w:rsidRDefault="00933F6A" w:rsidP="00A82C3C">
      <w:pPr>
        <w:jc w:val="both"/>
      </w:pPr>
    </w:p>
    <w:p w:rsidR="00670BAA" w:rsidRDefault="00670BAA" w:rsidP="00A82C3C">
      <w:pPr>
        <w:jc w:val="both"/>
      </w:pPr>
      <w:r>
        <w:lastRenderedPageBreak/>
        <w:t>Concevoir Dieu comme esprit, c’est le saisir en vérité, de façon vivante et concrète. Ce que Hegel oppose aux deux tendances dominantes de son temps en matière théologique – mais qui, à vrai dire, n’ont rien perdu de leur actualité - : celle, tout d’abord, incarnée par la théologie naturelle de l’</w:t>
      </w:r>
      <w:r>
        <w:rPr>
          <w:i/>
        </w:rPr>
        <w:t>Aufklärung</w:t>
      </w:r>
      <w:r>
        <w:t xml:space="preserve">, laquelle, dans son rationalisme étroit, </w:t>
      </w:r>
      <w:r w:rsidR="009E42E8">
        <w:t xml:space="preserve">ramène Dieu à « une abstraite </w:t>
      </w:r>
      <w:r>
        <w:t>entité d’entendement »</w:t>
      </w:r>
      <w:r w:rsidR="001F2DEF">
        <w:rPr>
          <w:rStyle w:val="Appelnotedebasdep"/>
        </w:rPr>
        <w:footnoteReference w:id="15"/>
      </w:r>
      <w:r>
        <w:t xml:space="preserve"> sous l’appellation d’ « Etre suprême »</w:t>
      </w:r>
      <w:r w:rsidR="001F2DEF">
        <w:rPr>
          <w:rStyle w:val="Appelnotedebasdep"/>
        </w:rPr>
        <w:footnoteReference w:id="16"/>
      </w:r>
      <w:r>
        <w:t xml:space="preserve"> ; </w:t>
      </w:r>
      <w:r w:rsidR="00BD453E">
        <w:t>celle, ensuite, qui fait, à l’inverse, de la pure intériorité subjective de la certitude immédiate de la foi – du pur sentiment religieux – la seule voie d’accès authentique à Dieu</w:t>
      </w:r>
      <w:r w:rsidR="00B12945">
        <w:t>, à l’exclusion de tout s</w:t>
      </w:r>
      <w:r w:rsidR="00D7166C">
        <w:t>avoir médiatisé</w:t>
      </w:r>
      <w:r w:rsidR="001F2DEF">
        <w:rPr>
          <w:rStyle w:val="Appelnotedebasdep"/>
        </w:rPr>
        <w:footnoteReference w:id="17"/>
      </w:r>
      <w:r w:rsidR="00B12945">
        <w:t>.</w:t>
      </w:r>
      <w:r w:rsidR="003A3677">
        <w:t xml:space="preserve"> En fait, soutient Hegel, </w:t>
      </w:r>
      <w:r w:rsidR="00335566">
        <w:t xml:space="preserve">ces deux orientations, en dépit de leur apparente opposition, convergent dans un même résultat : la représentation d’un Dieu vide, strictement indéterminé et, par là, totalement inconnaissable, en quoi elles s’inscrivent bien, l’une et l’autre, dans l’esprit de l’époque dont l’un des leitmotive est « que </w:t>
      </w:r>
      <w:r w:rsidR="00335566" w:rsidRPr="00B8510A">
        <w:rPr>
          <w:i/>
        </w:rPr>
        <w:t>nous ne pouvons rien savoir de Dieu</w:t>
      </w:r>
      <w:r w:rsidR="00335566">
        <w:t> »</w:t>
      </w:r>
      <w:r w:rsidR="001F2DEF">
        <w:rPr>
          <w:rStyle w:val="Appelnotedebasdep"/>
        </w:rPr>
        <w:footnoteReference w:id="18"/>
      </w:r>
      <w:r w:rsidR="00335566">
        <w:t>.</w:t>
      </w:r>
      <w:r w:rsidR="00B8510A">
        <w:t xml:space="preserve"> Or, ce faisant, elles tournent le dos au véritable concept de Dieu, celui-là même qui a été décisivement valorisé au sein du christianisme, le concept de Dieu en tant qu’esprit. Car un premier trait du Dieu esprit, c’est, à l’encontre de la pauvreté du « </w:t>
      </w:r>
      <w:r w:rsidR="00B8510A" w:rsidRPr="00FD0E6F">
        <w:rPr>
          <w:i/>
        </w:rPr>
        <w:t>fantôme</w:t>
      </w:r>
      <w:r w:rsidR="00B8510A">
        <w:t xml:space="preserve"> </w:t>
      </w:r>
      <w:r w:rsidR="00B8510A" w:rsidRPr="00FD0E6F">
        <w:rPr>
          <w:i/>
        </w:rPr>
        <w:t>infini</w:t>
      </w:r>
      <w:r w:rsidR="00B8510A">
        <w:t> »</w:t>
      </w:r>
      <w:r w:rsidR="001F2DEF">
        <w:rPr>
          <w:rStyle w:val="Appelnotedebasdep"/>
        </w:rPr>
        <w:footnoteReference w:id="19"/>
      </w:r>
      <w:r w:rsidR="00B8510A">
        <w:t xml:space="preserve"> en lequel on veut ici le transformer, </w:t>
      </w:r>
      <w:r w:rsidR="00AA7F5B">
        <w:t xml:space="preserve">d’être </w:t>
      </w:r>
      <w:r w:rsidR="00AA7F5B">
        <w:rPr>
          <w:i/>
        </w:rPr>
        <w:t>concret</w:t>
      </w:r>
      <w:r w:rsidR="00AA7F5B">
        <w:t xml:space="preserve">, c’est-à-dire riche d’un contenu déterminé et différencié, qui est celui-là même qu’exposent la doctrine et les dogmes de la religion et par lequel il se donne à connaître. Relevons-le d’emblée : particulièrement importante et significative à même ce contenu, il y a, comme nous aurons l’occasion de brièvement y revenir, la détermination </w:t>
      </w:r>
      <w:r w:rsidR="00AA7F5B">
        <w:rPr>
          <w:i/>
        </w:rPr>
        <w:t>trinitaire</w:t>
      </w:r>
      <w:r w:rsidR="00AA7F5B">
        <w:t xml:space="preserve"> de Dieu : « Sans cette détermination de la Trinité, Dieu ne serait pas esprit et ‘esprit’ serait un mot vide »</w:t>
      </w:r>
      <w:r w:rsidR="00670518">
        <w:rPr>
          <w:rStyle w:val="Appelnotedebasdep"/>
        </w:rPr>
        <w:footnoteReference w:id="20"/>
      </w:r>
      <w:r w:rsidR="00AA7F5B">
        <w:t>.</w:t>
      </w:r>
    </w:p>
    <w:p w:rsidR="00AA7F5B" w:rsidRDefault="00AA7F5B" w:rsidP="00A82C3C">
      <w:pPr>
        <w:jc w:val="both"/>
      </w:pPr>
    </w:p>
    <w:p w:rsidR="00AA7F5B" w:rsidRDefault="00FA7F7A" w:rsidP="00A82C3C">
      <w:pPr>
        <w:jc w:val="both"/>
      </w:pPr>
      <w:r>
        <w:t xml:space="preserve">Mais – </w:t>
      </w:r>
      <w:r w:rsidR="00F252B1">
        <w:t xml:space="preserve">et </w:t>
      </w:r>
      <w:r>
        <w:t>voici l’objection qui semble</w:t>
      </w:r>
      <w:r w:rsidR="00F252B1">
        <w:t xml:space="preserve"> alors</w:t>
      </w:r>
      <w:r>
        <w:t xml:space="preserve"> toute prête pour restituer aux deux tendances dont il vient d’être question une certaine légitimité -, doter ainsi Dieu d’un contenu formé d’un ensemble de déterminations censées le spécifier et le donner à connaître, n‘est-ce pas du même coup compromettre sa divinité en l’immergeant dans le fini et en le mêlant à celui-ci ? L’objection serait à coup sûr pertinente</w:t>
      </w:r>
      <w:r w:rsidR="002A3760">
        <w:t xml:space="preserve"> s’il ne s’agissait en l’occurrence</w:t>
      </w:r>
      <w:r>
        <w:t xml:space="preserve"> que d’accoler de telles déterminations au divin en les lui attribuant extérieurement comme on attribue à un substrat inerte une série de prédicats au sein d’une proposition : on ne ferait</w:t>
      </w:r>
      <w:r w:rsidR="005C42EB">
        <w:t xml:space="preserve"> alors</w:t>
      </w:r>
      <w:r>
        <w:t xml:space="preserve"> effectivement rien d’autre que souiller Dieu en le plongeant indûment dans le fini, c’est-à-dire</w:t>
      </w:r>
      <w:r w:rsidR="005C42EB">
        <w:t xml:space="preserve"> dans un élément qui contredit son infinité essentielle. Mais justement, il en va tout différemment dans le cas du Dieu esprit, lequel, en tout premier lieu, n’a rien d’un infini figé, bloqué dans son infinité – pareil </w:t>
      </w:r>
      <w:r w:rsidR="00B541EA">
        <w:t xml:space="preserve">« blocage » étant d’ailleurs ici le seul élément réellement corrupteur -, mais qui, dans son infinité </w:t>
      </w:r>
      <w:r w:rsidR="00B541EA">
        <w:rPr>
          <w:i/>
        </w:rPr>
        <w:t>vraie</w:t>
      </w:r>
      <w:r w:rsidR="00B541EA">
        <w:t xml:space="preserve">, est au contraire </w:t>
      </w:r>
      <w:r w:rsidR="00B541EA">
        <w:rPr>
          <w:i/>
        </w:rPr>
        <w:t>le mouvement même de se déterminer</w:t>
      </w:r>
      <w:r w:rsidR="00B541EA">
        <w:t xml:space="preserve"> et d’aller ainsi </w:t>
      </w:r>
      <w:r w:rsidR="00B541EA">
        <w:rPr>
          <w:i/>
        </w:rPr>
        <w:t>de lui-même et à partir de lui-même</w:t>
      </w:r>
      <w:r w:rsidR="00B541EA">
        <w:t xml:space="preserve"> vers le fini pour le reprendre en soi et se l’intégrer</w:t>
      </w:r>
      <w:r w:rsidR="00933F6A">
        <w:t>, tant il est vrai que le véritable infini est celui qui inclut</w:t>
      </w:r>
      <w:r w:rsidR="00FF0496">
        <w:t xml:space="preserve"> en soi le fini plutôt que d</w:t>
      </w:r>
      <w:r w:rsidR="0089749E">
        <w:t>e l’exclure abstraitement</w:t>
      </w:r>
      <w:r w:rsidR="00B541EA">
        <w:t>. Ce qui nous amène au deuxième trai</w:t>
      </w:r>
      <w:r w:rsidR="00B4265A">
        <w:t>t, à vrai dire le plus fondamental</w:t>
      </w:r>
      <w:r w:rsidR="00B541EA">
        <w:t>, du Dieu esprit qu’entend promouvoir Hegel, à savoir qu’il n’a rien d’une entité figée en elle-même, quelle que soient la nature et les attributs qu’</w:t>
      </w:r>
      <w:r w:rsidR="00B4265A">
        <w:t>on entende lui imputer, mais qu’il est essentiellement</w:t>
      </w:r>
      <w:r w:rsidR="00FD0E6F">
        <w:t xml:space="preserve"> vie, </w:t>
      </w:r>
      <w:r w:rsidR="00B4265A">
        <w:t xml:space="preserve"> mouvement, processus, mieux : acte, l’</w:t>
      </w:r>
      <w:r w:rsidR="00B4265A">
        <w:rPr>
          <w:i/>
        </w:rPr>
        <w:t>acte de se déterminer soi-même</w:t>
      </w:r>
      <w:r w:rsidR="00B4265A">
        <w:t>. C’est ce cœur actif et processuel de l’esprit qu’il nous faut à présent considérer d’un peu plus près.</w:t>
      </w:r>
    </w:p>
    <w:p w:rsidR="005345BC" w:rsidRDefault="005345BC" w:rsidP="00A82C3C">
      <w:pPr>
        <w:jc w:val="both"/>
      </w:pPr>
    </w:p>
    <w:p w:rsidR="005345BC" w:rsidRDefault="005345BC" w:rsidP="00A82C3C">
      <w:pPr>
        <w:jc w:val="both"/>
      </w:pPr>
      <w:r>
        <w:t xml:space="preserve">Que signifie donc </w:t>
      </w:r>
      <w:r w:rsidR="00505688">
        <w:t>« se déterminer »</w:t>
      </w:r>
      <w:r>
        <w:t xml:space="preserve">? Le sens de cette expression est riche et complexe, et il est certain que Hegel est attentif à tout l’éventail de nuances qui s’y trouvent impliquées. Pour notre part, tenons-nous-en à ceci : se déterminer, c’est sortir de l’indécision où tout est encore vague, obscur et indifférencié, pour ainsi dire latent, et se dévoiler, se manifester en s’extériorisant sous une forme définie, en termes religieux : </w:t>
      </w:r>
      <w:r>
        <w:rPr>
          <w:i/>
        </w:rPr>
        <w:t>se révéler</w:t>
      </w:r>
      <w:r>
        <w:t>. Ce qu’il est ici capital de bien comprendre</w:t>
      </w:r>
      <w:r w:rsidR="00CB2288">
        <w:t xml:space="preserve"> mais qui est aussi ce qui est le plus diffici</w:t>
      </w:r>
      <w:r w:rsidR="00A729FE">
        <w:t>le à saisir correct</w:t>
      </w:r>
      <w:r w:rsidR="00CB2288">
        <w:t>ement</w:t>
      </w:r>
      <w:r>
        <w:t>, c’est que dans le cas de l’esprit, pour autant qu’il est, comme on vient de le voir, l’acte même de se déterminer lui-même, pareil dévoilement n’a rien d’extorqué, je veux dire d’étranger ou de surajouté à sa nature qui, d’elle-même, se tiendrait dans le retrait</w:t>
      </w:r>
      <w:r w:rsidR="00CB2288">
        <w:t>. Non, le propre de l’esprit,</w:t>
      </w:r>
      <w:r w:rsidR="00CB2288">
        <w:rPr>
          <w:i/>
        </w:rPr>
        <w:t xml:space="preserve"> son essence même</w:t>
      </w:r>
      <w:r w:rsidR="00CB2288">
        <w:t>, c’est de se révéler, et Hegel peut écrire à ce sujet : « L’esprit est ce qui se manifeste, ce qui apparaît […] ; l’esprit qui n’apparaît pas n’est pas »</w:t>
      </w:r>
      <w:r w:rsidR="00670518">
        <w:rPr>
          <w:rStyle w:val="Appelnotedebasdep"/>
        </w:rPr>
        <w:footnoteReference w:id="21"/>
      </w:r>
      <w:r w:rsidR="00CB2288">
        <w:t>. Remarquons-le : appliquée au divin, pareille logique « phénoménologique » de l’esprit prend le contrepied d’une certaine représentation traditionnelle du Dieu lointain, secret</w:t>
      </w:r>
      <w:r w:rsidR="00A729FE">
        <w:t>, retranché sur sa divinité et imbu de celle-ci, pour épouser au contraire, en la radicalisant, l’image qu’en donne le christianisme, celle d’un Dieu d’alliance, essentiellement ouvert sur son autre et se débordant du dedans de lui-même en direction de celui-ci, à ceci près – et c’est sans doute là le cœur du débat de Hegel avec une certaine orthodoxie chrétienne – qu’il ne s’agit nullement che</w:t>
      </w:r>
      <w:r w:rsidR="00505688">
        <w:t>z lui d’en rester à la simple juxtaposition de</w:t>
      </w:r>
      <w:r w:rsidR="00A729FE">
        <w:t xml:space="preserve"> la transcendance de Dieu et</w:t>
      </w:r>
      <w:r w:rsidR="00505688">
        <w:t xml:space="preserve"> de</w:t>
      </w:r>
      <w:r w:rsidR="00A729FE">
        <w:t xml:space="preserve"> sa révélation, mais bien, dans un déplacement du sens habituel de la transcendance divine, de soutenir que celle-ci ne consiste en rien d’autre qu’</w:t>
      </w:r>
      <w:r w:rsidR="0015670B">
        <w:t>à</w:t>
      </w:r>
      <w:r w:rsidR="00BE3A90">
        <w:t xml:space="preserve"> </w:t>
      </w:r>
      <w:r w:rsidR="00BE3A90" w:rsidRPr="00BE3A90">
        <w:rPr>
          <w:i/>
        </w:rPr>
        <w:t>activemen</w:t>
      </w:r>
      <w:r w:rsidR="00BE3A90">
        <w:rPr>
          <w:i/>
        </w:rPr>
        <w:t>t</w:t>
      </w:r>
      <w:r w:rsidR="0015670B">
        <w:t xml:space="preserve"> </w:t>
      </w:r>
      <w:r w:rsidR="0015670B">
        <w:rPr>
          <w:i/>
        </w:rPr>
        <w:t>se transcender elle-même</w:t>
      </w:r>
      <w:r w:rsidR="0015670B">
        <w:t xml:space="preserve"> dans le processus de révélation au sein duquel Dieu se fait Dieu </w:t>
      </w:r>
      <w:r w:rsidR="0015670B">
        <w:rPr>
          <w:i/>
        </w:rPr>
        <w:t>pour nous</w:t>
      </w:r>
      <w:r w:rsidR="00505688" w:rsidRPr="00FD0E6F">
        <w:rPr>
          <w:rStyle w:val="Appelnotedebasdep"/>
        </w:rPr>
        <w:footnoteReference w:id="22"/>
      </w:r>
      <w:r w:rsidR="0015670B">
        <w:t>. J’ajoute, sans pouvoir ici le développer davantage, qu’en cela réside pour Hegel le sens profond du christianisme en tant que religion accomplie – que religion de l’esprit – et que ce sens est celui qui se trouve d’emblée formulé dans ce qui constitue à ses yeux le dogme central de la religion chrétienne, le dogme trinitaire par lequel, observe-t-il, « la nature de l’esprit est explicitée »</w:t>
      </w:r>
      <w:r w:rsidR="00670518">
        <w:rPr>
          <w:rStyle w:val="Appelnotedebasdep"/>
        </w:rPr>
        <w:footnoteReference w:id="23"/>
      </w:r>
      <w:r w:rsidR="0015670B">
        <w:t>.</w:t>
      </w:r>
    </w:p>
    <w:p w:rsidR="0015670B" w:rsidRDefault="0015670B" w:rsidP="00A82C3C">
      <w:pPr>
        <w:jc w:val="both"/>
      </w:pPr>
    </w:p>
    <w:p w:rsidR="00585B33" w:rsidRDefault="0015670B" w:rsidP="00A82C3C">
      <w:pPr>
        <w:jc w:val="both"/>
      </w:pPr>
      <w:r>
        <w:t>Tel est donc le Dieu esprit de Hegel : un Dieu qui, essentiellement, se manifeste</w:t>
      </w:r>
      <w:r w:rsidR="00AF772D">
        <w:t xml:space="preserve">, qui est à ce titre </w:t>
      </w:r>
      <w:r w:rsidR="00AF772D">
        <w:rPr>
          <w:i/>
        </w:rPr>
        <w:t>en soi</w:t>
      </w:r>
      <w:r w:rsidR="00AF772D">
        <w:t xml:space="preserve"> dépassement de soi en direction de son autre, la finitude du monde et de l’homme, bref un Dieu qui est comme tel, </w:t>
      </w:r>
      <w:r w:rsidR="00AF772D">
        <w:rPr>
          <w:i/>
        </w:rPr>
        <w:t>dans sa divinité même</w:t>
      </w:r>
      <w:r w:rsidR="00AF772D">
        <w:t xml:space="preserve">, Dieu pour nous. On commence à comprendre comment un tel Dieu d’alliance, que l’on </w:t>
      </w:r>
      <w:r w:rsidR="00173FBC">
        <w:t>di</w:t>
      </w:r>
      <w:r w:rsidR="00FC2A3D">
        <w:t>ra</w:t>
      </w:r>
      <w:r w:rsidR="00AF772D">
        <w:t xml:space="preserve"> dès lors</w:t>
      </w:r>
      <w:r w:rsidR="00300DB1">
        <w:t xml:space="preserve"> aussi</w:t>
      </w:r>
      <w:r w:rsidR="00AF772D">
        <w:t xml:space="preserve">  intrinsèquement kénotique, est du fait même un Dieu </w:t>
      </w:r>
      <w:r w:rsidR="00AF772D">
        <w:rPr>
          <w:i/>
        </w:rPr>
        <w:t>essentiellement religieux</w:t>
      </w:r>
      <w:r w:rsidR="00FF0496">
        <w:t xml:space="preserve"> pour lequel </w:t>
      </w:r>
      <w:r w:rsidR="009E42E8">
        <w:t>le</w:t>
      </w:r>
      <w:r w:rsidR="00AF772D">
        <w:t xml:space="preserve"> lien qui le rattache à l’homme fait partie de sa divinité même.</w:t>
      </w:r>
      <w:r w:rsidR="00173FBC">
        <w:t xml:space="preserve"> Il nous reste, pour approfondir</w:t>
      </w:r>
      <w:r w:rsidR="00FF0496">
        <w:t xml:space="preserve"> </w:t>
      </w:r>
      <w:r w:rsidR="00300DB1">
        <w:t xml:space="preserve">quelque peu ce </w:t>
      </w:r>
      <w:r w:rsidR="00FC2A3D">
        <w:t xml:space="preserve"> po</w:t>
      </w:r>
      <w:r w:rsidR="009E42E8">
        <w:t>int, à accomplir un dernier pas</w:t>
      </w:r>
      <w:r w:rsidR="00FC2A3D">
        <w:t xml:space="preserve"> en soulevant la </w:t>
      </w:r>
      <w:r w:rsidR="00FC2A3D">
        <w:lastRenderedPageBreak/>
        <w:t>question que voici : quel est le ressort de ce q</w:t>
      </w:r>
      <w:r w:rsidR="00FF0496">
        <w:t>ue nous avons appelé la « logique</w:t>
      </w:r>
      <w:r w:rsidR="00FC2A3D">
        <w:t xml:space="preserve"> phénoménologique » du Dieu esprit tel que le conçoit Hegel ?</w:t>
      </w:r>
      <w:r w:rsidR="00300DB1">
        <w:t xml:space="preserve"> Avec cette question nous</w:t>
      </w:r>
      <w:r w:rsidR="001308CC">
        <w:t xml:space="preserve"> parvenons</w:t>
      </w:r>
      <w:r w:rsidR="00300DB1">
        <w:t xml:space="preserve"> au cœur de la notion hégélienne d’esprit et, du même coup,</w:t>
      </w:r>
      <w:r w:rsidR="001308CC">
        <w:t xml:space="preserve"> comme on va le voir,</w:t>
      </w:r>
      <w:r w:rsidR="00300DB1">
        <w:t xml:space="preserve"> au plus proche de la réponse qu’il apporte à notre problématique concernant</w:t>
      </w:r>
      <w:r w:rsidR="001308CC">
        <w:t xml:space="preserve"> la situation de la religion dans son double</w:t>
      </w:r>
      <w:r w:rsidR="00300DB1">
        <w:t xml:space="preserve"> </w:t>
      </w:r>
      <w:r w:rsidR="001308CC">
        <w:t>rapport à l’homme et</w:t>
      </w:r>
      <w:r w:rsidR="00585B33">
        <w:t xml:space="preserve"> à Dieu.</w:t>
      </w:r>
    </w:p>
    <w:p w:rsidR="00585B33" w:rsidRDefault="00585B33" w:rsidP="00A82C3C">
      <w:pPr>
        <w:jc w:val="both"/>
      </w:pPr>
    </w:p>
    <w:p w:rsidR="004B7F52" w:rsidRDefault="00585B33" w:rsidP="00A82C3C">
      <w:pPr>
        <w:jc w:val="both"/>
      </w:pPr>
      <w:r>
        <w:t>Répondant à la question de savoi</w:t>
      </w:r>
      <w:r w:rsidR="007125CB">
        <w:t>r ce qu’est l’esprit</w:t>
      </w:r>
      <w:r>
        <w:t xml:space="preserve">, Hegel, dans l’Introduction de ses </w:t>
      </w:r>
      <w:r w:rsidRPr="00585B33">
        <w:rPr>
          <w:i/>
        </w:rPr>
        <w:t>Leçons sur la philosophie de la religion</w:t>
      </w:r>
      <w:r>
        <w:t xml:space="preserve"> de 1827, déclare ceci : « être esprit, c’est se manifester, être </w:t>
      </w:r>
      <w:r w:rsidRPr="000A4B0F">
        <w:rPr>
          <w:i/>
        </w:rPr>
        <w:t>pour l’esprit</w:t>
      </w:r>
      <w:r>
        <w:t> »</w:t>
      </w:r>
      <w:r w:rsidR="00190A9A">
        <w:rPr>
          <w:rStyle w:val="Appelnotedebasdep"/>
        </w:rPr>
        <w:footnoteReference w:id="24"/>
      </w:r>
      <w:r>
        <w:t>. Et il poursuit : « L’esprit est pour l’esprit, et il ne l’est pas seulement de manière extérieure, contingente : il n’est esprit que dans la mesure où il est pour l’esprit ; c’est là ce qui constitue le concept d</w:t>
      </w:r>
      <w:r w:rsidR="00FD0E6F">
        <w:t>e l</w:t>
      </w:r>
      <w:r>
        <w:t>’esprit lui-même »</w:t>
      </w:r>
      <w:r w:rsidR="00190A9A">
        <w:rPr>
          <w:rStyle w:val="Appelnotedebasdep"/>
        </w:rPr>
        <w:footnoteReference w:id="25"/>
      </w:r>
      <w:r>
        <w:t>. Il n’est guère besoin de longs dév</w:t>
      </w:r>
      <w:r w:rsidR="002679C8">
        <w:t>eloppements pour saisi</w:t>
      </w:r>
      <w:r w:rsidR="009E42E8">
        <w:t xml:space="preserve">r combien </w:t>
      </w:r>
      <w:r>
        <w:t xml:space="preserve"> cette déclaration à propos de la nature de l’esprit rejoint celle – fameuse – que l’on trouve dans la Préface de la </w:t>
      </w:r>
      <w:r>
        <w:rPr>
          <w:i/>
        </w:rPr>
        <w:t>Phénoménologie de l’esprit</w:t>
      </w:r>
      <w:r>
        <w:t xml:space="preserve"> touchant ce qui forme l’authentiq</w:t>
      </w:r>
      <w:r w:rsidR="007125CB">
        <w:t xml:space="preserve">ue teneur de la vérité, </w:t>
      </w:r>
      <w:r>
        <w:t xml:space="preserve"> qu</w:t>
      </w:r>
      <w:r w:rsidR="00FC0565">
        <w:t>’il s’agit</w:t>
      </w:r>
      <w:r w:rsidR="007125CB">
        <w:t>, nous dit Hegel</w:t>
      </w:r>
      <w:r w:rsidR="00567C67">
        <w:t xml:space="preserve"> à cet endroit</w:t>
      </w:r>
      <w:r w:rsidR="007125CB">
        <w:t>, de concevoir</w:t>
      </w:r>
      <w:r w:rsidR="00FC0565">
        <w:t xml:space="preserve"> non pas simplement com</w:t>
      </w:r>
      <w:r w:rsidR="007125CB">
        <w:t>me substance, mais</w:t>
      </w:r>
      <w:r w:rsidR="00FC0565">
        <w:t xml:space="preserve"> « tout autant comme </w:t>
      </w:r>
      <w:r w:rsidR="00FC0565">
        <w:rPr>
          <w:i/>
        </w:rPr>
        <w:t>sujet</w:t>
      </w:r>
      <w:r w:rsidR="00FC0565">
        <w:t> »</w:t>
      </w:r>
      <w:r w:rsidR="00190A9A">
        <w:rPr>
          <w:rStyle w:val="Appelnotedebasdep"/>
        </w:rPr>
        <w:footnoteReference w:id="26"/>
      </w:r>
      <w:r w:rsidR="00FC0565">
        <w:t>. Sans chercher à faire ici l’exégèse de cette phrase fameuse et difficile, on voit que ce qui s’y exprime, c’est en tout cas le refus d’une conception étroitement substantialiste du vrai, laquelle – pour faire bref –</w:t>
      </w:r>
      <w:r w:rsidR="004753F8">
        <w:t xml:space="preserve"> l’appréhende simplement dan</w:t>
      </w:r>
      <w:r w:rsidR="00FC0565">
        <w:t>s le registre de la chose, de l’objet ou encore de l’étant</w:t>
      </w:r>
      <w:r w:rsidR="007125CB">
        <w:t>, comme quelque chose de simplement là, de tout prêt et de donné</w:t>
      </w:r>
      <w:r w:rsidR="00FC0565">
        <w:t>. Pareil registre, estime en effet Hege</w:t>
      </w:r>
      <w:r w:rsidR="007125CB">
        <w:t>l, est impropre à l’expression du</w:t>
      </w:r>
      <w:r w:rsidR="00FC0565">
        <w:t xml:space="preserve"> v</w:t>
      </w:r>
      <w:r w:rsidR="004753F8">
        <w:t>rai dans son absoluité, car il s’y trouve alors rendu contradictoirement dépendant</w:t>
      </w:r>
      <w:r w:rsidR="00FC0565">
        <w:t xml:space="preserve"> d’un autre, en l’</w:t>
      </w:r>
      <w:r w:rsidR="004753F8">
        <w:t>espèce de ce pour quoi</w:t>
      </w:r>
      <w:r w:rsidR="00190A9A">
        <w:t xml:space="preserve"> et vis-à-vis de</w:t>
      </w:r>
      <w:r w:rsidR="00567C67">
        <w:t xml:space="preserve"> quoi </w:t>
      </w:r>
      <w:r w:rsidR="004753F8">
        <w:t xml:space="preserve"> il est objet et qui le</w:t>
      </w:r>
      <w:r w:rsidR="00346B79">
        <w:t xml:space="preserve"> pose</w:t>
      </w:r>
      <w:r w:rsidR="004753F8">
        <w:t xml:space="preserve"> </w:t>
      </w:r>
      <w:r w:rsidR="00B1745E">
        <w:t>en tant que</w:t>
      </w:r>
      <w:r w:rsidR="004753F8" w:rsidRPr="005B45ED">
        <w:t xml:space="preserve"> tel, tant il est vrai qu’il n’est d’objet que pour un sujet</w:t>
      </w:r>
      <w:r w:rsidR="00346B79" w:rsidRPr="005B45ED">
        <w:t xml:space="preserve"> qui le réfléchit comme objet</w:t>
      </w:r>
      <w:r w:rsidR="004753F8" w:rsidRPr="005B45ED">
        <w:t>. Aussi</w:t>
      </w:r>
      <w:r w:rsidR="004753F8">
        <w:t xml:space="preserve"> bien la vérité ne peut-elle être appréhendée </w:t>
      </w:r>
      <w:r w:rsidR="008C5D05">
        <w:t>« en vérité »</w:t>
      </w:r>
      <w:r w:rsidR="004753F8">
        <w:t xml:space="preserve"> que là où loin d’être</w:t>
      </w:r>
      <w:r w:rsidR="00346B79">
        <w:t xml:space="preserve"> ainsi</w:t>
      </w:r>
      <w:r w:rsidR="004753F8">
        <w:t xml:space="preserve"> pour un autre que soi,</w:t>
      </w:r>
      <w:r w:rsidR="00346B79">
        <w:t xml:space="preserve"> simple objet</w:t>
      </w:r>
      <w:r w:rsidR="002679C8">
        <w:t xml:space="preserve"> inerte</w:t>
      </w:r>
      <w:r w:rsidR="00346B79">
        <w:t xml:space="preserve"> d’une conscience étrangère</w:t>
      </w:r>
      <w:r w:rsidR="008C5D05">
        <w:t xml:space="preserve"> qui la pose et en dispose</w:t>
      </w:r>
      <w:r w:rsidR="00346B79">
        <w:t>,</w:t>
      </w:r>
      <w:r w:rsidR="004753F8">
        <w:t xml:space="preserve"> elle est au contraire appréhendée comme étant essentiellement </w:t>
      </w:r>
      <w:r w:rsidR="004753F8" w:rsidRPr="00B1745E">
        <w:rPr>
          <w:i/>
        </w:rPr>
        <w:t>pour soi</w:t>
      </w:r>
      <w:r w:rsidR="004753F8">
        <w:t xml:space="preserve">, </w:t>
      </w:r>
      <w:r w:rsidR="008C5D05">
        <w:t xml:space="preserve">en elle-même </w:t>
      </w:r>
      <w:r w:rsidR="004753F8">
        <w:t>rapport à soi, c’est-à-dire comme  sujet</w:t>
      </w:r>
      <w:r w:rsidR="00346B79">
        <w:t xml:space="preserve"> et</w:t>
      </w:r>
      <w:r w:rsidR="004753F8">
        <w:t xml:space="preserve"> conscien</w:t>
      </w:r>
      <w:r w:rsidR="00346B79">
        <w:t>ce</w:t>
      </w:r>
      <w:r w:rsidR="007125CB">
        <w:t xml:space="preserve"> de soi qui, librement, dispose de soi.</w:t>
      </w:r>
      <w:r w:rsidR="004753F8">
        <w:t xml:space="preserve"> Or cela, cette appré</w:t>
      </w:r>
      <w:r w:rsidR="00346B79">
        <w:t>hens</w:t>
      </w:r>
      <w:r w:rsidR="009E42E8">
        <w:t>ion d</w:t>
      </w:r>
      <w:r w:rsidR="00346B79">
        <w:t xml:space="preserve">u vrai en termes  spirituels d’être pour soi, c’est ce que, dans sa philosophie de la religion, Hegel transfère sur Dieu, </w:t>
      </w:r>
      <w:r w:rsidR="008C5D05">
        <w:t>lequel</w:t>
      </w:r>
      <w:r w:rsidR="00346B79">
        <w:t xml:space="preserve"> est, ne l’oublions pas, l’expression de la vérité </w:t>
      </w:r>
      <w:r w:rsidR="008C5D05">
        <w:t>en termes</w:t>
      </w:r>
      <w:r w:rsidR="00346B79">
        <w:t xml:space="preserve"> religieux : </w:t>
      </w:r>
      <w:r w:rsidR="008C5D05">
        <w:t>« Dieu, observe en effet Hegel, consiste à être non seulement en soi, il est tout aussi essentiellement pour soi »</w:t>
      </w:r>
      <w:r w:rsidR="00190A9A">
        <w:rPr>
          <w:rStyle w:val="Appelnotedebasdep"/>
        </w:rPr>
        <w:footnoteReference w:id="27"/>
      </w:r>
      <w:r w:rsidR="004B7F52">
        <w:t>.</w:t>
      </w:r>
    </w:p>
    <w:p w:rsidR="004B7F52" w:rsidRDefault="004B7F52" w:rsidP="00A82C3C">
      <w:pPr>
        <w:jc w:val="both"/>
      </w:pPr>
    </w:p>
    <w:p w:rsidR="00AF772D" w:rsidRDefault="00877DF0" w:rsidP="00A82C3C">
      <w:pPr>
        <w:jc w:val="both"/>
      </w:pPr>
      <w:r>
        <w:t>Qu’</w:t>
      </w:r>
      <w:r w:rsidR="005B45ED">
        <w:t>implique</w:t>
      </w:r>
      <w:r>
        <w:t xml:space="preserve"> donc</w:t>
      </w:r>
      <w:r w:rsidR="005B45ED">
        <w:t xml:space="preserve"> cet être pour soi essentiel du Dieu esprit? La première chose à bien noter</w:t>
      </w:r>
      <w:r w:rsidR="008C5D05">
        <w:t xml:space="preserve"> </w:t>
      </w:r>
      <w:r w:rsidR="009E42E8">
        <w:t>à ce sujet</w:t>
      </w:r>
      <w:r w:rsidR="005B45ED">
        <w:t xml:space="preserve">, c’est que l’on n’est véritablement pour soi que dans la mesure où on </w:t>
      </w:r>
      <w:r w:rsidR="005B45ED">
        <w:rPr>
          <w:i/>
        </w:rPr>
        <w:t>se fait</w:t>
      </w:r>
      <w:r w:rsidR="005B45ED">
        <w:t xml:space="preserve"> pour soi, que donc il ne s’agit là en aucune façon d’un simple état</w:t>
      </w:r>
      <w:r w:rsidR="002679C8">
        <w:t xml:space="preserve"> immédiat</w:t>
      </w:r>
      <w:r w:rsidR="005B45ED">
        <w:t>, avec toute la fixité, l’immobilité</w:t>
      </w:r>
      <w:r w:rsidR="00FA1362">
        <w:t xml:space="preserve"> réifiante</w:t>
      </w:r>
      <w:r w:rsidR="005B45ED">
        <w:t xml:space="preserve"> que cela implique, mais bien d’un </w:t>
      </w:r>
      <w:r w:rsidR="005B45ED">
        <w:rPr>
          <w:i/>
        </w:rPr>
        <w:t>acte</w:t>
      </w:r>
      <w:r w:rsidR="005B45ED">
        <w:t xml:space="preserve">, en l’espèce de l’acte de </w:t>
      </w:r>
      <w:r w:rsidR="005B45ED" w:rsidRPr="005B45ED">
        <w:rPr>
          <w:i/>
        </w:rPr>
        <w:t>se manifester</w:t>
      </w:r>
      <w:r w:rsidR="00C05949">
        <w:t xml:space="preserve"> que</w:t>
      </w:r>
      <w:r w:rsidR="005B45ED">
        <w:t xml:space="preserve"> nous</w:t>
      </w:r>
      <w:r w:rsidR="00C05949">
        <w:t xml:space="preserve"> avons</w:t>
      </w:r>
      <w:r>
        <w:t xml:space="preserve"> tout à l’heure</w:t>
      </w:r>
      <w:r w:rsidR="00B1745E">
        <w:t xml:space="preserve"> déjà  discut</w:t>
      </w:r>
      <w:r w:rsidR="000A4B0F">
        <w:t>é</w:t>
      </w:r>
      <w:r w:rsidR="00C05949">
        <w:t xml:space="preserve"> et dont nous</w:t>
      </w:r>
      <w:r w:rsidR="005B45ED">
        <w:t xml:space="preserve"> découvrons ici le véritable sens</w:t>
      </w:r>
      <w:r w:rsidR="00C05949">
        <w:t> : se manifester</w:t>
      </w:r>
      <w:r w:rsidR="00FE1CA5">
        <w:t>,</w:t>
      </w:r>
      <w:r w:rsidR="00C05949">
        <w:t xml:space="preserve"> </w:t>
      </w:r>
      <w:r w:rsidR="00386839">
        <w:t xml:space="preserve">ressaisi </w:t>
      </w:r>
      <w:r w:rsidR="00C05949">
        <w:t>à l’aune de l’être pour soi essentiel de l’esprit, cela veut dire s’objectiver, se poser</w:t>
      </w:r>
      <w:r w:rsidR="001B2DE1">
        <w:t xml:space="preserve"> (</w:t>
      </w:r>
      <w:r w:rsidR="00567C67">
        <w:t xml:space="preserve">ou,  mieux, </w:t>
      </w:r>
      <w:r w:rsidR="001B2DE1">
        <w:t>se projeter)</w:t>
      </w:r>
      <w:r w:rsidR="00C05949">
        <w:t xml:space="preserve"> en dehors et vis-à-vis de soi, </w:t>
      </w:r>
      <w:r w:rsidR="00E3084E">
        <w:t>pour, moyennant  pareille objectivation, se faire alors seulement</w:t>
      </w:r>
      <w:r w:rsidR="004C22A4">
        <w:t xml:space="preserve"> </w:t>
      </w:r>
      <w:r w:rsidR="00E3084E">
        <w:t xml:space="preserve">pour soi, conscience et savoir de soi. </w:t>
      </w:r>
      <w:r w:rsidR="002F5A85">
        <w:t xml:space="preserve">Mais il convient </w:t>
      </w:r>
      <w:r w:rsidR="005B3B39">
        <w:t>alors</w:t>
      </w:r>
      <w:r w:rsidR="001B2DE1">
        <w:t xml:space="preserve"> </w:t>
      </w:r>
      <w:r w:rsidR="002F5A85">
        <w:t>d’examiner de</w:t>
      </w:r>
      <w:r w:rsidR="004C22A4">
        <w:t xml:space="preserve"> plus près cet acte d’objectivation de </w:t>
      </w:r>
      <w:r w:rsidR="004C22A4">
        <w:lastRenderedPageBreak/>
        <w:t xml:space="preserve">soi qui </w:t>
      </w:r>
      <w:r w:rsidR="00745E4F">
        <w:t xml:space="preserve">est </w:t>
      </w:r>
      <w:r w:rsidR="004C22A4">
        <w:t>au cœur de l’esprit et</w:t>
      </w:r>
      <w:r>
        <w:t xml:space="preserve"> qui, à ce titre, s’applique par excellence à Dieu </w:t>
      </w:r>
      <w:r w:rsidR="001B2DE1">
        <w:t>en tant qu’</w:t>
      </w:r>
      <w:r w:rsidR="004C22A4">
        <w:t>esprit absolu. Une telle objectivation</w:t>
      </w:r>
      <w:r w:rsidR="002F5A85">
        <w:t>, où Dieu en quelque façon se redouble au-dedans de soi,</w:t>
      </w:r>
      <w:r w:rsidR="004C22A4">
        <w:t xml:space="preserve"> si</w:t>
      </w:r>
      <w:r w:rsidR="00346108">
        <w:t>gnifie une sortie hors de soi</w:t>
      </w:r>
      <w:r w:rsidR="001B2DE1">
        <w:t>, elle implique</w:t>
      </w:r>
      <w:r w:rsidR="004C22A4">
        <w:t xml:space="preserve"> une séparation</w:t>
      </w:r>
      <w:r w:rsidR="00346108">
        <w:t>, un écart ou encore une différence d’avec soi sans l</w:t>
      </w:r>
      <w:r w:rsidR="001B2DE1">
        <w:t>a</w:t>
      </w:r>
      <w:r w:rsidR="00346108">
        <w:t>quel</w:t>
      </w:r>
      <w:r w:rsidR="001B2DE1">
        <w:t>le, en effet,</w:t>
      </w:r>
      <w:r w:rsidR="00346108">
        <w:t xml:space="preserve"> aucune conscience</w:t>
      </w:r>
      <w:r w:rsidR="005B3B39">
        <w:t>, aucun être pour soi</w:t>
      </w:r>
      <w:r w:rsidR="00346108">
        <w:t xml:space="preserve"> ne saurait advenir. </w:t>
      </w:r>
      <w:r w:rsidR="004C22A4">
        <w:t xml:space="preserve"> Se manifester</w:t>
      </w:r>
      <w:r w:rsidR="00346108">
        <w:t>, écrit</w:t>
      </w:r>
      <w:r w:rsidR="00567C67">
        <w:t xml:space="preserve"> en ce sens</w:t>
      </w:r>
      <w:r w:rsidR="00346108">
        <w:t xml:space="preserve"> Hegel, revient à</w:t>
      </w:r>
      <w:r w:rsidR="004C22A4">
        <w:t xml:space="preserve"> se scinder</w:t>
      </w:r>
      <w:r w:rsidR="00190A9A">
        <w:rPr>
          <w:rStyle w:val="Appelnotedebasdep"/>
        </w:rPr>
        <w:footnoteReference w:id="28"/>
      </w:r>
      <w:r w:rsidR="004C22A4">
        <w:t>. C’est ce que préfigure à l’i</w:t>
      </w:r>
      <w:r w:rsidR="00386839">
        <w:t>ntérieur même de Dieu son essence</w:t>
      </w:r>
      <w:r w:rsidR="004C22A4">
        <w:t xml:space="preserve"> trinitaire</w:t>
      </w:r>
      <w:r w:rsidR="005B3B39">
        <w:t xml:space="preserve">, dans laquelle, </w:t>
      </w:r>
      <w:r w:rsidR="00A0461D">
        <w:t>observ</w:t>
      </w:r>
      <w:r w:rsidR="005B3B39">
        <w:t>e-t-il, «Dieu est […] saisi tel qu’il se fait objet de lui-même », l’objet demeurant toutefois  alors « identique à Dieu dans cette distinction de soi »</w:t>
      </w:r>
      <w:r w:rsidR="007B194D">
        <w:rPr>
          <w:rStyle w:val="Appelnotedebasdep"/>
        </w:rPr>
        <w:footnoteReference w:id="29"/>
      </w:r>
      <w:r w:rsidR="004C22A4">
        <w:t>.</w:t>
      </w:r>
      <w:r w:rsidR="002679C8">
        <w:t xml:space="preserve"> Mais, ceci</w:t>
      </w:r>
      <w:r w:rsidR="00A0461D">
        <w:t xml:space="preserve"> ne suffit pas encore car</w:t>
      </w:r>
      <w:r w:rsidR="00884D99">
        <w:t xml:space="preserve"> pareille </w:t>
      </w:r>
      <w:r w:rsidR="00A0461D">
        <w:t>distance réflexive</w:t>
      </w:r>
      <w:r w:rsidR="004C22A4">
        <w:t xml:space="preserve"> ne</w:t>
      </w:r>
      <w:r w:rsidR="00A0461D">
        <w:t xml:space="preserve"> devient authentiquement</w:t>
      </w:r>
      <w:r w:rsidR="00E565CE">
        <w:t xml:space="preserve"> </w:t>
      </w:r>
      <w:r w:rsidR="00E565CE" w:rsidRPr="00BE3A90">
        <w:rPr>
          <w:i/>
        </w:rPr>
        <w:t>effective</w:t>
      </w:r>
      <w:r w:rsidR="00E565CE">
        <w:t xml:space="preserve"> que là où Dieu</w:t>
      </w:r>
      <w:r w:rsidR="00884D99">
        <w:t>, faisant le deuil de sa divinité, consent à sortir de celle-ci</w:t>
      </w:r>
      <w:r w:rsidR="00A0461D">
        <w:t>, c’est-à-dire à affronter la finitude</w:t>
      </w:r>
      <w:r w:rsidR="007C0446">
        <w:t xml:space="preserve"> adverse</w:t>
      </w:r>
      <w:r w:rsidR="00884D99">
        <w:t xml:space="preserve"> et à l’endosser en se  faisant</w:t>
      </w:r>
      <w:r w:rsidR="00E565CE">
        <w:t xml:space="preserve"> </w:t>
      </w:r>
      <w:r w:rsidR="001F3BA2">
        <w:t xml:space="preserve">lui-même </w:t>
      </w:r>
      <w:r w:rsidR="00A0461D">
        <w:t>homme</w:t>
      </w:r>
      <w:r w:rsidR="00884D99">
        <w:t>. Ce qui veut dire :</w:t>
      </w:r>
      <w:r w:rsidR="00E565CE">
        <w:t xml:space="preserve"> Dieu ne se fait authentiquement pour soi, rapport à soi et conscience de soi, c’est-à-dire effectivement espri</w:t>
      </w:r>
      <w:r w:rsidR="00884D99">
        <w:t xml:space="preserve">t, </w:t>
      </w:r>
      <w:r w:rsidR="00884D99" w:rsidRPr="00D350CA">
        <w:rPr>
          <w:i/>
        </w:rPr>
        <w:t>que dans l’homme et par lui</w:t>
      </w:r>
      <w:r w:rsidR="001F3BA2">
        <w:t xml:space="preserve">. </w:t>
      </w:r>
      <w:r w:rsidR="00DA7E36">
        <w:t>De fait, en produisant l’homme, Dieu produit un être de pensée et d’esprit, un être</w:t>
      </w:r>
      <w:r w:rsidR="003B1436">
        <w:t xml:space="preserve"> qui, à ce titre, est constitutivement travaillé par le souci de la vérité et dont</w:t>
      </w:r>
      <w:r w:rsidR="00DA7E36">
        <w:t xml:space="preserve"> la préoccupation la plus centrale et la plus irréductible</w:t>
      </w:r>
      <w:r w:rsidR="003B1436">
        <w:t xml:space="preserve"> est dès lors, comme nous l’avons vu, la préoccupation religieuse. </w:t>
      </w:r>
      <w:r w:rsidR="00DA7E36">
        <w:t xml:space="preserve"> </w:t>
      </w:r>
      <w:r w:rsidR="00AE3A68">
        <w:t>Ce</w:t>
      </w:r>
      <w:r w:rsidR="009744B9">
        <w:t xml:space="preserve"> qui se passe en effet</w:t>
      </w:r>
      <w:r w:rsidR="00AE3A68">
        <w:t xml:space="preserve"> dans la religion, c’est que</w:t>
      </w:r>
      <w:r w:rsidR="00E86407">
        <w:t xml:space="preserve"> l’homme</w:t>
      </w:r>
      <w:r w:rsidR="00AE3A68">
        <w:t xml:space="preserve"> y explicite, qu’il y déploie</w:t>
      </w:r>
      <w:r w:rsidR="00E86407">
        <w:t xml:space="preserve"> sa spiritualité intrinsèque, en se faisant </w:t>
      </w:r>
      <w:r w:rsidR="00E86407" w:rsidRPr="00753B08">
        <w:rPr>
          <w:i/>
        </w:rPr>
        <w:t>conscience de Dieu</w:t>
      </w:r>
      <w:r w:rsidR="00E86407">
        <w:t xml:space="preserve">, car la religion dans son concept n’est rien d’autre que cela : </w:t>
      </w:r>
      <w:r w:rsidR="00AE3A68">
        <w:t xml:space="preserve">la </w:t>
      </w:r>
      <w:r w:rsidR="00E86407">
        <w:t xml:space="preserve">relation consciente de l’homme à Dieu. </w:t>
      </w:r>
      <w:r w:rsidR="00D350CA">
        <w:t>Or, soutient Hegel</w:t>
      </w:r>
      <w:r w:rsidR="007B194D">
        <w:t xml:space="preserve"> – et c’est là</w:t>
      </w:r>
      <w:r w:rsidR="00753B08">
        <w:t xml:space="preserve"> le nœud de</w:t>
      </w:r>
      <w:r w:rsidR="007B194D">
        <w:t xml:space="preserve"> toute</w:t>
      </w:r>
      <w:r w:rsidR="00753B08">
        <w:t xml:space="preserve"> l’affaire -,</w:t>
      </w:r>
      <w:r w:rsidR="00D350CA">
        <w:t xml:space="preserve"> en se faisant ainsi con</w:t>
      </w:r>
      <w:r w:rsidR="00B40F34">
        <w:t>science</w:t>
      </w:r>
      <w:r w:rsidR="0033768F">
        <w:t xml:space="preserve"> de Dieu</w:t>
      </w:r>
      <w:r w:rsidR="009744B9">
        <w:t xml:space="preserve">, </w:t>
      </w:r>
      <w:r w:rsidR="0033768F">
        <w:t>l’homme ne répond pas</w:t>
      </w:r>
      <w:r w:rsidR="009744B9">
        <w:t xml:space="preserve"> à une</w:t>
      </w:r>
      <w:r w:rsidR="0033768F">
        <w:t xml:space="preserve"> simple impulsion</w:t>
      </w:r>
      <w:r w:rsidR="009744B9">
        <w:t xml:space="preserve"> anthropologique,</w:t>
      </w:r>
      <w:r w:rsidR="00781D99">
        <w:t xml:space="preserve"> auquel cas Dieu ne serait jamais dans la religion que l’objet inerte de la conscience humaine</w:t>
      </w:r>
      <w:r w:rsidR="00104D4A">
        <w:t xml:space="preserve"> et la religion</w:t>
      </w:r>
      <w:r w:rsidR="00FA1362">
        <w:t>, du fait même,</w:t>
      </w:r>
      <w:r w:rsidR="00104D4A">
        <w:t xml:space="preserve"> au plus proche de l’idolâtrie</w:t>
      </w:r>
      <w:r w:rsidR="00781D99">
        <w:t> ; il y répond, bien</w:t>
      </w:r>
      <w:r w:rsidR="009744B9">
        <w:t xml:space="preserve"> plus originairement, à l’appe</w:t>
      </w:r>
      <w:r w:rsidR="0033768F">
        <w:t>l même de Dieu qui</w:t>
      </w:r>
      <w:r w:rsidR="00B40F34">
        <w:t>, activement</w:t>
      </w:r>
      <w:r w:rsidR="00723D6C">
        <w:t>, en tant qu’essentiellement sujet</w:t>
      </w:r>
      <w:r w:rsidR="00B40F34">
        <w:t>,</w:t>
      </w:r>
      <w:r w:rsidR="007C0446">
        <w:t xml:space="preserve"> le sollicite</w:t>
      </w:r>
      <w:r w:rsidR="00B40F34">
        <w:t xml:space="preserve"> et l’investit</w:t>
      </w:r>
      <w:r w:rsidR="0033768F">
        <w:t>, passe donc en lui</w:t>
      </w:r>
      <w:r w:rsidR="00DF2763">
        <w:t xml:space="preserve"> et dans sa finitude</w:t>
      </w:r>
      <w:r w:rsidR="0033768F">
        <w:t>,</w:t>
      </w:r>
      <w:r w:rsidR="00D350CA">
        <w:t xml:space="preserve">  </w:t>
      </w:r>
      <w:r w:rsidR="009744B9">
        <w:t>pour</w:t>
      </w:r>
      <w:r w:rsidR="00DF2763">
        <w:t xml:space="preserve"> s’y faire, moyennant l’écart ainsi produit d’avec sa divinité immédiate,</w:t>
      </w:r>
      <w:r w:rsidR="00FA1362">
        <w:t xml:space="preserve"> conscience de soi</w:t>
      </w:r>
      <w:r w:rsidR="00104D4A">
        <w:t xml:space="preserve"> et se réaliser du même coup </w:t>
      </w:r>
      <w:r w:rsidR="009744B9">
        <w:t>comme esprit au sein d</w:t>
      </w:r>
      <w:r w:rsidR="00DA7462">
        <w:t xml:space="preserve">u lien religieux. </w:t>
      </w:r>
      <w:r w:rsidR="00E86407">
        <w:t xml:space="preserve">La thèse hégélienne, unissant dès lors </w:t>
      </w:r>
      <w:r w:rsidR="00AE3A68">
        <w:t>de la façon la plus étroite</w:t>
      </w:r>
      <w:r w:rsidR="00E86407">
        <w:t xml:space="preserve"> homme et Dieu au sein d’une seule et même sphère qui est celle de l’esprit</w:t>
      </w:r>
      <w:r w:rsidR="00AE3A68">
        <w:t>,</w:t>
      </w:r>
      <w:r w:rsidR="00E86407">
        <w:t xml:space="preserve"> soutient</w:t>
      </w:r>
      <w:r w:rsidR="00DA7462">
        <w:t xml:space="preserve"> en effet</w:t>
      </w:r>
      <w:r w:rsidR="00E86407">
        <w:t xml:space="preserve"> que c’est </w:t>
      </w:r>
      <w:r w:rsidR="00AE3A68">
        <w:t>Dieu lu</w:t>
      </w:r>
      <w:r w:rsidR="00B40F34">
        <w:t>i-même qui est au principe d’un tel lien</w:t>
      </w:r>
      <w:r w:rsidR="00AE3A68">
        <w:t xml:space="preserve">, non pas à vrai dire qu’il se borne du dehors à l’instituer, mais que, plus essentiellement, </w:t>
      </w:r>
      <w:r w:rsidR="00AE3A68" w:rsidRPr="00753B08">
        <w:rPr>
          <w:i/>
        </w:rPr>
        <w:t>il s’institue</w:t>
      </w:r>
      <w:r w:rsidR="00AE3A68">
        <w:t xml:space="preserve"> </w:t>
      </w:r>
      <w:r w:rsidR="00B40F34">
        <w:rPr>
          <w:i/>
        </w:rPr>
        <w:t>lui-même en lui</w:t>
      </w:r>
      <w:r w:rsidR="00AE3A68" w:rsidRPr="00753B08">
        <w:rPr>
          <w:i/>
        </w:rPr>
        <w:t xml:space="preserve"> en s’y réalisant en tant que Dieu esprit.</w:t>
      </w:r>
      <w:r w:rsidR="00994926">
        <w:t xml:space="preserve"> Aussi bien, la religion fait-elle</w:t>
      </w:r>
      <w:r w:rsidR="00745E4F">
        <w:t xml:space="preserve"> pour Hegel</w:t>
      </w:r>
      <w:r w:rsidR="00994926">
        <w:t xml:space="preserve"> partie intégrante</w:t>
      </w:r>
      <w:r w:rsidR="00D350CA">
        <w:t xml:space="preserve"> de la divinité même de Dieu</w:t>
      </w:r>
      <w:r w:rsidR="00745E4F">
        <w:t xml:space="preserve"> et, p</w:t>
      </w:r>
      <w:r w:rsidR="00994926">
        <w:t>réc</w:t>
      </w:r>
      <w:r w:rsidR="00745E4F">
        <w:t>isant dans ce se</w:t>
      </w:r>
      <w:r w:rsidR="009D3FEA">
        <w:t>ns ce qui forme l’objet de ses l</w:t>
      </w:r>
      <w:r w:rsidR="00745E4F">
        <w:t>eçons sur la philosophie de la religion</w:t>
      </w:r>
      <w:r w:rsidR="00994926">
        <w:t>, il remarque</w:t>
      </w:r>
      <w:r w:rsidR="00745E4F">
        <w:t xml:space="preserve"> dans l’Introduction de 1824</w:t>
      </w:r>
      <w:r w:rsidR="00994926">
        <w:t xml:space="preserve"> que « notre objet n’est pas seulement Dieu en tant que tel, le contenu de notre science est la religion », car, ajoute-t-il,</w:t>
      </w:r>
      <w:r w:rsidR="00745E4F">
        <w:t xml:space="preserve"> nous </w:t>
      </w:r>
      <w:r w:rsidR="00DA7462">
        <w:t>saisiss</w:t>
      </w:r>
      <w:r w:rsidR="00745E4F">
        <w:t>ons Dieu comme esprit et « ce concept inclut en soi le côté subjectif, qui dans la détermination de la religion vient s’ajouter à ce contenu »</w:t>
      </w:r>
      <w:r w:rsidR="007B194D">
        <w:rPr>
          <w:rStyle w:val="Appelnotedebasdep"/>
        </w:rPr>
        <w:footnoteReference w:id="30"/>
      </w:r>
      <w:r w:rsidR="00745E4F">
        <w:t>.</w:t>
      </w:r>
    </w:p>
    <w:p w:rsidR="00006DA3" w:rsidRDefault="00006DA3" w:rsidP="00A82C3C">
      <w:pPr>
        <w:jc w:val="both"/>
      </w:pPr>
    </w:p>
    <w:p w:rsidR="00006DA3" w:rsidRDefault="00006DA3" w:rsidP="00A82C3C">
      <w:pPr>
        <w:jc w:val="both"/>
      </w:pPr>
      <w:r>
        <w:t xml:space="preserve">Ainsi, </w:t>
      </w:r>
      <w:r w:rsidR="00753B08">
        <w:t xml:space="preserve">et </w:t>
      </w:r>
      <w:r>
        <w:t>je terminerai là-dessus en renouant avec le thème du colloque</w:t>
      </w:r>
      <w:r w:rsidR="00753B08">
        <w:t xml:space="preserve"> que j’évoquais au début de mon intervention</w:t>
      </w:r>
      <w:r>
        <w:t>, le risque que représente la religion pour Dieu, en l’espèce la brèche qu’elle ouvre au sein de sa divinité</w:t>
      </w:r>
      <w:r w:rsidR="00560142">
        <w:t xml:space="preserve"> en la référant à autre chose qu’elle-même</w:t>
      </w:r>
      <w:r>
        <w:t xml:space="preserve">, cela s’enracine pour Hegel </w:t>
      </w:r>
      <w:r w:rsidR="00251B59">
        <w:t xml:space="preserve"> - on le voit à présent clairement - </w:t>
      </w:r>
      <w:r w:rsidRPr="00753B08">
        <w:rPr>
          <w:i/>
        </w:rPr>
        <w:t>en Dieu même</w:t>
      </w:r>
      <w:r w:rsidR="00560142">
        <w:t xml:space="preserve"> et est donc pour lui strictement incontournable</w:t>
      </w:r>
      <w:r>
        <w:t xml:space="preserve">. </w:t>
      </w:r>
      <w:r w:rsidR="00251B59">
        <w:t>Ce risque e</w:t>
      </w:r>
      <w:r>
        <w:t xml:space="preserve">st-il pour autant, à se jouer ainsi au sein même de Dieu, </w:t>
      </w:r>
      <w:r w:rsidR="00251B59">
        <w:t>diminué et ne constitue-t-il en fin de compte qu’un risque apparent, un simple jeu de la divinité avec elle-même, pour paraphraser Hegel</w:t>
      </w:r>
      <w:r w:rsidR="007B194D">
        <w:rPr>
          <w:rStyle w:val="Appelnotedebasdep"/>
        </w:rPr>
        <w:footnoteReference w:id="31"/>
      </w:r>
      <w:r w:rsidR="00B32B61">
        <w:t>, où celle-ci se retrouverait sans s’être jamais réellement perdue ?</w:t>
      </w:r>
      <w:r w:rsidR="00251B59">
        <w:t xml:space="preserve"> Je ne le pense pas, car, si </w:t>
      </w:r>
      <w:r w:rsidR="00251B59">
        <w:lastRenderedPageBreak/>
        <w:t xml:space="preserve">l’on prend en compte la </w:t>
      </w:r>
      <w:r w:rsidR="00251B59" w:rsidRPr="00B1745E">
        <w:rPr>
          <w:i/>
        </w:rPr>
        <w:t>distance</w:t>
      </w:r>
      <w:r w:rsidR="00251B59">
        <w:t xml:space="preserve"> que Dieu y prend avec sa propre divinité, comme il convient de le faire pour donner à cette séparation toute la force et l’intensité, toute l’</w:t>
      </w:r>
      <w:r w:rsidR="00251B59" w:rsidRPr="00E73F19">
        <w:rPr>
          <w:i/>
        </w:rPr>
        <w:t>effectivité</w:t>
      </w:r>
      <w:r w:rsidR="00251B59">
        <w:t xml:space="preserve"> qu’elle requiert, cela signifie</w:t>
      </w:r>
      <w:r w:rsidR="006E120E">
        <w:t xml:space="preserve"> </w:t>
      </w:r>
      <w:r w:rsidR="007C0446">
        <w:t xml:space="preserve">en fait </w:t>
      </w:r>
      <w:r w:rsidR="00251B59">
        <w:t xml:space="preserve"> que Dieu en vient à confier son propre destin, </w:t>
      </w:r>
      <w:r w:rsidR="006E120E">
        <w:t xml:space="preserve">celui de </w:t>
      </w:r>
      <w:r w:rsidR="00E73F19">
        <w:t>sa</w:t>
      </w:r>
      <w:r w:rsidR="00251B59">
        <w:t xml:space="preserve"> divinité</w:t>
      </w:r>
      <w:r w:rsidR="00E73F19">
        <w:t xml:space="preserve"> même</w:t>
      </w:r>
      <w:r w:rsidR="00560142">
        <w:t>,</w:t>
      </w:r>
      <w:r w:rsidR="00251B59">
        <w:t xml:space="preserve"> à l’homme, </w:t>
      </w:r>
      <w:r w:rsidR="006E120E">
        <w:t>avec tous les égarements et les illusions dont celui-ci est capable. Le risque n’est donc pas</w:t>
      </w:r>
      <w:r w:rsidR="00C95A66">
        <w:t xml:space="preserve"> mince, mais il est, pour</w:t>
      </w:r>
      <w:r w:rsidR="006E120E">
        <w:t xml:space="preserve"> Hegel, le prix à payer pour conjurer cet autre risque, bien plus désastreux pour l’authentique divinité de Dieu et qui est de le figer dans une transcendance aussi lointaine que vaine</w:t>
      </w:r>
      <w:r w:rsidR="00C95A66">
        <w:t>, ce qui a bien pu correspondre</w:t>
      </w:r>
      <w:r w:rsidR="00E73F19">
        <w:t>, estime-t-il,</w:t>
      </w:r>
      <w:r w:rsidR="00C95A66">
        <w:t xml:space="preserve"> à un certain stade du développement de la conscience religieuse, mais qui ne saurait en revanche convenir à cette religion de la modernité qu’est es</w:t>
      </w:r>
      <w:r w:rsidR="00E73F19">
        <w:t>sentiellement, à ses yeux</w:t>
      </w:r>
      <w:r w:rsidR="00C95A66">
        <w:t>, le christianisme</w:t>
      </w:r>
      <w:r w:rsidR="00DF2763">
        <w:t xml:space="preserve"> en tant que religion accomplie</w:t>
      </w:r>
      <w:r w:rsidR="00C95A66">
        <w:t xml:space="preserve">. </w:t>
      </w:r>
    </w:p>
    <w:p w:rsidR="00E73F19" w:rsidRDefault="00E73F19" w:rsidP="00A82C3C">
      <w:pPr>
        <w:jc w:val="both"/>
      </w:pPr>
    </w:p>
    <w:p w:rsidR="00E73F19" w:rsidRDefault="00E73F19" w:rsidP="00A82C3C">
      <w:pPr>
        <w:jc w:val="both"/>
      </w:pPr>
    </w:p>
    <w:p w:rsidR="00E73F19" w:rsidRDefault="00E73F19" w:rsidP="00A82C3C">
      <w:pPr>
        <w:jc w:val="both"/>
      </w:pPr>
      <w:r>
        <w:t>Gilbert GERARD</w:t>
      </w:r>
    </w:p>
    <w:p w:rsidR="009D3FEA" w:rsidRDefault="009D3FEA" w:rsidP="00A82C3C">
      <w:pPr>
        <w:jc w:val="both"/>
      </w:pPr>
      <w:r>
        <w:t>Institut supérieur de philosophie</w:t>
      </w:r>
    </w:p>
    <w:p w:rsidR="009D3FEA" w:rsidRPr="00994926" w:rsidRDefault="009D3FEA" w:rsidP="00A82C3C">
      <w:pPr>
        <w:jc w:val="both"/>
      </w:pPr>
      <w:r>
        <w:t>Université catholique de Louvain</w:t>
      </w:r>
    </w:p>
    <w:sectPr w:rsidR="009D3FEA" w:rsidRPr="00994926" w:rsidSect="006573B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A48" w:rsidRDefault="00841A48" w:rsidP="007A4081">
      <w:pPr>
        <w:spacing w:after="0" w:line="240" w:lineRule="auto"/>
      </w:pPr>
      <w:r>
        <w:separator/>
      </w:r>
    </w:p>
  </w:endnote>
  <w:endnote w:type="continuationSeparator" w:id="1">
    <w:p w:rsidR="00841A48" w:rsidRDefault="00841A48" w:rsidP="007A40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45E" w:rsidRDefault="00B1745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9295"/>
      <w:docPartObj>
        <w:docPartGallery w:val="Page Numbers (Bottom of Page)"/>
        <w:docPartUnique/>
      </w:docPartObj>
    </w:sdtPr>
    <w:sdtContent>
      <w:p w:rsidR="005A7BD6" w:rsidRDefault="0074125F">
        <w:pPr>
          <w:pStyle w:val="Pieddepage"/>
        </w:pPr>
        <w:fldSimple w:instr=" PAGE   \* MERGEFORMAT ">
          <w:r w:rsidR="009D3FEA">
            <w:rPr>
              <w:noProof/>
            </w:rPr>
            <w:t>1</w:t>
          </w:r>
        </w:fldSimple>
      </w:p>
    </w:sdtContent>
  </w:sdt>
  <w:p w:rsidR="005A7BD6" w:rsidRDefault="005A7BD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45E" w:rsidRDefault="00B1745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A48" w:rsidRDefault="00841A48" w:rsidP="007A4081">
      <w:pPr>
        <w:spacing w:after="0" w:line="240" w:lineRule="auto"/>
      </w:pPr>
      <w:r>
        <w:separator/>
      </w:r>
    </w:p>
  </w:footnote>
  <w:footnote w:type="continuationSeparator" w:id="1">
    <w:p w:rsidR="00841A48" w:rsidRDefault="00841A48" w:rsidP="007A4081">
      <w:pPr>
        <w:spacing w:after="0" w:line="240" w:lineRule="auto"/>
      </w:pPr>
      <w:r>
        <w:continuationSeparator/>
      </w:r>
    </w:p>
  </w:footnote>
  <w:footnote w:id="2">
    <w:p w:rsidR="005A7BD6" w:rsidRPr="00FF1A22" w:rsidRDefault="005A7BD6" w:rsidP="00FF1A22">
      <w:pPr>
        <w:pStyle w:val="Notedebasdepage"/>
        <w:jc w:val="both"/>
      </w:pPr>
      <w:r>
        <w:rPr>
          <w:rStyle w:val="Appelnotedebasdep"/>
        </w:rPr>
        <w:footnoteRef/>
      </w:r>
      <w:r>
        <w:t xml:space="preserve"> Une des étymologies classiques du mot « religion » est en effet celle qui le dérive du latin </w:t>
      </w:r>
      <w:r>
        <w:rPr>
          <w:i/>
        </w:rPr>
        <w:t>religare</w:t>
      </w:r>
      <w:r>
        <w:t xml:space="preserve">, relier. Elle est en concurrence avec cette autre étymologie, elle aussi de provenance latine, qui tire religion de </w:t>
      </w:r>
      <w:r>
        <w:rPr>
          <w:i/>
        </w:rPr>
        <w:t>relegere</w:t>
      </w:r>
      <w:r>
        <w:t>, littéralement « relire » et qui, de là, renvoie pour sa part à l’idée d’une attitude scrupuleuse, attentive et respectueuse, en un mot recueillie. Quelle que soit celle de ces deux étymologies qui, sur le plan scientifique, est la plus convaincante, elles ne me semblent en tout cas, quant au sens qu’elles visent, nullement incompatibles, s’il est vrai que la religion qui relie l’homme à Dieu le fait dans le cadre d’une attitude qui se caractérise par son scrupule et son recueillement.</w:t>
      </w:r>
    </w:p>
  </w:footnote>
  <w:footnote w:id="3">
    <w:p w:rsidR="005A7BD6" w:rsidRPr="004F1A8E" w:rsidRDefault="005A7BD6" w:rsidP="004F1A8E">
      <w:pPr>
        <w:pStyle w:val="Notedebasdepage"/>
        <w:jc w:val="both"/>
      </w:pPr>
      <w:r>
        <w:rPr>
          <w:rStyle w:val="Appelnotedebasdep"/>
        </w:rPr>
        <w:footnoteRef/>
      </w:r>
      <w:r>
        <w:t xml:space="preserve"> Selon le principe néoplatonicien du </w:t>
      </w:r>
      <w:r>
        <w:rPr>
          <w:i/>
        </w:rPr>
        <w:t>bonum diffusivum sui</w:t>
      </w:r>
      <w:r>
        <w:t xml:space="preserve"> qui convient dès lors suprêmement à Dieu en tant que bonté absolue.</w:t>
      </w:r>
    </w:p>
  </w:footnote>
  <w:footnote w:id="4">
    <w:p w:rsidR="005A7BD6" w:rsidRPr="00AE6E25" w:rsidRDefault="005A7BD6" w:rsidP="00822DE7">
      <w:pPr>
        <w:pStyle w:val="Notedebasdepage"/>
        <w:jc w:val="both"/>
      </w:pPr>
      <w:r>
        <w:rPr>
          <w:rStyle w:val="Appelnotedebasdep"/>
        </w:rPr>
        <w:footnoteRef/>
      </w:r>
      <w:r w:rsidR="00E46644">
        <w:t xml:space="preserve"> Nous disposons du texte de t</w:t>
      </w:r>
      <w:r>
        <w:t>rois de ces i</w:t>
      </w:r>
      <w:r w:rsidR="00E46644">
        <w:t>ntroductions,</w:t>
      </w:r>
      <w:r>
        <w:t xml:space="preserve"> relatives aux leçons de 1821, 1824 et 1827. Je les cite dans la traduction française de Pierre Garniron : HEGEL, </w:t>
      </w:r>
      <w:r>
        <w:rPr>
          <w:i/>
        </w:rPr>
        <w:t>Leçons sur la philosophie de la religion</w:t>
      </w:r>
      <w:r>
        <w:t xml:space="preserve">, Première partie, Paris, PUF, 1996, sous la forme suivante : </w:t>
      </w:r>
      <w:r w:rsidR="00E46644">
        <w:t>LPhR, suivi de l’année</w:t>
      </w:r>
      <w:r>
        <w:t xml:space="preserve"> et de la page</w:t>
      </w:r>
      <w:r w:rsidR="00E46644">
        <w:t xml:space="preserve"> concernées</w:t>
      </w:r>
      <w:r>
        <w:t>.</w:t>
      </w:r>
    </w:p>
  </w:footnote>
  <w:footnote w:id="5">
    <w:p w:rsidR="005A7BD6" w:rsidRDefault="005A7BD6" w:rsidP="00413FAF">
      <w:pPr>
        <w:pStyle w:val="Notedebasdepage"/>
        <w:jc w:val="both"/>
      </w:pPr>
      <w:r>
        <w:rPr>
          <w:rStyle w:val="Appelnotedebasdep"/>
        </w:rPr>
        <w:footnoteRef/>
      </w:r>
      <w:r>
        <w:t xml:space="preserve"> En toute religion demeure en effet</w:t>
      </w:r>
      <w:r w:rsidR="00E46644">
        <w:t>, pour Hegel,</w:t>
      </w:r>
      <w:r>
        <w:t xml:space="preserve"> une inéliminable dimension de séparation et d’extériorité de l’infini par rapport au fini, c’est-à-dire de Dieu pa</w:t>
      </w:r>
      <w:r w:rsidR="00E46644">
        <w:t>r rapport au monde et à l’homme, ce qui fait que leur réconciliation, effectivement inscrite au cœur de la religion, ne peut cependant trouver sa pleine concrétisation qu’au-delà d’elle, en l’espèce dans la philosophie.</w:t>
      </w:r>
      <w:r>
        <w:t xml:space="preserve"> </w:t>
      </w:r>
    </w:p>
  </w:footnote>
  <w:footnote w:id="6">
    <w:p w:rsidR="005A7BD6" w:rsidRPr="00E46644" w:rsidRDefault="005A7BD6">
      <w:pPr>
        <w:pStyle w:val="Notedebasdepage"/>
        <w:rPr>
          <w:lang w:val="en-US"/>
        </w:rPr>
      </w:pPr>
      <w:r>
        <w:rPr>
          <w:rStyle w:val="Appelnotedebasdep"/>
        </w:rPr>
        <w:footnoteRef/>
      </w:r>
      <w:r w:rsidRPr="00E46644">
        <w:rPr>
          <w:lang w:val="en-US"/>
        </w:rPr>
        <w:t xml:space="preserve"> LPhR, 1827, p. 57.</w:t>
      </w:r>
    </w:p>
  </w:footnote>
  <w:footnote w:id="7">
    <w:p w:rsidR="005A7BD6" w:rsidRPr="00E46644" w:rsidRDefault="005A7BD6">
      <w:pPr>
        <w:pStyle w:val="Notedebasdepage"/>
        <w:rPr>
          <w:lang w:val="en-US"/>
        </w:rPr>
      </w:pPr>
      <w:r>
        <w:rPr>
          <w:rStyle w:val="Appelnotedebasdep"/>
        </w:rPr>
        <w:footnoteRef/>
      </w:r>
      <w:r w:rsidRPr="00E46644">
        <w:rPr>
          <w:lang w:val="en-US"/>
        </w:rPr>
        <w:t xml:space="preserve"> LPhR, 1821, p. 8.</w:t>
      </w:r>
    </w:p>
  </w:footnote>
  <w:footnote w:id="8">
    <w:p w:rsidR="005A7BD6" w:rsidRPr="00E46644" w:rsidRDefault="005A7BD6">
      <w:pPr>
        <w:pStyle w:val="Notedebasdepage"/>
        <w:rPr>
          <w:lang w:val="en-US"/>
        </w:rPr>
      </w:pPr>
      <w:r>
        <w:rPr>
          <w:rStyle w:val="Appelnotedebasdep"/>
        </w:rPr>
        <w:footnoteRef/>
      </w:r>
      <w:r w:rsidRPr="00E46644">
        <w:rPr>
          <w:lang w:val="en-US"/>
        </w:rPr>
        <w:t xml:space="preserve"> </w:t>
      </w:r>
      <w:r w:rsidRPr="00E46644">
        <w:rPr>
          <w:i/>
          <w:lang w:val="en-US"/>
        </w:rPr>
        <w:t>Ibid.</w:t>
      </w:r>
      <w:r w:rsidRPr="00E46644">
        <w:rPr>
          <w:lang w:val="en-US"/>
        </w:rPr>
        <w:t>, p. 9.</w:t>
      </w:r>
    </w:p>
  </w:footnote>
  <w:footnote w:id="9">
    <w:p w:rsidR="005A7BD6" w:rsidRPr="00E46644" w:rsidRDefault="005A7BD6">
      <w:pPr>
        <w:pStyle w:val="Notedebasdepage"/>
        <w:rPr>
          <w:lang w:val="en-US"/>
        </w:rPr>
      </w:pPr>
      <w:r>
        <w:rPr>
          <w:rStyle w:val="Appelnotedebasdep"/>
        </w:rPr>
        <w:footnoteRef/>
      </w:r>
      <w:r w:rsidRPr="00E46644">
        <w:rPr>
          <w:lang w:val="en-US"/>
        </w:rPr>
        <w:t xml:space="preserve"> </w:t>
      </w:r>
      <w:r w:rsidRPr="00E46644">
        <w:rPr>
          <w:i/>
          <w:lang w:val="en-US"/>
        </w:rPr>
        <w:t>Ibid.</w:t>
      </w:r>
      <w:r w:rsidRPr="00E46644">
        <w:rPr>
          <w:lang w:val="en-US"/>
        </w:rPr>
        <w:t>, p. 10.</w:t>
      </w:r>
    </w:p>
  </w:footnote>
  <w:footnote w:id="10">
    <w:p w:rsidR="005A7BD6" w:rsidRPr="00FD0E6F" w:rsidRDefault="005A7BD6" w:rsidP="00FD0E6F">
      <w:pPr>
        <w:pStyle w:val="Notedebasdepage"/>
        <w:jc w:val="both"/>
      </w:pPr>
      <w:r>
        <w:rPr>
          <w:rStyle w:val="Appelnotedebasdep"/>
        </w:rPr>
        <w:footnoteRef/>
      </w:r>
      <w:r w:rsidRPr="00FD0E6F">
        <w:t xml:space="preserve"> </w:t>
      </w:r>
      <w:r w:rsidRPr="00FD0E6F">
        <w:rPr>
          <w:i/>
        </w:rPr>
        <w:t>Ibid.</w:t>
      </w:r>
      <w:r w:rsidR="00FD0E6F" w:rsidRPr="00FD0E6F">
        <w:t xml:space="preserve"> – Ce qui veut d</w:t>
      </w:r>
      <w:r w:rsidR="00FD0E6F">
        <w:t>ire : Hegel ne conçoit pas que l’homme puisse,</w:t>
      </w:r>
      <w:r w:rsidR="00FD0E6F">
        <w:rPr>
          <w:i/>
        </w:rPr>
        <w:t xml:space="preserve"> au plus profond de lui-même</w:t>
      </w:r>
      <w:r w:rsidR="00FD0E6F">
        <w:t>, être indifférent à la religion et à la question qu’elle soulève, s’il est vrai qu’il est comme tel, dans son humanité la plus intime et la plus initiale, travaillé par le souci de la vérité.</w:t>
      </w:r>
    </w:p>
  </w:footnote>
  <w:footnote w:id="11">
    <w:p w:rsidR="007654F2" w:rsidRPr="00E46644" w:rsidRDefault="007654F2">
      <w:pPr>
        <w:pStyle w:val="Notedebasdepage"/>
        <w:rPr>
          <w:lang w:val="en-US"/>
        </w:rPr>
      </w:pPr>
      <w:r>
        <w:rPr>
          <w:rStyle w:val="Appelnotedebasdep"/>
        </w:rPr>
        <w:footnoteRef/>
      </w:r>
      <w:r w:rsidRPr="00E46644">
        <w:rPr>
          <w:lang w:val="en-US"/>
        </w:rPr>
        <w:t xml:space="preserve"> </w:t>
      </w:r>
      <w:r w:rsidRPr="00E46644">
        <w:rPr>
          <w:i/>
          <w:lang w:val="en-US"/>
        </w:rPr>
        <w:t>Ibid.</w:t>
      </w:r>
      <w:r w:rsidRPr="00E46644">
        <w:rPr>
          <w:lang w:val="en-US"/>
        </w:rPr>
        <w:t>, p. 4.</w:t>
      </w:r>
    </w:p>
  </w:footnote>
  <w:footnote w:id="12">
    <w:p w:rsidR="007654F2" w:rsidRPr="00E46644" w:rsidRDefault="007654F2">
      <w:pPr>
        <w:pStyle w:val="Notedebasdepage"/>
        <w:rPr>
          <w:lang w:val="en-US"/>
        </w:rPr>
      </w:pPr>
      <w:r>
        <w:rPr>
          <w:rStyle w:val="Appelnotedebasdep"/>
        </w:rPr>
        <w:footnoteRef/>
      </w:r>
      <w:r w:rsidRPr="00E46644">
        <w:rPr>
          <w:lang w:val="en-US"/>
        </w:rPr>
        <w:t xml:space="preserve"> LPhR, 1827, p. 58.</w:t>
      </w:r>
    </w:p>
  </w:footnote>
  <w:footnote w:id="13">
    <w:p w:rsidR="001F2DEF" w:rsidRPr="00E46644" w:rsidRDefault="001F2DEF">
      <w:pPr>
        <w:pStyle w:val="Notedebasdepage"/>
        <w:rPr>
          <w:lang w:val="en-US"/>
        </w:rPr>
      </w:pPr>
      <w:r>
        <w:rPr>
          <w:rStyle w:val="Appelnotedebasdep"/>
        </w:rPr>
        <w:footnoteRef/>
      </w:r>
      <w:r w:rsidRPr="00E46644">
        <w:rPr>
          <w:lang w:val="en-US"/>
        </w:rPr>
        <w:t xml:space="preserve"> </w:t>
      </w:r>
      <w:r w:rsidRPr="00E46644">
        <w:rPr>
          <w:i/>
          <w:lang w:val="en-US"/>
        </w:rPr>
        <w:t>Ibid.</w:t>
      </w:r>
      <w:r w:rsidRPr="00E46644">
        <w:rPr>
          <w:lang w:val="en-US"/>
        </w:rPr>
        <w:t>, 1824, p. 43.</w:t>
      </w:r>
    </w:p>
  </w:footnote>
  <w:footnote w:id="14">
    <w:p w:rsidR="001F2DEF" w:rsidRPr="00E46644" w:rsidRDefault="001F2DEF">
      <w:pPr>
        <w:pStyle w:val="Notedebasdepage"/>
        <w:rPr>
          <w:i/>
          <w:lang w:val="en-US"/>
        </w:rPr>
      </w:pPr>
      <w:r>
        <w:rPr>
          <w:rStyle w:val="Appelnotedebasdep"/>
        </w:rPr>
        <w:footnoteRef/>
      </w:r>
      <w:r w:rsidRPr="00E46644">
        <w:rPr>
          <w:lang w:val="en-US"/>
        </w:rPr>
        <w:t xml:space="preserve"> </w:t>
      </w:r>
      <w:r w:rsidRPr="00E46644">
        <w:rPr>
          <w:i/>
          <w:lang w:val="en-US"/>
        </w:rPr>
        <w:t>Ibid.</w:t>
      </w:r>
    </w:p>
  </w:footnote>
  <w:footnote w:id="15">
    <w:p w:rsidR="001F2DEF" w:rsidRPr="00E46644" w:rsidRDefault="001F2DEF">
      <w:pPr>
        <w:pStyle w:val="Notedebasdepage"/>
        <w:rPr>
          <w:lang w:val="en-US"/>
        </w:rPr>
      </w:pPr>
      <w:r>
        <w:rPr>
          <w:rStyle w:val="Appelnotedebasdep"/>
        </w:rPr>
        <w:footnoteRef/>
      </w:r>
      <w:r w:rsidRPr="00E46644">
        <w:rPr>
          <w:lang w:val="en-US"/>
        </w:rPr>
        <w:t xml:space="preserve"> </w:t>
      </w:r>
      <w:r w:rsidRPr="00E46644">
        <w:rPr>
          <w:i/>
          <w:lang w:val="en-US"/>
        </w:rPr>
        <w:t>Ibid.</w:t>
      </w:r>
      <w:r w:rsidRPr="00E46644">
        <w:rPr>
          <w:lang w:val="en-US"/>
        </w:rPr>
        <w:t>, p. 31.</w:t>
      </w:r>
    </w:p>
  </w:footnote>
  <w:footnote w:id="16">
    <w:p w:rsidR="001F2DEF" w:rsidRPr="00E46644" w:rsidRDefault="001F2DEF">
      <w:pPr>
        <w:pStyle w:val="Notedebasdepage"/>
        <w:rPr>
          <w:lang w:val="en-US"/>
        </w:rPr>
      </w:pPr>
      <w:r>
        <w:rPr>
          <w:rStyle w:val="Appelnotedebasdep"/>
        </w:rPr>
        <w:footnoteRef/>
      </w:r>
      <w:r w:rsidRPr="00E46644">
        <w:rPr>
          <w:lang w:val="en-US"/>
        </w:rPr>
        <w:t xml:space="preserve"> </w:t>
      </w:r>
      <w:r w:rsidRPr="00E46644">
        <w:rPr>
          <w:i/>
          <w:lang w:val="en-US"/>
        </w:rPr>
        <w:t>Ibid.</w:t>
      </w:r>
      <w:r w:rsidRPr="00E46644">
        <w:rPr>
          <w:lang w:val="en-US"/>
        </w:rPr>
        <w:t>, p. 40.</w:t>
      </w:r>
    </w:p>
  </w:footnote>
  <w:footnote w:id="17">
    <w:p w:rsidR="001F2DEF" w:rsidRPr="00E46644" w:rsidRDefault="001F2DEF">
      <w:pPr>
        <w:pStyle w:val="Notedebasdepage"/>
        <w:rPr>
          <w:lang w:val="en-US"/>
        </w:rPr>
      </w:pPr>
      <w:r>
        <w:rPr>
          <w:rStyle w:val="Appelnotedebasdep"/>
        </w:rPr>
        <w:footnoteRef/>
      </w:r>
      <w:r w:rsidRPr="00E46644">
        <w:rPr>
          <w:lang w:val="en-US"/>
        </w:rPr>
        <w:t xml:space="preserve"> Cf. LPhR, 1827, pp. 66-67 sq.</w:t>
      </w:r>
    </w:p>
  </w:footnote>
  <w:footnote w:id="18">
    <w:p w:rsidR="001F2DEF" w:rsidRPr="00B26DA9" w:rsidRDefault="001F2DEF">
      <w:pPr>
        <w:pStyle w:val="Notedebasdepage"/>
      </w:pPr>
      <w:r>
        <w:rPr>
          <w:rStyle w:val="Appelnotedebasdep"/>
        </w:rPr>
        <w:footnoteRef/>
      </w:r>
      <w:r w:rsidRPr="00B26DA9">
        <w:t xml:space="preserve"> LPhR, 1821, p. 5.</w:t>
      </w:r>
    </w:p>
  </w:footnote>
  <w:footnote w:id="19">
    <w:p w:rsidR="001F2DEF" w:rsidRPr="00B26DA9" w:rsidRDefault="001F2DEF">
      <w:pPr>
        <w:pStyle w:val="Notedebasdepage"/>
      </w:pPr>
      <w:r>
        <w:rPr>
          <w:rStyle w:val="Appelnotedebasdep"/>
        </w:rPr>
        <w:footnoteRef/>
      </w:r>
      <w:r w:rsidRPr="00B26DA9">
        <w:t xml:space="preserve"> </w:t>
      </w:r>
      <w:r w:rsidRPr="00B26DA9">
        <w:rPr>
          <w:i/>
        </w:rPr>
        <w:t>Ibid.</w:t>
      </w:r>
      <w:r w:rsidRPr="00B26DA9">
        <w:t>, p. 6.</w:t>
      </w:r>
    </w:p>
  </w:footnote>
  <w:footnote w:id="20">
    <w:p w:rsidR="00670518" w:rsidRPr="00B26DA9" w:rsidRDefault="00670518">
      <w:pPr>
        <w:pStyle w:val="Notedebasdepage"/>
      </w:pPr>
      <w:r>
        <w:rPr>
          <w:rStyle w:val="Appelnotedebasdep"/>
        </w:rPr>
        <w:footnoteRef/>
      </w:r>
      <w:r w:rsidRPr="00B26DA9">
        <w:t xml:space="preserve"> LPhR, 1824, p. 38 (apparat).</w:t>
      </w:r>
    </w:p>
  </w:footnote>
  <w:footnote w:id="21">
    <w:p w:rsidR="00670518" w:rsidRPr="00B26DA9" w:rsidRDefault="00670518">
      <w:pPr>
        <w:pStyle w:val="Notedebasdepage"/>
      </w:pPr>
      <w:r>
        <w:rPr>
          <w:rStyle w:val="Appelnotedebasdep"/>
        </w:rPr>
        <w:footnoteRef/>
      </w:r>
      <w:r w:rsidRPr="00B26DA9">
        <w:t xml:space="preserve"> </w:t>
      </w:r>
      <w:r w:rsidRPr="00B26DA9">
        <w:rPr>
          <w:i/>
        </w:rPr>
        <w:t>Ibid.</w:t>
      </w:r>
      <w:r w:rsidRPr="00B26DA9">
        <w:t>, p. 35.</w:t>
      </w:r>
    </w:p>
  </w:footnote>
  <w:footnote w:id="22">
    <w:p w:rsidR="00505688" w:rsidRPr="00FD0E6F" w:rsidRDefault="00505688" w:rsidP="00505688">
      <w:pPr>
        <w:pStyle w:val="Notedebasdepage"/>
        <w:jc w:val="both"/>
      </w:pPr>
      <w:r>
        <w:rPr>
          <w:rStyle w:val="Appelnotedebasdep"/>
        </w:rPr>
        <w:footnoteRef/>
      </w:r>
      <w:r>
        <w:t xml:space="preserve"> Certes, il y a bien entre les notions de révélation et de transcendance</w:t>
      </w:r>
      <w:r w:rsidR="00B26DA9">
        <w:t xml:space="preserve"> une connexion qui est au cœur de la logique religieuse : ce qui est révélé, c’est ce qui est </w:t>
      </w:r>
      <w:r w:rsidR="00B26DA9">
        <w:rPr>
          <w:i/>
        </w:rPr>
        <w:t>donné</w:t>
      </w:r>
      <w:r w:rsidR="00B26DA9">
        <w:t xml:space="preserve">  à l’homme du dehors comme un contenu positif qu’il ne tire pas de son propre fond. Hegel est parfaitement conscient de ce point et, comme on l’a vu, il insiste lui-même sur le fait que la religion, loin d’être une simple invention de l’homme, est « une production de l’esprit divin », que donc elle provient de celui-ci. Mais, prolongeant</w:t>
      </w:r>
      <w:r w:rsidR="00B1745E">
        <w:t xml:space="preserve"> et approfondissant</w:t>
      </w:r>
      <w:r w:rsidR="00B26DA9">
        <w:t xml:space="preserve"> cette réflexion, il relève en même temps que cette extériorité du révélé ne saurait être totale, qu’au contraire, en se révélant, Dieu se rend </w:t>
      </w:r>
      <w:r w:rsidR="00B26DA9" w:rsidRPr="00975C11">
        <w:rPr>
          <w:i/>
        </w:rPr>
        <w:t>disponible</w:t>
      </w:r>
      <w:r w:rsidR="00B26DA9">
        <w:t xml:space="preserve"> à l’homme, qu’il s’ouvre et se manifeste à lui, mieux, qu’il éveil</w:t>
      </w:r>
      <w:r w:rsidR="00B1745E">
        <w:t>le en lui une résonnance qui ne lui est</w:t>
      </w:r>
      <w:r w:rsidR="00B26DA9">
        <w:t xml:space="preserve"> rien d’étranger, mais qui touche son essence la plus propre </w:t>
      </w:r>
      <w:r w:rsidR="00B1745E">
        <w:t xml:space="preserve">et </w:t>
      </w:r>
      <w:r w:rsidR="00975C11">
        <w:t>l</w:t>
      </w:r>
      <w:r w:rsidR="00B1745E">
        <w:t>a plus intime, de sorte que l</w:t>
      </w:r>
      <w:r w:rsidR="00B26DA9">
        <w:t>a transcendance</w:t>
      </w:r>
      <w:r w:rsidR="00B1745E">
        <w:t xml:space="preserve"> du divin</w:t>
      </w:r>
      <w:r w:rsidR="00B26DA9">
        <w:t xml:space="preserve"> se nie, </w:t>
      </w:r>
      <w:r w:rsidR="00975C11">
        <w:t xml:space="preserve">qu’elle </w:t>
      </w:r>
      <w:r w:rsidR="00975C11">
        <w:rPr>
          <w:i/>
        </w:rPr>
        <w:t xml:space="preserve">se transcende </w:t>
      </w:r>
      <w:r w:rsidR="001D0EDA">
        <w:t>elle-même dans le mouvement par lequel elle se communique.</w:t>
      </w:r>
      <w:r w:rsidR="00FD0E6F">
        <w:t xml:space="preserve"> En somme, il s’agit pour Hegel de passer du concept d’une transcendance substantiel et statique à celui d’une transcendance dynamique, entendue comme l’</w:t>
      </w:r>
      <w:r w:rsidR="00FD0E6F">
        <w:rPr>
          <w:i/>
        </w:rPr>
        <w:t>acte</w:t>
      </w:r>
      <w:r w:rsidR="00FD0E6F">
        <w:t xml:space="preserve"> de se transcender.</w:t>
      </w:r>
    </w:p>
  </w:footnote>
  <w:footnote w:id="23">
    <w:p w:rsidR="00670518" w:rsidRPr="00505688" w:rsidRDefault="00670518">
      <w:pPr>
        <w:pStyle w:val="Notedebasdepage"/>
      </w:pPr>
      <w:r>
        <w:rPr>
          <w:rStyle w:val="Appelnotedebasdep"/>
        </w:rPr>
        <w:footnoteRef/>
      </w:r>
      <w:r w:rsidRPr="00505688">
        <w:t xml:space="preserve"> </w:t>
      </w:r>
      <w:r w:rsidR="00FD0E6F">
        <w:t>LPhR, 1824,</w:t>
      </w:r>
      <w:r w:rsidRPr="00505688">
        <w:t>, p. 40.</w:t>
      </w:r>
    </w:p>
  </w:footnote>
  <w:footnote w:id="24">
    <w:p w:rsidR="00190A9A" w:rsidRDefault="00190A9A">
      <w:pPr>
        <w:pStyle w:val="Notedebasdepage"/>
      </w:pPr>
      <w:r>
        <w:rPr>
          <w:rStyle w:val="Appelnotedebasdep"/>
        </w:rPr>
        <w:footnoteRef/>
      </w:r>
      <w:r>
        <w:t xml:space="preserve"> Je souligne.</w:t>
      </w:r>
    </w:p>
  </w:footnote>
  <w:footnote w:id="25">
    <w:p w:rsidR="00190A9A" w:rsidRDefault="00190A9A">
      <w:pPr>
        <w:pStyle w:val="Notedebasdepage"/>
      </w:pPr>
      <w:r>
        <w:rPr>
          <w:rStyle w:val="Appelnotedebasdep"/>
        </w:rPr>
        <w:footnoteRef/>
      </w:r>
      <w:r w:rsidR="00FD0E6F">
        <w:t xml:space="preserve"> LPhR, 1827, p. 69</w:t>
      </w:r>
      <w:r>
        <w:t>.</w:t>
      </w:r>
    </w:p>
  </w:footnote>
  <w:footnote w:id="26">
    <w:p w:rsidR="00190A9A" w:rsidRPr="00190A9A" w:rsidRDefault="00190A9A" w:rsidP="00190A9A">
      <w:pPr>
        <w:pStyle w:val="Notedebasdepage"/>
        <w:jc w:val="both"/>
      </w:pPr>
      <w:r>
        <w:rPr>
          <w:rStyle w:val="Appelnotedebasdep"/>
        </w:rPr>
        <w:footnoteRef/>
      </w:r>
      <w:r>
        <w:t xml:space="preserve"> G.W.F. HEGEL, </w:t>
      </w:r>
      <w:r>
        <w:rPr>
          <w:i/>
        </w:rPr>
        <w:t>Phénoménologie de l’esprit</w:t>
      </w:r>
      <w:r>
        <w:t>, trad. B. Bourgeois, Paris, Vrin, 2006, p. 68.</w:t>
      </w:r>
    </w:p>
  </w:footnote>
  <w:footnote w:id="27">
    <w:p w:rsidR="00190A9A" w:rsidRDefault="00190A9A">
      <w:pPr>
        <w:pStyle w:val="Notedebasdepage"/>
      </w:pPr>
      <w:r>
        <w:rPr>
          <w:rStyle w:val="Appelnotedebasdep"/>
        </w:rPr>
        <w:footnoteRef/>
      </w:r>
      <w:r>
        <w:t xml:space="preserve"> LPhR, 1824, p. 33.</w:t>
      </w:r>
    </w:p>
  </w:footnote>
  <w:footnote w:id="28">
    <w:p w:rsidR="00190A9A" w:rsidRPr="00190A9A" w:rsidRDefault="00190A9A">
      <w:pPr>
        <w:pStyle w:val="Notedebasdepage"/>
      </w:pPr>
      <w:r>
        <w:rPr>
          <w:rStyle w:val="Appelnotedebasdep"/>
        </w:rPr>
        <w:footnoteRef/>
      </w:r>
      <w:r>
        <w:t xml:space="preserve"> Cf. </w:t>
      </w:r>
      <w:r w:rsidR="009D3FEA">
        <w:t xml:space="preserve">G.W.F. </w:t>
      </w:r>
      <w:r>
        <w:t xml:space="preserve">HEGEL, </w:t>
      </w:r>
      <w:r>
        <w:rPr>
          <w:i/>
        </w:rPr>
        <w:t>Premières publications</w:t>
      </w:r>
      <w:r w:rsidR="009D3FEA">
        <w:t>, trad.</w:t>
      </w:r>
      <w:r>
        <w:t xml:space="preserve"> M. </w:t>
      </w:r>
      <w:r w:rsidR="009D3FEA">
        <w:t>Méry, Gap, Ophrys, 1952, p. 147.</w:t>
      </w:r>
    </w:p>
  </w:footnote>
  <w:footnote w:id="29">
    <w:p w:rsidR="007B194D" w:rsidRDefault="007B194D">
      <w:pPr>
        <w:pStyle w:val="Notedebasdepage"/>
      </w:pPr>
      <w:r>
        <w:rPr>
          <w:rStyle w:val="Appelnotedebasdep"/>
        </w:rPr>
        <w:footnoteRef/>
      </w:r>
      <w:r>
        <w:t xml:space="preserve"> LPhR, 1824, p. 38 (apparat).</w:t>
      </w:r>
    </w:p>
  </w:footnote>
  <w:footnote w:id="30">
    <w:p w:rsidR="007B194D" w:rsidRPr="007B194D" w:rsidRDefault="007B194D">
      <w:pPr>
        <w:pStyle w:val="Notedebasdepage"/>
      </w:pPr>
      <w:r>
        <w:rPr>
          <w:rStyle w:val="Appelnotedebasdep"/>
        </w:rPr>
        <w:footnoteRef/>
      </w:r>
      <w:r>
        <w:t xml:space="preserve"> </w:t>
      </w:r>
      <w:r>
        <w:rPr>
          <w:i/>
        </w:rPr>
        <w:t>Ibid.</w:t>
      </w:r>
      <w:r>
        <w:t>, p. 31.</w:t>
      </w:r>
    </w:p>
  </w:footnote>
  <w:footnote w:id="31">
    <w:p w:rsidR="007B194D" w:rsidRPr="007B194D" w:rsidRDefault="007B194D">
      <w:pPr>
        <w:pStyle w:val="Notedebasdepage"/>
      </w:pPr>
      <w:r>
        <w:rPr>
          <w:rStyle w:val="Appelnotedebasdep"/>
        </w:rPr>
        <w:footnoteRef/>
      </w:r>
      <w:r>
        <w:t xml:space="preserve"> Cf. </w:t>
      </w:r>
      <w:r>
        <w:rPr>
          <w:i/>
        </w:rPr>
        <w:t>Phénoménologie de l’esprit</w:t>
      </w:r>
      <w:r>
        <w:t xml:space="preserve">, </w:t>
      </w:r>
      <w:r>
        <w:rPr>
          <w:i/>
        </w:rPr>
        <w:t>op. cit.</w:t>
      </w:r>
      <w:r>
        <w:t>, p.</w:t>
      </w:r>
      <w:r w:rsidR="009D3FEA">
        <w:t xml:space="preserve"> 69.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45E" w:rsidRDefault="00B1745E">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9296"/>
      <w:docPartObj>
        <w:docPartGallery w:val="Page Numbers (Top of Page)"/>
        <w:docPartUnique/>
      </w:docPartObj>
    </w:sdtPr>
    <w:sdtContent>
      <w:p w:rsidR="005A7BD6" w:rsidRDefault="0074125F">
        <w:pPr>
          <w:pStyle w:val="En-tte"/>
          <w:jc w:val="center"/>
        </w:pPr>
        <w:fldSimple w:instr=" PAGE   \* MERGEFORMAT ">
          <w:r w:rsidR="009D3FEA">
            <w:rPr>
              <w:noProof/>
            </w:rPr>
            <w:t>1</w:t>
          </w:r>
        </w:fldSimple>
      </w:p>
    </w:sdtContent>
  </w:sdt>
  <w:p w:rsidR="005A7BD6" w:rsidRDefault="005A7BD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45E" w:rsidRDefault="00B1745E">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27EA8"/>
    <w:rsid w:val="000003F0"/>
    <w:rsid w:val="00006DA3"/>
    <w:rsid w:val="00027EA8"/>
    <w:rsid w:val="00057AA4"/>
    <w:rsid w:val="000920C3"/>
    <w:rsid w:val="00096741"/>
    <w:rsid w:val="000A4B0F"/>
    <w:rsid w:val="000D606A"/>
    <w:rsid w:val="000D7C61"/>
    <w:rsid w:val="000E261D"/>
    <w:rsid w:val="000E34E1"/>
    <w:rsid w:val="000F2190"/>
    <w:rsid w:val="00104D4A"/>
    <w:rsid w:val="0010698A"/>
    <w:rsid w:val="00115FB3"/>
    <w:rsid w:val="001308CC"/>
    <w:rsid w:val="0015670B"/>
    <w:rsid w:val="00173A1E"/>
    <w:rsid w:val="00173FBC"/>
    <w:rsid w:val="0017510A"/>
    <w:rsid w:val="00190A9A"/>
    <w:rsid w:val="001B2DE1"/>
    <w:rsid w:val="001C3EA0"/>
    <w:rsid w:val="001D0EDA"/>
    <w:rsid w:val="001E3498"/>
    <w:rsid w:val="001F2DEF"/>
    <w:rsid w:val="001F3BA2"/>
    <w:rsid w:val="00246FD9"/>
    <w:rsid w:val="00251B59"/>
    <w:rsid w:val="002679C8"/>
    <w:rsid w:val="0027330D"/>
    <w:rsid w:val="002A20F7"/>
    <w:rsid w:val="002A3760"/>
    <w:rsid w:val="002A7E52"/>
    <w:rsid w:val="002F5A85"/>
    <w:rsid w:val="00300DB1"/>
    <w:rsid w:val="003314CC"/>
    <w:rsid w:val="00335566"/>
    <w:rsid w:val="0033768F"/>
    <w:rsid w:val="00346108"/>
    <w:rsid w:val="00346B79"/>
    <w:rsid w:val="00372DB3"/>
    <w:rsid w:val="00372E8F"/>
    <w:rsid w:val="00386839"/>
    <w:rsid w:val="00390F38"/>
    <w:rsid w:val="003A3677"/>
    <w:rsid w:val="003B1436"/>
    <w:rsid w:val="003D7BC1"/>
    <w:rsid w:val="00413FAF"/>
    <w:rsid w:val="00463771"/>
    <w:rsid w:val="004753F8"/>
    <w:rsid w:val="00481112"/>
    <w:rsid w:val="00486E35"/>
    <w:rsid w:val="0049766B"/>
    <w:rsid w:val="004B3F99"/>
    <w:rsid w:val="004B41CE"/>
    <w:rsid w:val="004B7F52"/>
    <w:rsid w:val="004C22A4"/>
    <w:rsid w:val="004F162A"/>
    <w:rsid w:val="004F1A8E"/>
    <w:rsid w:val="00505688"/>
    <w:rsid w:val="00513309"/>
    <w:rsid w:val="00523860"/>
    <w:rsid w:val="00530C72"/>
    <w:rsid w:val="005345BC"/>
    <w:rsid w:val="00560142"/>
    <w:rsid w:val="00567C67"/>
    <w:rsid w:val="005805E9"/>
    <w:rsid w:val="00585B33"/>
    <w:rsid w:val="005A7BD6"/>
    <w:rsid w:val="005B3B39"/>
    <w:rsid w:val="005B45ED"/>
    <w:rsid w:val="005B647D"/>
    <w:rsid w:val="005B6F22"/>
    <w:rsid w:val="005C42EB"/>
    <w:rsid w:val="005D4D24"/>
    <w:rsid w:val="005E6645"/>
    <w:rsid w:val="00606197"/>
    <w:rsid w:val="00630CEE"/>
    <w:rsid w:val="006573BE"/>
    <w:rsid w:val="00670518"/>
    <w:rsid w:val="00670BAA"/>
    <w:rsid w:val="0069078F"/>
    <w:rsid w:val="00695EDD"/>
    <w:rsid w:val="0069797C"/>
    <w:rsid w:val="006B141E"/>
    <w:rsid w:val="006B53ED"/>
    <w:rsid w:val="006D04D0"/>
    <w:rsid w:val="006D4922"/>
    <w:rsid w:val="006E120E"/>
    <w:rsid w:val="006E2FB5"/>
    <w:rsid w:val="007125CB"/>
    <w:rsid w:val="00715FB7"/>
    <w:rsid w:val="007208C9"/>
    <w:rsid w:val="00723D6C"/>
    <w:rsid w:val="0074125F"/>
    <w:rsid w:val="00745AF7"/>
    <w:rsid w:val="00745E4F"/>
    <w:rsid w:val="00753B08"/>
    <w:rsid w:val="007654F2"/>
    <w:rsid w:val="00781D99"/>
    <w:rsid w:val="00792E90"/>
    <w:rsid w:val="007A4081"/>
    <w:rsid w:val="007B194D"/>
    <w:rsid w:val="007C0446"/>
    <w:rsid w:val="007C69F6"/>
    <w:rsid w:val="007D4676"/>
    <w:rsid w:val="007F2EA4"/>
    <w:rsid w:val="008020DC"/>
    <w:rsid w:val="00811D71"/>
    <w:rsid w:val="00816294"/>
    <w:rsid w:val="00822DE7"/>
    <w:rsid w:val="00827391"/>
    <w:rsid w:val="00841A48"/>
    <w:rsid w:val="00852CDF"/>
    <w:rsid w:val="00877DF0"/>
    <w:rsid w:val="00884D99"/>
    <w:rsid w:val="00886FC4"/>
    <w:rsid w:val="0089749E"/>
    <w:rsid w:val="008A5FF9"/>
    <w:rsid w:val="008C44F9"/>
    <w:rsid w:val="008C5D05"/>
    <w:rsid w:val="00920821"/>
    <w:rsid w:val="009315C3"/>
    <w:rsid w:val="00933F6A"/>
    <w:rsid w:val="00935857"/>
    <w:rsid w:val="00951F56"/>
    <w:rsid w:val="009549CE"/>
    <w:rsid w:val="009744B9"/>
    <w:rsid w:val="00975C11"/>
    <w:rsid w:val="00994926"/>
    <w:rsid w:val="009B60E5"/>
    <w:rsid w:val="009D3FEA"/>
    <w:rsid w:val="009E42E8"/>
    <w:rsid w:val="00A0461D"/>
    <w:rsid w:val="00A26A14"/>
    <w:rsid w:val="00A446FF"/>
    <w:rsid w:val="00A61A47"/>
    <w:rsid w:val="00A70BDD"/>
    <w:rsid w:val="00A729FE"/>
    <w:rsid w:val="00A82C3C"/>
    <w:rsid w:val="00AA7F5B"/>
    <w:rsid w:val="00AB67E0"/>
    <w:rsid w:val="00AE3A68"/>
    <w:rsid w:val="00AE6E25"/>
    <w:rsid w:val="00AF772D"/>
    <w:rsid w:val="00B12945"/>
    <w:rsid w:val="00B1745E"/>
    <w:rsid w:val="00B26DA9"/>
    <w:rsid w:val="00B32B61"/>
    <w:rsid w:val="00B336E1"/>
    <w:rsid w:val="00B338FD"/>
    <w:rsid w:val="00B40F34"/>
    <w:rsid w:val="00B41C12"/>
    <w:rsid w:val="00B4265A"/>
    <w:rsid w:val="00B541EA"/>
    <w:rsid w:val="00B72D75"/>
    <w:rsid w:val="00B8510A"/>
    <w:rsid w:val="00BB0713"/>
    <w:rsid w:val="00BD3C73"/>
    <w:rsid w:val="00BD453E"/>
    <w:rsid w:val="00BE3A90"/>
    <w:rsid w:val="00BE4443"/>
    <w:rsid w:val="00C05949"/>
    <w:rsid w:val="00C24289"/>
    <w:rsid w:val="00C32254"/>
    <w:rsid w:val="00C60AE4"/>
    <w:rsid w:val="00C87813"/>
    <w:rsid w:val="00C95A66"/>
    <w:rsid w:val="00CB2288"/>
    <w:rsid w:val="00CB7B6F"/>
    <w:rsid w:val="00CC308C"/>
    <w:rsid w:val="00CD3185"/>
    <w:rsid w:val="00D350CA"/>
    <w:rsid w:val="00D7166C"/>
    <w:rsid w:val="00D85AA7"/>
    <w:rsid w:val="00D932CF"/>
    <w:rsid w:val="00D944F0"/>
    <w:rsid w:val="00DA7462"/>
    <w:rsid w:val="00DA7E36"/>
    <w:rsid w:val="00DB05F4"/>
    <w:rsid w:val="00DD6004"/>
    <w:rsid w:val="00DF2763"/>
    <w:rsid w:val="00E3084E"/>
    <w:rsid w:val="00E45858"/>
    <w:rsid w:val="00E46644"/>
    <w:rsid w:val="00E50DDD"/>
    <w:rsid w:val="00E565CE"/>
    <w:rsid w:val="00E623DB"/>
    <w:rsid w:val="00E70994"/>
    <w:rsid w:val="00E73F19"/>
    <w:rsid w:val="00E7612D"/>
    <w:rsid w:val="00E77375"/>
    <w:rsid w:val="00E86407"/>
    <w:rsid w:val="00E97307"/>
    <w:rsid w:val="00EC69F8"/>
    <w:rsid w:val="00EF26C1"/>
    <w:rsid w:val="00F252B1"/>
    <w:rsid w:val="00F72BEA"/>
    <w:rsid w:val="00F93C3E"/>
    <w:rsid w:val="00F94A9F"/>
    <w:rsid w:val="00FA1362"/>
    <w:rsid w:val="00FA7F7A"/>
    <w:rsid w:val="00FB20BE"/>
    <w:rsid w:val="00FC0565"/>
    <w:rsid w:val="00FC2A3D"/>
    <w:rsid w:val="00FC6FFA"/>
    <w:rsid w:val="00FD0E6F"/>
    <w:rsid w:val="00FE1CA5"/>
    <w:rsid w:val="00FF0496"/>
    <w:rsid w:val="00FF1A22"/>
    <w:rsid w:val="00FF3E5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3B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A4081"/>
    <w:pPr>
      <w:tabs>
        <w:tab w:val="center" w:pos="4536"/>
        <w:tab w:val="right" w:pos="9072"/>
      </w:tabs>
      <w:spacing w:after="0" w:line="240" w:lineRule="auto"/>
    </w:pPr>
  </w:style>
  <w:style w:type="character" w:customStyle="1" w:styleId="En-tteCar">
    <w:name w:val="En-tête Car"/>
    <w:basedOn w:val="Policepardfaut"/>
    <w:link w:val="En-tte"/>
    <w:uiPriority w:val="99"/>
    <w:rsid w:val="007A4081"/>
  </w:style>
  <w:style w:type="paragraph" w:styleId="Pieddepage">
    <w:name w:val="footer"/>
    <w:basedOn w:val="Normal"/>
    <w:link w:val="PieddepageCar"/>
    <w:uiPriority w:val="99"/>
    <w:unhideWhenUsed/>
    <w:rsid w:val="007A40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4081"/>
  </w:style>
  <w:style w:type="paragraph" w:styleId="Textedebulles">
    <w:name w:val="Balloon Text"/>
    <w:basedOn w:val="Normal"/>
    <w:link w:val="TextedebullesCar"/>
    <w:uiPriority w:val="99"/>
    <w:semiHidden/>
    <w:unhideWhenUsed/>
    <w:rsid w:val="00B541E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41EA"/>
    <w:rPr>
      <w:rFonts w:ascii="Tahoma" w:hAnsi="Tahoma" w:cs="Tahoma"/>
      <w:sz w:val="16"/>
      <w:szCs w:val="16"/>
    </w:rPr>
  </w:style>
  <w:style w:type="paragraph" w:styleId="Notedebasdepage">
    <w:name w:val="footnote text"/>
    <w:basedOn w:val="Normal"/>
    <w:link w:val="NotedebasdepageCar"/>
    <w:uiPriority w:val="99"/>
    <w:semiHidden/>
    <w:unhideWhenUsed/>
    <w:rsid w:val="00FF1A2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F1A22"/>
    <w:rPr>
      <w:sz w:val="20"/>
      <w:szCs w:val="20"/>
    </w:rPr>
  </w:style>
  <w:style w:type="character" w:styleId="Appelnotedebasdep">
    <w:name w:val="footnote reference"/>
    <w:basedOn w:val="Policepardfaut"/>
    <w:uiPriority w:val="99"/>
    <w:semiHidden/>
    <w:unhideWhenUsed/>
    <w:rsid w:val="00FF1A22"/>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88A15-65A3-4F90-BCAB-8CD8AB207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1</Pages>
  <Words>4822</Words>
  <Characters>26526</Characters>
  <Application>Microsoft Office Word</Application>
  <DocSecurity>0</DocSecurity>
  <Lines>221</Lines>
  <Paragraphs>62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dc:creator>
  <cp:lastModifiedBy>Gilbert</cp:lastModifiedBy>
  <cp:revision>66</cp:revision>
  <dcterms:created xsi:type="dcterms:W3CDTF">2011-10-27T13:50:00Z</dcterms:created>
  <dcterms:modified xsi:type="dcterms:W3CDTF">2011-11-14T05:44:00Z</dcterms:modified>
</cp:coreProperties>
</file>