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C37" w:rsidRDefault="00DC1C37" w:rsidP="006528FB">
      <w:pPr>
        <w:spacing w:after="0" w:line="240" w:lineRule="auto"/>
        <w:jc w:val="center"/>
        <w:rPr>
          <w:rFonts w:ascii="Times New Roman" w:hAnsi="Times New Roman"/>
          <w:b/>
          <w:sz w:val="24"/>
          <w:szCs w:val="24"/>
        </w:rPr>
      </w:pPr>
    </w:p>
    <w:p w:rsidR="00DC1C37" w:rsidRDefault="00DC1C37" w:rsidP="006528FB">
      <w:pPr>
        <w:spacing w:after="0" w:line="240" w:lineRule="auto"/>
        <w:jc w:val="center"/>
        <w:rPr>
          <w:rFonts w:ascii="Times New Roman" w:hAnsi="Times New Roman"/>
          <w:b/>
          <w:sz w:val="24"/>
          <w:szCs w:val="24"/>
        </w:rPr>
      </w:pPr>
      <w:r>
        <w:rPr>
          <w:rFonts w:ascii="Times New Roman" w:hAnsi="Times New Roman"/>
          <w:b/>
          <w:sz w:val="24"/>
          <w:szCs w:val="24"/>
        </w:rPr>
        <w:t>Les politiques d’activation des chômeurs et le droit au travail</w:t>
      </w:r>
    </w:p>
    <w:p w:rsidR="00DC1C37" w:rsidRDefault="00DC1C37" w:rsidP="009C6281">
      <w:pPr>
        <w:spacing w:after="100" w:afterAutospacing="1" w:line="360" w:lineRule="auto"/>
        <w:jc w:val="center"/>
        <w:rPr>
          <w:rFonts w:ascii="Times New Roman" w:hAnsi="Times New Roman"/>
          <w:b/>
          <w:sz w:val="24"/>
          <w:szCs w:val="24"/>
        </w:rPr>
      </w:pPr>
      <w:r>
        <w:rPr>
          <w:rFonts w:ascii="Times New Roman" w:hAnsi="Times New Roman"/>
          <w:b/>
          <w:sz w:val="24"/>
          <w:szCs w:val="24"/>
        </w:rPr>
        <w:t>Réflexions sur le rôle du juge dans l’application des droits de l’homme</w:t>
      </w:r>
    </w:p>
    <w:p w:rsidR="00DC1C37" w:rsidRPr="00F2192A" w:rsidRDefault="00DC1C37" w:rsidP="0049488A">
      <w:pPr>
        <w:spacing w:after="100" w:afterAutospacing="1" w:line="360" w:lineRule="auto"/>
        <w:jc w:val="right"/>
        <w:rPr>
          <w:rFonts w:ascii="Times New Roman" w:hAnsi="Times New Roman"/>
          <w:i/>
          <w:sz w:val="24"/>
          <w:szCs w:val="24"/>
        </w:rPr>
      </w:pPr>
      <w:r>
        <w:rPr>
          <w:rFonts w:ascii="Times New Roman" w:hAnsi="Times New Roman"/>
          <w:i/>
          <w:sz w:val="24"/>
          <w:szCs w:val="24"/>
        </w:rPr>
        <w:t xml:space="preserve">Elise </w:t>
      </w:r>
      <w:proofErr w:type="spellStart"/>
      <w:r>
        <w:rPr>
          <w:rFonts w:ascii="Times New Roman" w:hAnsi="Times New Roman"/>
          <w:i/>
          <w:sz w:val="24"/>
          <w:szCs w:val="24"/>
        </w:rPr>
        <w:t>Dermine</w:t>
      </w:r>
      <w:proofErr w:type="spellEnd"/>
      <w:r>
        <w:rPr>
          <w:rFonts w:ascii="Times New Roman" w:hAnsi="Times New Roman"/>
          <w:i/>
          <w:sz w:val="24"/>
          <w:szCs w:val="24"/>
        </w:rPr>
        <w:t>, Aspirant FNRS</w:t>
      </w:r>
    </w:p>
    <w:p w:rsidR="00DC1C37" w:rsidRDefault="00DC1C37" w:rsidP="0049488A">
      <w:pPr>
        <w:spacing w:after="100" w:afterAutospacing="1" w:line="360" w:lineRule="auto"/>
        <w:jc w:val="both"/>
        <w:rPr>
          <w:rFonts w:ascii="Times New Roman" w:hAnsi="Times New Roman"/>
          <w:sz w:val="24"/>
          <w:szCs w:val="24"/>
        </w:rPr>
      </w:pPr>
      <w:r>
        <w:rPr>
          <w:rFonts w:ascii="Times New Roman" w:hAnsi="Times New Roman"/>
          <w:sz w:val="24"/>
          <w:szCs w:val="24"/>
        </w:rPr>
        <w:t>Face au</w:t>
      </w:r>
      <w:r w:rsidRPr="00D1623D">
        <w:rPr>
          <w:rFonts w:ascii="Times New Roman" w:hAnsi="Times New Roman"/>
          <w:sz w:val="24"/>
          <w:szCs w:val="24"/>
        </w:rPr>
        <w:t xml:space="preserve"> chômage d</w:t>
      </w:r>
      <w:r>
        <w:rPr>
          <w:rFonts w:ascii="Times New Roman" w:hAnsi="Times New Roman"/>
          <w:sz w:val="24"/>
          <w:szCs w:val="24"/>
        </w:rPr>
        <w:t>e masse et de longue durée et à l’</w:t>
      </w:r>
      <w:r w:rsidRPr="00D1623D">
        <w:rPr>
          <w:rFonts w:ascii="Times New Roman" w:hAnsi="Times New Roman"/>
          <w:sz w:val="24"/>
          <w:szCs w:val="24"/>
        </w:rPr>
        <w:t xml:space="preserve">évolution sans cesse plus rapide des compétences et </w:t>
      </w:r>
      <w:r>
        <w:rPr>
          <w:rFonts w:ascii="Times New Roman" w:hAnsi="Times New Roman"/>
          <w:sz w:val="24"/>
          <w:szCs w:val="24"/>
        </w:rPr>
        <w:t xml:space="preserve">des </w:t>
      </w:r>
      <w:r w:rsidRPr="00D1623D">
        <w:rPr>
          <w:rFonts w:ascii="Times New Roman" w:hAnsi="Times New Roman"/>
          <w:sz w:val="24"/>
          <w:szCs w:val="24"/>
        </w:rPr>
        <w:t xml:space="preserve">qualifications requises sur le marché du travail, </w:t>
      </w:r>
      <w:r>
        <w:rPr>
          <w:rFonts w:ascii="Times New Roman" w:hAnsi="Times New Roman"/>
          <w:sz w:val="24"/>
          <w:szCs w:val="24"/>
        </w:rPr>
        <w:t xml:space="preserve">il est un constat qui fait largement consensus: </w:t>
      </w:r>
      <w:r w:rsidRPr="00D1623D">
        <w:rPr>
          <w:rFonts w:ascii="Times New Roman" w:hAnsi="Times New Roman"/>
          <w:sz w:val="24"/>
          <w:szCs w:val="24"/>
        </w:rPr>
        <w:t xml:space="preserve">les systèmes de protection sociale ne peuvent plus se </w:t>
      </w:r>
      <w:r>
        <w:rPr>
          <w:rFonts w:ascii="Times New Roman" w:hAnsi="Times New Roman"/>
          <w:sz w:val="24"/>
          <w:szCs w:val="24"/>
        </w:rPr>
        <w:t>limiter à indemniser les chômeurs</w:t>
      </w:r>
      <w:r w:rsidRPr="00D1623D">
        <w:rPr>
          <w:rFonts w:ascii="Times New Roman" w:hAnsi="Times New Roman"/>
          <w:sz w:val="24"/>
          <w:szCs w:val="24"/>
        </w:rPr>
        <w:t xml:space="preserve">. Ils doivent également jouer un rôle de tremplin vers le marché du travail. </w:t>
      </w:r>
      <w:r>
        <w:rPr>
          <w:rFonts w:ascii="Times New Roman" w:hAnsi="Times New Roman"/>
          <w:sz w:val="24"/>
          <w:szCs w:val="24"/>
        </w:rPr>
        <w:t>Depuis le début des années 90, les pays industrialisés</w:t>
      </w:r>
      <w:r w:rsidRPr="00774BDA">
        <w:rPr>
          <w:rFonts w:ascii="Times New Roman" w:hAnsi="Times New Roman"/>
          <w:sz w:val="24"/>
          <w:szCs w:val="24"/>
        </w:rPr>
        <w:t xml:space="preserve"> </w:t>
      </w:r>
      <w:r>
        <w:rPr>
          <w:rFonts w:ascii="Times New Roman" w:hAnsi="Times New Roman"/>
          <w:sz w:val="24"/>
          <w:szCs w:val="24"/>
        </w:rPr>
        <w:t>réforment en conséquence leur</w:t>
      </w:r>
      <w:r w:rsidR="00F27B63">
        <w:rPr>
          <w:rFonts w:ascii="Times New Roman" w:hAnsi="Times New Roman"/>
          <w:sz w:val="24"/>
          <w:szCs w:val="24"/>
        </w:rPr>
        <w:t>s</w:t>
      </w:r>
      <w:r>
        <w:rPr>
          <w:rFonts w:ascii="Times New Roman" w:hAnsi="Times New Roman"/>
          <w:sz w:val="24"/>
          <w:szCs w:val="24"/>
        </w:rPr>
        <w:t xml:space="preserve"> système</w:t>
      </w:r>
      <w:r w:rsidR="00F27B63">
        <w:rPr>
          <w:rFonts w:ascii="Times New Roman" w:hAnsi="Times New Roman"/>
          <w:sz w:val="24"/>
          <w:szCs w:val="24"/>
        </w:rPr>
        <w:t>s</w:t>
      </w:r>
      <w:r>
        <w:rPr>
          <w:rFonts w:ascii="Times New Roman" w:hAnsi="Times New Roman"/>
          <w:sz w:val="24"/>
          <w:szCs w:val="24"/>
        </w:rPr>
        <w:t xml:space="preserve"> de protection sociale pour y </w:t>
      </w:r>
      <w:r w:rsidRPr="00774BDA">
        <w:rPr>
          <w:rFonts w:ascii="Times New Roman" w:hAnsi="Times New Roman"/>
          <w:sz w:val="24"/>
          <w:szCs w:val="24"/>
        </w:rPr>
        <w:t>dé</w:t>
      </w:r>
      <w:r>
        <w:rPr>
          <w:rFonts w:ascii="Times New Roman" w:hAnsi="Times New Roman"/>
          <w:sz w:val="24"/>
          <w:szCs w:val="24"/>
        </w:rPr>
        <w:t xml:space="preserve">velopper </w:t>
      </w:r>
      <w:r w:rsidRPr="00774BDA">
        <w:rPr>
          <w:rFonts w:ascii="Times New Roman" w:hAnsi="Times New Roman"/>
          <w:sz w:val="24"/>
          <w:szCs w:val="24"/>
        </w:rPr>
        <w:t xml:space="preserve">des </w:t>
      </w:r>
      <w:r w:rsidRPr="000A653A">
        <w:rPr>
          <w:rFonts w:ascii="Times New Roman" w:hAnsi="Times New Roman"/>
          <w:i/>
          <w:sz w:val="24"/>
          <w:szCs w:val="24"/>
        </w:rPr>
        <w:t>mesures d’activation</w:t>
      </w:r>
      <w:r w:rsidRPr="00774BDA">
        <w:rPr>
          <w:rFonts w:ascii="Times New Roman" w:hAnsi="Times New Roman"/>
          <w:sz w:val="24"/>
          <w:szCs w:val="24"/>
        </w:rPr>
        <w:t xml:space="preserve"> de</w:t>
      </w:r>
      <w:r>
        <w:rPr>
          <w:rFonts w:ascii="Times New Roman" w:hAnsi="Times New Roman"/>
          <w:sz w:val="24"/>
          <w:szCs w:val="24"/>
        </w:rPr>
        <w:t>s allocataires sociaux</w:t>
      </w:r>
      <w:r w:rsidR="00F86366">
        <w:rPr>
          <w:rFonts w:ascii="Times New Roman" w:hAnsi="Times New Roman"/>
          <w:sz w:val="24"/>
          <w:szCs w:val="24"/>
        </w:rPr>
        <w:t xml:space="preserve"> </w:t>
      </w:r>
      <w:r w:rsidR="00F86366" w:rsidRPr="00F86366">
        <w:rPr>
          <w:rFonts w:ascii="Times New Roman" w:hAnsi="Times New Roman"/>
          <w:sz w:val="24"/>
          <w:szCs w:val="24"/>
          <w:lang w:val="fr-FR"/>
        </w:rPr>
        <w:t xml:space="preserve">(Vielle, </w:t>
      </w:r>
      <w:proofErr w:type="spellStart"/>
      <w:r w:rsidR="00F86366" w:rsidRPr="00F86366">
        <w:rPr>
          <w:rFonts w:ascii="Times New Roman" w:hAnsi="Times New Roman"/>
          <w:sz w:val="24"/>
          <w:szCs w:val="24"/>
          <w:lang w:val="fr-FR"/>
        </w:rPr>
        <w:t>Pochet</w:t>
      </w:r>
      <w:proofErr w:type="spellEnd"/>
      <w:r w:rsidR="00F86366" w:rsidRPr="00F86366">
        <w:rPr>
          <w:rFonts w:ascii="Times New Roman" w:hAnsi="Times New Roman"/>
          <w:sz w:val="24"/>
          <w:szCs w:val="24"/>
          <w:lang w:val="fr-FR"/>
        </w:rPr>
        <w:t xml:space="preserve"> et Cassiers, 2005 ; </w:t>
      </w:r>
      <w:proofErr w:type="spellStart"/>
      <w:r w:rsidR="00F86366" w:rsidRPr="00F86366">
        <w:rPr>
          <w:rFonts w:ascii="Times New Roman" w:hAnsi="Times New Roman"/>
          <w:sz w:val="24"/>
          <w:szCs w:val="24"/>
          <w:lang w:val="fr-FR"/>
        </w:rPr>
        <w:t>Gallie</w:t>
      </w:r>
      <w:proofErr w:type="spellEnd"/>
      <w:r w:rsidR="00F86366" w:rsidRPr="00F86366">
        <w:rPr>
          <w:rFonts w:ascii="Times New Roman" w:hAnsi="Times New Roman"/>
          <w:sz w:val="24"/>
          <w:szCs w:val="24"/>
          <w:lang w:val="fr-FR"/>
        </w:rPr>
        <w:t xml:space="preserve"> et </w:t>
      </w:r>
      <w:proofErr w:type="spellStart"/>
      <w:r w:rsidR="00F86366" w:rsidRPr="00F86366">
        <w:rPr>
          <w:rFonts w:ascii="Times New Roman" w:hAnsi="Times New Roman"/>
          <w:sz w:val="24"/>
          <w:szCs w:val="24"/>
          <w:lang w:val="fr-FR"/>
        </w:rPr>
        <w:t>Paugam</w:t>
      </w:r>
      <w:proofErr w:type="spellEnd"/>
      <w:r w:rsidR="00F86366" w:rsidRPr="00F86366">
        <w:rPr>
          <w:rFonts w:ascii="Times New Roman" w:hAnsi="Times New Roman"/>
          <w:sz w:val="24"/>
          <w:szCs w:val="24"/>
          <w:lang w:val="fr-FR"/>
        </w:rPr>
        <w:t>, 2000).</w:t>
      </w:r>
      <w:r w:rsidRPr="00774BDA">
        <w:rPr>
          <w:rFonts w:ascii="Times New Roman" w:hAnsi="Times New Roman"/>
          <w:sz w:val="24"/>
          <w:szCs w:val="24"/>
        </w:rPr>
        <w:t xml:space="preserve"> </w:t>
      </w:r>
    </w:p>
    <w:p w:rsidR="00DC1C37" w:rsidRDefault="00DC1C37" w:rsidP="0049488A">
      <w:pPr>
        <w:spacing w:after="100" w:afterAutospacing="1" w:line="360" w:lineRule="auto"/>
        <w:jc w:val="both"/>
        <w:rPr>
          <w:rFonts w:ascii="Times New Roman" w:hAnsi="Times New Roman"/>
          <w:sz w:val="24"/>
          <w:szCs w:val="24"/>
        </w:rPr>
      </w:pPr>
      <w:r>
        <w:rPr>
          <w:rFonts w:ascii="Times New Roman" w:hAnsi="Times New Roman"/>
          <w:sz w:val="24"/>
          <w:szCs w:val="24"/>
        </w:rPr>
        <w:t xml:space="preserve">Ces mesures ont en commun qu’elles visent à rapprocher les allocataires sociaux du marché du travail. Elles prennent toutefois des formes très variées et </w:t>
      </w:r>
      <w:r w:rsidR="005731C9">
        <w:rPr>
          <w:rFonts w:ascii="Times New Roman" w:hAnsi="Times New Roman"/>
          <w:sz w:val="24"/>
          <w:szCs w:val="24"/>
        </w:rPr>
        <w:t>ont des effets distincts sur</w:t>
      </w:r>
      <w:r>
        <w:rPr>
          <w:rFonts w:ascii="Times New Roman" w:hAnsi="Times New Roman"/>
          <w:sz w:val="24"/>
          <w:szCs w:val="24"/>
        </w:rPr>
        <w:t xml:space="preserve"> </w:t>
      </w:r>
      <w:r w:rsidRPr="009216F9">
        <w:rPr>
          <w:rFonts w:ascii="Times New Roman" w:hAnsi="Times New Roman"/>
          <w:i/>
          <w:sz w:val="24"/>
          <w:szCs w:val="24"/>
        </w:rPr>
        <w:t>la liberté du travail</w:t>
      </w:r>
      <w:r w:rsidR="005731C9">
        <w:rPr>
          <w:rFonts w:ascii="Times New Roman" w:hAnsi="Times New Roman"/>
          <w:sz w:val="24"/>
          <w:szCs w:val="24"/>
        </w:rPr>
        <w:t xml:space="preserve"> de leurs destinataires</w:t>
      </w:r>
      <w:r>
        <w:rPr>
          <w:rFonts w:ascii="Times New Roman" w:hAnsi="Times New Roman"/>
          <w:sz w:val="24"/>
          <w:szCs w:val="24"/>
        </w:rPr>
        <w:t xml:space="preserve">. </w:t>
      </w:r>
      <w:r w:rsidRPr="00DC0263">
        <w:rPr>
          <w:rFonts w:ascii="Times New Roman" w:hAnsi="Times New Roman"/>
          <w:sz w:val="24"/>
          <w:szCs w:val="24"/>
        </w:rPr>
        <w:t xml:space="preserve">Certaines mesures </w:t>
      </w:r>
      <w:r>
        <w:rPr>
          <w:rFonts w:ascii="Times New Roman" w:hAnsi="Times New Roman"/>
          <w:sz w:val="24"/>
          <w:szCs w:val="24"/>
        </w:rPr>
        <w:t>restreignent le libre choix de l’emploi dans le chef des</w:t>
      </w:r>
      <w:r w:rsidRPr="00DC0263">
        <w:rPr>
          <w:rFonts w:ascii="Times New Roman" w:hAnsi="Times New Roman"/>
          <w:sz w:val="24"/>
          <w:szCs w:val="24"/>
        </w:rPr>
        <w:t xml:space="preserve"> allocataires s</w:t>
      </w:r>
      <w:r>
        <w:rPr>
          <w:rFonts w:ascii="Times New Roman" w:hAnsi="Times New Roman"/>
          <w:sz w:val="24"/>
          <w:szCs w:val="24"/>
        </w:rPr>
        <w:t>ociaux</w:t>
      </w:r>
      <w:r w:rsidRPr="00DC0263">
        <w:rPr>
          <w:rFonts w:ascii="Times New Roman" w:hAnsi="Times New Roman"/>
          <w:sz w:val="24"/>
          <w:szCs w:val="24"/>
        </w:rPr>
        <w:t xml:space="preserve"> </w:t>
      </w:r>
      <w:r>
        <w:rPr>
          <w:rFonts w:ascii="Times New Roman" w:hAnsi="Times New Roman"/>
          <w:sz w:val="24"/>
          <w:szCs w:val="24"/>
        </w:rPr>
        <w:t xml:space="preserve">– ou leur liberté </w:t>
      </w:r>
      <w:r w:rsidRPr="000A653A">
        <w:rPr>
          <w:rFonts w:ascii="Times New Roman" w:hAnsi="Times New Roman"/>
          <w:i/>
          <w:sz w:val="24"/>
          <w:szCs w:val="24"/>
        </w:rPr>
        <w:t>formelle</w:t>
      </w:r>
      <w:r>
        <w:rPr>
          <w:rFonts w:ascii="Times New Roman" w:hAnsi="Times New Roman"/>
          <w:sz w:val="24"/>
          <w:szCs w:val="24"/>
        </w:rPr>
        <w:t xml:space="preserve"> du travail - </w:t>
      </w:r>
      <w:r w:rsidRPr="00DC0263">
        <w:rPr>
          <w:rFonts w:ascii="Times New Roman" w:hAnsi="Times New Roman"/>
          <w:sz w:val="24"/>
          <w:szCs w:val="24"/>
        </w:rPr>
        <w:t>pour contraindre le</w:t>
      </w:r>
      <w:r>
        <w:rPr>
          <w:rFonts w:ascii="Times New Roman" w:hAnsi="Times New Roman"/>
          <w:sz w:val="24"/>
          <w:szCs w:val="24"/>
        </w:rPr>
        <w:t>ur</w:t>
      </w:r>
      <w:r w:rsidRPr="00DC0263">
        <w:rPr>
          <w:rFonts w:ascii="Times New Roman" w:hAnsi="Times New Roman"/>
          <w:sz w:val="24"/>
          <w:szCs w:val="24"/>
        </w:rPr>
        <w:t xml:space="preserve"> retour à l’emploi.</w:t>
      </w:r>
      <w:r>
        <w:rPr>
          <w:rFonts w:ascii="Times New Roman" w:hAnsi="Times New Roman"/>
          <w:sz w:val="24"/>
          <w:szCs w:val="24"/>
        </w:rPr>
        <w:t xml:space="preserve"> </w:t>
      </w:r>
      <w:r w:rsidRPr="00DC0263">
        <w:rPr>
          <w:rFonts w:ascii="Times New Roman" w:hAnsi="Times New Roman"/>
          <w:sz w:val="24"/>
          <w:szCs w:val="24"/>
        </w:rPr>
        <w:t>On pense notamment aux réformes qui limitent les possibilités de refuser un emploi ou qui conditionnent l’octroi des allocation</w:t>
      </w:r>
      <w:r>
        <w:rPr>
          <w:rFonts w:ascii="Times New Roman" w:hAnsi="Times New Roman"/>
          <w:sz w:val="24"/>
          <w:szCs w:val="24"/>
        </w:rPr>
        <w:t>s</w:t>
      </w:r>
      <w:r w:rsidRPr="00DC0263">
        <w:rPr>
          <w:rFonts w:ascii="Times New Roman" w:hAnsi="Times New Roman"/>
          <w:sz w:val="24"/>
          <w:szCs w:val="24"/>
        </w:rPr>
        <w:t xml:space="preserve"> à l’accomplissement </w:t>
      </w:r>
      <w:r>
        <w:rPr>
          <w:rFonts w:ascii="Times New Roman" w:hAnsi="Times New Roman"/>
          <w:sz w:val="24"/>
          <w:szCs w:val="24"/>
        </w:rPr>
        <w:t>de services d’intérêt général</w:t>
      </w:r>
      <w:r w:rsidRPr="00DC0263">
        <w:rPr>
          <w:rFonts w:ascii="Times New Roman" w:hAnsi="Times New Roman"/>
          <w:sz w:val="24"/>
          <w:szCs w:val="24"/>
        </w:rPr>
        <w:t>.</w:t>
      </w:r>
      <w:r>
        <w:rPr>
          <w:rFonts w:ascii="Times New Roman" w:hAnsi="Times New Roman"/>
          <w:sz w:val="24"/>
          <w:szCs w:val="24"/>
        </w:rPr>
        <w:t xml:space="preserve"> </w:t>
      </w:r>
      <w:r w:rsidRPr="00DC0263">
        <w:rPr>
          <w:rFonts w:ascii="Times New Roman" w:hAnsi="Times New Roman"/>
          <w:sz w:val="24"/>
          <w:szCs w:val="24"/>
        </w:rPr>
        <w:t>D’autres mesures</w:t>
      </w:r>
      <w:r>
        <w:rPr>
          <w:rFonts w:ascii="Times New Roman" w:hAnsi="Times New Roman"/>
          <w:sz w:val="24"/>
          <w:szCs w:val="24"/>
        </w:rPr>
        <w:t xml:space="preserve"> visent à accroitre</w:t>
      </w:r>
      <w:r w:rsidRPr="00DC0263">
        <w:rPr>
          <w:rFonts w:ascii="Times New Roman" w:hAnsi="Times New Roman"/>
          <w:sz w:val="24"/>
          <w:szCs w:val="24"/>
        </w:rPr>
        <w:t xml:space="preserve"> </w:t>
      </w:r>
      <w:r>
        <w:rPr>
          <w:rFonts w:ascii="Times New Roman" w:hAnsi="Times New Roman"/>
          <w:sz w:val="24"/>
          <w:szCs w:val="24"/>
        </w:rPr>
        <w:t xml:space="preserve">les possibilités concrètes – ou la liberté </w:t>
      </w:r>
      <w:r w:rsidRPr="000A653A">
        <w:rPr>
          <w:rFonts w:ascii="Times New Roman" w:hAnsi="Times New Roman"/>
          <w:i/>
          <w:sz w:val="24"/>
          <w:szCs w:val="24"/>
        </w:rPr>
        <w:t>réelle</w:t>
      </w:r>
      <w:r>
        <w:rPr>
          <w:rFonts w:ascii="Times New Roman" w:hAnsi="Times New Roman"/>
          <w:sz w:val="24"/>
          <w:szCs w:val="24"/>
        </w:rPr>
        <w:t xml:space="preserve"> - des allocataires sociaux d’accéder à un emploi</w:t>
      </w:r>
      <w:r w:rsidRPr="00DC0263">
        <w:rPr>
          <w:rFonts w:ascii="Times New Roman" w:hAnsi="Times New Roman"/>
          <w:sz w:val="24"/>
          <w:szCs w:val="24"/>
        </w:rPr>
        <w:t>.</w:t>
      </w:r>
      <w:r>
        <w:rPr>
          <w:rFonts w:ascii="Times New Roman" w:hAnsi="Times New Roman"/>
          <w:sz w:val="24"/>
          <w:szCs w:val="24"/>
        </w:rPr>
        <w:t xml:space="preserve"> On pense notamment aux programmes qui tendent à garantir le droit à une offre d’emploi, à une formation qualifiante ou à un stage professionnel rémunéré après une certaine durée de chômage</w:t>
      </w:r>
      <w:r w:rsidR="00F86366">
        <w:rPr>
          <w:rFonts w:ascii="Times New Roman" w:hAnsi="Times New Roman"/>
          <w:sz w:val="24"/>
          <w:szCs w:val="24"/>
        </w:rPr>
        <w:t xml:space="preserve"> (</w:t>
      </w:r>
      <w:proofErr w:type="spellStart"/>
      <w:r w:rsidR="00F86366">
        <w:rPr>
          <w:rFonts w:ascii="Times New Roman" w:hAnsi="Times New Roman"/>
          <w:sz w:val="24"/>
          <w:szCs w:val="24"/>
        </w:rPr>
        <w:t>Dermine</w:t>
      </w:r>
      <w:proofErr w:type="spellEnd"/>
      <w:r w:rsidR="00F86366">
        <w:rPr>
          <w:rFonts w:ascii="Times New Roman" w:hAnsi="Times New Roman"/>
          <w:sz w:val="24"/>
          <w:szCs w:val="24"/>
        </w:rPr>
        <w:t xml:space="preserve"> et Dumont, </w:t>
      </w:r>
      <w:r w:rsidR="00331115">
        <w:rPr>
          <w:rFonts w:ascii="Times New Roman" w:hAnsi="Times New Roman"/>
          <w:sz w:val="24"/>
          <w:szCs w:val="24"/>
        </w:rPr>
        <w:t xml:space="preserve">2014, </w:t>
      </w:r>
      <w:r w:rsidR="00F86366">
        <w:rPr>
          <w:rFonts w:ascii="Times New Roman" w:hAnsi="Times New Roman"/>
          <w:sz w:val="24"/>
          <w:szCs w:val="24"/>
        </w:rPr>
        <w:t>à paraître)</w:t>
      </w:r>
      <w:r>
        <w:rPr>
          <w:rFonts w:ascii="Times New Roman" w:hAnsi="Times New Roman"/>
          <w:sz w:val="24"/>
          <w:szCs w:val="24"/>
        </w:rPr>
        <w:t xml:space="preserve">. </w:t>
      </w:r>
    </w:p>
    <w:p w:rsidR="00F86366" w:rsidRDefault="00DC1C37" w:rsidP="00982DE6">
      <w:pPr>
        <w:spacing w:after="100" w:afterAutospacing="1" w:line="360" w:lineRule="auto"/>
        <w:jc w:val="both"/>
        <w:rPr>
          <w:rFonts w:ascii="Times New Roman" w:hAnsi="Times New Roman"/>
          <w:sz w:val="24"/>
          <w:szCs w:val="24"/>
        </w:rPr>
      </w:pPr>
      <w:r w:rsidRPr="00877D07">
        <w:rPr>
          <w:rFonts w:ascii="Times New Roman" w:hAnsi="Times New Roman"/>
          <w:sz w:val="24"/>
          <w:szCs w:val="24"/>
        </w:rPr>
        <w:t>Face aux m</w:t>
      </w:r>
      <w:r>
        <w:rPr>
          <w:rFonts w:ascii="Times New Roman" w:hAnsi="Times New Roman"/>
          <w:sz w:val="24"/>
          <w:szCs w:val="24"/>
        </w:rPr>
        <w:t>ultiples visages que prend l’</w:t>
      </w:r>
      <w:r w:rsidRPr="00877D07">
        <w:rPr>
          <w:rFonts w:ascii="Times New Roman" w:hAnsi="Times New Roman"/>
          <w:sz w:val="24"/>
          <w:szCs w:val="24"/>
        </w:rPr>
        <w:t xml:space="preserve">activation des chômeurs, nous </w:t>
      </w:r>
      <w:r>
        <w:rPr>
          <w:rFonts w:ascii="Times New Roman" w:hAnsi="Times New Roman"/>
          <w:sz w:val="24"/>
          <w:szCs w:val="24"/>
        </w:rPr>
        <w:t xml:space="preserve">nous proposons d’examiner </w:t>
      </w:r>
      <w:r w:rsidRPr="00877D07">
        <w:rPr>
          <w:rFonts w:ascii="Times New Roman" w:hAnsi="Times New Roman"/>
          <w:sz w:val="24"/>
          <w:szCs w:val="24"/>
        </w:rPr>
        <w:t xml:space="preserve">comment la jurisprudence internationale relative au droit au travail cadre et oriente </w:t>
      </w:r>
      <w:r>
        <w:rPr>
          <w:rFonts w:ascii="Times New Roman" w:hAnsi="Times New Roman"/>
          <w:sz w:val="24"/>
          <w:szCs w:val="24"/>
        </w:rPr>
        <w:t>cette évolution</w:t>
      </w:r>
      <w:r w:rsidRPr="00877D07">
        <w:rPr>
          <w:rFonts w:ascii="Times New Roman" w:hAnsi="Times New Roman"/>
          <w:sz w:val="24"/>
          <w:szCs w:val="24"/>
        </w:rPr>
        <w:t xml:space="preserve">. </w:t>
      </w:r>
    </w:p>
    <w:p w:rsidR="00DC1C37" w:rsidRPr="00982DE6" w:rsidRDefault="00DC1C37" w:rsidP="00982DE6">
      <w:pPr>
        <w:spacing w:after="100" w:afterAutospacing="1" w:line="360" w:lineRule="auto"/>
        <w:jc w:val="both"/>
        <w:rPr>
          <w:rFonts w:ascii="Times New Roman" w:hAnsi="Times New Roman"/>
          <w:sz w:val="24"/>
          <w:szCs w:val="24"/>
        </w:rPr>
      </w:pPr>
      <w:r>
        <w:rPr>
          <w:rFonts w:ascii="Times New Roman" w:hAnsi="Times New Roman"/>
          <w:sz w:val="24"/>
          <w:szCs w:val="24"/>
        </w:rPr>
        <w:t xml:space="preserve">Le </w:t>
      </w:r>
      <w:r w:rsidRPr="000A653A">
        <w:rPr>
          <w:rFonts w:ascii="Times New Roman" w:hAnsi="Times New Roman"/>
          <w:i/>
          <w:sz w:val="24"/>
          <w:szCs w:val="24"/>
        </w:rPr>
        <w:t>droit au travail</w:t>
      </w:r>
      <w:r>
        <w:rPr>
          <w:rFonts w:ascii="Times New Roman" w:hAnsi="Times New Roman"/>
          <w:sz w:val="24"/>
          <w:szCs w:val="24"/>
        </w:rPr>
        <w:t xml:space="preserve"> est consacré dans les Pactes internationaux relatifs aux droits économiques</w:t>
      </w:r>
      <w:r w:rsidR="00F86366">
        <w:rPr>
          <w:rFonts w:ascii="Times New Roman" w:hAnsi="Times New Roman"/>
          <w:sz w:val="24"/>
          <w:szCs w:val="24"/>
        </w:rPr>
        <w:t>,</w:t>
      </w:r>
      <w:r>
        <w:rPr>
          <w:rFonts w:ascii="Times New Roman" w:hAnsi="Times New Roman"/>
          <w:sz w:val="24"/>
          <w:szCs w:val="24"/>
        </w:rPr>
        <w:t xml:space="preserve"> sociaux et culturels adoptés dans les décennies suivant l’après-guerre</w:t>
      </w:r>
      <w:r w:rsidR="00F86366">
        <w:rPr>
          <w:rFonts w:ascii="Times New Roman" w:hAnsi="Times New Roman"/>
          <w:sz w:val="24"/>
          <w:szCs w:val="24"/>
        </w:rPr>
        <w:t xml:space="preserve"> (notamment l’article 6 du Pacte international relatif aux droits économiques, sociaux et culturels et l’a</w:t>
      </w:r>
      <w:r w:rsidR="00E67E77">
        <w:rPr>
          <w:rFonts w:ascii="Times New Roman" w:hAnsi="Times New Roman"/>
          <w:sz w:val="24"/>
          <w:szCs w:val="24"/>
        </w:rPr>
        <w:t>rticle 1</w:t>
      </w:r>
      <w:r w:rsidR="00F86366">
        <w:rPr>
          <w:rFonts w:ascii="Times New Roman" w:hAnsi="Times New Roman"/>
          <w:sz w:val="24"/>
          <w:szCs w:val="24"/>
        </w:rPr>
        <w:t xml:space="preserve"> de la Charte sociale européenne)</w:t>
      </w:r>
      <w:r>
        <w:rPr>
          <w:rFonts w:ascii="Times New Roman" w:hAnsi="Times New Roman"/>
          <w:sz w:val="24"/>
          <w:szCs w:val="24"/>
        </w:rPr>
        <w:t>. Ce droit nous apparaît intéressant car il vise à protéger la liberté du travail qui est, nous l’avons vu, un enjeu qui traverse les mesures d’activation. Dans les textes internationaux, le droit au travail a une face négative</w:t>
      </w:r>
      <w:r w:rsidR="00E67E77">
        <w:rPr>
          <w:rFonts w:ascii="Times New Roman" w:hAnsi="Times New Roman"/>
          <w:sz w:val="24"/>
          <w:szCs w:val="24"/>
        </w:rPr>
        <w:t xml:space="preserve"> et une face positive</w:t>
      </w:r>
      <w:r w:rsidR="00E67E77">
        <w:rPr>
          <w:rStyle w:val="Appelnotedebasdep"/>
          <w:rFonts w:ascii="Times New Roman" w:hAnsi="Times New Roman"/>
          <w:sz w:val="24"/>
          <w:szCs w:val="24"/>
        </w:rPr>
        <w:footnoteReference w:id="1"/>
      </w:r>
      <w:r>
        <w:rPr>
          <w:rFonts w:ascii="Times New Roman" w:hAnsi="Times New Roman"/>
          <w:sz w:val="24"/>
          <w:szCs w:val="24"/>
        </w:rPr>
        <w:t xml:space="preserve">. Les dispositions relatives à la composante négative proclament </w:t>
      </w:r>
      <w:r w:rsidRPr="000A653A">
        <w:rPr>
          <w:rFonts w:ascii="Times New Roman" w:hAnsi="Times New Roman"/>
          <w:sz w:val="24"/>
          <w:szCs w:val="24"/>
        </w:rPr>
        <w:t>le droit au travail librement choisi</w:t>
      </w:r>
      <w:r w:rsidR="00E67E77">
        <w:rPr>
          <w:rFonts w:ascii="Times New Roman" w:hAnsi="Times New Roman"/>
          <w:sz w:val="24"/>
          <w:szCs w:val="24"/>
        </w:rPr>
        <w:t xml:space="preserve"> (article 6, §1 du PIDESC et article 1, §2 de la CSE)</w:t>
      </w:r>
      <w:r w:rsidRPr="000A653A">
        <w:rPr>
          <w:rFonts w:ascii="Times New Roman" w:hAnsi="Times New Roman"/>
          <w:sz w:val="24"/>
          <w:szCs w:val="24"/>
        </w:rPr>
        <w:t>.</w:t>
      </w:r>
      <w:r>
        <w:rPr>
          <w:rFonts w:ascii="Times New Roman" w:hAnsi="Times New Roman"/>
          <w:sz w:val="24"/>
          <w:szCs w:val="24"/>
        </w:rPr>
        <w:t xml:space="preserve"> Ces dispositions imposent </w:t>
      </w:r>
      <w:r w:rsidRPr="00982DE6">
        <w:rPr>
          <w:rFonts w:ascii="Times New Roman" w:hAnsi="Times New Roman"/>
          <w:sz w:val="24"/>
          <w:szCs w:val="24"/>
        </w:rPr>
        <w:t xml:space="preserve">aux Etats de s’abstenir </w:t>
      </w:r>
      <w:r>
        <w:rPr>
          <w:rFonts w:ascii="Times New Roman" w:hAnsi="Times New Roman"/>
          <w:sz w:val="24"/>
          <w:szCs w:val="24"/>
        </w:rPr>
        <w:t xml:space="preserve">eux-mêmes </w:t>
      </w:r>
      <w:r w:rsidRPr="00982DE6">
        <w:rPr>
          <w:rFonts w:ascii="Times New Roman" w:hAnsi="Times New Roman"/>
          <w:sz w:val="24"/>
          <w:szCs w:val="24"/>
        </w:rPr>
        <w:t xml:space="preserve">d’entraver le libre choix de l’activité professionnelle et </w:t>
      </w:r>
      <w:r>
        <w:rPr>
          <w:rFonts w:ascii="Times New Roman" w:hAnsi="Times New Roman"/>
          <w:sz w:val="24"/>
          <w:szCs w:val="24"/>
        </w:rPr>
        <w:t>d’empêcher les tiers</w:t>
      </w:r>
      <w:r w:rsidRPr="00982DE6">
        <w:rPr>
          <w:rFonts w:ascii="Times New Roman" w:hAnsi="Times New Roman"/>
          <w:sz w:val="24"/>
          <w:szCs w:val="24"/>
        </w:rPr>
        <w:t xml:space="preserve"> de le faire</w:t>
      </w:r>
      <w:r>
        <w:rPr>
          <w:rFonts w:ascii="Times New Roman" w:hAnsi="Times New Roman"/>
          <w:sz w:val="24"/>
          <w:szCs w:val="24"/>
        </w:rPr>
        <w:t xml:space="preserve">. </w:t>
      </w:r>
      <w:r w:rsidR="001E241C">
        <w:rPr>
          <w:rFonts w:ascii="Times New Roman" w:hAnsi="Times New Roman"/>
          <w:sz w:val="24"/>
          <w:szCs w:val="24"/>
        </w:rPr>
        <w:t xml:space="preserve">Elles comprennent notamment l’interdiction du travail forcé (protégée par la Convention n°29 de l’Organisation internationale du travail). </w:t>
      </w:r>
      <w:r>
        <w:rPr>
          <w:rFonts w:ascii="Times New Roman" w:hAnsi="Times New Roman"/>
          <w:sz w:val="24"/>
          <w:szCs w:val="24"/>
        </w:rPr>
        <w:t>Le droit au travail</w:t>
      </w:r>
      <w:r w:rsidRPr="00982DE6">
        <w:rPr>
          <w:rFonts w:ascii="Times New Roman" w:hAnsi="Times New Roman"/>
          <w:sz w:val="24"/>
          <w:szCs w:val="24"/>
        </w:rPr>
        <w:t xml:space="preserve"> </w:t>
      </w:r>
      <w:r>
        <w:rPr>
          <w:rFonts w:ascii="Times New Roman" w:hAnsi="Times New Roman"/>
          <w:sz w:val="24"/>
          <w:szCs w:val="24"/>
        </w:rPr>
        <w:t xml:space="preserve">librement choisi </w:t>
      </w:r>
      <w:r w:rsidRPr="00982DE6">
        <w:rPr>
          <w:rFonts w:ascii="Times New Roman" w:hAnsi="Times New Roman"/>
          <w:sz w:val="24"/>
          <w:szCs w:val="24"/>
        </w:rPr>
        <w:t xml:space="preserve">offre une protection </w:t>
      </w:r>
      <w:r w:rsidRPr="009216F9">
        <w:rPr>
          <w:rFonts w:ascii="Times New Roman" w:hAnsi="Times New Roman"/>
          <w:i/>
          <w:sz w:val="24"/>
          <w:szCs w:val="24"/>
        </w:rPr>
        <w:t>formelle</w:t>
      </w:r>
      <w:r w:rsidRPr="00982DE6">
        <w:rPr>
          <w:rFonts w:ascii="Times New Roman" w:hAnsi="Times New Roman"/>
          <w:sz w:val="24"/>
          <w:szCs w:val="24"/>
        </w:rPr>
        <w:t xml:space="preserve"> de la liberté du travail. Dans sa composante positive, le droit au travail impose aux Etats d’entreprendre des actions </w:t>
      </w:r>
      <w:r w:rsidRPr="00982DE6">
        <w:rPr>
          <w:rFonts w:ascii="Times New Roman" w:hAnsi="Times New Roman"/>
          <w:sz w:val="24"/>
          <w:szCs w:val="24"/>
        </w:rPr>
        <w:lastRenderedPageBreak/>
        <w:t xml:space="preserve">positives </w:t>
      </w:r>
      <w:r>
        <w:rPr>
          <w:rFonts w:ascii="Times New Roman" w:hAnsi="Times New Roman"/>
          <w:sz w:val="24"/>
          <w:szCs w:val="24"/>
        </w:rPr>
        <w:t xml:space="preserve">pour sécuriser progressivement la liberté </w:t>
      </w:r>
      <w:r w:rsidRPr="00747CCE">
        <w:rPr>
          <w:rFonts w:ascii="Times New Roman" w:hAnsi="Times New Roman"/>
          <w:i/>
          <w:sz w:val="24"/>
          <w:szCs w:val="24"/>
        </w:rPr>
        <w:t xml:space="preserve">réelle </w:t>
      </w:r>
      <w:r w:rsidRPr="00982DE6">
        <w:rPr>
          <w:rFonts w:ascii="Times New Roman" w:hAnsi="Times New Roman"/>
          <w:sz w:val="24"/>
          <w:szCs w:val="24"/>
        </w:rPr>
        <w:t xml:space="preserve">des </w:t>
      </w:r>
      <w:r>
        <w:rPr>
          <w:rFonts w:ascii="Times New Roman" w:hAnsi="Times New Roman"/>
          <w:sz w:val="24"/>
          <w:szCs w:val="24"/>
        </w:rPr>
        <w:t>individus</w:t>
      </w:r>
      <w:r w:rsidRPr="00982DE6">
        <w:rPr>
          <w:rFonts w:ascii="Times New Roman" w:hAnsi="Times New Roman"/>
          <w:sz w:val="24"/>
          <w:szCs w:val="24"/>
        </w:rPr>
        <w:t xml:space="preserve"> d’accéder à un emploi. </w:t>
      </w:r>
      <w:r>
        <w:rPr>
          <w:rFonts w:ascii="Times New Roman" w:hAnsi="Times New Roman"/>
          <w:sz w:val="24"/>
          <w:szCs w:val="24"/>
        </w:rPr>
        <w:t>Au terme des dispositions internationales, les Etats doivent mettre en œuvre</w:t>
      </w:r>
      <w:r w:rsidRPr="00982DE6">
        <w:rPr>
          <w:rFonts w:ascii="Times New Roman" w:hAnsi="Times New Roman"/>
          <w:sz w:val="24"/>
          <w:szCs w:val="24"/>
        </w:rPr>
        <w:t xml:space="preserve"> une </w:t>
      </w:r>
      <w:r>
        <w:rPr>
          <w:rFonts w:ascii="Times New Roman" w:hAnsi="Times New Roman"/>
          <w:sz w:val="24"/>
          <w:szCs w:val="24"/>
        </w:rPr>
        <w:t>politique de l’emploi visant à atteindre</w:t>
      </w:r>
      <w:r w:rsidRPr="00EC3F7F">
        <w:rPr>
          <w:rFonts w:ascii="Times New Roman" w:hAnsi="Times New Roman"/>
          <w:sz w:val="24"/>
          <w:szCs w:val="24"/>
        </w:rPr>
        <w:t xml:space="preserve"> un niveau d’emploi aussi</w:t>
      </w:r>
      <w:r>
        <w:rPr>
          <w:rFonts w:ascii="Times New Roman" w:hAnsi="Times New Roman"/>
          <w:sz w:val="24"/>
          <w:szCs w:val="24"/>
        </w:rPr>
        <w:t xml:space="preserve"> stable et élevé que possible</w:t>
      </w:r>
      <w:r w:rsidRPr="00982DE6">
        <w:rPr>
          <w:rFonts w:ascii="Times New Roman" w:hAnsi="Times New Roman"/>
          <w:sz w:val="24"/>
          <w:szCs w:val="24"/>
        </w:rPr>
        <w:t xml:space="preserve">, </w:t>
      </w:r>
      <w:r>
        <w:rPr>
          <w:rFonts w:ascii="Times New Roman" w:hAnsi="Times New Roman"/>
          <w:sz w:val="24"/>
          <w:szCs w:val="24"/>
        </w:rPr>
        <w:t>mettre en place des services gratuits</w:t>
      </w:r>
      <w:r w:rsidRPr="00982DE6">
        <w:rPr>
          <w:rFonts w:ascii="Times New Roman" w:hAnsi="Times New Roman"/>
          <w:sz w:val="24"/>
          <w:szCs w:val="24"/>
        </w:rPr>
        <w:t xml:space="preserve"> de l’emploi ou encore </w:t>
      </w:r>
      <w:r>
        <w:rPr>
          <w:rFonts w:ascii="Times New Roman" w:hAnsi="Times New Roman"/>
          <w:sz w:val="24"/>
          <w:szCs w:val="24"/>
        </w:rPr>
        <w:t>favoriser l’orientation et la formation professionnelles</w:t>
      </w:r>
      <w:r w:rsidR="00BB4663">
        <w:rPr>
          <w:rFonts w:ascii="Times New Roman" w:hAnsi="Times New Roman"/>
          <w:sz w:val="24"/>
          <w:szCs w:val="24"/>
        </w:rPr>
        <w:t xml:space="preserve"> (article 6, §1 et 2 du PIDESC et article §1, 3 et 4 de la CSE)</w:t>
      </w:r>
      <w:r>
        <w:rPr>
          <w:rFonts w:ascii="Times New Roman" w:hAnsi="Times New Roman"/>
          <w:sz w:val="24"/>
          <w:szCs w:val="24"/>
        </w:rPr>
        <w:t xml:space="preserve">. Le droit au travail librement choisi et le droit positif au travail constituent deux composantes d’un même droit. </w:t>
      </w:r>
      <w:r w:rsidRPr="00982DE6">
        <w:rPr>
          <w:rFonts w:ascii="Times New Roman" w:hAnsi="Times New Roman"/>
          <w:sz w:val="24"/>
          <w:szCs w:val="24"/>
        </w:rPr>
        <w:t xml:space="preserve">La poursuite du </w:t>
      </w:r>
      <w:r>
        <w:rPr>
          <w:rFonts w:ascii="Times New Roman" w:hAnsi="Times New Roman"/>
          <w:sz w:val="24"/>
          <w:szCs w:val="24"/>
        </w:rPr>
        <w:t>plein emploi (</w:t>
      </w:r>
      <w:r w:rsidR="00BB4663">
        <w:rPr>
          <w:rFonts w:ascii="Times New Roman" w:hAnsi="Times New Roman"/>
          <w:sz w:val="24"/>
          <w:szCs w:val="24"/>
        </w:rPr>
        <w:t xml:space="preserve">protégée par la </w:t>
      </w:r>
      <w:r>
        <w:rPr>
          <w:rFonts w:ascii="Times New Roman" w:hAnsi="Times New Roman"/>
          <w:sz w:val="24"/>
          <w:szCs w:val="24"/>
        </w:rPr>
        <w:t>composante positive du droit au travail)</w:t>
      </w:r>
      <w:r w:rsidRPr="00982DE6">
        <w:rPr>
          <w:rFonts w:ascii="Times New Roman" w:hAnsi="Times New Roman"/>
          <w:sz w:val="24"/>
          <w:szCs w:val="24"/>
        </w:rPr>
        <w:t xml:space="preserve"> ne peut</w:t>
      </w:r>
      <w:r w:rsidR="00BB4663">
        <w:rPr>
          <w:rFonts w:ascii="Times New Roman" w:hAnsi="Times New Roman"/>
          <w:sz w:val="24"/>
          <w:szCs w:val="24"/>
        </w:rPr>
        <w:t xml:space="preserve"> dès lors</w:t>
      </w:r>
      <w:r w:rsidRPr="00982DE6">
        <w:rPr>
          <w:rFonts w:ascii="Times New Roman" w:hAnsi="Times New Roman"/>
          <w:sz w:val="24"/>
          <w:szCs w:val="24"/>
        </w:rPr>
        <w:t xml:space="preserve"> se faire au détriment du libre choix de l’emploi</w:t>
      </w:r>
      <w:r>
        <w:rPr>
          <w:rFonts w:ascii="Times New Roman" w:hAnsi="Times New Roman"/>
          <w:sz w:val="24"/>
          <w:szCs w:val="24"/>
        </w:rPr>
        <w:t xml:space="preserve"> (</w:t>
      </w:r>
      <w:r w:rsidR="00BB4663">
        <w:rPr>
          <w:rFonts w:ascii="Times New Roman" w:hAnsi="Times New Roman"/>
          <w:sz w:val="24"/>
          <w:szCs w:val="24"/>
        </w:rPr>
        <w:t xml:space="preserve">protégé par la </w:t>
      </w:r>
      <w:r>
        <w:rPr>
          <w:rFonts w:ascii="Times New Roman" w:hAnsi="Times New Roman"/>
          <w:sz w:val="24"/>
          <w:szCs w:val="24"/>
        </w:rPr>
        <w:t>composante négative du droit au travail)</w:t>
      </w:r>
      <w:r w:rsidRPr="00982DE6">
        <w:rPr>
          <w:rFonts w:ascii="Times New Roman" w:hAnsi="Times New Roman"/>
          <w:sz w:val="24"/>
          <w:szCs w:val="24"/>
        </w:rPr>
        <w:t xml:space="preserve">. </w:t>
      </w:r>
    </w:p>
    <w:p w:rsidR="008B5823" w:rsidRDefault="00BB4663" w:rsidP="0049488A">
      <w:pPr>
        <w:spacing w:after="100" w:afterAutospacing="1" w:line="360" w:lineRule="auto"/>
        <w:jc w:val="both"/>
        <w:rPr>
          <w:rFonts w:ascii="Times New Roman" w:hAnsi="Times New Roman"/>
          <w:sz w:val="24"/>
          <w:szCs w:val="24"/>
        </w:rPr>
      </w:pPr>
      <w:r>
        <w:rPr>
          <w:rFonts w:ascii="Times New Roman" w:hAnsi="Times New Roman"/>
          <w:sz w:val="24"/>
          <w:szCs w:val="24"/>
        </w:rPr>
        <w:t>Afin d’évaluer l’action du droit au travail sur le développement des mesures d’activation dans les systèmes de protection sociale,</w:t>
      </w:r>
      <w:r w:rsidR="00DC1C37">
        <w:rPr>
          <w:rFonts w:ascii="Times New Roman" w:hAnsi="Times New Roman"/>
          <w:sz w:val="24"/>
          <w:szCs w:val="24"/>
        </w:rPr>
        <w:t xml:space="preserve"> nous avons passé en revue l’ensemble des cas dans lesquels la jurisprudence internationale a eu à se prononcer sur la conformité d’une mesure d’activation au regard du droit au travail, dans ses composantes positive et négative. Dans le cadre de cet atelier, nous nous concentre</w:t>
      </w:r>
      <w:r w:rsidR="005731C9">
        <w:rPr>
          <w:rFonts w:ascii="Times New Roman" w:hAnsi="Times New Roman"/>
          <w:sz w:val="24"/>
          <w:szCs w:val="24"/>
        </w:rPr>
        <w:t xml:space="preserve">rons sur la manière dont les organes chargés </w:t>
      </w:r>
      <w:r w:rsidR="007B1039">
        <w:rPr>
          <w:rFonts w:ascii="Times New Roman" w:hAnsi="Times New Roman"/>
          <w:sz w:val="24"/>
          <w:szCs w:val="24"/>
        </w:rPr>
        <w:t>du contrôle</w:t>
      </w:r>
      <w:r w:rsidR="005731C9">
        <w:rPr>
          <w:rFonts w:ascii="Times New Roman" w:hAnsi="Times New Roman"/>
          <w:sz w:val="24"/>
          <w:szCs w:val="24"/>
        </w:rPr>
        <w:t xml:space="preserve"> de l’application des textes internationaux</w:t>
      </w:r>
      <w:r w:rsidR="00DC1C37">
        <w:rPr>
          <w:rFonts w:ascii="Times New Roman" w:hAnsi="Times New Roman"/>
          <w:sz w:val="24"/>
          <w:szCs w:val="24"/>
        </w:rPr>
        <w:t xml:space="preserve"> détermine</w:t>
      </w:r>
      <w:r w:rsidR="00461284">
        <w:rPr>
          <w:rFonts w:ascii="Times New Roman" w:hAnsi="Times New Roman"/>
          <w:sz w:val="24"/>
          <w:szCs w:val="24"/>
        </w:rPr>
        <w:t>nt</w:t>
      </w:r>
      <w:r w:rsidR="00DC1C37">
        <w:rPr>
          <w:rFonts w:ascii="Times New Roman" w:hAnsi="Times New Roman"/>
          <w:sz w:val="24"/>
          <w:szCs w:val="24"/>
        </w:rPr>
        <w:t xml:space="preserve"> les exigences concrètes qui découlent du droit au travail.</w:t>
      </w:r>
    </w:p>
    <w:p w:rsidR="00DC1C37" w:rsidRDefault="00DC1C37" w:rsidP="0049488A">
      <w:pPr>
        <w:spacing w:after="100" w:afterAutospacing="1" w:line="360" w:lineRule="auto"/>
        <w:jc w:val="both"/>
        <w:rPr>
          <w:rFonts w:ascii="Times New Roman" w:hAnsi="Times New Roman"/>
          <w:sz w:val="24"/>
          <w:szCs w:val="24"/>
        </w:rPr>
      </w:pPr>
      <w:r>
        <w:rPr>
          <w:rFonts w:ascii="Times New Roman" w:hAnsi="Times New Roman"/>
          <w:sz w:val="24"/>
          <w:szCs w:val="24"/>
        </w:rPr>
        <w:t xml:space="preserve">Nous avons observé que la jurisprudence internationale étudiée se tient de manière générale à </w:t>
      </w:r>
      <w:r w:rsidRPr="00331115">
        <w:rPr>
          <w:rFonts w:ascii="Times New Roman" w:hAnsi="Times New Roman"/>
          <w:i/>
          <w:sz w:val="24"/>
          <w:szCs w:val="24"/>
        </w:rPr>
        <w:t xml:space="preserve">une vision libérale classique </w:t>
      </w:r>
      <w:r w:rsidR="007B1039">
        <w:rPr>
          <w:rFonts w:ascii="Times New Roman" w:hAnsi="Times New Roman"/>
          <w:i/>
          <w:sz w:val="24"/>
          <w:szCs w:val="24"/>
        </w:rPr>
        <w:t>du droit au travail</w:t>
      </w:r>
      <w:r w:rsidRPr="00331115">
        <w:rPr>
          <w:rFonts w:ascii="Times New Roman" w:hAnsi="Times New Roman"/>
          <w:i/>
          <w:sz w:val="24"/>
          <w:szCs w:val="24"/>
        </w:rPr>
        <w:t xml:space="preserve"> et de son rôle dans la détermination du contenu des droits</w:t>
      </w:r>
      <w:r>
        <w:rPr>
          <w:rFonts w:ascii="Times New Roman" w:hAnsi="Times New Roman"/>
          <w:sz w:val="24"/>
          <w:szCs w:val="24"/>
        </w:rPr>
        <w:t xml:space="preserve">. Dans cette conception, le juge doit appliquer un droit absolu et abstrait à des cas concrets par le biais d’interprétations téléologiques, c’est-à-dire qu’il doit rechercher quelle aurait été la volonté des auteurs des textes juridiques face au cas concret qu’il doit trancher. L’approche libérale classique du rôle du juge pose </w:t>
      </w:r>
      <w:r w:rsidR="008B5823">
        <w:rPr>
          <w:rFonts w:ascii="Times New Roman" w:hAnsi="Times New Roman"/>
          <w:sz w:val="24"/>
          <w:szCs w:val="24"/>
        </w:rPr>
        <w:t xml:space="preserve">généralement </w:t>
      </w:r>
      <w:r>
        <w:rPr>
          <w:rFonts w:ascii="Times New Roman" w:hAnsi="Times New Roman"/>
          <w:sz w:val="24"/>
          <w:szCs w:val="24"/>
        </w:rPr>
        <w:t>des problèmes de légitimité dém</w:t>
      </w:r>
      <w:r w:rsidR="00333EBB">
        <w:rPr>
          <w:rFonts w:ascii="Times New Roman" w:hAnsi="Times New Roman"/>
          <w:sz w:val="24"/>
          <w:szCs w:val="24"/>
        </w:rPr>
        <w:t>ocratique d’autant plus délicats</w:t>
      </w:r>
      <w:r>
        <w:rPr>
          <w:rFonts w:ascii="Times New Roman" w:hAnsi="Times New Roman"/>
          <w:sz w:val="24"/>
          <w:szCs w:val="24"/>
        </w:rPr>
        <w:t xml:space="preserve"> que la norme à contrôler est ancienne et que le contexte a évolué</w:t>
      </w:r>
      <w:r w:rsidR="008B5823">
        <w:rPr>
          <w:rFonts w:ascii="Times New Roman" w:hAnsi="Times New Roman"/>
          <w:sz w:val="24"/>
          <w:szCs w:val="24"/>
        </w:rPr>
        <w:t xml:space="preserve">. </w:t>
      </w:r>
      <w:r>
        <w:rPr>
          <w:rFonts w:ascii="Times New Roman" w:hAnsi="Times New Roman"/>
          <w:sz w:val="24"/>
          <w:szCs w:val="24"/>
        </w:rPr>
        <w:t>Concrètement, on observe que le juge, conscient</w:t>
      </w:r>
      <w:r w:rsidRPr="00437731">
        <w:rPr>
          <w:rFonts w:ascii="Times New Roman" w:hAnsi="Times New Roman"/>
          <w:sz w:val="24"/>
          <w:szCs w:val="24"/>
        </w:rPr>
        <w:t xml:space="preserve"> du risque d’usurper la souveraineté du peuple démocratique, </w:t>
      </w:r>
      <w:r>
        <w:rPr>
          <w:rFonts w:ascii="Times New Roman" w:hAnsi="Times New Roman"/>
          <w:sz w:val="24"/>
          <w:szCs w:val="24"/>
        </w:rPr>
        <w:t xml:space="preserve">a souvent tendance à réduire son action </w:t>
      </w:r>
      <w:r w:rsidRPr="00437731">
        <w:rPr>
          <w:rFonts w:ascii="Times New Roman" w:hAnsi="Times New Roman"/>
          <w:sz w:val="24"/>
          <w:szCs w:val="24"/>
        </w:rPr>
        <w:t>à un contrôle strictement marginal du</w:t>
      </w:r>
      <w:r>
        <w:rPr>
          <w:rFonts w:ascii="Times New Roman" w:hAnsi="Times New Roman"/>
          <w:sz w:val="24"/>
          <w:szCs w:val="24"/>
        </w:rPr>
        <w:t xml:space="preserve"> respect des droits de l’homme</w:t>
      </w:r>
      <w:r w:rsidRPr="00437731">
        <w:rPr>
          <w:rFonts w:ascii="Times New Roman" w:hAnsi="Times New Roman"/>
          <w:sz w:val="24"/>
          <w:szCs w:val="24"/>
        </w:rPr>
        <w:t>, spécialement lorsqu’il</w:t>
      </w:r>
      <w:r>
        <w:rPr>
          <w:rFonts w:ascii="Times New Roman" w:hAnsi="Times New Roman"/>
          <w:sz w:val="24"/>
          <w:szCs w:val="24"/>
        </w:rPr>
        <w:t>s</w:t>
      </w:r>
      <w:r w:rsidRPr="00437731">
        <w:rPr>
          <w:rFonts w:ascii="Times New Roman" w:hAnsi="Times New Roman"/>
          <w:sz w:val="24"/>
          <w:szCs w:val="24"/>
        </w:rPr>
        <w:t xml:space="preserve"> porte</w:t>
      </w:r>
      <w:r>
        <w:rPr>
          <w:rFonts w:ascii="Times New Roman" w:hAnsi="Times New Roman"/>
          <w:sz w:val="24"/>
          <w:szCs w:val="24"/>
        </w:rPr>
        <w:t>nt</w:t>
      </w:r>
      <w:r w:rsidRPr="00437731">
        <w:rPr>
          <w:rFonts w:ascii="Times New Roman" w:hAnsi="Times New Roman"/>
          <w:sz w:val="24"/>
          <w:szCs w:val="24"/>
        </w:rPr>
        <w:t xml:space="preserve"> sur une obligation positive des Etats</w:t>
      </w:r>
      <w:r w:rsidR="008B5823">
        <w:rPr>
          <w:rFonts w:ascii="Times New Roman" w:hAnsi="Times New Roman"/>
          <w:sz w:val="24"/>
          <w:szCs w:val="24"/>
        </w:rPr>
        <w:t xml:space="preserve"> (</w:t>
      </w:r>
      <w:proofErr w:type="spellStart"/>
      <w:r w:rsidR="008B5823">
        <w:rPr>
          <w:rFonts w:ascii="Times New Roman" w:hAnsi="Times New Roman"/>
          <w:sz w:val="24"/>
          <w:szCs w:val="24"/>
        </w:rPr>
        <w:t>Dorf</w:t>
      </w:r>
      <w:proofErr w:type="spellEnd"/>
      <w:r w:rsidR="008B5823">
        <w:rPr>
          <w:rFonts w:ascii="Times New Roman" w:hAnsi="Times New Roman"/>
          <w:sz w:val="24"/>
          <w:szCs w:val="24"/>
        </w:rPr>
        <w:t xml:space="preserve"> et </w:t>
      </w:r>
      <w:proofErr w:type="spellStart"/>
      <w:r w:rsidR="008B5823">
        <w:rPr>
          <w:rFonts w:ascii="Times New Roman" w:hAnsi="Times New Roman"/>
          <w:sz w:val="24"/>
          <w:szCs w:val="24"/>
        </w:rPr>
        <w:t>Sabel</w:t>
      </w:r>
      <w:proofErr w:type="spellEnd"/>
      <w:r w:rsidR="008B5823">
        <w:rPr>
          <w:rFonts w:ascii="Times New Roman" w:hAnsi="Times New Roman"/>
          <w:sz w:val="24"/>
          <w:szCs w:val="24"/>
        </w:rPr>
        <w:t xml:space="preserve">, </w:t>
      </w:r>
      <w:r w:rsidR="00333EBB">
        <w:rPr>
          <w:rFonts w:ascii="Times New Roman" w:hAnsi="Times New Roman"/>
          <w:sz w:val="24"/>
          <w:szCs w:val="24"/>
        </w:rPr>
        <w:t xml:space="preserve">2004, pp. 390-395 ; J. De </w:t>
      </w:r>
      <w:proofErr w:type="spellStart"/>
      <w:r w:rsidR="00333EBB">
        <w:rPr>
          <w:rFonts w:ascii="Times New Roman" w:hAnsi="Times New Roman"/>
          <w:sz w:val="24"/>
          <w:szCs w:val="24"/>
        </w:rPr>
        <w:t>Munck</w:t>
      </w:r>
      <w:proofErr w:type="spellEnd"/>
      <w:r w:rsidR="00333EBB">
        <w:rPr>
          <w:rFonts w:ascii="Times New Roman" w:hAnsi="Times New Roman"/>
          <w:sz w:val="24"/>
          <w:szCs w:val="24"/>
        </w:rPr>
        <w:t xml:space="preserve">, </w:t>
      </w:r>
      <w:r w:rsidR="007660D2">
        <w:rPr>
          <w:rFonts w:ascii="Times New Roman" w:hAnsi="Times New Roman"/>
          <w:sz w:val="24"/>
          <w:szCs w:val="24"/>
        </w:rPr>
        <w:t>2004</w:t>
      </w:r>
      <w:r w:rsidR="00333EBB">
        <w:rPr>
          <w:rFonts w:ascii="Times New Roman" w:hAnsi="Times New Roman"/>
          <w:sz w:val="24"/>
          <w:szCs w:val="24"/>
        </w:rPr>
        <w:t>)</w:t>
      </w:r>
      <w:r w:rsidRPr="00437731">
        <w:rPr>
          <w:rFonts w:ascii="Times New Roman" w:hAnsi="Times New Roman"/>
          <w:sz w:val="24"/>
          <w:szCs w:val="24"/>
        </w:rPr>
        <w:t xml:space="preserve">.  </w:t>
      </w:r>
    </w:p>
    <w:p w:rsidR="00DC1C37" w:rsidRDefault="00DC1C37" w:rsidP="00B854D5">
      <w:pPr>
        <w:spacing w:after="100" w:afterAutospacing="1" w:line="360" w:lineRule="auto"/>
        <w:jc w:val="both"/>
        <w:rPr>
          <w:rFonts w:ascii="Times New Roman" w:hAnsi="Times New Roman"/>
          <w:sz w:val="24"/>
          <w:szCs w:val="24"/>
        </w:rPr>
      </w:pPr>
      <w:r>
        <w:rPr>
          <w:rFonts w:ascii="Times New Roman" w:hAnsi="Times New Roman"/>
          <w:sz w:val="24"/>
          <w:szCs w:val="24"/>
        </w:rPr>
        <w:t xml:space="preserve">Cette attitude d’auto-restriction est observée dans la jurisprudence étudiée. </w:t>
      </w:r>
      <w:r w:rsidR="008B5823" w:rsidRPr="008B5823">
        <w:rPr>
          <w:rFonts w:ascii="Times New Roman" w:hAnsi="Times New Roman"/>
          <w:sz w:val="24"/>
          <w:szCs w:val="24"/>
        </w:rPr>
        <w:t>La mission du juge</w:t>
      </w:r>
      <w:r w:rsidR="00333EBB">
        <w:rPr>
          <w:rFonts w:ascii="Times New Roman" w:hAnsi="Times New Roman"/>
          <w:sz w:val="24"/>
          <w:szCs w:val="24"/>
        </w:rPr>
        <w:t xml:space="preserve"> y est particulièrement malaisée car </w:t>
      </w:r>
      <w:r w:rsidR="008B5823" w:rsidRPr="008B5823">
        <w:rPr>
          <w:rFonts w:ascii="Times New Roman" w:hAnsi="Times New Roman"/>
          <w:sz w:val="24"/>
          <w:szCs w:val="24"/>
        </w:rPr>
        <w:t>il doit appliquer des dispositions internationales adoptées dans les années 60 dans un contexte s</w:t>
      </w:r>
      <w:r w:rsidR="00333EBB">
        <w:rPr>
          <w:rFonts w:ascii="Times New Roman" w:hAnsi="Times New Roman"/>
          <w:sz w:val="24"/>
          <w:szCs w:val="24"/>
        </w:rPr>
        <w:t>ocial et économique radicalement changé</w:t>
      </w:r>
      <w:r w:rsidR="008B5823" w:rsidRPr="008B5823">
        <w:rPr>
          <w:rFonts w:ascii="Times New Roman" w:hAnsi="Times New Roman"/>
          <w:sz w:val="24"/>
          <w:szCs w:val="24"/>
        </w:rPr>
        <w:t xml:space="preserve">. </w:t>
      </w:r>
      <w:r>
        <w:rPr>
          <w:rFonts w:ascii="Times New Roman" w:hAnsi="Times New Roman"/>
          <w:sz w:val="24"/>
          <w:szCs w:val="24"/>
        </w:rPr>
        <w:t xml:space="preserve">En ce qui concerne </w:t>
      </w:r>
      <w:r w:rsidRPr="00F172F5">
        <w:rPr>
          <w:rFonts w:ascii="Times New Roman" w:hAnsi="Times New Roman"/>
          <w:i/>
          <w:sz w:val="24"/>
          <w:szCs w:val="24"/>
        </w:rPr>
        <w:t>le droit positif au travail</w:t>
      </w:r>
      <w:r>
        <w:rPr>
          <w:rFonts w:ascii="Times New Roman" w:hAnsi="Times New Roman"/>
          <w:sz w:val="24"/>
          <w:szCs w:val="24"/>
        </w:rPr>
        <w:t xml:space="preserve">, </w:t>
      </w:r>
      <w:r w:rsidR="00333EBB">
        <w:rPr>
          <w:rFonts w:ascii="Times New Roman" w:hAnsi="Times New Roman"/>
          <w:sz w:val="24"/>
          <w:szCs w:val="24"/>
        </w:rPr>
        <w:t>les organes chargés de  superviser l’application</w:t>
      </w:r>
      <w:r w:rsidRPr="00B854D5">
        <w:rPr>
          <w:rFonts w:ascii="Times New Roman" w:hAnsi="Times New Roman"/>
          <w:sz w:val="24"/>
          <w:szCs w:val="24"/>
        </w:rPr>
        <w:t xml:space="preserve"> </w:t>
      </w:r>
      <w:r w:rsidR="00333EBB">
        <w:rPr>
          <w:rFonts w:ascii="Times New Roman" w:hAnsi="Times New Roman"/>
          <w:sz w:val="24"/>
          <w:szCs w:val="24"/>
        </w:rPr>
        <w:t xml:space="preserve">des dispositions des textes internationaux </w:t>
      </w:r>
      <w:r w:rsidRPr="00B854D5">
        <w:rPr>
          <w:rFonts w:ascii="Times New Roman" w:hAnsi="Times New Roman"/>
          <w:sz w:val="24"/>
          <w:szCs w:val="24"/>
        </w:rPr>
        <w:t>se bornent à vérifier que les Etats élaborent et mettent en œuvre une politique active de promotion de l’emploi, qu’ils en organisent l’évaluation et qu’ils consultent les partenaires sociaux à ces différents stades. Ils ne se prononcent pas sur le contenu de la politique de l’emploi</w:t>
      </w:r>
      <w:r>
        <w:rPr>
          <w:rFonts w:ascii="Times New Roman" w:hAnsi="Times New Roman"/>
          <w:sz w:val="24"/>
          <w:szCs w:val="24"/>
        </w:rPr>
        <w:t xml:space="preserve"> par crainte</w:t>
      </w:r>
      <w:r w:rsidRPr="00B854D5">
        <w:rPr>
          <w:rFonts w:ascii="Times New Roman" w:hAnsi="Times New Roman"/>
          <w:sz w:val="24"/>
          <w:szCs w:val="24"/>
        </w:rPr>
        <w:t xml:space="preserve"> de violer la souveraineté des Etats. Les organes internationaux encouragent, sans distinction, le développement de mesures d’activation des allocataires sociaux, sous les dispositions relatives au droit positif au travail. </w:t>
      </w:r>
      <w:r>
        <w:rPr>
          <w:rFonts w:ascii="Times New Roman" w:hAnsi="Times New Roman"/>
          <w:sz w:val="24"/>
          <w:szCs w:val="24"/>
        </w:rPr>
        <w:t>Ils encouragent le phénomène sans le cadrer, ni l’orienter</w:t>
      </w:r>
      <w:r w:rsidR="001E241C">
        <w:rPr>
          <w:rFonts w:ascii="Times New Roman" w:hAnsi="Times New Roman"/>
          <w:sz w:val="24"/>
          <w:szCs w:val="24"/>
        </w:rPr>
        <w:t xml:space="preserve"> (à ce sujet, </w:t>
      </w:r>
      <w:proofErr w:type="spellStart"/>
      <w:r w:rsidR="001E241C">
        <w:rPr>
          <w:rFonts w:ascii="Times New Roman" w:hAnsi="Times New Roman"/>
          <w:sz w:val="24"/>
          <w:szCs w:val="24"/>
        </w:rPr>
        <w:t>voy</w:t>
      </w:r>
      <w:proofErr w:type="spellEnd"/>
      <w:r w:rsidR="001E241C">
        <w:rPr>
          <w:rFonts w:ascii="Times New Roman" w:hAnsi="Times New Roman"/>
          <w:sz w:val="24"/>
          <w:szCs w:val="24"/>
        </w:rPr>
        <w:t>. particulièrement la jurisprudence du Comité europ</w:t>
      </w:r>
      <w:r w:rsidR="00461284">
        <w:rPr>
          <w:rFonts w:ascii="Times New Roman" w:hAnsi="Times New Roman"/>
          <w:sz w:val="24"/>
          <w:szCs w:val="24"/>
        </w:rPr>
        <w:t>éen des droits sociaux relative</w:t>
      </w:r>
      <w:r w:rsidR="001E241C">
        <w:rPr>
          <w:rFonts w:ascii="Times New Roman" w:hAnsi="Times New Roman"/>
          <w:sz w:val="24"/>
          <w:szCs w:val="24"/>
        </w:rPr>
        <w:t xml:space="preserve"> à l’article 1, §1 de la CSE)</w:t>
      </w:r>
      <w:r>
        <w:rPr>
          <w:rFonts w:ascii="Times New Roman" w:hAnsi="Times New Roman"/>
          <w:sz w:val="24"/>
          <w:szCs w:val="24"/>
        </w:rPr>
        <w:t>.</w:t>
      </w:r>
    </w:p>
    <w:p w:rsidR="00380968" w:rsidRDefault="00333EBB" w:rsidP="00314655">
      <w:pPr>
        <w:spacing w:after="100" w:afterAutospacing="1" w:line="360" w:lineRule="auto"/>
        <w:jc w:val="both"/>
        <w:rPr>
          <w:rFonts w:ascii="Times New Roman" w:hAnsi="Times New Roman"/>
          <w:sz w:val="24"/>
          <w:szCs w:val="24"/>
        </w:rPr>
      </w:pPr>
      <w:r>
        <w:rPr>
          <w:rFonts w:ascii="Times New Roman" w:hAnsi="Times New Roman"/>
          <w:sz w:val="24"/>
          <w:szCs w:val="24"/>
        </w:rPr>
        <w:lastRenderedPageBreak/>
        <w:t xml:space="preserve">Ces mêmes organes de supervision </w:t>
      </w:r>
      <w:r w:rsidR="00DC1C37">
        <w:rPr>
          <w:rFonts w:ascii="Times New Roman" w:hAnsi="Times New Roman"/>
          <w:sz w:val="24"/>
          <w:szCs w:val="24"/>
        </w:rPr>
        <w:t xml:space="preserve">relèvent toutefois qu’en </w:t>
      </w:r>
      <w:r w:rsidR="00DC1C37" w:rsidRPr="003F4B8E">
        <w:rPr>
          <w:rFonts w:ascii="Times New Roman" w:hAnsi="Times New Roman"/>
          <w:sz w:val="24"/>
          <w:szCs w:val="24"/>
        </w:rPr>
        <w:t>période de crise budgétaire et de l’emploi,</w:t>
      </w:r>
      <w:r w:rsidR="00DC1C37">
        <w:rPr>
          <w:rFonts w:ascii="Times New Roman" w:hAnsi="Times New Roman"/>
          <w:sz w:val="24"/>
          <w:szCs w:val="24"/>
        </w:rPr>
        <w:t xml:space="preserve"> les pays industrialisés ont tendance</w:t>
      </w:r>
      <w:r w:rsidR="00DC1C37" w:rsidRPr="003F4B8E">
        <w:rPr>
          <w:rFonts w:ascii="Times New Roman" w:hAnsi="Times New Roman"/>
          <w:sz w:val="24"/>
          <w:szCs w:val="24"/>
        </w:rPr>
        <w:t xml:space="preserve"> à adopter</w:t>
      </w:r>
      <w:r w:rsidR="00DC1C37">
        <w:rPr>
          <w:rFonts w:ascii="Times New Roman" w:hAnsi="Times New Roman"/>
          <w:sz w:val="24"/>
          <w:szCs w:val="24"/>
        </w:rPr>
        <w:t xml:space="preserve"> des  mesures d’activation </w:t>
      </w:r>
      <w:r w:rsidR="00DC1C37" w:rsidRPr="003F4B8E">
        <w:rPr>
          <w:rFonts w:ascii="Times New Roman" w:hAnsi="Times New Roman"/>
          <w:sz w:val="24"/>
          <w:szCs w:val="24"/>
        </w:rPr>
        <w:t xml:space="preserve">coercitives </w:t>
      </w:r>
      <w:r w:rsidR="00DC1C37">
        <w:rPr>
          <w:rFonts w:ascii="Times New Roman" w:hAnsi="Times New Roman"/>
          <w:sz w:val="24"/>
          <w:szCs w:val="24"/>
        </w:rPr>
        <w:t>qui pourraient avoir</w:t>
      </w:r>
      <w:r w:rsidR="00DC1C37" w:rsidRPr="003F4B8E">
        <w:rPr>
          <w:rFonts w:ascii="Times New Roman" w:hAnsi="Times New Roman"/>
          <w:sz w:val="24"/>
          <w:szCs w:val="24"/>
        </w:rPr>
        <w:t xml:space="preserve"> des répercussions négatives sur le droit au travail librem</w:t>
      </w:r>
      <w:r w:rsidR="00DC1C37">
        <w:rPr>
          <w:rFonts w:ascii="Times New Roman" w:hAnsi="Times New Roman"/>
          <w:sz w:val="24"/>
          <w:szCs w:val="24"/>
        </w:rPr>
        <w:t>ent choisi</w:t>
      </w:r>
      <w:r w:rsidR="00DC1C37" w:rsidRPr="003F4B8E">
        <w:rPr>
          <w:rFonts w:ascii="Times New Roman" w:hAnsi="Times New Roman"/>
          <w:sz w:val="24"/>
          <w:szCs w:val="24"/>
        </w:rPr>
        <w:t>.</w:t>
      </w:r>
      <w:r w:rsidR="00DC1C37">
        <w:rPr>
          <w:rFonts w:ascii="Times New Roman" w:hAnsi="Times New Roman"/>
          <w:sz w:val="24"/>
          <w:szCs w:val="24"/>
        </w:rPr>
        <w:t xml:space="preserve"> En conséquence, </w:t>
      </w:r>
      <w:r w:rsidR="00DC1C37" w:rsidRPr="00333EBB">
        <w:rPr>
          <w:rFonts w:ascii="Times New Roman" w:hAnsi="Times New Roman"/>
          <w:sz w:val="24"/>
          <w:szCs w:val="24"/>
        </w:rPr>
        <w:t>ils</w:t>
      </w:r>
      <w:r w:rsidR="00DC1C37">
        <w:rPr>
          <w:rFonts w:ascii="Times New Roman" w:hAnsi="Times New Roman"/>
          <w:sz w:val="24"/>
          <w:szCs w:val="24"/>
        </w:rPr>
        <w:t xml:space="preserve"> commencent, à la fin des années 90, à examiner les mesures d’activation sous l’angle du </w:t>
      </w:r>
      <w:r w:rsidR="00DC1C37" w:rsidRPr="00F172F5">
        <w:rPr>
          <w:rFonts w:ascii="Times New Roman" w:hAnsi="Times New Roman"/>
          <w:i/>
          <w:sz w:val="24"/>
          <w:szCs w:val="24"/>
        </w:rPr>
        <w:t xml:space="preserve">droit au travail librement </w:t>
      </w:r>
      <w:r w:rsidR="00DC1C37">
        <w:rPr>
          <w:rFonts w:ascii="Times New Roman" w:hAnsi="Times New Roman"/>
          <w:i/>
          <w:sz w:val="24"/>
          <w:szCs w:val="24"/>
        </w:rPr>
        <w:t>choisi</w:t>
      </w:r>
      <w:r w:rsidR="00380968">
        <w:rPr>
          <w:rFonts w:ascii="Times New Roman" w:hAnsi="Times New Roman"/>
          <w:i/>
          <w:sz w:val="24"/>
          <w:szCs w:val="24"/>
        </w:rPr>
        <w:t xml:space="preserve"> </w:t>
      </w:r>
      <w:r w:rsidR="00380968">
        <w:rPr>
          <w:rFonts w:ascii="Times New Roman" w:hAnsi="Times New Roman"/>
          <w:sz w:val="24"/>
          <w:szCs w:val="24"/>
        </w:rPr>
        <w:t xml:space="preserve">(composante négative du droit au travail). </w:t>
      </w:r>
      <w:r w:rsidR="00DC1C37" w:rsidRPr="00113DAC">
        <w:rPr>
          <w:rFonts w:ascii="Times New Roman" w:hAnsi="Times New Roman"/>
          <w:sz w:val="24"/>
          <w:szCs w:val="24"/>
        </w:rPr>
        <w:t xml:space="preserve">Pour </w:t>
      </w:r>
      <w:r w:rsidR="00DC1C37">
        <w:rPr>
          <w:rFonts w:ascii="Times New Roman" w:hAnsi="Times New Roman"/>
          <w:sz w:val="24"/>
          <w:szCs w:val="24"/>
        </w:rPr>
        <w:t>évaluer la conformité des mesures d’activation au</w:t>
      </w:r>
      <w:r w:rsidR="00DC1C37" w:rsidRPr="00113DAC">
        <w:rPr>
          <w:rFonts w:ascii="Times New Roman" w:hAnsi="Times New Roman"/>
          <w:sz w:val="24"/>
          <w:szCs w:val="24"/>
        </w:rPr>
        <w:t xml:space="preserve"> droit au travail librement </w:t>
      </w:r>
      <w:r w:rsidR="00DC1C37">
        <w:rPr>
          <w:rFonts w:ascii="Times New Roman" w:hAnsi="Times New Roman"/>
          <w:sz w:val="24"/>
          <w:szCs w:val="24"/>
        </w:rPr>
        <w:t>choisi</w:t>
      </w:r>
      <w:r w:rsidR="00DC1C37" w:rsidRPr="00113DAC">
        <w:rPr>
          <w:rFonts w:ascii="Times New Roman" w:hAnsi="Times New Roman"/>
          <w:sz w:val="24"/>
          <w:szCs w:val="24"/>
        </w:rPr>
        <w:t xml:space="preserve">, </w:t>
      </w:r>
      <w:r w:rsidR="00DC1C37" w:rsidRPr="001E241C">
        <w:rPr>
          <w:rFonts w:ascii="Times New Roman" w:hAnsi="Times New Roman"/>
          <w:sz w:val="24"/>
          <w:szCs w:val="24"/>
        </w:rPr>
        <w:t>ils</w:t>
      </w:r>
      <w:r w:rsidR="00DC1C37">
        <w:rPr>
          <w:rFonts w:ascii="Times New Roman" w:hAnsi="Times New Roman"/>
          <w:sz w:val="24"/>
          <w:szCs w:val="24"/>
        </w:rPr>
        <w:t xml:space="preserve"> se fondent sur des critères empruntés aux</w:t>
      </w:r>
      <w:r w:rsidR="00DC1C37" w:rsidRPr="00113DAC">
        <w:rPr>
          <w:rFonts w:ascii="Times New Roman" w:hAnsi="Times New Roman"/>
          <w:sz w:val="24"/>
          <w:szCs w:val="24"/>
        </w:rPr>
        <w:t xml:space="preserve"> norm</w:t>
      </w:r>
      <w:r w:rsidR="00DC1C37">
        <w:rPr>
          <w:rFonts w:ascii="Times New Roman" w:hAnsi="Times New Roman"/>
          <w:sz w:val="24"/>
          <w:szCs w:val="24"/>
        </w:rPr>
        <w:t>e</w:t>
      </w:r>
      <w:r w:rsidR="00DC1C37" w:rsidRPr="00113DAC">
        <w:rPr>
          <w:rFonts w:ascii="Times New Roman" w:hAnsi="Times New Roman"/>
          <w:sz w:val="24"/>
          <w:szCs w:val="24"/>
        </w:rPr>
        <w:t xml:space="preserve">s internationales </w:t>
      </w:r>
      <w:r w:rsidR="00DC1C37">
        <w:rPr>
          <w:rFonts w:ascii="Times New Roman" w:hAnsi="Times New Roman"/>
          <w:sz w:val="24"/>
          <w:szCs w:val="24"/>
        </w:rPr>
        <w:t>relatives aux prestations de chômage, pour asseoir leur légitimité</w:t>
      </w:r>
      <w:r w:rsidR="00380968">
        <w:rPr>
          <w:rFonts w:ascii="Times New Roman" w:hAnsi="Times New Roman"/>
          <w:sz w:val="24"/>
          <w:szCs w:val="24"/>
        </w:rPr>
        <w:t xml:space="preserve"> (</w:t>
      </w:r>
      <w:proofErr w:type="spellStart"/>
      <w:r w:rsidR="00380968" w:rsidRPr="00380968">
        <w:rPr>
          <w:rFonts w:ascii="Times New Roman" w:hAnsi="Times New Roman"/>
          <w:sz w:val="24"/>
          <w:szCs w:val="24"/>
        </w:rPr>
        <w:t>Dermine</w:t>
      </w:r>
      <w:proofErr w:type="spellEnd"/>
      <w:r w:rsidR="00380968" w:rsidRPr="00380968">
        <w:rPr>
          <w:rFonts w:ascii="Times New Roman" w:hAnsi="Times New Roman"/>
          <w:sz w:val="24"/>
          <w:szCs w:val="24"/>
        </w:rPr>
        <w:t xml:space="preserve">, </w:t>
      </w:r>
      <w:r w:rsidR="007660D2">
        <w:rPr>
          <w:rFonts w:ascii="Times New Roman" w:hAnsi="Times New Roman"/>
          <w:sz w:val="24"/>
          <w:szCs w:val="24"/>
        </w:rPr>
        <w:t xml:space="preserve">2014, </w:t>
      </w:r>
      <w:r w:rsidR="00380968" w:rsidRPr="00380968">
        <w:rPr>
          <w:rFonts w:ascii="Times New Roman" w:hAnsi="Times New Roman"/>
          <w:sz w:val="24"/>
          <w:szCs w:val="24"/>
        </w:rPr>
        <w:t>à paraître).</w:t>
      </w:r>
      <w:r w:rsidR="00DC1C37" w:rsidRPr="00113DAC">
        <w:rPr>
          <w:rFonts w:ascii="Times New Roman" w:hAnsi="Times New Roman"/>
          <w:sz w:val="24"/>
          <w:szCs w:val="24"/>
        </w:rPr>
        <w:t xml:space="preserve"> </w:t>
      </w:r>
      <w:r w:rsidR="00DC1C37" w:rsidRPr="001E241C">
        <w:rPr>
          <w:rFonts w:ascii="Times New Roman" w:hAnsi="Times New Roman"/>
          <w:sz w:val="24"/>
          <w:szCs w:val="24"/>
        </w:rPr>
        <w:t>Ils</w:t>
      </w:r>
      <w:r w:rsidR="00DC1C37">
        <w:rPr>
          <w:rFonts w:ascii="Times New Roman" w:hAnsi="Times New Roman"/>
          <w:sz w:val="24"/>
          <w:szCs w:val="24"/>
        </w:rPr>
        <w:t xml:space="preserve"> en dégagent deux lignes de jurisprudence qui constituent des limites au développement des mesures d’activation. Première ligne de jurisprudence : le droit au travail librement choisi impose que les bénéficiaires de prestations de chômage puissent refuser un emploi qui n’est pas convenable au sens des dispositions internationales sur les prestations de chômage. La notion d’emploi convenable protège essentiellement le statut professionnel des chômeurs qui doivent pouvoir refuser, pendant une période initiale raisonnable de chômage, un emploi qui ne correspond pas à leurs compétences et qualifications professionnelles</w:t>
      </w:r>
      <w:r w:rsidR="00380968">
        <w:rPr>
          <w:rFonts w:ascii="Times New Roman" w:hAnsi="Times New Roman"/>
          <w:sz w:val="24"/>
          <w:szCs w:val="24"/>
        </w:rPr>
        <w:t xml:space="preserve"> (jurisprudence du Comité européen des droits sociaux sous l’article 1, §2 de la CSE et de la Commission pour l’application des conventions et des recommandations de l’OIT sous la Convention n°29 sur le travail forcé)</w:t>
      </w:r>
      <w:r w:rsidR="00DC1C37">
        <w:rPr>
          <w:rFonts w:ascii="Times New Roman" w:hAnsi="Times New Roman"/>
          <w:sz w:val="24"/>
          <w:szCs w:val="24"/>
        </w:rPr>
        <w:t>. Deuxième ligne de jurisprudence : faire de l’accomplissement de travail d’intérêt général une condition de versement des allocations sociales constitue du travail forcé, lorsque le chômeur a travaillé et cotisé pour ouvrir le droit aux prestations et que la durée de versement des prestations est proportionnelle à la durée du travail presté en amont. La jurisprudence internationale s’appuie ici sur les conditions d’éligibilité et d’octroi des prestations de chômage définies dans les normes internationales, pour déterminer les limites que pose le droit au travail librement choisi au développement des mesures d’activation</w:t>
      </w:r>
      <w:r w:rsidR="00380968">
        <w:rPr>
          <w:rFonts w:ascii="Times New Roman" w:hAnsi="Times New Roman"/>
          <w:sz w:val="24"/>
          <w:szCs w:val="24"/>
        </w:rPr>
        <w:t xml:space="preserve"> (jurisprudence de la CEACR de l’OIT sous la Convention</w:t>
      </w:r>
      <w:r w:rsidR="00461284">
        <w:rPr>
          <w:rFonts w:ascii="Times New Roman" w:hAnsi="Times New Roman"/>
          <w:sz w:val="24"/>
          <w:szCs w:val="24"/>
        </w:rPr>
        <w:t xml:space="preserve"> </w:t>
      </w:r>
      <w:bookmarkStart w:id="0" w:name="_GoBack"/>
      <w:bookmarkEnd w:id="0"/>
      <w:r w:rsidR="00380968">
        <w:rPr>
          <w:rFonts w:ascii="Times New Roman" w:hAnsi="Times New Roman"/>
          <w:sz w:val="24"/>
          <w:szCs w:val="24"/>
        </w:rPr>
        <w:t>n°29)</w:t>
      </w:r>
      <w:r w:rsidR="00DC1C37">
        <w:rPr>
          <w:rFonts w:ascii="Times New Roman" w:hAnsi="Times New Roman"/>
          <w:sz w:val="24"/>
          <w:szCs w:val="24"/>
        </w:rPr>
        <w:t>.</w:t>
      </w:r>
      <w:r w:rsidR="00380968">
        <w:rPr>
          <w:rFonts w:ascii="Times New Roman" w:hAnsi="Times New Roman"/>
          <w:sz w:val="24"/>
          <w:szCs w:val="24"/>
        </w:rPr>
        <w:t xml:space="preserve"> </w:t>
      </w:r>
      <w:r w:rsidR="00DC1C37">
        <w:rPr>
          <w:rFonts w:ascii="Times New Roman" w:hAnsi="Times New Roman"/>
          <w:sz w:val="24"/>
          <w:szCs w:val="24"/>
        </w:rPr>
        <w:t xml:space="preserve">Les organes internationaux tirent donc les critères d’évaluation du droit au travail librement choisi de normes sociales internationales élaborées dans les décennies suivant l’après-guerre. </w:t>
      </w:r>
    </w:p>
    <w:p w:rsidR="00DC1C37" w:rsidRDefault="00DC1C37" w:rsidP="00314655">
      <w:pPr>
        <w:spacing w:after="100" w:afterAutospacing="1" w:line="360" w:lineRule="auto"/>
        <w:jc w:val="both"/>
        <w:rPr>
          <w:rFonts w:ascii="Times New Roman" w:hAnsi="Times New Roman"/>
          <w:sz w:val="24"/>
          <w:szCs w:val="24"/>
        </w:rPr>
      </w:pPr>
      <w:r>
        <w:rPr>
          <w:rFonts w:ascii="Times New Roman" w:hAnsi="Times New Roman"/>
          <w:sz w:val="24"/>
          <w:szCs w:val="24"/>
        </w:rPr>
        <w:t xml:space="preserve">Est-ce que ces balises permettent de protéger d’une manière efficace la liberté du travail des chômeurs ? Durant les Trente glorieuses, c’était probablement le cas. Lorsque les travailleurs perdaient momentanément leur emploi, leur liberté de choisir leur emploi était protégée jusqu’à ce qu’ils retrouvent, quelques mois plus tard, un emploi correspondant à leurs qualifications. Dans le contexte actuel, ces balises sont devenues insatisfaisantes pour protéger la liberté du travail des </w:t>
      </w:r>
      <w:r w:rsidR="00D6314F">
        <w:rPr>
          <w:rFonts w:ascii="Times New Roman" w:hAnsi="Times New Roman"/>
          <w:sz w:val="24"/>
          <w:szCs w:val="24"/>
        </w:rPr>
        <w:t>chômeurs. Tout d’abord, elles protègent essentiellement</w:t>
      </w:r>
      <w:r>
        <w:rPr>
          <w:rFonts w:ascii="Times New Roman" w:hAnsi="Times New Roman"/>
          <w:sz w:val="24"/>
          <w:szCs w:val="24"/>
        </w:rPr>
        <w:t xml:space="preserve"> la liberté du travail des chômeurs de courte durée à charge de l’assurance chômage alors que, dans le contexte actuel de chômage élevé et de longue durée, de plus en plus de personnes demeurent au chômage pendant une longue période. Par ailleurs, une part de plus en plus importante des chômeurs est à charge de l’assistance sociale parce qu’elle n’a pas ou plus droit aux prestations de l’assurance chômage. Ces larges catégories de personnes sans emploi ne reçoivent </w:t>
      </w:r>
      <w:r w:rsidR="00D6314F">
        <w:rPr>
          <w:rFonts w:ascii="Times New Roman" w:hAnsi="Times New Roman"/>
          <w:sz w:val="24"/>
          <w:szCs w:val="24"/>
        </w:rPr>
        <w:t xml:space="preserve">quasiment </w:t>
      </w:r>
      <w:r>
        <w:rPr>
          <w:rFonts w:ascii="Times New Roman" w:hAnsi="Times New Roman"/>
          <w:sz w:val="24"/>
          <w:szCs w:val="24"/>
        </w:rPr>
        <w:t xml:space="preserve">aucune protection de leur liberté du travail </w:t>
      </w:r>
      <w:r w:rsidR="00D6314F">
        <w:rPr>
          <w:rFonts w:ascii="Times New Roman" w:hAnsi="Times New Roman"/>
          <w:sz w:val="24"/>
          <w:szCs w:val="24"/>
        </w:rPr>
        <w:t xml:space="preserve">via le droit au travail </w:t>
      </w:r>
      <w:r>
        <w:rPr>
          <w:rFonts w:ascii="Times New Roman" w:hAnsi="Times New Roman"/>
          <w:sz w:val="24"/>
          <w:szCs w:val="24"/>
        </w:rPr>
        <w:t xml:space="preserve">alors qu’ils sont également visés par les mesures d’activation. En outre, ces balises ne protègent que la liberté formelle du travail. Elles déconnectent le droit au travail librement choisi de la composante positive du droit au travail, alors que certaines mesures d’activation cherchent justement à </w:t>
      </w:r>
      <w:r>
        <w:rPr>
          <w:rFonts w:ascii="Times New Roman" w:hAnsi="Times New Roman"/>
          <w:sz w:val="24"/>
          <w:szCs w:val="24"/>
        </w:rPr>
        <w:lastRenderedPageBreak/>
        <w:t xml:space="preserve">augmenter les possibilités réelles des chômeurs d’accéder au marché du travail. Dans un contexte d’évolution toujours plus rapide des métiers et des compétences demandés, il semble que se concentrer uniquement sur la liberté formelle du travail n’est plus suffisant. </w:t>
      </w:r>
      <w:r w:rsidRPr="001702AF">
        <w:rPr>
          <w:rFonts w:ascii="Times New Roman" w:hAnsi="Times New Roman"/>
          <w:sz w:val="24"/>
          <w:szCs w:val="24"/>
        </w:rPr>
        <w:t>On ajoutera enfin que les normes sociales internationales ont été inspirées des modèles sociaux nationaux d’après-guerre, modèles qui sont, a</w:t>
      </w:r>
      <w:r>
        <w:rPr>
          <w:rFonts w:ascii="Times New Roman" w:hAnsi="Times New Roman"/>
          <w:sz w:val="24"/>
          <w:szCs w:val="24"/>
        </w:rPr>
        <w:t>ujourd’hui</w:t>
      </w:r>
      <w:r w:rsidR="00F27B63">
        <w:rPr>
          <w:rFonts w:ascii="Times New Roman" w:hAnsi="Times New Roman"/>
          <w:sz w:val="24"/>
          <w:szCs w:val="24"/>
        </w:rPr>
        <w:t>,</w:t>
      </w:r>
      <w:r w:rsidRPr="001702AF">
        <w:rPr>
          <w:rFonts w:ascii="Times New Roman" w:hAnsi="Times New Roman"/>
          <w:sz w:val="24"/>
          <w:szCs w:val="24"/>
        </w:rPr>
        <w:t xml:space="preserve"> en crise. Les balises dégagées par le juge sont donc mises en cause par de nombreux Etats, dont certains n’hésitent par exemple pas à supprimer la notion d’emploi convenable ou à en modifier le contenu. </w:t>
      </w:r>
      <w:r>
        <w:rPr>
          <w:rFonts w:ascii="Times New Roman" w:hAnsi="Times New Roman"/>
          <w:sz w:val="24"/>
          <w:szCs w:val="24"/>
        </w:rPr>
        <w:t>Dans ce contexte, une fracture apparait</w:t>
      </w:r>
      <w:r w:rsidRPr="001702AF">
        <w:rPr>
          <w:rFonts w:ascii="Times New Roman" w:hAnsi="Times New Roman"/>
          <w:sz w:val="24"/>
          <w:szCs w:val="24"/>
        </w:rPr>
        <w:t xml:space="preserve"> entre la jurisprudence et la pratique des Etats. </w:t>
      </w:r>
    </w:p>
    <w:p w:rsidR="00DC1C37" w:rsidRDefault="007660D2" w:rsidP="009044A5">
      <w:pPr>
        <w:spacing w:after="100" w:afterAutospacing="1" w:line="360" w:lineRule="auto"/>
        <w:jc w:val="both"/>
        <w:rPr>
          <w:rFonts w:ascii="Times New Roman" w:hAnsi="Times New Roman"/>
          <w:sz w:val="24"/>
          <w:szCs w:val="24"/>
        </w:rPr>
      </w:pPr>
      <w:r>
        <w:rPr>
          <w:rFonts w:ascii="Times New Roman" w:hAnsi="Times New Roman"/>
          <w:sz w:val="24"/>
          <w:szCs w:val="24"/>
        </w:rPr>
        <w:t xml:space="preserve">Conjointement </w:t>
      </w:r>
      <w:r w:rsidR="00DC1C37">
        <w:rPr>
          <w:rFonts w:ascii="Times New Roman" w:hAnsi="Times New Roman"/>
          <w:sz w:val="24"/>
          <w:szCs w:val="24"/>
        </w:rPr>
        <w:t>à l’affirmation de ces deux limites au développement des mesures d’activation, on observe que les organes internationaux développent une démarche de questionnement des nouvelles pratiques des Etats</w:t>
      </w:r>
      <w:r w:rsidR="00D6314F">
        <w:rPr>
          <w:rFonts w:ascii="Times New Roman" w:hAnsi="Times New Roman"/>
          <w:sz w:val="24"/>
          <w:szCs w:val="24"/>
        </w:rPr>
        <w:t xml:space="preserve"> (</w:t>
      </w:r>
      <w:proofErr w:type="spellStart"/>
      <w:r w:rsidR="00D6314F">
        <w:rPr>
          <w:rFonts w:ascii="Times New Roman" w:hAnsi="Times New Roman"/>
          <w:sz w:val="24"/>
          <w:szCs w:val="24"/>
        </w:rPr>
        <w:t>Dermine</w:t>
      </w:r>
      <w:proofErr w:type="spellEnd"/>
      <w:r w:rsidR="00D6314F">
        <w:rPr>
          <w:rFonts w:ascii="Times New Roman" w:hAnsi="Times New Roman"/>
          <w:sz w:val="24"/>
          <w:szCs w:val="24"/>
        </w:rPr>
        <w:t xml:space="preserve">, </w:t>
      </w:r>
      <w:r>
        <w:rPr>
          <w:rFonts w:ascii="Times New Roman" w:hAnsi="Times New Roman"/>
          <w:sz w:val="24"/>
          <w:szCs w:val="24"/>
        </w:rPr>
        <w:t xml:space="preserve">2014, </w:t>
      </w:r>
      <w:r w:rsidR="00D6314F">
        <w:rPr>
          <w:rFonts w:ascii="Times New Roman" w:hAnsi="Times New Roman"/>
          <w:sz w:val="24"/>
          <w:szCs w:val="24"/>
        </w:rPr>
        <w:t>à paraître)</w:t>
      </w:r>
      <w:r w:rsidR="00DC1C37">
        <w:rPr>
          <w:rFonts w:ascii="Times New Roman" w:hAnsi="Times New Roman"/>
          <w:sz w:val="24"/>
          <w:szCs w:val="24"/>
        </w:rPr>
        <w:t>. Ils leur posent des questions variées sur le but, les caractéristiques et les effets des mesures d’activation qu’ils mettent en place. En fonction des réponses fournies par les Etats, ils reformulent leurs questions et en a</w:t>
      </w:r>
      <w:r>
        <w:rPr>
          <w:rFonts w:ascii="Times New Roman" w:hAnsi="Times New Roman"/>
          <w:sz w:val="24"/>
          <w:szCs w:val="24"/>
        </w:rPr>
        <w:t>joutent de nouvelles. Une liste-</w:t>
      </w:r>
      <w:r w:rsidR="00DC1C37">
        <w:rPr>
          <w:rFonts w:ascii="Times New Roman" w:hAnsi="Times New Roman"/>
          <w:sz w:val="24"/>
          <w:szCs w:val="24"/>
        </w:rPr>
        <w:t xml:space="preserve">type de questions s’élabore progressivement. Les questions portent notamment </w:t>
      </w:r>
      <w:r w:rsidR="00DC1C37" w:rsidRPr="001D22AD">
        <w:rPr>
          <w:rFonts w:ascii="Times New Roman" w:hAnsi="Times New Roman"/>
          <w:sz w:val="24"/>
          <w:szCs w:val="24"/>
        </w:rPr>
        <w:t xml:space="preserve">sur le but poursuivi par la mesure d’activation, l’existence d’une possibilité de justifier un refus d’emploi ou de formation et les motifs </w:t>
      </w:r>
      <w:r w:rsidR="00DC1C37">
        <w:rPr>
          <w:rFonts w:ascii="Times New Roman" w:hAnsi="Times New Roman"/>
          <w:sz w:val="24"/>
          <w:szCs w:val="24"/>
        </w:rPr>
        <w:t>susceptibles d’</w:t>
      </w:r>
      <w:r w:rsidR="00DC1C37" w:rsidRPr="001D22AD">
        <w:rPr>
          <w:rFonts w:ascii="Times New Roman" w:hAnsi="Times New Roman"/>
          <w:sz w:val="24"/>
          <w:szCs w:val="24"/>
        </w:rPr>
        <w:t>être invoqués, les critères d’assignation à un travail (</w:t>
      </w:r>
      <w:r w:rsidR="00D6314F">
        <w:rPr>
          <w:rFonts w:ascii="Times New Roman" w:hAnsi="Times New Roman"/>
          <w:sz w:val="24"/>
          <w:szCs w:val="24"/>
        </w:rPr>
        <w:t>statut professionnel, distance,</w:t>
      </w:r>
      <w:r w:rsidR="00DC1C37" w:rsidRPr="001D22AD">
        <w:rPr>
          <w:rFonts w:ascii="Times New Roman" w:hAnsi="Times New Roman"/>
          <w:sz w:val="24"/>
          <w:szCs w:val="24"/>
        </w:rPr>
        <w:t xml:space="preserve"> préférences personnelles), le nombre et la durée des sanctions, la possibilité d’un recours devant un organe indépendant, la possibilité de bénéficier de l’assistance sociale pendant la période de la sanction</w:t>
      </w:r>
      <w:r w:rsidR="00DC1C37">
        <w:rPr>
          <w:rFonts w:ascii="Times New Roman" w:hAnsi="Times New Roman"/>
          <w:sz w:val="24"/>
          <w:szCs w:val="24"/>
        </w:rPr>
        <w:t>, les effets de la mesure sur le retour au travail</w:t>
      </w:r>
      <w:r w:rsidR="00DC1C37" w:rsidRPr="001D22AD">
        <w:rPr>
          <w:rFonts w:ascii="Times New Roman" w:hAnsi="Times New Roman"/>
          <w:sz w:val="24"/>
          <w:szCs w:val="24"/>
        </w:rPr>
        <w:t>.</w:t>
      </w:r>
      <w:r w:rsidR="00DC1C37">
        <w:rPr>
          <w:rFonts w:ascii="Times New Roman" w:hAnsi="Times New Roman"/>
          <w:sz w:val="24"/>
          <w:szCs w:val="24"/>
        </w:rPr>
        <w:t xml:space="preserve"> </w:t>
      </w:r>
    </w:p>
    <w:p w:rsidR="00DC1C37" w:rsidRPr="00EE49D1" w:rsidRDefault="00DC1C37" w:rsidP="00EE49D1">
      <w:pPr>
        <w:spacing w:after="100" w:afterAutospacing="1" w:line="360" w:lineRule="auto"/>
        <w:jc w:val="both"/>
        <w:rPr>
          <w:rFonts w:ascii="Times New Roman" w:hAnsi="Times New Roman"/>
          <w:sz w:val="24"/>
          <w:szCs w:val="24"/>
        </w:rPr>
      </w:pPr>
      <w:r>
        <w:rPr>
          <w:rFonts w:ascii="Times New Roman" w:hAnsi="Times New Roman"/>
          <w:sz w:val="24"/>
          <w:szCs w:val="24"/>
        </w:rPr>
        <w:t xml:space="preserve">Cette démarche des organes internationaux de surveillance de l’application des traités </w:t>
      </w:r>
      <w:r w:rsidR="00D6314F">
        <w:rPr>
          <w:rFonts w:ascii="Times New Roman" w:hAnsi="Times New Roman"/>
          <w:sz w:val="24"/>
          <w:szCs w:val="24"/>
        </w:rPr>
        <w:t xml:space="preserve">s’inscrit </w:t>
      </w:r>
      <w:r w:rsidR="009707F0">
        <w:rPr>
          <w:rFonts w:ascii="Times New Roman" w:hAnsi="Times New Roman"/>
          <w:sz w:val="24"/>
          <w:szCs w:val="24"/>
        </w:rPr>
        <w:t xml:space="preserve">plutôt </w:t>
      </w:r>
      <w:r w:rsidR="00D6314F">
        <w:rPr>
          <w:rFonts w:ascii="Times New Roman" w:hAnsi="Times New Roman"/>
          <w:sz w:val="24"/>
          <w:szCs w:val="24"/>
        </w:rPr>
        <w:t>dans</w:t>
      </w:r>
      <w:r>
        <w:rPr>
          <w:rFonts w:ascii="Times New Roman" w:hAnsi="Times New Roman"/>
          <w:sz w:val="24"/>
          <w:szCs w:val="24"/>
        </w:rPr>
        <w:t xml:space="preserve"> une </w:t>
      </w:r>
      <w:r w:rsidRPr="00331115">
        <w:rPr>
          <w:rFonts w:ascii="Times New Roman" w:hAnsi="Times New Roman"/>
          <w:i/>
          <w:sz w:val="24"/>
          <w:szCs w:val="24"/>
        </w:rPr>
        <w:t>compréhension expérimentaliste des droits</w:t>
      </w:r>
      <w:r>
        <w:rPr>
          <w:rFonts w:ascii="Times New Roman" w:hAnsi="Times New Roman"/>
          <w:sz w:val="24"/>
          <w:szCs w:val="24"/>
        </w:rPr>
        <w:t>.</w:t>
      </w:r>
      <w:r w:rsidR="009707F0">
        <w:rPr>
          <w:rFonts w:ascii="Times New Roman" w:hAnsi="Times New Roman"/>
          <w:sz w:val="24"/>
          <w:szCs w:val="24"/>
        </w:rPr>
        <w:t xml:space="preserve"> Cette vision des droits a été identifiée et théorisée par </w:t>
      </w:r>
      <w:proofErr w:type="spellStart"/>
      <w:r w:rsidR="009707F0">
        <w:rPr>
          <w:rFonts w:ascii="Times New Roman" w:hAnsi="Times New Roman"/>
          <w:sz w:val="24"/>
          <w:szCs w:val="24"/>
        </w:rPr>
        <w:t>Dorf</w:t>
      </w:r>
      <w:proofErr w:type="spellEnd"/>
      <w:r w:rsidR="009707F0">
        <w:rPr>
          <w:rFonts w:ascii="Times New Roman" w:hAnsi="Times New Roman"/>
          <w:sz w:val="24"/>
          <w:szCs w:val="24"/>
        </w:rPr>
        <w:t xml:space="preserve"> et </w:t>
      </w:r>
      <w:proofErr w:type="spellStart"/>
      <w:r w:rsidR="009707F0">
        <w:rPr>
          <w:rFonts w:ascii="Times New Roman" w:hAnsi="Times New Roman"/>
          <w:sz w:val="24"/>
          <w:szCs w:val="24"/>
        </w:rPr>
        <w:t>Sabel</w:t>
      </w:r>
      <w:proofErr w:type="spellEnd"/>
      <w:r w:rsidR="009707F0">
        <w:rPr>
          <w:rFonts w:ascii="Times New Roman" w:hAnsi="Times New Roman"/>
          <w:sz w:val="24"/>
          <w:szCs w:val="24"/>
        </w:rPr>
        <w:t xml:space="preserve"> (2004).</w:t>
      </w:r>
      <w:r>
        <w:rPr>
          <w:rFonts w:ascii="Times New Roman" w:hAnsi="Times New Roman"/>
          <w:sz w:val="24"/>
          <w:szCs w:val="24"/>
        </w:rPr>
        <w:t xml:space="preserve"> </w:t>
      </w:r>
      <w:r w:rsidR="00D6314F">
        <w:rPr>
          <w:rFonts w:ascii="Times New Roman" w:hAnsi="Times New Roman"/>
          <w:sz w:val="24"/>
          <w:szCs w:val="24"/>
        </w:rPr>
        <w:t>Par opposition à la conception libérale classique</w:t>
      </w:r>
      <w:r>
        <w:rPr>
          <w:rFonts w:ascii="Times New Roman" w:hAnsi="Times New Roman"/>
          <w:sz w:val="24"/>
          <w:szCs w:val="24"/>
        </w:rPr>
        <w:t>, le</w:t>
      </w:r>
      <w:r w:rsidR="00D6314F">
        <w:rPr>
          <w:rFonts w:ascii="Times New Roman" w:hAnsi="Times New Roman"/>
          <w:sz w:val="24"/>
          <w:szCs w:val="24"/>
        </w:rPr>
        <w:t>s droits de l’homme n’y sont pas</w:t>
      </w:r>
      <w:r>
        <w:rPr>
          <w:rFonts w:ascii="Times New Roman" w:hAnsi="Times New Roman"/>
          <w:sz w:val="24"/>
          <w:szCs w:val="24"/>
        </w:rPr>
        <w:t xml:space="preserve"> conçus comme absolus et définitifs ; ils sont considérés comme ouverts et évolutifs. Dans cette optique, le juge s’appuie sur la connaissance et l’expérience des Etats pour déterminer de façon plus démocratique les exigences des droits de l’homme. Il jouit alors d’une plus grande légitimité pour </w:t>
      </w:r>
      <w:r w:rsidRPr="00EE49D1">
        <w:rPr>
          <w:rFonts w:ascii="Times New Roman" w:hAnsi="Times New Roman"/>
          <w:sz w:val="24"/>
          <w:szCs w:val="24"/>
        </w:rPr>
        <w:t xml:space="preserve">adapter les normes minimales et progressivement augmenter les exigences qui découlent des droits humains. L’approche expérimentale, qui fait une large place à la contextualisation, permet en outre une certaine flexibilité des solutions en fonction des circonstances locales, de manière à assurer une plus grande effectivité du droit et à résorber </w:t>
      </w:r>
      <w:r>
        <w:rPr>
          <w:rFonts w:ascii="Times New Roman" w:hAnsi="Times New Roman"/>
          <w:sz w:val="24"/>
          <w:szCs w:val="24"/>
        </w:rPr>
        <w:t>petit à petit</w:t>
      </w:r>
      <w:r w:rsidRPr="00EE49D1">
        <w:rPr>
          <w:rFonts w:ascii="Times New Roman" w:hAnsi="Times New Roman"/>
          <w:sz w:val="24"/>
          <w:szCs w:val="24"/>
        </w:rPr>
        <w:t xml:space="preserve"> l’écart entre la </w:t>
      </w:r>
      <w:proofErr w:type="spellStart"/>
      <w:r w:rsidRPr="00EE49D1">
        <w:rPr>
          <w:rFonts w:ascii="Times New Roman" w:hAnsi="Times New Roman"/>
          <w:i/>
          <w:sz w:val="24"/>
          <w:szCs w:val="24"/>
        </w:rPr>
        <w:t>law</w:t>
      </w:r>
      <w:proofErr w:type="spellEnd"/>
      <w:r w:rsidRPr="00EE49D1">
        <w:rPr>
          <w:rFonts w:ascii="Times New Roman" w:hAnsi="Times New Roman"/>
          <w:i/>
          <w:sz w:val="24"/>
          <w:szCs w:val="24"/>
        </w:rPr>
        <w:t xml:space="preserve"> in the books</w:t>
      </w:r>
      <w:r w:rsidRPr="00EE49D1">
        <w:rPr>
          <w:rFonts w:ascii="Times New Roman" w:hAnsi="Times New Roman"/>
          <w:sz w:val="24"/>
          <w:szCs w:val="24"/>
        </w:rPr>
        <w:t xml:space="preserve"> et la </w:t>
      </w:r>
      <w:proofErr w:type="spellStart"/>
      <w:r w:rsidRPr="00EE49D1">
        <w:rPr>
          <w:rFonts w:ascii="Times New Roman" w:hAnsi="Times New Roman"/>
          <w:i/>
          <w:sz w:val="24"/>
          <w:szCs w:val="24"/>
        </w:rPr>
        <w:t>law</w:t>
      </w:r>
      <w:proofErr w:type="spellEnd"/>
      <w:r w:rsidRPr="00EE49D1">
        <w:rPr>
          <w:rFonts w:ascii="Times New Roman" w:hAnsi="Times New Roman"/>
          <w:i/>
          <w:sz w:val="24"/>
          <w:szCs w:val="24"/>
        </w:rPr>
        <w:t xml:space="preserve"> in action</w:t>
      </w:r>
      <w:r w:rsidRPr="00EE49D1">
        <w:rPr>
          <w:rFonts w:ascii="Times New Roman" w:hAnsi="Times New Roman"/>
          <w:sz w:val="24"/>
          <w:szCs w:val="24"/>
        </w:rPr>
        <w:t xml:space="preserve">.  </w:t>
      </w:r>
      <w:r>
        <w:rPr>
          <w:rFonts w:ascii="Times New Roman" w:hAnsi="Times New Roman"/>
          <w:sz w:val="24"/>
          <w:szCs w:val="24"/>
        </w:rPr>
        <w:t>L’approche expérimentaliste entend ainsi créer u</w:t>
      </w:r>
      <w:r w:rsidRPr="00EE49D1">
        <w:rPr>
          <w:rFonts w:ascii="Times New Roman" w:hAnsi="Times New Roman"/>
          <w:sz w:val="24"/>
          <w:szCs w:val="24"/>
        </w:rPr>
        <w:t>ne spirale positive entre légitimité et efficacité de</w:t>
      </w:r>
      <w:r>
        <w:rPr>
          <w:rFonts w:ascii="Times New Roman" w:hAnsi="Times New Roman"/>
          <w:sz w:val="24"/>
          <w:szCs w:val="24"/>
        </w:rPr>
        <w:t>s droits humains</w:t>
      </w:r>
      <w:r w:rsidRPr="00EE49D1">
        <w:rPr>
          <w:rFonts w:ascii="Times New Roman" w:hAnsi="Times New Roman"/>
          <w:sz w:val="24"/>
          <w:szCs w:val="24"/>
        </w:rPr>
        <w:t xml:space="preserve">. </w:t>
      </w:r>
      <w:r>
        <w:rPr>
          <w:rFonts w:ascii="Times New Roman" w:hAnsi="Times New Roman"/>
          <w:sz w:val="24"/>
          <w:szCs w:val="24"/>
        </w:rPr>
        <w:t>L’approche</w:t>
      </w:r>
      <w:r w:rsidRPr="00EE49D1">
        <w:rPr>
          <w:rFonts w:ascii="Times New Roman" w:hAnsi="Times New Roman"/>
          <w:sz w:val="24"/>
          <w:szCs w:val="24"/>
        </w:rPr>
        <w:t xml:space="preserve"> est </w:t>
      </w:r>
      <w:r>
        <w:rPr>
          <w:rFonts w:ascii="Times New Roman" w:hAnsi="Times New Roman"/>
          <w:sz w:val="24"/>
          <w:szCs w:val="24"/>
        </w:rPr>
        <w:t>surtout</w:t>
      </w:r>
      <w:r w:rsidRPr="00EE49D1">
        <w:rPr>
          <w:rFonts w:ascii="Times New Roman" w:hAnsi="Times New Roman"/>
          <w:sz w:val="24"/>
          <w:szCs w:val="24"/>
        </w:rPr>
        <w:t xml:space="preserve"> pertinente face à l’apparition d’un problème ou d’un risque nouveau qui n’est lui-même pas encore bien défini et dont les solutions ne sont pas encore identifiées.</w:t>
      </w:r>
    </w:p>
    <w:p w:rsidR="00F86366" w:rsidRDefault="00DC1C37" w:rsidP="00AB467C">
      <w:pPr>
        <w:spacing w:after="100" w:afterAutospacing="1" w:line="360" w:lineRule="auto"/>
        <w:jc w:val="both"/>
        <w:rPr>
          <w:rFonts w:ascii="Times New Roman" w:hAnsi="Times New Roman"/>
          <w:sz w:val="24"/>
          <w:szCs w:val="24"/>
        </w:rPr>
      </w:pPr>
      <w:r>
        <w:rPr>
          <w:rFonts w:ascii="Times New Roman" w:hAnsi="Times New Roman"/>
          <w:sz w:val="24"/>
          <w:szCs w:val="24"/>
        </w:rPr>
        <w:t xml:space="preserve">A ce stade, les organes internationaux se bornent à poser des questions et à collecter des informations sur les politiques d’activation mises en œuvre par </w:t>
      </w:r>
      <w:r w:rsidR="009707F0">
        <w:rPr>
          <w:rFonts w:ascii="Times New Roman" w:hAnsi="Times New Roman"/>
          <w:sz w:val="24"/>
          <w:szCs w:val="24"/>
        </w:rPr>
        <w:t>les Etats. I</w:t>
      </w:r>
      <w:r>
        <w:rPr>
          <w:rFonts w:ascii="Times New Roman" w:hAnsi="Times New Roman"/>
          <w:sz w:val="24"/>
          <w:szCs w:val="24"/>
        </w:rPr>
        <w:t xml:space="preserve">ls n’ont pas encore sanctionné la politique d’un Etat sur base des réponses données à leurs questions. Les informations collectées pourraient leur permettre de dégager de nouveaux critères d’évaluation et de s’écarter pas à pas des balises classiques pour identifier de </w:t>
      </w:r>
      <w:r>
        <w:rPr>
          <w:rFonts w:ascii="Times New Roman" w:hAnsi="Times New Roman"/>
          <w:sz w:val="24"/>
          <w:szCs w:val="24"/>
        </w:rPr>
        <w:lastRenderedPageBreak/>
        <w:t>nouvelles exigences qui protègent mieux la liberté du travail des chômeurs. On relèvera que la notion d’emploi convenable et les conditions d’octroi de l’assurance chômage contiennent l’idée de proportionnalité. Elles révèlent</w:t>
      </w:r>
      <w:r w:rsidRPr="00B2308C">
        <w:rPr>
          <w:rFonts w:ascii="Times New Roman" w:hAnsi="Times New Roman"/>
          <w:sz w:val="24"/>
          <w:szCs w:val="24"/>
        </w:rPr>
        <w:t xml:space="preserve"> la</w:t>
      </w:r>
      <w:r>
        <w:rPr>
          <w:rFonts w:ascii="Times New Roman" w:hAnsi="Times New Roman"/>
          <w:sz w:val="24"/>
          <w:szCs w:val="24"/>
        </w:rPr>
        <w:t xml:space="preserve"> balance effectuée par les rédacteurs des pactes internationaux</w:t>
      </w:r>
      <w:r w:rsidRPr="00B2308C">
        <w:rPr>
          <w:rFonts w:ascii="Times New Roman" w:hAnsi="Times New Roman"/>
          <w:sz w:val="24"/>
          <w:szCs w:val="24"/>
        </w:rPr>
        <w:t xml:space="preserve"> entre le droit des chômeurs de choisir librement leur travail et le devoir de travailler qui leur est imposé dans l’intérêt général</w:t>
      </w:r>
      <w:r>
        <w:rPr>
          <w:rFonts w:ascii="Times New Roman" w:hAnsi="Times New Roman"/>
          <w:sz w:val="24"/>
          <w:szCs w:val="24"/>
        </w:rPr>
        <w:t>. Les questions posées par les organes internationaux pourraient leur permettre d’affiner ce test et de l’ouvrir à de nouvelles préoccupations. D’une part, ces questions concernent tant les mesures d’activation mises en œuvre dans les régimes d’assurance chômage que les mesures d’activation à destination des bénéficiaires de l’aide sociale. D’autre part, e</w:t>
      </w:r>
      <w:r w:rsidRPr="00B2308C">
        <w:rPr>
          <w:rFonts w:ascii="Times New Roman" w:hAnsi="Times New Roman"/>
          <w:sz w:val="24"/>
          <w:szCs w:val="24"/>
        </w:rPr>
        <w:t xml:space="preserve">lles permettent </w:t>
      </w:r>
      <w:r>
        <w:rPr>
          <w:rFonts w:ascii="Times New Roman" w:hAnsi="Times New Roman"/>
          <w:sz w:val="24"/>
          <w:szCs w:val="24"/>
        </w:rPr>
        <w:t xml:space="preserve">de mettre en balance </w:t>
      </w:r>
      <w:r w:rsidRPr="00B2308C">
        <w:rPr>
          <w:rFonts w:ascii="Times New Roman" w:hAnsi="Times New Roman"/>
          <w:sz w:val="24"/>
          <w:szCs w:val="24"/>
        </w:rPr>
        <w:t xml:space="preserve">la restriction portée au droit au travail librement </w:t>
      </w:r>
      <w:r>
        <w:rPr>
          <w:rFonts w:ascii="Times New Roman" w:hAnsi="Times New Roman"/>
          <w:sz w:val="24"/>
          <w:szCs w:val="24"/>
        </w:rPr>
        <w:t xml:space="preserve">choisi et </w:t>
      </w:r>
      <w:r w:rsidRPr="009C6281">
        <w:rPr>
          <w:rFonts w:ascii="Times New Roman" w:hAnsi="Times New Roman"/>
          <w:sz w:val="24"/>
          <w:szCs w:val="24"/>
        </w:rPr>
        <w:t xml:space="preserve">l’intérêt général poursuivi par la mesure d’activation </w:t>
      </w:r>
      <w:r>
        <w:rPr>
          <w:rFonts w:ascii="Times New Roman" w:hAnsi="Times New Roman"/>
          <w:sz w:val="24"/>
          <w:szCs w:val="24"/>
        </w:rPr>
        <w:t>mais aussi le</w:t>
      </w:r>
      <w:r w:rsidRPr="009C6281">
        <w:rPr>
          <w:rFonts w:ascii="Times New Roman" w:hAnsi="Times New Roman"/>
          <w:sz w:val="24"/>
          <w:szCs w:val="24"/>
        </w:rPr>
        <w:t xml:space="preserve"> bénéfice individuel que le chômeur pourrait en retirer en termes de liberté </w:t>
      </w:r>
      <w:r>
        <w:rPr>
          <w:rFonts w:ascii="Times New Roman" w:hAnsi="Times New Roman"/>
          <w:sz w:val="24"/>
          <w:szCs w:val="24"/>
        </w:rPr>
        <w:t>réelle d’accès à l’emploi</w:t>
      </w:r>
      <w:r w:rsidRPr="009C6281">
        <w:rPr>
          <w:rFonts w:ascii="Times New Roman" w:hAnsi="Times New Roman"/>
          <w:sz w:val="24"/>
          <w:szCs w:val="24"/>
        </w:rPr>
        <w:t xml:space="preserve">. </w:t>
      </w:r>
      <w:r>
        <w:rPr>
          <w:rFonts w:ascii="Times New Roman" w:hAnsi="Times New Roman"/>
          <w:sz w:val="24"/>
          <w:szCs w:val="24"/>
        </w:rPr>
        <w:t>A travers un test de proportionnalité ouvert, l</w:t>
      </w:r>
      <w:r w:rsidRPr="00841D68">
        <w:rPr>
          <w:rFonts w:ascii="Times New Roman" w:hAnsi="Times New Roman"/>
          <w:sz w:val="24"/>
          <w:szCs w:val="24"/>
        </w:rPr>
        <w:t xml:space="preserve">es critères d’évaluation du droit au travail librement </w:t>
      </w:r>
      <w:r>
        <w:rPr>
          <w:rFonts w:ascii="Times New Roman" w:hAnsi="Times New Roman"/>
          <w:sz w:val="24"/>
          <w:szCs w:val="24"/>
        </w:rPr>
        <w:t>choisi</w:t>
      </w:r>
      <w:r w:rsidRPr="00841D68">
        <w:rPr>
          <w:rFonts w:ascii="Times New Roman" w:hAnsi="Times New Roman"/>
          <w:sz w:val="24"/>
          <w:szCs w:val="24"/>
        </w:rPr>
        <w:t xml:space="preserve"> </w:t>
      </w:r>
      <w:r>
        <w:rPr>
          <w:rFonts w:ascii="Times New Roman" w:hAnsi="Times New Roman"/>
          <w:sz w:val="24"/>
          <w:szCs w:val="24"/>
        </w:rPr>
        <w:t>seraient</w:t>
      </w:r>
      <w:r w:rsidRPr="00841D68">
        <w:rPr>
          <w:rFonts w:ascii="Times New Roman" w:hAnsi="Times New Roman"/>
          <w:sz w:val="24"/>
          <w:szCs w:val="24"/>
        </w:rPr>
        <w:t xml:space="preserve"> libérés des catégories et </w:t>
      </w:r>
      <w:r>
        <w:rPr>
          <w:rFonts w:ascii="Times New Roman" w:hAnsi="Times New Roman"/>
          <w:sz w:val="24"/>
          <w:szCs w:val="24"/>
        </w:rPr>
        <w:t xml:space="preserve">des </w:t>
      </w:r>
      <w:r w:rsidRPr="00841D68">
        <w:rPr>
          <w:rFonts w:ascii="Times New Roman" w:hAnsi="Times New Roman"/>
          <w:sz w:val="24"/>
          <w:szCs w:val="24"/>
        </w:rPr>
        <w:t xml:space="preserve">notions classiques des systèmes de sécurité sociale instaurés dans l’après-guerre. Les éléments pris en compte dans le test de proportionnalité ne seraient pas figés et pourraient évoluer, pour protéger au mieux la liberté du travail des bénéficiaires de prestations sociales, dans un environnement incertain. </w:t>
      </w:r>
    </w:p>
    <w:p w:rsidR="00AB1518" w:rsidRPr="007B1039" w:rsidRDefault="00AB1518" w:rsidP="00AB1518">
      <w:pPr>
        <w:spacing w:after="100" w:afterAutospacing="1" w:line="360" w:lineRule="auto"/>
        <w:jc w:val="center"/>
        <w:rPr>
          <w:rFonts w:ascii="Times New Roman" w:hAnsi="Times New Roman"/>
          <w:b/>
        </w:rPr>
      </w:pPr>
      <w:r w:rsidRPr="007B1039">
        <w:rPr>
          <w:rFonts w:ascii="Times New Roman" w:hAnsi="Times New Roman"/>
          <w:b/>
        </w:rPr>
        <w:t>Bibliographie</w:t>
      </w:r>
      <w:r w:rsidR="007B1039" w:rsidRPr="007B1039">
        <w:rPr>
          <w:rFonts w:ascii="Times New Roman" w:hAnsi="Times New Roman"/>
          <w:b/>
        </w:rPr>
        <w:t xml:space="preserve"> succincte</w:t>
      </w:r>
    </w:p>
    <w:p w:rsidR="00331115" w:rsidRPr="007B1039" w:rsidRDefault="00331115" w:rsidP="007B1039">
      <w:pPr>
        <w:spacing w:after="100" w:afterAutospacing="1" w:line="240" w:lineRule="auto"/>
        <w:jc w:val="both"/>
        <w:rPr>
          <w:rFonts w:ascii="Times New Roman" w:hAnsi="Times New Roman"/>
          <w:bCs/>
        </w:rPr>
      </w:pPr>
      <w:r w:rsidRPr="007B1039">
        <w:rPr>
          <w:rFonts w:ascii="Times New Roman" w:hAnsi="Times New Roman"/>
          <w:bCs/>
        </w:rPr>
        <w:t xml:space="preserve">De </w:t>
      </w:r>
      <w:proofErr w:type="spellStart"/>
      <w:r w:rsidRPr="007B1039">
        <w:rPr>
          <w:rFonts w:ascii="Times New Roman" w:hAnsi="Times New Roman"/>
          <w:bCs/>
        </w:rPr>
        <w:t>Munck</w:t>
      </w:r>
      <w:proofErr w:type="spellEnd"/>
      <w:r w:rsidRPr="007B1039">
        <w:rPr>
          <w:rFonts w:ascii="Times New Roman" w:hAnsi="Times New Roman"/>
          <w:bCs/>
        </w:rPr>
        <w:t xml:space="preserve">, J., </w:t>
      </w:r>
      <w:r w:rsidR="007B1039" w:rsidRPr="007B1039">
        <w:rPr>
          <w:rFonts w:ascii="Times New Roman" w:hAnsi="Times New Roman"/>
          <w:bCs/>
        </w:rPr>
        <w:t xml:space="preserve">“Vers un nouveau paradigme du droit”, in </w:t>
      </w:r>
      <w:r w:rsidR="007B1039">
        <w:rPr>
          <w:rFonts w:ascii="Times New Roman" w:hAnsi="Times New Roman"/>
          <w:bCs/>
        </w:rPr>
        <w:t xml:space="preserve">F. E. Duvernay, L’économie des conventions. Méthodes et résultats, </w:t>
      </w:r>
      <w:r w:rsidR="007660D2">
        <w:rPr>
          <w:rFonts w:ascii="Times New Roman" w:hAnsi="Times New Roman"/>
          <w:bCs/>
        </w:rPr>
        <w:t xml:space="preserve">Paris, </w:t>
      </w:r>
      <w:r w:rsidR="007B1039">
        <w:rPr>
          <w:rFonts w:ascii="Times New Roman" w:hAnsi="Times New Roman"/>
          <w:bCs/>
        </w:rPr>
        <w:t>La Découverte, 2008, pp. 249-262.</w:t>
      </w:r>
    </w:p>
    <w:p w:rsidR="00331115" w:rsidRPr="007B1039" w:rsidRDefault="00331115" w:rsidP="007B1039">
      <w:pPr>
        <w:spacing w:after="100" w:afterAutospacing="1" w:line="240" w:lineRule="auto"/>
        <w:jc w:val="both"/>
        <w:rPr>
          <w:rFonts w:ascii="Times New Roman" w:hAnsi="Times New Roman"/>
          <w:bCs/>
          <w:lang w:val="en-GB"/>
        </w:rPr>
      </w:pPr>
      <w:proofErr w:type="spellStart"/>
      <w:r w:rsidRPr="007B1039">
        <w:rPr>
          <w:rFonts w:ascii="Times New Roman" w:hAnsi="Times New Roman"/>
          <w:bCs/>
          <w:lang w:val="en-GB"/>
        </w:rPr>
        <w:t>Dermine</w:t>
      </w:r>
      <w:proofErr w:type="spellEnd"/>
      <w:r w:rsidRPr="007B1039">
        <w:rPr>
          <w:rFonts w:ascii="Times New Roman" w:hAnsi="Times New Roman"/>
          <w:bCs/>
          <w:lang w:val="en-GB"/>
        </w:rPr>
        <w:t>, E. &amp; D. Dumont (</w:t>
      </w:r>
      <w:proofErr w:type="spellStart"/>
      <w:r w:rsidRPr="007B1039">
        <w:rPr>
          <w:rFonts w:ascii="Times New Roman" w:hAnsi="Times New Roman"/>
          <w:bCs/>
          <w:lang w:val="en-GB"/>
        </w:rPr>
        <w:t>eds</w:t>
      </w:r>
      <w:proofErr w:type="spellEnd"/>
      <w:r w:rsidRPr="007B1039">
        <w:rPr>
          <w:rFonts w:ascii="Times New Roman" w:hAnsi="Times New Roman"/>
          <w:bCs/>
          <w:lang w:val="en-GB"/>
        </w:rPr>
        <w:t>),</w:t>
      </w:r>
      <w:r w:rsidRPr="007B1039">
        <w:rPr>
          <w:rFonts w:ascii="Times New Roman" w:hAnsi="Times New Roman"/>
          <w:bCs/>
          <w:i/>
          <w:iCs/>
          <w:lang w:val="en-GB"/>
        </w:rPr>
        <w:t> Activation Policies for the Unemployed, Right to Work and Freedom of Work</w:t>
      </w:r>
      <w:r w:rsidRPr="007B1039">
        <w:rPr>
          <w:rFonts w:ascii="Times New Roman" w:hAnsi="Times New Roman"/>
          <w:bCs/>
          <w:lang w:val="en-GB"/>
        </w:rPr>
        <w:t xml:space="preserve">, </w:t>
      </w:r>
      <w:proofErr w:type="spellStart"/>
      <w:r w:rsidRPr="007B1039">
        <w:rPr>
          <w:rFonts w:ascii="Times New Roman" w:hAnsi="Times New Roman"/>
          <w:bCs/>
          <w:lang w:val="en-GB"/>
        </w:rPr>
        <w:t>Bruxelles</w:t>
      </w:r>
      <w:proofErr w:type="spellEnd"/>
      <w:r w:rsidRPr="007B1039">
        <w:rPr>
          <w:rFonts w:ascii="Times New Roman" w:hAnsi="Times New Roman"/>
          <w:bCs/>
          <w:lang w:val="en-GB"/>
        </w:rPr>
        <w:t xml:space="preserve">, P.I.E.-Peter Lang, coll. « Work &amp; Society », 2014, à </w:t>
      </w:r>
      <w:proofErr w:type="spellStart"/>
      <w:r w:rsidRPr="007B1039">
        <w:rPr>
          <w:rFonts w:ascii="Times New Roman" w:hAnsi="Times New Roman"/>
          <w:bCs/>
          <w:lang w:val="en-GB"/>
        </w:rPr>
        <w:t>paraître</w:t>
      </w:r>
      <w:proofErr w:type="spellEnd"/>
      <w:r w:rsidRPr="007B1039">
        <w:rPr>
          <w:rFonts w:ascii="Times New Roman" w:hAnsi="Times New Roman"/>
          <w:bCs/>
          <w:lang w:val="en-GB"/>
        </w:rPr>
        <w:t>.</w:t>
      </w:r>
    </w:p>
    <w:p w:rsidR="00331115" w:rsidRPr="007B1039" w:rsidRDefault="00331115" w:rsidP="007B1039">
      <w:pPr>
        <w:spacing w:after="100" w:afterAutospacing="1" w:line="240" w:lineRule="auto"/>
        <w:jc w:val="both"/>
        <w:rPr>
          <w:rFonts w:ascii="Times New Roman" w:hAnsi="Times New Roman"/>
          <w:bCs/>
          <w:lang w:val="en-GB"/>
        </w:rPr>
      </w:pPr>
      <w:proofErr w:type="spellStart"/>
      <w:r w:rsidRPr="007B1039">
        <w:rPr>
          <w:rFonts w:ascii="Times New Roman" w:hAnsi="Times New Roman"/>
          <w:bCs/>
          <w:lang w:val="en-GB"/>
        </w:rPr>
        <w:t>Dermine</w:t>
      </w:r>
      <w:proofErr w:type="spellEnd"/>
      <w:r w:rsidRPr="007B1039">
        <w:rPr>
          <w:rFonts w:ascii="Times New Roman" w:hAnsi="Times New Roman"/>
          <w:bCs/>
          <w:lang w:val="en-GB"/>
        </w:rPr>
        <w:t xml:space="preserve">, E., “Activation Policies for the Unemployed and the International Human Rights Case Law on the Right to Freely Chosen Work”, in </w:t>
      </w:r>
      <w:r w:rsidR="007B1039">
        <w:rPr>
          <w:rFonts w:ascii="Times New Roman" w:hAnsi="Times New Roman"/>
          <w:bCs/>
          <w:lang w:val="en-GB"/>
        </w:rPr>
        <w:t xml:space="preserve">E. </w:t>
      </w:r>
      <w:proofErr w:type="spellStart"/>
      <w:r w:rsidRPr="007B1039">
        <w:rPr>
          <w:rFonts w:ascii="Times New Roman" w:hAnsi="Times New Roman"/>
          <w:bCs/>
          <w:lang w:val="en-GB"/>
        </w:rPr>
        <w:t>Der</w:t>
      </w:r>
      <w:r w:rsidR="007B1039">
        <w:rPr>
          <w:rFonts w:ascii="Times New Roman" w:hAnsi="Times New Roman"/>
          <w:bCs/>
          <w:lang w:val="en-GB"/>
        </w:rPr>
        <w:t>mine</w:t>
      </w:r>
      <w:proofErr w:type="spellEnd"/>
      <w:r w:rsidR="007B1039">
        <w:rPr>
          <w:rFonts w:ascii="Times New Roman" w:hAnsi="Times New Roman"/>
          <w:bCs/>
          <w:lang w:val="en-GB"/>
        </w:rPr>
        <w:t xml:space="preserve"> </w:t>
      </w:r>
      <w:r w:rsidRPr="007B1039">
        <w:rPr>
          <w:rFonts w:ascii="Times New Roman" w:hAnsi="Times New Roman"/>
          <w:bCs/>
          <w:lang w:val="en-GB"/>
        </w:rPr>
        <w:t>&amp; D. Dumont (</w:t>
      </w:r>
      <w:proofErr w:type="spellStart"/>
      <w:r w:rsidRPr="007B1039">
        <w:rPr>
          <w:rFonts w:ascii="Times New Roman" w:hAnsi="Times New Roman"/>
          <w:bCs/>
          <w:lang w:val="en-GB"/>
        </w:rPr>
        <w:t>eds</w:t>
      </w:r>
      <w:proofErr w:type="spellEnd"/>
      <w:r w:rsidRPr="007B1039">
        <w:rPr>
          <w:rFonts w:ascii="Times New Roman" w:hAnsi="Times New Roman"/>
          <w:bCs/>
          <w:lang w:val="en-GB"/>
        </w:rPr>
        <w:t>),</w:t>
      </w:r>
      <w:r w:rsidRPr="007B1039">
        <w:rPr>
          <w:rFonts w:ascii="Times New Roman" w:hAnsi="Times New Roman"/>
          <w:bCs/>
          <w:i/>
          <w:iCs/>
          <w:lang w:val="en-GB"/>
        </w:rPr>
        <w:t> Activation Policies for the Unemployed, Right to Work and Freedom of Work</w:t>
      </w:r>
      <w:r w:rsidRPr="007B1039">
        <w:rPr>
          <w:rFonts w:ascii="Times New Roman" w:hAnsi="Times New Roman"/>
          <w:bCs/>
          <w:lang w:val="en-GB"/>
        </w:rPr>
        <w:t xml:space="preserve">, </w:t>
      </w:r>
      <w:proofErr w:type="spellStart"/>
      <w:r w:rsidRPr="007B1039">
        <w:rPr>
          <w:rFonts w:ascii="Times New Roman" w:hAnsi="Times New Roman"/>
          <w:bCs/>
          <w:lang w:val="en-GB"/>
        </w:rPr>
        <w:t>Bruxelles</w:t>
      </w:r>
      <w:proofErr w:type="spellEnd"/>
      <w:r w:rsidRPr="007B1039">
        <w:rPr>
          <w:rFonts w:ascii="Times New Roman" w:hAnsi="Times New Roman"/>
          <w:bCs/>
          <w:lang w:val="en-GB"/>
        </w:rPr>
        <w:t xml:space="preserve">, P.I.E.-Peter Lang, coll. « Work &amp; Society », 2014, à </w:t>
      </w:r>
      <w:proofErr w:type="spellStart"/>
      <w:r w:rsidRPr="007B1039">
        <w:rPr>
          <w:rFonts w:ascii="Times New Roman" w:hAnsi="Times New Roman"/>
          <w:bCs/>
          <w:lang w:val="en-GB"/>
        </w:rPr>
        <w:t>paraître</w:t>
      </w:r>
      <w:proofErr w:type="spellEnd"/>
      <w:r w:rsidRPr="007B1039">
        <w:rPr>
          <w:rFonts w:ascii="Times New Roman" w:hAnsi="Times New Roman"/>
          <w:bCs/>
          <w:lang w:val="en-GB"/>
        </w:rPr>
        <w:t>.</w:t>
      </w:r>
    </w:p>
    <w:p w:rsidR="007B1039" w:rsidRPr="007B1039" w:rsidRDefault="007B1039" w:rsidP="007B1039">
      <w:pPr>
        <w:spacing w:after="100" w:afterAutospacing="1" w:line="240" w:lineRule="auto"/>
        <w:jc w:val="both"/>
        <w:rPr>
          <w:rFonts w:ascii="Times New Roman" w:hAnsi="Times New Roman"/>
          <w:bCs/>
          <w:lang w:val="en-GB"/>
        </w:rPr>
      </w:pPr>
      <w:proofErr w:type="spellStart"/>
      <w:r w:rsidRPr="007B1039">
        <w:rPr>
          <w:rFonts w:ascii="Times New Roman" w:hAnsi="Times New Roman"/>
          <w:bCs/>
          <w:lang w:val="en-GB"/>
        </w:rPr>
        <w:t>Dorf</w:t>
      </w:r>
      <w:proofErr w:type="spellEnd"/>
      <w:r w:rsidRPr="007B1039">
        <w:rPr>
          <w:rFonts w:ascii="Times New Roman" w:hAnsi="Times New Roman"/>
          <w:bCs/>
          <w:lang w:val="en-GB"/>
        </w:rPr>
        <w:t xml:space="preserve">, M. &amp; </w:t>
      </w:r>
      <w:proofErr w:type="spellStart"/>
      <w:r w:rsidRPr="007B1039">
        <w:rPr>
          <w:rFonts w:ascii="Times New Roman" w:hAnsi="Times New Roman"/>
          <w:bCs/>
          <w:lang w:val="en-GB"/>
        </w:rPr>
        <w:t>Sabel</w:t>
      </w:r>
      <w:proofErr w:type="spellEnd"/>
      <w:r w:rsidRPr="007B1039">
        <w:rPr>
          <w:rFonts w:ascii="Times New Roman" w:hAnsi="Times New Roman"/>
          <w:bCs/>
          <w:lang w:val="en-GB"/>
        </w:rPr>
        <w:t xml:space="preserve">, C., “A Constitution of Democratic Experimentalism”, </w:t>
      </w:r>
      <w:r w:rsidRPr="007B1039">
        <w:rPr>
          <w:rFonts w:ascii="Times New Roman" w:hAnsi="Times New Roman"/>
          <w:bCs/>
          <w:i/>
          <w:lang w:val="en-GB"/>
        </w:rPr>
        <w:t>Columbia Law Review</w:t>
      </w:r>
      <w:r w:rsidRPr="007B1039">
        <w:rPr>
          <w:rFonts w:ascii="Times New Roman" w:hAnsi="Times New Roman"/>
          <w:bCs/>
          <w:lang w:val="en-GB"/>
        </w:rPr>
        <w:t>, vol. 98, 1998, pp. 267-473.</w:t>
      </w:r>
    </w:p>
    <w:p w:rsidR="00F86366" w:rsidRPr="007B1039" w:rsidRDefault="00F86366" w:rsidP="007B1039">
      <w:pPr>
        <w:spacing w:after="100" w:afterAutospacing="1" w:line="240" w:lineRule="auto"/>
        <w:jc w:val="both"/>
        <w:rPr>
          <w:rFonts w:ascii="Times New Roman" w:hAnsi="Times New Roman"/>
          <w:bCs/>
          <w:lang w:val="en-US"/>
        </w:rPr>
      </w:pPr>
      <w:proofErr w:type="spellStart"/>
      <w:r w:rsidRPr="007B1039">
        <w:rPr>
          <w:rFonts w:ascii="Times New Roman" w:hAnsi="Times New Roman"/>
          <w:bCs/>
          <w:lang w:val="en-US"/>
        </w:rPr>
        <w:t>Gallie</w:t>
      </w:r>
      <w:proofErr w:type="spellEnd"/>
      <w:r w:rsidR="00331115" w:rsidRPr="007B1039">
        <w:rPr>
          <w:rFonts w:ascii="Times New Roman" w:hAnsi="Times New Roman"/>
          <w:bCs/>
          <w:lang w:val="en-US"/>
        </w:rPr>
        <w:t xml:space="preserve">, D. </w:t>
      </w:r>
      <w:proofErr w:type="gramStart"/>
      <w:r w:rsidR="00331115" w:rsidRPr="007B1039">
        <w:rPr>
          <w:rFonts w:ascii="Times New Roman" w:hAnsi="Times New Roman"/>
          <w:bCs/>
          <w:lang w:val="en-US"/>
        </w:rPr>
        <w:t>et</w:t>
      </w:r>
      <w:proofErr w:type="gramEnd"/>
      <w:r w:rsidR="00331115" w:rsidRPr="007B1039">
        <w:rPr>
          <w:rFonts w:ascii="Times New Roman" w:hAnsi="Times New Roman"/>
          <w:bCs/>
          <w:lang w:val="en-US"/>
        </w:rPr>
        <w:t xml:space="preserve"> </w:t>
      </w:r>
      <w:proofErr w:type="spellStart"/>
      <w:r w:rsidR="00331115" w:rsidRPr="007B1039">
        <w:rPr>
          <w:rFonts w:ascii="Times New Roman" w:hAnsi="Times New Roman"/>
          <w:bCs/>
          <w:lang w:val="en-US"/>
        </w:rPr>
        <w:t>Paugam</w:t>
      </w:r>
      <w:proofErr w:type="spellEnd"/>
      <w:r w:rsidR="00331115" w:rsidRPr="007B1039">
        <w:rPr>
          <w:rFonts w:ascii="Times New Roman" w:hAnsi="Times New Roman"/>
          <w:bCs/>
          <w:lang w:val="en-US"/>
        </w:rPr>
        <w:t>, S.</w:t>
      </w:r>
      <w:r w:rsidRPr="007B1039">
        <w:rPr>
          <w:rFonts w:ascii="Times New Roman" w:hAnsi="Times New Roman"/>
          <w:bCs/>
          <w:lang w:val="en-US"/>
        </w:rPr>
        <w:t xml:space="preserve">, </w:t>
      </w:r>
      <w:r w:rsidRPr="007B1039">
        <w:rPr>
          <w:rFonts w:ascii="Times New Roman" w:hAnsi="Times New Roman"/>
          <w:bCs/>
          <w:i/>
          <w:lang w:val="en-US"/>
        </w:rPr>
        <w:t>Welfare Regimes and the experience of unemployment in Europe</w:t>
      </w:r>
      <w:r w:rsidRPr="007B1039">
        <w:rPr>
          <w:rFonts w:ascii="Times New Roman" w:hAnsi="Times New Roman"/>
          <w:bCs/>
          <w:lang w:val="en-US"/>
        </w:rPr>
        <w:t xml:space="preserve">, </w:t>
      </w:r>
      <w:r w:rsidR="007660D2">
        <w:rPr>
          <w:rFonts w:ascii="Times New Roman" w:hAnsi="Times New Roman"/>
          <w:bCs/>
          <w:lang w:val="en-US"/>
        </w:rPr>
        <w:t xml:space="preserve">Oxford, </w:t>
      </w:r>
      <w:r w:rsidRPr="007B1039">
        <w:rPr>
          <w:rFonts w:ascii="Times New Roman" w:hAnsi="Times New Roman"/>
          <w:bCs/>
          <w:lang w:val="en-US"/>
        </w:rPr>
        <w:t xml:space="preserve">Oxford University Press, 2000. </w:t>
      </w:r>
    </w:p>
    <w:p w:rsidR="00F86366" w:rsidRPr="007660D2" w:rsidRDefault="00331115" w:rsidP="007660D2">
      <w:pPr>
        <w:spacing w:after="100" w:afterAutospacing="1" w:line="240" w:lineRule="auto"/>
        <w:jc w:val="both"/>
        <w:rPr>
          <w:rFonts w:ascii="Times New Roman" w:hAnsi="Times New Roman"/>
          <w:bCs/>
          <w:lang w:val="fr-FR"/>
        </w:rPr>
      </w:pPr>
      <w:r w:rsidRPr="007B1039">
        <w:rPr>
          <w:rFonts w:ascii="Times New Roman" w:hAnsi="Times New Roman"/>
          <w:bCs/>
          <w:lang w:val="fr-FR"/>
        </w:rPr>
        <w:t xml:space="preserve">Vielle, P., Cassiers, I. et </w:t>
      </w:r>
      <w:proofErr w:type="spellStart"/>
      <w:r w:rsidRPr="007B1039">
        <w:rPr>
          <w:rFonts w:ascii="Times New Roman" w:hAnsi="Times New Roman"/>
          <w:bCs/>
          <w:lang w:val="fr-FR"/>
        </w:rPr>
        <w:t>Pochet</w:t>
      </w:r>
      <w:proofErr w:type="spellEnd"/>
      <w:r w:rsidRPr="007B1039">
        <w:rPr>
          <w:rFonts w:ascii="Times New Roman" w:hAnsi="Times New Roman"/>
          <w:bCs/>
          <w:lang w:val="fr-FR"/>
        </w:rPr>
        <w:t>, P. (</w:t>
      </w:r>
      <w:proofErr w:type="spellStart"/>
      <w:r w:rsidRPr="007B1039">
        <w:rPr>
          <w:rFonts w:ascii="Times New Roman" w:hAnsi="Times New Roman"/>
          <w:bCs/>
          <w:lang w:val="fr-FR"/>
        </w:rPr>
        <w:t>dir</w:t>
      </w:r>
      <w:proofErr w:type="spellEnd"/>
      <w:r w:rsidRPr="007B1039">
        <w:rPr>
          <w:rFonts w:ascii="Times New Roman" w:hAnsi="Times New Roman"/>
          <w:bCs/>
          <w:lang w:val="fr-FR"/>
        </w:rPr>
        <w:t xml:space="preserve">.), </w:t>
      </w:r>
      <w:r w:rsidRPr="007B1039">
        <w:rPr>
          <w:rFonts w:ascii="Times New Roman" w:hAnsi="Times New Roman"/>
          <w:bCs/>
          <w:i/>
          <w:lang w:val="fr-FR"/>
        </w:rPr>
        <w:t xml:space="preserve"> L’Etat social actif, vers un changement de paradigme ?, </w:t>
      </w:r>
      <w:r w:rsidR="007660D2">
        <w:rPr>
          <w:rFonts w:ascii="Times New Roman" w:hAnsi="Times New Roman"/>
          <w:bCs/>
          <w:lang w:val="fr-FR"/>
        </w:rPr>
        <w:t xml:space="preserve">Bruxelles, </w:t>
      </w:r>
      <w:r w:rsidRPr="007B1039">
        <w:rPr>
          <w:rFonts w:ascii="Times New Roman" w:hAnsi="Times New Roman"/>
          <w:bCs/>
          <w:lang w:val="fr-FR"/>
        </w:rPr>
        <w:t>P.I.E. - Peter Lang, 2005.</w:t>
      </w:r>
    </w:p>
    <w:sectPr w:rsidR="00F86366" w:rsidRPr="007660D2" w:rsidSect="0027424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5A7" w:rsidRDefault="008C65A7" w:rsidP="00AF79FF">
      <w:pPr>
        <w:spacing w:after="0" w:line="240" w:lineRule="auto"/>
      </w:pPr>
      <w:r>
        <w:separator/>
      </w:r>
    </w:p>
  </w:endnote>
  <w:endnote w:type="continuationSeparator" w:id="0">
    <w:p w:rsidR="008C65A7" w:rsidRDefault="008C65A7" w:rsidP="00AF7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5A7" w:rsidRDefault="008C65A7" w:rsidP="00AF79FF">
      <w:pPr>
        <w:spacing w:after="0" w:line="240" w:lineRule="auto"/>
      </w:pPr>
      <w:r>
        <w:separator/>
      </w:r>
    </w:p>
  </w:footnote>
  <w:footnote w:type="continuationSeparator" w:id="0">
    <w:p w:rsidR="008C65A7" w:rsidRDefault="008C65A7" w:rsidP="00AF79FF">
      <w:pPr>
        <w:spacing w:after="0" w:line="240" w:lineRule="auto"/>
      </w:pPr>
      <w:r>
        <w:continuationSeparator/>
      </w:r>
    </w:p>
  </w:footnote>
  <w:footnote w:id="1">
    <w:p w:rsidR="00E67E77" w:rsidRDefault="00E67E77" w:rsidP="00BB4663">
      <w:pPr>
        <w:pStyle w:val="Notedebasdepage"/>
      </w:pPr>
      <w:r>
        <w:rPr>
          <w:rStyle w:val="Appelnotedebasdep"/>
        </w:rPr>
        <w:footnoteRef/>
      </w:r>
      <w:r>
        <w:t xml:space="preserve"> </w:t>
      </w:r>
      <w:r w:rsidR="00BB4663">
        <w:t xml:space="preserve">Suivant la distinction classique en droit international des droits de l’homme, peuvent en effet découler d’un droit </w:t>
      </w:r>
      <w:r w:rsidR="00BB4663" w:rsidRPr="00BB4663">
        <w:t xml:space="preserve">des obligations ‘négatives’ pour les Etats qui doivent s’abstenir de toute ingérence </w:t>
      </w:r>
      <w:r w:rsidR="00BB4663">
        <w:t>dans le droit et/ou des obligations</w:t>
      </w:r>
      <w:r w:rsidR="00BB4663" w:rsidRPr="00BB4663">
        <w:t xml:space="preserve"> </w:t>
      </w:r>
      <w:r w:rsidRPr="00E67E77">
        <w:t>‘</w:t>
      </w:r>
      <w:r>
        <w:t>positives</w:t>
      </w:r>
      <w:r w:rsidRPr="00E67E77">
        <w:t xml:space="preserve">’ </w:t>
      </w:r>
      <w:r>
        <w:t xml:space="preserve">qui requièrent qu’ils entreprennent des actions positives pour réaliser le droit.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C3FA8"/>
    <w:multiLevelType w:val="hybridMultilevel"/>
    <w:tmpl w:val="B35A0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6341C6B"/>
    <w:multiLevelType w:val="hybridMultilevel"/>
    <w:tmpl w:val="BA666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D7415FD"/>
    <w:multiLevelType w:val="multilevel"/>
    <w:tmpl w:val="958C9D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6E77D2"/>
    <w:multiLevelType w:val="hybridMultilevel"/>
    <w:tmpl w:val="2624A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0378A"/>
    <w:rsid w:val="0000024C"/>
    <w:rsid w:val="000832FD"/>
    <w:rsid w:val="000A653A"/>
    <w:rsid w:val="000D2F0F"/>
    <w:rsid w:val="000E38CC"/>
    <w:rsid w:val="00104B2B"/>
    <w:rsid w:val="0011351E"/>
    <w:rsid w:val="00113DAC"/>
    <w:rsid w:val="00114E2C"/>
    <w:rsid w:val="001175EC"/>
    <w:rsid w:val="00136AD3"/>
    <w:rsid w:val="00140619"/>
    <w:rsid w:val="001465A7"/>
    <w:rsid w:val="001527A2"/>
    <w:rsid w:val="00161017"/>
    <w:rsid w:val="0016368E"/>
    <w:rsid w:val="001702AF"/>
    <w:rsid w:val="0017136A"/>
    <w:rsid w:val="001D22AD"/>
    <w:rsid w:val="001D7B93"/>
    <w:rsid w:val="001E206C"/>
    <w:rsid w:val="001E241C"/>
    <w:rsid w:val="001E4CCD"/>
    <w:rsid w:val="00213350"/>
    <w:rsid w:val="00224010"/>
    <w:rsid w:val="00234C11"/>
    <w:rsid w:val="00274241"/>
    <w:rsid w:val="00295416"/>
    <w:rsid w:val="002A22C4"/>
    <w:rsid w:val="002F2F11"/>
    <w:rsid w:val="003068FC"/>
    <w:rsid w:val="00314655"/>
    <w:rsid w:val="00325C79"/>
    <w:rsid w:val="00331115"/>
    <w:rsid w:val="00333EBB"/>
    <w:rsid w:val="00345AED"/>
    <w:rsid w:val="00360B78"/>
    <w:rsid w:val="003654CF"/>
    <w:rsid w:val="00370813"/>
    <w:rsid w:val="00380968"/>
    <w:rsid w:val="003A2BA1"/>
    <w:rsid w:val="003A79EF"/>
    <w:rsid w:val="003B2404"/>
    <w:rsid w:val="003B620D"/>
    <w:rsid w:val="003B7AD7"/>
    <w:rsid w:val="003C3AF6"/>
    <w:rsid w:val="003D3B9F"/>
    <w:rsid w:val="003D5FA3"/>
    <w:rsid w:val="003D7079"/>
    <w:rsid w:val="003E6934"/>
    <w:rsid w:val="003F12B7"/>
    <w:rsid w:val="003F409A"/>
    <w:rsid w:val="003F4B8E"/>
    <w:rsid w:val="003F5783"/>
    <w:rsid w:val="00400309"/>
    <w:rsid w:val="00401C3E"/>
    <w:rsid w:val="0042067F"/>
    <w:rsid w:val="00437731"/>
    <w:rsid w:val="00454BB7"/>
    <w:rsid w:val="00461284"/>
    <w:rsid w:val="004644E0"/>
    <w:rsid w:val="00476AF7"/>
    <w:rsid w:val="00477DED"/>
    <w:rsid w:val="00485D25"/>
    <w:rsid w:val="0049488A"/>
    <w:rsid w:val="004955DF"/>
    <w:rsid w:val="004A4EE6"/>
    <w:rsid w:val="004B2C94"/>
    <w:rsid w:val="004F24C9"/>
    <w:rsid w:val="00502F21"/>
    <w:rsid w:val="00515FFC"/>
    <w:rsid w:val="005446FD"/>
    <w:rsid w:val="00570B2B"/>
    <w:rsid w:val="005731C9"/>
    <w:rsid w:val="0058036E"/>
    <w:rsid w:val="00583DD9"/>
    <w:rsid w:val="005C11A1"/>
    <w:rsid w:val="005E2452"/>
    <w:rsid w:val="00607548"/>
    <w:rsid w:val="006335FD"/>
    <w:rsid w:val="00634051"/>
    <w:rsid w:val="006528FB"/>
    <w:rsid w:val="00653E24"/>
    <w:rsid w:val="006931CC"/>
    <w:rsid w:val="006958CA"/>
    <w:rsid w:val="006A4AAD"/>
    <w:rsid w:val="006B1BD3"/>
    <w:rsid w:val="006C01CC"/>
    <w:rsid w:val="006C58C3"/>
    <w:rsid w:val="006D14B9"/>
    <w:rsid w:val="006E4459"/>
    <w:rsid w:val="006F7674"/>
    <w:rsid w:val="00713A21"/>
    <w:rsid w:val="007140F7"/>
    <w:rsid w:val="00725AF9"/>
    <w:rsid w:val="00747CCE"/>
    <w:rsid w:val="007619FF"/>
    <w:rsid w:val="00762C27"/>
    <w:rsid w:val="007660D2"/>
    <w:rsid w:val="00774BDA"/>
    <w:rsid w:val="00793FD3"/>
    <w:rsid w:val="00794846"/>
    <w:rsid w:val="00794E31"/>
    <w:rsid w:val="0079720C"/>
    <w:rsid w:val="007B1039"/>
    <w:rsid w:val="007B67A7"/>
    <w:rsid w:val="007F0A18"/>
    <w:rsid w:val="00841D68"/>
    <w:rsid w:val="00845FFF"/>
    <w:rsid w:val="008554B0"/>
    <w:rsid w:val="00864583"/>
    <w:rsid w:val="00877D07"/>
    <w:rsid w:val="00893B35"/>
    <w:rsid w:val="008B5823"/>
    <w:rsid w:val="008C65A7"/>
    <w:rsid w:val="008D15D7"/>
    <w:rsid w:val="008E1D98"/>
    <w:rsid w:val="009044A5"/>
    <w:rsid w:val="009216F9"/>
    <w:rsid w:val="00930BBD"/>
    <w:rsid w:val="00935680"/>
    <w:rsid w:val="00943272"/>
    <w:rsid w:val="0094580D"/>
    <w:rsid w:val="009521A0"/>
    <w:rsid w:val="009707F0"/>
    <w:rsid w:val="00982DE6"/>
    <w:rsid w:val="009846CE"/>
    <w:rsid w:val="009904AD"/>
    <w:rsid w:val="009A3878"/>
    <w:rsid w:val="009C6281"/>
    <w:rsid w:val="009D6558"/>
    <w:rsid w:val="009F63A3"/>
    <w:rsid w:val="00A011AC"/>
    <w:rsid w:val="00A1419F"/>
    <w:rsid w:val="00A17411"/>
    <w:rsid w:val="00A3355B"/>
    <w:rsid w:val="00A37C90"/>
    <w:rsid w:val="00A46B77"/>
    <w:rsid w:val="00A70219"/>
    <w:rsid w:val="00A7105B"/>
    <w:rsid w:val="00AB1518"/>
    <w:rsid w:val="00AB467C"/>
    <w:rsid w:val="00AD6401"/>
    <w:rsid w:val="00AF79FF"/>
    <w:rsid w:val="00B01F73"/>
    <w:rsid w:val="00B073E6"/>
    <w:rsid w:val="00B2308C"/>
    <w:rsid w:val="00B23631"/>
    <w:rsid w:val="00B64A9C"/>
    <w:rsid w:val="00B854D5"/>
    <w:rsid w:val="00B95577"/>
    <w:rsid w:val="00B96D3B"/>
    <w:rsid w:val="00BA36B3"/>
    <w:rsid w:val="00BB29DB"/>
    <w:rsid w:val="00BB4663"/>
    <w:rsid w:val="00BC07A4"/>
    <w:rsid w:val="00BC1AB2"/>
    <w:rsid w:val="00BF3C09"/>
    <w:rsid w:val="00C04AF2"/>
    <w:rsid w:val="00C10FAB"/>
    <w:rsid w:val="00C23C3F"/>
    <w:rsid w:val="00C23CFB"/>
    <w:rsid w:val="00C2573B"/>
    <w:rsid w:val="00C36336"/>
    <w:rsid w:val="00C40715"/>
    <w:rsid w:val="00C621F8"/>
    <w:rsid w:val="00C71113"/>
    <w:rsid w:val="00C82F8D"/>
    <w:rsid w:val="00C95976"/>
    <w:rsid w:val="00CA6CA8"/>
    <w:rsid w:val="00CC3B5E"/>
    <w:rsid w:val="00CE308C"/>
    <w:rsid w:val="00D008B9"/>
    <w:rsid w:val="00D11C9B"/>
    <w:rsid w:val="00D1623D"/>
    <w:rsid w:val="00D31394"/>
    <w:rsid w:val="00D6314F"/>
    <w:rsid w:val="00D76659"/>
    <w:rsid w:val="00DB2098"/>
    <w:rsid w:val="00DC0263"/>
    <w:rsid w:val="00DC1C37"/>
    <w:rsid w:val="00E0378A"/>
    <w:rsid w:val="00E1158E"/>
    <w:rsid w:val="00E40AE3"/>
    <w:rsid w:val="00E478BC"/>
    <w:rsid w:val="00E64866"/>
    <w:rsid w:val="00E67E77"/>
    <w:rsid w:val="00EC3F7F"/>
    <w:rsid w:val="00ED23C5"/>
    <w:rsid w:val="00ED4144"/>
    <w:rsid w:val="00ED6AD4"/>
    <w:rsid w:val="00EE49D1"/>
    <w:rsid w:val="00EE6E55"/>
    <w:rsid w:val="00EF166A"/>
    <w:rsid w:val="00F172F5"/>
    <w:rsid w:val="00F2192A"/>
    <w:rsid w:val="00F23F85"/>
    <w:rsid w:val="00F27B63"/>
    <w:rsid w:val="00F47858"/>
    <w:rsid w:val="00F86366"/>
    <w:rsid w:val="00F931B9"/>
    <w:rsid w:val="00F9354A"/>
    <w:rsid w:val="00F97C2A"/>
    <w:rsid w:val="00FB4440"/>
    <w:rsid w:val="00FE1FC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401"/>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rsid w:val="00845FFF"/>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locked/>
    <w:rsid w:val="00845FFF"/>
    <w:rPr>
      <w:rFonts w:ascii="Tahoma" w:hAnsi="Tahoma" w:cs="Tahoma"/>
      <w:sz w:val="16"/>
      <w:szCs w:val="16"/>
    </w:rPr>
  </w:style>
  <w:style w:type="paragraph" w:styleId="Notedebasdepage">
    <w:name w:val="footnote text"/>
    <w:basedOn w:val="Normal"/>
    <w:link w:val="NotedebasdepageCar"/>
    <w:uiPriority w:val="99"/>
    <w:semiHidden/>
    <w:rsid w:val="00AF79FF"/>
    <w:pPr>
      <w:spacing w:after="0" w:line="240" w:lineRule="auto"/>
    </w:pPr>
    <w:rPr>
      <w:sz w:val="20"/>
      <w:szCs w:val="20"/>
    </w:rPr>
  </w:style>
  <w:style w:type="character" w:customStyle="1" w:styleId="NotedebasdepageCar">
    <w:name w:val="Note de bas de page Car"/>
    <w:link w:val="Notedebasdepage"/>
    <w:uiPriority w:val="99"/>
    <w:semiHidden/>
    <w:locked/>
    <w:rsid w:val="00AF79FF"/>
    <w:rPr>
      <w:rFonts w:cs="Times New Roman"/>
      <w:sz w:val="20"/>
      <w:szCs w:val="20"/>
    </w:rPr>
  </w:style>
  <w:style w:type="character" w:styleId="Appelnotedebasdep">
    <w:name w:val="footnote reference"/>
    <w:uiPriority w:val="99"/>
    <w:rsid w:val="00AF79FF"/>
    <w:rPr>
      <w:rFonts w:cs="Times New Roman"/>
      <w:vertAlign w:val="superscript"/>
    </w:rPr>
  </w:style>
  <w:style w:type="table" w:styleId="Grilledutableau">
    <w:name w:val="Table Grid"/>
    <w:basedOn w:val="TableauNormal"/>
    <w:uiPriority w:val="99"/>
    <w:rsid w:val="009D65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rsid w:val="001D22AD"/>
    <w:rPr>
      <w:rFonts w:ascii="Times New Roman" w:hAnsi="Times New Roman"/>
      <w:sz w:val="24"/>
      <w:szCs w:val="24"/>
    </w:rPr>
  </w:style>
  <w:style w:type="character" w:styleId="Lienhypertexte">
    <w:name w:val="Hyperlink"/>
    <w:uiPriority w:val="99"/>
    <w:rsid w:val="002F2F11"/>
    <w:rPr>
      <w:rFonts w:cs="Times New Roman"/>
      <w:color w:val="0000FF"/>
      <w:u w:val="single"/>
    </w:rPr>
  </w:style>
  <w:style w:type="character" w:styleId="MachinecrireHTML">
    <w:name w:val="HTML Typewriter"/>
    <w:uiPriority w:val="99"/>
    <w:semiHidden/>
    <w:rsid w:val="00476AF7"/>
    <w:rPr>
      <w:rFonts w:ascii="Courier New" w:hAnsi="Courier New" w:cs="Courier New"/>
      <w:sz w:val="20"/>
      <w:szCs w:val="20"/>
    </w:rPr>
  </w:style>
  <w:style w:type="character" w:styleId="Marquedecommentaire">
    <w:name w:val="annotation reference"/>
    <w:uiPriority w:val="99"/>
    <w:semiHidden/>
    <w:rsid w:val="00E1158E"/>
    <w:rPr>
      <w:rFonts w:cs="Times New Roman"/>
      <w:sz w:val="16"/>
      <w:szCs w:val="16"/>
    </w:rPr>
  </w:style>
  <w:style w:type="paragraph" w:styleId="Commentaire">
    <w:name w:val="annotation text"/>
    <w:basedOn w:val="Normal"/>
    <w:link w:val="CommentaireCar"/>
    <w:uiPriority w:val="99"/>
    <w:semiHidden/>
    <w:rsid w:val="00E1158E"/>
    <w:rPr>
      <w:sz w:val="20"/>
      <w:szCs w:val="20"/>
    </w:rPr>
  </w:style>
  <w:style w:type="character" w:customStyle="1" w:styleId="CommentaireCar">
    <w:name w:val="Commentaire Car"/>
    <w:link w:val="Commentaire"/>
    <w:uiPriority w:val="99"/>
    <w:semiHidden/>
    <w:locked/>
    <w:rPr>
      <w:rFonts w:cs="Times New Roman"/>
      <w:sz w:val="20"/>
      <w:szCs w:val="20"/>
      <w:lang w:eastAsia="en-US"/>
    </w:rPr>
  </w:style>
  <w:style w:type="paragraph" w:styleId="Objetducommentaire">
    <w:name w:val="annotation subject"/>
    <w:basedOn w:val="Commentaire"/>
    <w:next w:val="Commentaire"/>
    <w:link w:val="ObjetducommentaireCar"/>
    <w:uiPriority w:val="99"/>
    <w:semiHidden/>
    <w:rsid w:val="00E1158E"/>
    <w:rPr>
      <w:b/>
      <w:bCs/>
    </w:rPr>
  </w:style>
  <w:style w:type="character" w:customStyle="1" w:styleId="ObjetducommentaireCar">
    <w:name w:val="Objet du commentaire Car"/>
    <w:link w:val="Objetducommentaire"/>
    <w:uiPriority w:val="99"/>
    <w:semiHidden/>
    <w:locked/>
    <w:rPr>
      <w:rFonts w:cs="Times New Roman"/>
      <w:b/>
      <w:bCs/>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2494">
      <w:bodyDiv w:val="1"/>
      <w:marLeft w:val="0"/>
      <w:marRight w:val="0"/>
      <w:marTop w:val="0"/>
      <w:marBottom w:val="0"/>
      <w:divBdr>
        <w:top w:val="none" w:sz="0" w:space="0" w:color="auto"/>
        <w:left w:val="none" w:sz="0" w:space="0" w:color="auto"/>
        <w:bottom w:val="none" w:sz="0" w:space="0" w:color="auto"/>
        <w:right w:val="none" w:sz="0" w:space="0" w:color="auto"/>
      </w:divBdr>
    </w:div>
    <w:div w:id="1925258885">
      <w:marLeft w:val="0"/>
      <w:marRight w:val="0"/>
      <w:marTop w:val="0"/>
      <w:marBottom w:val="0"/>
      <w:divBdr>
        <w:top w:val="none" w:sz="0" w:space="0" w:color="auto"/>
        <w:left w:val="none" w:sz="0" w:space="0" w:color="auto"/>
        <w:bottom w:val="none" w:sz="0" w:space="0" w:color="auto"/>
        <w:right w:val="none" w:sz="0" w:space="0" w:color="auto"/>
      </w:divBdr>
    </w:div>
    <w:div w:id="1925258886">
      <w:marLeft w:val="0"/>
      <w:marRight w:val="0"/>
      <w:marTop w:val="0"/>
      <w:marBottom w:val="0"/>
      <w:divBdr>
        <w:top w:val="none" w:sz="0" w:space="0" w:color="auto"/>
        <w:left w:val="none" w:sz="0" w:space="0" w:color="auto"/>
        <w:bottom w:val="none" w:sz="0" w:space="0" w:color="auto"/>
        <w:right w:val="none" w:sz="0" w:space="0" w:color="auto"/>
      </w:divBdr>
    </w:div>
    <w:div w:id="1925258887">
      <w:marLeft w:val="0"/>
      <w:marRight w:val="0"/>
      <w:marTop w:val="0"/>
      <w:marBottom w:val="0"/>
      <w:divBdr>
        <w:top w:val="none" w:sz="0" w:space="0" w:color="auto"/>
        <w:left w:val="none" w:sz="0" w:space="0" w:color="auto"/>
        <w:bottom w:val="none" w:sz="0" w:space="0" w:color="auto"/>
        <w:right w:val="none" w:sz="0" w:space="0" w:color="auto"/>
      </w:divBdr>
    </w:div>
    <w:div w:id="19252588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687FC-FDDF-405A-9FCA-8FA34707A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2556</Words>
  <Characters>14064</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COLLOQUE CIRTES 16 JANVIER 2013</vt:lpstr>
    </vt:vector>
  </TitlesOfParts>
  <Company>Université catholique de Louvain</Company>
  <LinksUpToDate>false</LinksUpToDate>
  <CharactersWithSpaces>16587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COLLOQUE CIRTES 16 JANVIER 2013</dc:title>
  <dc:creator>SIWS</dc:creator>
  <cp:lastModifiedBy>SIWS</cp:lastModifiedBy>
  <cp:revision>3</cp:revision>
  <cp:lastPrinted>2013-12-12T15:51:00Z</cp:lastPrinted>
  <dcterms:created xsi:type="dcterms:W3CDTF">2013-12-12T16:26:00Z</dcterms:created>
  <dcterms:modified xsi:type="dcterms:W3CDTF">2014-02-16T12:16:00Z</dcterms:modified>
</cp:coreProperties>
</file>