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141E" w:rsidRPr="000D5230" w:rsidRDefault="0085141E" w:rsidP="0085141E">
      <w:pPr>
        <w:spacing w:before="240"/>
        <w:jc w:val="center"/>
        <w:rPr>
          <w:rFonts w:ascii="Palatino Linotype" w:hAnsi="Palatino Linotype"/>
          <w:b/>
          <w:color w:val="000000" w:themeColor="text1"/>
          <w:sz w:val="28"/>
          <w:szCs w:val="28"/>
        </w:rPr>
      </w:pPr>
      <w:r w:rsidRPr="000D5230">
        <w:rPr>
          <w:rFonts w:ascii="Palatino Linotype" w:hAnsi="Palatino Linotype"/>
          <w:b/>
          <w:color w:val="000000" w:themeColor="text1"/>
          <w:sz w:val="28"/>
          <w:szCs w:val="28"/>
        </w:rPr>
        <w:t xml:space="preserve">Le </w:t>
      </w:r>
      <w:r w:rsidRPr="000D5230">
        <w:rPr>
          <w:rFonts w:ascii="Palatino Linotype" w:hAnsi="Palatino Linotype"/>
          <w:b/>
          <w:i/>
          <w:color w:val="000000" w:themeColor="text1"/>
          <w:sz w:val="28"/>
          <w:szCs w:val="28"/>
        </w:rPr>
        <w:t>kairos</w:t>
      </w:r>
      <w:r w:rsidRPr="000D5230">
        <w:rPr>
          <w:rFonts w:ascii="Palatino Linotype" w:hAnsi="Palatino Linotype"/>
          <w:b/>
          <w:color w:val="000000" w:themeColor="text1"/>
          <w:sz w:val="28"/>
          <w:szCs w:val="28"/>
        </w:rPr>
        <w:t xml:space="preserve"> chez Tillich pour vivre la Parole de Dieu aujourd’hui</w:t>
      </w:r>
    </w:p>
    <w:p w:rsidR="0085141E" w:rsidRPr="000D5230" w:rsidRDefault="0085141E" w:rsidP="0085141E">
      <w:pPr>
        <w:spacing w:before="48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Pour mieux comprendre les perspectives que j’entends donner à cette présentation, voici quelques mots sur mon objet de recherche. J’étudie les enjeux de la pastorale scolaire dans les écoles catholiques belges francophones, c’est-à-dire à la fois les activités à dimension chrétienne menées dans ces écoles ainsi que leur projet chrétien. Dans ce contexte, les pratiques en pastorale scolaire consistent à penser ou à repenser les célébrations, les retraites, les temps de prière, les démarches solidaires, interreligieuses ou citoyennes qui rythment l’année scolaire ainsi qu’à toujours mieux définir l’identité de l’école catholique.</w:t>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Environ un jeune sur deux en Belgique francophone est inscrit dans une école catholique mais le taux de jeunes catholiques est assez faible. Malgré la grande pluralité interconfessionnelle et interreligieuse, les animateurs en pastorale scolaire sont appelés à leur « proposer la foi chrétienne » à tous. Pour repenser la </w:t>
      </w:r>
      <w:r w:rsidRPr="000A4115">
        <w:rPr>
          <w:rFonts w:ascii="Palatino Linotype" w:hAnsi="Palatino Linotype"/>
          <w:color w:val="000000" w:themeColor="text1"/>
          <w:sz w:val="22"/>
          <w:szCs w:val="22"/>
        </w:rPr>
        <w:t xml:space="preserve">pastorale scolaire, je fais appel au systématicien Paul Tillich. Dans la présente contribution, j’aimerais d’une part présenter la notion de </w:t>
      </w:r>
      <w:r w:rsidRPr="000A4115">
        <w:rPr>
          <w:rFonts w:ascii="Palatino Linotype" w:hAnsi="Palatino Linotype"/>
          <w:i/>
          <w:color w:val="000000" w:themeColor="text1"/>
          <w:sz w:val="22"/>
          <w:szCs w:val="22"/>
        </w:rPr>
        <w:t>kairos</w:t>
      </w:r>
      <w:r w:rsidRPr="000A4115">
        <w:rPr>
          <w:rFonts w:ascii="Palatino Linotype" w:hAnsi="Palatino Linotype"/>
          <w:color w:val="000000" w:themeColor="text1"/>
          <w:sz w:val="22"/>
          <w:szCs w:val="22"/>
        </w:rPr>
        <w:t xml:space="preserve"> telle qu’il l’a décrite et, d’autre part, montrer comment ce concept est encore opérationnel aujourd’hui. Dans mon travail comme dans cette contribution, je compte procéder en trois phases : contextualisation, décontextualisation et recontextualisation</w:t>
      </w:r>
      <w:r w:rsidRPr="000A4115">
        <w:rPr>
          <w:rStyle w:val="Appelnotedebasdep"/>
          <w:rFonts w:ascii="Palatino Linotype" w:hAnsi="Palatino Linotype"/>
          <w:color w:val="000000" w:themeColor="text1"/>
          <w:sz w:val="22"/>
          <w:szCs w:val="22"/>
        </w:rPr>
        <w:footnoteReference w:id="1"/>
      </w:r>
      <w:r w:rsidRPr="000A4115">
        <w:rPr>
          <w:rFonts w:ascii="Palatino Linotype" w:hAnsi="Palatino Linotype"/>
          <w:color w:val="000000" w:themeColor="text1"/>
          <w:sz w:val="22"/>
          <w:szCs w:val="22"/>
        </w:rPr>
        <w:t>.</w:t>
      </w:r>
    </w:p>
    <w:p w:rsidR="0085141E" w:rsidRPr="000D5230" w:rsidRDefault="0085141E" w:rsidP="0085141E">
      <w:pPr>
        <w:spacing w:before="240"/>
        <w:jc w:val="both"/>
        <w:rPr>
          <w:rFonts w:ascii="Palatino Linotype" w:hAnsi="Palatino Linotype"/>
          <w:b/>
          <w:color w:val="000000" w:themeColor="text1"/>
          <w:sz w:val="22"/>
          <w:szCs w:val="22"/>
        </w:rPr>
      </w:pPr>
      <w:r w:rsidRPr="000D5230">
        <w:rPr>
          <w:rFonts w:ascii="Palatino Linotype" w:hAnsi="Palatino Linotype"/>
          <w:b/>
          <w:color w:val="000000" w:themeColor="text1"/>
          <w:sz w:val="22"/>
          <w:szCs w:val="22"/>
        </w:rPr>
        <w:t>1.</w:t>
      </w:r>
      <w:r w:rsidRPr="000D5230">
        <w:rPr>
          <w:rFonts w:ascii="Palatino Linotype" w:hAnsi="Palatino Linotype"/>
          <w:b/>
          <w:color w:val="000000" w:themeColor="text1"/>
          <w:sz w:val="22"/>
          <w:szCs w:val="22"/>
        </w:rPr>
        <w:tab/>
        <w:t>Contextualisation</w:t>
      </w:r>
    </w:p>
    <w:p w:rsidR="0085141E" w:rsidRPr="000D5230" w:rsidRDefault="0085141E" w:rsidP="0085141E">
      <w:pPr>
        <w:spacing w:before="24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Nous pourrions comprendre notre culture occidentale contemporaine comme étant celle du « tout, tout de suite ». Le primat de l’instant sur la durée ne fait nul doute. Par rapport à ce qu’ont connu les générations précédentes, le temps semble s’accélérer, entraînant avec lui le consumérisme et la recherche de la satisfaction immédiate, souvent au détriment du sens de l’effort. Or, comme l’écrivait déjà le pape Jean-Paul II en 1985 dans </w:t>
      </w:r>
      <w:proofErr w:type="spellStart"/>
      <w:r w:rsidRPr="000D5230">
        <w:rPr>
          <w:rFonts w:ascii="Palatino Linotype" w:hAnsi="Palatino Linotype"/>
          <w:i/>
          <w:color w:val="000000" w:themeColor="text1"/>
          <w:sz w:val="22"/>
          <w:szCs w:val="22"/>
        </w:rPr>
        <w:t>Dilecti</w:t>
      </w:r>
      <w:proofErr w:type="spellEnd"/>
      <w:r w:rsidRPr="000D5230">
        <w:rPr>
          <w:rFonts w:ascii="Palatino Linotype" w:hAnsi="Palatino Linotype"/>
          <w:i/>
          <w:color w:val="000000" w:themeColor="text1"/>
          <w:sz w:val="22"/>
          <w:szCs w:val="22"/>
        </w:rPr>
        <w:t xml:space="preserve"> Amici</w:t>
      </w:r>
      <w:r w:rsidRPr="000D5230">
        <w:rPr>
          <w:rFonts w:ascii="Palatino Linotype" w:hAnsi="Palatino Linotype"/>
          <w:color w:val="000000" w:themeColor="text1"/>
          <w:sz w:val="22"/>
          <w:szCs w:val="22"/>
        </w:rPr>
        <w:t>, n</w:t>
      </w:r>
      <w:r w:rsidRPr="000D5230">
        <w:rPr>
          <w:rFonts w:ascii="Palatino Linotype" w:hAnsi="Palatino Linotype"/>
          <w:color w:val="000000" w:themeColor="text1"/>
          <w:sz w:val="22"/>
          <w:szCs w:val="22"/>
          <w:vertAlign w:val="superscript"/>
        </w:rPr>
        <w:t>o</w:t>
      </w:r>
      <w:r w:rsidRPr="000D5230">
        <w:rPr>
          <w:rFonts w:ascii="Palatino Linotype" w:hAnsi="Palatino Linotype"/>
          <w:color w:val="000000" w:themeColor="text1"/>
          <w:sz w:val="22"/>
          <w:szCs w:val="22"/>
        </w:rPr>
        <w:t xml:space="preserve"> 5 : « </w:t>
      </w:r>
      <w:r w:rsidRPr="000D5230">
        <w:rPr>
          <w:rFonts w:ascii="Palatino Linotype" w:hAnsi="Palatino Linotype"/>
          <w:color w:val="000000" w:themeColor="text1"/>
          <w:sz w:val="22"/>
          <w:szCs w:val="22"/>
          <w:highlight w:val="yellow"/>
        </w:rPr>
        <w:t>l</w:t>
      </w:r>
      <w:r w:rsidRPr="000D5230">
        <w:rPr>
          <w:rFonts w:ascii="Palatino Linotype" w:hAnsi="Palatino Linotype"/>
          <w:color w:val="000000" w:themeColor="text1"/>
          <w:sz w:val="22"/>
          <w:szCs w:val="22"/>
        </w:rPr>
        <w:t xml:space="preserve">e christianisme nous apprend à </w:t>
      </w:r>
      <w:r w:rsidRPr="000D5230">
        <w:rPr>
          <w:rFonts w:ascii="Palatino Linotype" w:hAnsi="Palatino Linotype"/>
          <w:i/>
          <w:color w:val="000000" w:themeColor="text1"/>
          <w:sz w:val="22"/>
          <w:szCs w:val="22"/>
        </w:rPr>
        <w:t>comprendre le temps dans la perspective du Règne de Dieu</w:t>
      </w:r>
      <w:r w:rsidRPr="000D5230">
        <w:rPr>
          <w:rFonts w:ascii="Palatino Linotype" w:hAnsi="Palatino Linotype"/>
          <w:color w:val="000000" w:themeColor="text1"/>
          <w:sz w:val="22"/>
          <w:szCs w:val="22"/>
        </w:rPr>
        <w:t xml:space="preserve">, dans la perspective de la vie éternelle. » Dès lors, comment faire entendre la Parole de Dieu dans ce contexte accéléré ? Pour répondre à ce problème, je formule l’hypothèse de compléter la compréhension du temps chronologique par la notion de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w:t>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Après une rapide phase de context</w:t>
      </w:r>
      <w:r>
        <w:rPr>
          <w:rFonts w:ascii="Palatino Linotype" w:hAnsi="Palatino Linotype"/>
          <w:color w:val="000000" w:themeColor="text1"/>
          <w:sz w:val="22"/>
          <w:szCs w:val="22"/>
        </w:rPr>
        <w:t xml:space="preserve">ualisation, je ferai donc </w:t>
      </w:r>
      <w:r w:rsidRPr="000A4115">
        <w:rPr>
          <w:rFonts w:ascii="Palatino Linotype" w:hAnsi="Palatino Linotype"/>
          <w:color w:val="000000" w:themeColor="text1"/>
          <w:sz w:val="22"/>
          <w:szCs w:val="22"/>
        </w:rPr>
        <w:t xml:space="preserve">appel au concept de </w:t>
      </w:r>
      <w:r w:rsidRPr="000A4115">
        <w:rPr>
          <w:rFonts w:ascii="Palatino Linotype" w:hAnsi="Palatino Linotype"/>
          <w:i/>
          <w:color w:val="000000" w:themeColor="text1"/>
          <w:sz w:val="22"/>
          <w:szCs w:val="22"/>
        </w:rPr>
        <w:t>kairos,</w:t>
      </w:r>
      <w:r w:rsidRPr="000A4115">
        <w:rPr>
          <w:rFonts w:ascii="Palatino Linotype" w:hAnsi="Palatino Linotype"/>
          <w:color w:val="000000" w:themeColor="text1"/>
          <w:sz w:val="22"/>
          <w:szCs w:val="22"/>
        </w:rPr>
        <w:t xml:space="preserve"> depuis son apparition chez les Grecs jusqu’à sa compréhension théologique chez Tillich, afin de porter un regard plus profond sur ce qui nous arrive. La phase de recontextualisation consistera à scruter, s’ils existent, les nouveaux </w:t>
      </w:r>
      <w:r w:rsidRPr="000A4115">
        <w:rPr>
          <w:rFonts w:ascii="Palatino Linotype" w:hAnsi="Palatino Linotype"/>
          <w:i/>
          <w:color w:val="000000" w:themeColor="text1"/>
          <w:sz w:val="22"/>
          <w:szCs w:val="22"/>
        </w:rPr>
        <w:t>kairoi</w:t>
      </w:r>
      <w:r w:rsidRPr="000A4115">
        <w:rPr>
          <w:rFonts w:ascii="Palatino Linotype" w:hAnsi="Palatino Linotype"/>
          <w:color w:val="000000" w:themeColor="text1"/>
          <w:sz w:val="22"/>
          <w:szCs w:val="22"/>
        </w:rPr>
        <w:t xml:space="preserve"> de notre époque et à agir en conséquence.</w:t>
      </w:r>
      <w:r w:rsidRPr="000D5230">
        <w:rPr>
          <w:rFonts w:ascii="Palatino Linotype" w:hAnsi="Palatino Linotype"/>
          <w:color w:val="000000" w:themeColor="text1"/>
          <w:sz w:val="22"/>
          <w:szCs w:val="22"/>
        </w:rPr>
        <w:t xml:space="preserve"> </w:t>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De nos jours, beaucoup de sociologues tentent de définir l’identité de l’individu dans cette époque « post-moderne » : nous pourrions signaler ici les travaux de </w:t>
      </w:r>
      <w:proofErr w:type="spellStart"/>
      <w:r w:rsidRPr="000D5230">
        <w:rPr>
          <w:rFonts w:ascii="Palatino Linotype" w:hAnsi="Palatino Linotype"/>
          <w:color w:val="000000" w:themeColor="text1"/>
          <w:sz w:val="22"/>
          <w:szCs w:val="22"/>
        </w:rPr>
        <w:t>Zygmunt</w:t>
      </w:r>
      <w:proofErr w:type="spellEnd"/>
      <w:r w:rsidRPr="000D5230">
        <w:rPr>
          <w:rFonts w:ascii="Palatino Linotype" w:hAnsi="Palatino Linotype"/>
          <w:color w:val="000000" w:themeColor="text1"/>
          <w:sz w:val="22"/>
          <w:szCs w:val="22"/>
        </w:rPr>
        <w:t xml:space="preserve"> </w:t>
      </w:r>
      <w:proofErr w:type="spellStart"/>
      <w:r w:rsidRPr="000D5230">
        <w:rPr>
          <w:rFonts w:ascii="Palatino Linotype" w:hAnsi="Palatino Linotype"/>
          <w:color w:val="000000" w:themeColor="text1"/>
          <w:sz w:val="22"/>
          <w:szCs w:val="22"/>
        </w:rPr>
        <w:t>Bauman</w:t>
      </w:r>
      <w:proofErr w:type="spellEnd"/>
      <w:r w:rsidRPr="000D5230">
        <w:rPr>
          <w:rStyle w:val="Appelnotedebasdep"/>
          <w:rFonts w:ascii="Palatino Linotype" w:hAnsi="Palatino Linotype"/>
          <w:color w:val="000000" w:themeColor="text1"/>
          <w:sz w:val="22"/>
          <w:szCs w:val="22"/>
        </w:rPr>
        <w:footnoteReference w:id="2"/>
      </w:r>
      <w:r w:rsidRPr="000D5230">
        <w:rPr>
          <w:rFonts w:ascii="Palatino Linotype" w:hAnsi="Palatino Linotype"/>
          <w:color w:val="000000" w:themeColor="text1"/>
          <w:sz w:val="22"/>
          <w:szCs w:val="22"/>
        </w:rPr>
        <w:t xml:space="preserve"> sur </w:t>
      </w:r>
      <w:r w:rsidRPr="000D5230">
        <w:rPr>
          <w:rFonts w:ascii="Palatino Linotype" w:hAnsi="Palatino Linotype"/>
          <w:color w:val="000000" w:themeColor="text1"/>
          <w:sz w:val="22"/>
          <w:szCs w:val="22"/>
        </w:rPr>
        <w:lastRenderedPageBreak/>
        <w:t>l’« identité liquide », ceux de Jürgen Habermas et Jean-Marc Ferry</w:t>
      </w:r>
      <w:r w:rsidRPr="000D5230">
        <w:rPr>
          <w:rStyle w:val="Appelnotedebasdep"/>
          <w:rFonts w:ascii="Palatino Linotype" w:hAnsi="Palatino Linotype"/>
          <w:color w:val="000000" w:themeColor="text1"/>
          <w:sz w:val="22"/>
          <w:szCs w:val="22"/>
        </w:rPr>
        <w:footnoteReference w:id="3"/>
      </w:r>
      <w:r w:rsidRPr="000D5230">
        <w:rPr>
          <w:rFonts w:ascii="Palatino Linotype" w:hAnsi="Palatino Linotype"/>
          <w:color w:val="000000" w:themeColor="text1"/>
          <w:sz w:val="22"/>
          <w:szCs w:val="22"/>
        </w:rPr>
        <w:t xml:space="preserve"> sur l’identité « post-conventionnelle » ou « reconstructive », ou encore ceux de Charles Taylor</w:t>
      </w:r>
      <w:r w:rsidRPr="000D5230">
        <w:rPr>
          <w:rStyle w:val="Appelnotedebasdep"/>
          <w:rFonts w:ascii="Palatino Linotype" w:hAnsi="Palatino Linotype"/>
          <w:color w:val="000000" w:themeColor="text1"/>
          <w:sz w:val="22"/>
          <w:szCs w:val="22"/>
        </w:rPr>
        <w:footnoteReference w:id="4"/>
      </w:r>
      <w:r w:rsidRPr="000D5230">
        <w:rPr>
          <w:rFonts w:ascii="Palatino Linotype" w:hAnsi="Palatino Linotype"/>
          <w:color w:val="000000" w:themeColor="text1"/>
          <w:sz w:val="22"/>
          <w:szCs w:val="22"/>
        </w:rPr>
        <w:t xml:space="preserve"> qui désigne l’identité contemporaine par le concept de « moi ponctuel »</w:t>
      </w:r>
      <w:r w:rsidRPr="000D5230">
        <w:rPr>
          <w:rStyle w:val="Appelnotedebasdep"/>
          <w:rFonts w:ascii="Palatino Linotype" w:hAnsi="Palatino Linotype"/>
          <w:color w:val="000000" w:themeColor="text1"/>
          <w:sz w:val="22"/>
          <w:szCs w:val="22"/>
        </w:rPr>
        <w:footnoteReference w:id="5"/>
      </w:r>
      <w:r w:rsidRPr="000D5230">
        <w:rPr>
          <w:rFonts w:ascii="Palatino Linotype" w:hAnsi="Palatino Linotype"/>
          <w:color w:val="000000" w:themeColor="text1"/>
          <w:sz w:val="22"/>
          <w:szCs w:val="22"/>
        </w:rPr>
        <w:t xml:space="preserve">. Toutefois, celui qui établit le mieux le lien entre l’identité de l’homme post-moderne et son rapport au temps est probablement </w:t>
      </w:r>
      <w:proofErr w:type="spellStart"/>
      <w:r w:rsidRPr="000D5230">
        <w:rPr>
          <w:rFonts w:ascii="Palatino Linotype" w:hAnsi="Palatino Linotype"/>
          <w:color w:val="000000" w:themeColor="text1"/>
          <w:sz w:val="22"/>
          <w:szCs w:val="22"/>
        </w:rPr>
        <w:t>Hartmut</w:t>
      </w:r>
      <w:proofErr w:type="spellEnd"/>
      <w:r w:rsidRPr="000D5230">
        <w:rPr>
          <w:rFonts w:ascii="Palatino Linotype" w:hAnsi="Palatino Linotype"/>
          <w:color w:val="000000" w:themeColor="text1"/>
          <w:sz w:val="22"/>
          <w:szCs w:val="22"/>
        </w:rPr>
        <w:t xml:space="preserve"> Rosa. </w:t>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En effet, celui-ci</w:t>
      </w:r>
      <w:r w:rsidRPr="000D5230">
        <w:rPr>
          <w:rStyle w:val="Appelnotedebasdep"/>
          <w:rFonts w:ascii="Palatino Linotype" w:hAnsi="Palatino Linotype"/>
          <w:color w:val="000000" w:themeColor="text1"/>
          <w:sz w:val="22"/>
          <w:szCs w:val="22"/>
        </w:rPr>
        <w:footnoteReference w:id="6"/>
      </w:r>
      <w:r w:rsidRPr="000D5230">
        <w:rPr>
          <w:rFonts w:ascii="Palatino Linotype" w:hAnsi="Palatino Linotype"/>
          <w:color w:val="000000" w:themeColor="text1"/>
          <w:sz w:val="22"/>
          <w:szCs w:val="22"/>
        </w:rPr>
        <w:t xml:space="preserve"> postule la « compression du temps » pour définir l’époque présente caractérisée par l’accélération de la technique, des bouleversements de la société et du rythme de nos vies. Selon ce sociologue et philosophe allemand, la période de la sécurité des attentes diminue, ce qui bouscule les conditions d’action. De plus, le présent a tendance à se raccourcir, particulièrement pour les plus jeunes, ce qui entraîne un effet de désynchronisation et une fracture sociale intergénérationnelle, les plus anciens ne parvenant plus à suivre le rythme effréné des nouvelles générations. De ce fait, il met également en avant la complexité de transmission culturelle et les difficultés de transformation du vécu en expérience. Pour H. Rosa, l’identité de l’homme moderne est « </w:t>
      </w:r>
      <w:proofErr w:type="spellStart"/>
      <w:r w:rsidRPr="000D5230">
        <w:rPr>
          <w:rFonts w:ascii="Palatino Linotype" w:hAnsi="Palatino Linotype"/>
          <w:color w:val="000000" w:themeColor="text1"/>
          <w:sz w:val="22"/>
          <w:szCs w:val="22"/>
        </w:rPr>
        <w:t>situative</w:t>
      </w:r>
      <w:proofErr w:type="spellEnd"/>
      <w:r w:rsidRPr="000D5230">
        <w:rPr>
          <w:rFonts w:ascii="Palatino Linotype" w:hAnsi="Palatino Linotype"/>
          <w:color w:val="000000" w:themeColor="text1"/>
          <w:sz w:val="22"/>
          <w:szCs w:val="22"/>
        </w:rPr>
        <w:t xml:space="preserve"> » en raison de l’instabilité de plus en plus forte de sa famille, de son métier, de ses convictions, etc. </w:t>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Dès lors, l’urgence presse et l’horizon (social, professionnel, religieux, etc.) paraît incertain, particulièrement pour les jeunes, créant ainsi une instabilité : dans ces conditions, l’individu préfère se contenter de saisir ce dont il est sûr de pouvoir s’emparer tout de suite, plutôt que de reporter à demain une éventuelle acquisition. Cela transforme notre culture en une société des besoins immédiats, de la solution rapide aux problèmes du quotidien. Il en va de même à l’école : comment éduquer les jeunes à se positionner par rapport au consumérisme ambiant, comment leur parler de spiritualité ou de religion alors que, pour beaucoup, ce domaine ne relève pas de leurs préoccupations immédiates ? Comment leur parler d’une dimension de profondeur dans l’existence ?</w:t>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Si la société fait en sorte que l’individu s’adapte nécessairement pour répondre rapidement aux problèmes quotidiens, il est tout aussi important et urgent de prendre du recul par rapport à la situation présente. Pour arrêter de courir après ce temps « physique » qui fuira de toute façon, il me semble opportun de prendre une autre perspective. Ainsi, je propose de comprendre notre situation non plus uniquement à partir du temps « </w:t>
      </w:r>
      <w:r w:rsidRPr="000D5230">
        <w:rPr>
          <w:rFonts w:ascii="Palatino Linotype" w:hAnsi="Palatino Linotype"/>
          <w:i/>
          <w:color w:val="000000" w:themeColor="text1"/>
          <w:sz w:val="22"/>
          <w:szCs w:val="22"/>
        </w:rPr>
        <w:t>chronos</w:t>
      </w:r>
      <w:r w:rsidRPr="000D5230">
        <w:rPr>
          <w:rFonts w:ascii="Palatino Linotype" w:hAnsi="Palatino Linotype"/>
          <w:color w:val="000000" w:themeColor="text1"/>
          <w:sz w:val="22"/>
          <w:szCs w:val="22"/>
        </w:rPr>
        <w:t> » mais aussi à partir du temps «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w:t>
      </w:r>
    </w:p>
    <w:p w:rsidR="0085141E" w:rsidRPr="000D5230" w:rsidRDefault="0085141E" w:rsidP="0085141E">
      <w:pPr>
        <w:spacing w:before="240"/>
        <w:jc w:val="both"/>
        <w:rPr>
          <w:rFonts w:ascii="Palatino Linotype" w:hAnsi="Palatino Linotype"/>
          <w:b/>
          <w:color w:val="000000" w:themeColor="text1"/>
          <w:sz w:val="22"/>
          <w:szCs w:val="22"/>
        </w:rPr>
      </w:pPr>
      <w:r w:rsidRPr="000D5230">
        <w:rPr>
          <w:rFonts w:ascii="Palatino Linotype" w:hAnsi="Palatino Linotype"/>
          <w:b/>
          <w:color w:val="000000" w:themeColor="text1"/>
          <w:sz w:val="22"/>
          <w:szCs w:val="22"/>
        </w:rPr>
        <w:t>2.</w:t>
      </w:r>
      <w:r w:rsidRPr="000D5230">
        <w:rPr>
          <w:rFonts w:ascii="Palatino Linotype" w:hAnsi="Palatino Linotype"/>
          <w:b/>
          <w:color w:val="000000" w:themeColor="text1"/>
          <w:sz w:val="22"/>
          <w:szCs w:val="22"/>
        </w:rPr>
        <w:tab/>
        <w:t xml:space="preserve">Décontextualisation </w:t>
      </w:r>
    </w:p>
    <w:p w:rsidR="0085141E" w:rsidRPr="000D5230" w:rsidRDefault="0085141E" w:rsidP="0085141E">
      <w:pPr>
        <w:spacing w:before="240"/>
        <w:jc w:val="both"/>
        <w:rPr>
          <w:rFonts w:ascii="Palatino Linotype" w:hAnsi="Palatino Linotype"/>
          <w:b/>
          <w:color w:val="000000" w:themeColor="text1"/>
          <w:sz w:val="22"/>
          <w:szCs w:val="22"/>
        </w:rPr>
      </w:pPr>
      <w:r w:rsidRPr="000D5230">
        <w:rPr>
          <w:rFonts w:ascii="Palatino Linotype" w:hAnsi="Palatino Linotype"/>
          <w:b/>
          <w:color w:val="000000" w:themeColor="text1"/>
          <w:sz w:val="22"/>
          <w:szCs w:val="22"/>
        </w:rPr>
        <w:t>2.1</w:t>
      </w:r>
      <w:r w:rsidRPr="000D5230">
        <w:rPr>
          <w:rFonts w:ascii="Palatino Linotype" w:hAnsi="Palatino Linotype"/>
          <w:b/>
          <w:color w:val="000000" w:themeColor="text1"/>
          <w:sz w:val="22"/>
          <w:szCs w:val="22"/>
        </w:rPr>
        <w:tab/>
        <w:t xml:space="preserve">Premières compréhensions de la notion de </w:t>
      </w:r>
      <w:r w:rsidRPr="000D5230">
        <w:rPr>
          <w:rFonts w:ascii="Palatino Linotype" w:hAnsi="Palatino Linotype"/>
          <w:b/>
          <w:i/>
          <w:color w:val="000000" w:themeColor="text1"/>
          <w:sz w:val="22"/>
          <w:szCs w:val="22"/>
        </w:rPr>
        <w:t>kairos</w:t>
      </w:r>
    </w:p>
    <w:p w:rsidR="0085141E" w:rsidRPr="000D5230" w:rsidRDefault="0085141E" w:rsidP="0085141E">
      <w:pPr>
        <w:spacing w:before="24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Après avoir contextualisé notre propos, il s’agit alors de préciser la notion de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Durant l’Antiquité, les Grecs ont distingué trois types de temps : </w:t>
      </w:r>
    </w:p>
    <w:p w:rsidR="0085141E" w:rsidRPr="000D5230" w:rsidRDefault="0085141E" w:rsidP="0085141E">
      <w:pPr>
        <w:pStyle w:val="Paragraphedeliste"/>
        <w:numPr>
          <w:ilvl w:val="0"/>
          <w:numId w:val="1"/>
        </w:numPr>
        <w:spacing w:before="120" w:line="276" w:lineRule="auto"/>
        <w:contextualSpacing w:val="0"/>
        <w:jc w:val="both"/>
        <w:rPr>
          <w:rFonts w:ascii="Palatino Linotype" w:hAnsi="Palatino Linotype" w:cs="Arial"/>
          <w:color w:val="000000" w:themeColor="text1"/>
          <w:sz w:val="22"/>
          <w:szCs w:val="22"/>
        </w:rPr>
      </w:pPr>
      <w:r w:rsidRPr="000D5230">
        <w:rPr>
          <w:rFonts w:ascii="Palatino Linotype" w:hAnsi="Palatino Linotype" w:cs="Arial"/>
          <w:color w:val="000000" w:themeColor="text1"/>
          <w:sz w:val="22"/>
          <w:szCs w:val="22"/>
        </w:rPr>
        <w:t xml:space="preserve">le temps physique (ou </w:t>
      </w:r>
      <w:r w:rsidRPr="000D5230">
        <w:rPr>
          <w:rFonts w:ascii="Palatino Linotype" w:hAnsi="Palatino Linotype" w:cs="Arial"/>
          <w:i/>
          <w:color w:val="000000" w:themeColor="text1"/>
          <w:sz w:val="22"/>
          <w:szCs w:val="22"/>
        </w:rPr>
        <w:t>chronos</w:t>
      </w:r>
      <w:r w:rsidRPr="000D5230">
        <w:rPr>
          <w:rFonts w:ascii="Palatino Linotype" w:hAnsi="Palatino Linotype" w:cs="Arial"/>
          <w:color w:val="000000" w:themeColor="text1"/>
          <w:sz w:val="22"/>
          <w:szCs w:val="22"/>
        </w:rPr>
        <w:t xml:space="preserve">) que l’on mesure chronologiquement ; </w:t>
      </w:r>
    </w:p>
    <w:p w:rsidR="0085141E" w:rsidRPr="000D5230" w:rsidRDefault="0085141E" w:rsidP="0085141E">
      <w:pPr>
        <w:pStyle w:val="Paragraphedeliste"/>
        <w:numPr>
          <w:ilvl w:val="0"/>
          <w:numId w:val="1"/>
        </w:numPr>
        <w:spacing w:before="120" w:line="276" w:lineRule="auto"/>
        <w:contextualSpacing w:val="0"/>
        <w:jc w:val="both"/>
        <w:rPr>
          <w:rFonts w:ascii="Palatino Linotype" w:hAnsi="Palatino Linotype" w:cs="Arial"/>
          <w:color w:val="000000" w:themeColor="text1"/>
          <w:sz w:val="22"/>
          <w:szCs w:val="22"/>
        </w:rPr>
      </w:pPr>
      <w:r w:rsidRPr="000D5230">
        <w:rPr>
          <w:rFonts w:ascii="Palatino Linotype" w:hAnsi="Palatino Linotype" w:cs="Arial"/>
          <w:color w:val="000000" w:themeColor="text1"/>
          <w:sz w:val="22"/>
          <w:szCs w:val="22"/>
        </w:rPr>
        <w:lastRenderedPageBreak/>
        <w:t xml:space="preserve">le temps métaphysique (ou </w:t>
      </w:r>
      <w:r w:rsidRPr="000D5230">
        <w:rPr>
          <w:rFonts w:ascii="Palatino Linotype" w:hAnsi="Palatino Linotype" w:cs="Arial"/>
          <w:i/>
          <w:color w:val="000000" w:themeColor="text1"/>
          <w:sz w:val="22"/>
          <w:szCs w:val="22"/>
        </w:rPr>
        <w:t>kairos</w:t>
      </w:r>
      <w:r w:rsidRPr="000D5230">
        <w:rPr>
          <w:rFonts w:ascii="Palatino Linotype" w:hAnsi="Palatino Linotype" w:cs="Arial"/>
          <w:color w:val="000000" w:themeColor="text1"/>
          <w:sz w:val="22"/>
          <w:szCs w:val="22"/>
        </w:rPr>
        <w:t>) représenté par un petit dieu ailé aux</w:t>
      </w:r>
      <w:r>
        <w:rPr>
          <w:rFonts w:ascii="Palatino Linotype" w:hAnsi="Palatino Linotype" w:cs="Arial"/>
          <w:color w:val="000000" w:themeColor="text1"/>
          <w:sz w:val="22"/>
          <w:szCs w:val="22"/>
        </w:rPr>
        <w:t xml:space="preserve"> talons et aux épaules</w:t>
      </w:r>
      <w:r w:rsidRPr="000D5230">
        <w:rPr>
          <w:rFonts w:ascii="Palatino Linotype" w:hAnsi="Palatino Linotype" w:cs="Arial"/>
          <w:color w:val="000000" w:themeColor="text1"/>
          <w:sz w:val="22"/>
          <w:szCs w:val="22"/>
        </w:rPr>
        <w:t xml:space="preserve"> ; </w:t>
      </w:r>
    </w:p>
    <w:p w:rsidR="0085141E" w:rsidRPr="000D5230" w:rsidRDefault="0085141E" w:rsidP="0085141E">
      <w:pPr>
        <w:pStyle w:val="Paragraphedeliste"/>
        <w:numPr>
          <w:ilvl w:val="0"/>
          <w:numId w:val="1"/>
        </w:numPr>
        <w:spacing w:before="120" w:line="276" w:lineRule="auto"/>
        <w:contextualSpacing w:val="0"/>
        <w:jc w:val="both"/>
        <w:rPr>
          <w:rFonts w:ascii="Palatino Linotype" w:hAnsi="Palatino Linotype" w:cs="Arial"/>
          <w:color w:val="000000" w:themeColor="text1"/>
          <w:sz w:val="22"/>
          <w:szCs w:val="22"/>
        </w:rPr>
      </w:pPr>
      <w:r w:rsidRPr="000D5230">
        <w:rPr>
          <w:rFonts w:ascii="Palatino Linotype" w:hAnsi="Palatino Linotype" w:cs="Arial"/>
          <w:color w:val="000000" w:themeColor="text1"/>
          <w:sz w:val="22"/>
          <w:szCs w:val="22"/>
        </w:rPr>
        <w:t xml:space="preserve">le temps cyclique (ou </w:t>
      </w:r>
      <w:proofErr w:type="spellStart"/>
      <w:r w:rsidRPr="000D5230">
        <w:rPr>
          <w:rFonts w:ascii="Palatino Linotype" w:hAnsi="Palatino Linotype" w:cs="Arial"/>
          <w:i/>
          <w:color w:val="000000" w:themeColor="text1"/>
          <w:sz w:val="22"/>
          <w:szCs w:val="22"/>
        </w:rPr>
        <w:t>aiôn</w:t>
      </w:r>
      <w:proofErr w:type="spellEnd"/>
      <w:r w:rsidRPr="000D5230">
        <w:rPr>
          <w:rFonts w:ascii="Palatino Linotype" w:hAnsi="Palatino Linotype" w:cs="Arial"/>
          <w:color w:val="000000" w:themeColor="text1"/>
          <w:sz w:val="22"/>
          <w:szCs w:val="22"/>
        </w:rPr>
        <w:t>) qui signifie « l’âge », ou encore « la génération ».</w:t>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Pour les Grecs, Kairos, avec une touffe de cheveu sur l’avant de sa tête et chauve à l’arrière, serait donc le dieu de « l’occasion opportune » qu’il faut saisir par les cheveux quand il passe. Les spécialistes, ayant un savoir antérieur et des connaissances générales, ont donc pour mission de le saisir à l’instant T car il est connu comme étant le dieu de l’efficacité, réunissant en lui l’action et le temps. Nous pouvons dire de lui que c’est le dieu qui donne de la profondeur à l’instant.</w:t>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Souvent oublié aux époques suivantes,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revint au 16</w:t>
      </w:r>
      <w:r w:rsidRPr="000D5230">
        <w:rPr>
          <w:rFonts w:ascii="Palatino Linotype" w:hAnsi="Palatino Linotype"/>
          <w:color w:val="000000" w:themeColor="text1"/>
          <w:sz w:val="22"/>
          <w:szCs w:val="22"/>
          <w:vertAlign w:val="superscript"/>
        </w:rPr>
        <w:t>ème</w:t>
      </w:r>
      <w:r w:rsidRPr="000D5230">
        <w:rPr>
          <w:rFonts w:ascii="Palatino Linotype" w:hAnsi="Palatino Linotype"/>
          <w:color w:val="000000" w:themeColor="text1"/>
          <w:sz w:val="22"/>
          <w:szCs w:val="22"/>
        </w:rPr>
        <w:t xml:space="preserve"> s. avec Machiavel lorsqu’il parla de la </w:t>
      </w:r>
      <w:proofErr w:type="spellStart"/>
      <w:r w:rsidRPr="000D5230">
        <w:rPr>
          <w:rFonts w:ascii="Palatino Linotype" w:hAnsi="Palatino Linotype"/>
          <w:i/>
          <w:color w:val="000000" w:themeColor="text1"/>
          <w:sz w:val="22"/>
          <w:szCs w:val="22"/>
        </w:rPr>
        <w:t>virtù</w:t>
      </w:r>
      <w:proofErr w:type="spellEnd"/>
      <w:r w:rsidRPr="000D5230">
        <w:rPr>
          <w:rFonts w:ascii="Palatino Linotype" w:hAnsi="Palatino Linotype"/>
          <w:color w:val="000000" w:themeColor="text1"/>
          <w:sz w:val="22"/>
          <w:szCs w:val="22"/>
        </w:rPr>
        <w:t xml:space="preserve">, c’est-à-dire de la bonne initiative dont le Prince doit faire preuve : d’une certaine manière, nous pourrions faire correspondre cette </w:t>
      </w:r>
      <w:proofErr w:type="spellStart"/>
      <w:r w:rsidRPr="000D5230">
        <w:rPr>
          <w:rFonts w:ascii="Palatino Linotype" w:hAnsi="Palatino Linotype"/>
          <w:i/>
          <w:color w:val="000000" w:themeColor="text1"/>
          <w:sz w:val="22"/>
          <w:szCs w:val="22"/>
        </w:rPr>
        <w:t>virtù</w:t>
      </w:r>
      <w:proofErr w:type="spellEnd"/>
      <w:r w:rsidRPr="000D5230">
        <w:rPr>
          <w:rFonts w:ascii="Palatino Linotype" w:hAnsi="Palatino Linotype"/>
          <w:color w:val="000000" w:themeColor="text1"/>
          <w:sz w:val="22"/>
          <w:szCs w:val="22"/>
        </w:rPr>
        <w:t xml:space="preserve"> avec le concept grec du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w:t>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Puis, dans son cours donné à Freiburg </w:t>
      </w:r>
      <w:proofErr w:type="spellStart"/>
      <w:r w:rsidRPr="000D5230">
        <w:rPr>
          <w:rFonts w:ascii="Palatino Linotype" w:hAnsi="Palatino Linotype"/>
          <w:color w:val="000000" w:themeColor="text1"/>
          <w:sz w:val="22"/>
          <w:szCs w:val="22"/>
        </w:rPr>
        <w:t>im</w:t>
      </w:r>
      <w:proofErr w:type="spellEnd"/>
      <w:r w:rsidRPr="000D5230">
        <w:rPr>
          <w:rFonts w:ascii="Palatino Linotype" w:hAnsi="Palatino Linotype"/>
          <w:color w:val="000000" w:themeColor="text1"/>
          <w:sz w:val="22"/>
          <w:szCs w:val="22"/>
        </w:rPr>
        <w:t xml:space="preserve"> </w:t>
      </w:r>
      <w:proofErr w:type="spellStart"/>
      <w:r w:rsidRPr="000D5230">
        <w:rPr>
          <w:rFonts w:ascii="Palatino Linotype" w:hAnsi="Palatino Linotype"/>
          <w:color w:val="000000" w:themeColor="text1"/>
          <w:sz w:val="22"/>
          <w:szCs w:val="22"/>
        </w:rPr>
        <w:t>Breisgau</w:t>
      </w:r>
      <w:proofErr w:type="spellEnd"/>
      <w:r w:rsidRPr="000D5230">
        <w:rPr>
          <w:rFonts w:ascii="Palatino Linotype" w:hAnsi="Palatino Linotype"/>
          <w:color w:val="000000" w:themeColor="text1"/>
          <w:sz w:val="22"/>
          <w:szCs w:val="22"/>
        </w:rPr>
        <w:t xml:space="preserve"> en 1920-1921 sur l’introduction à la phénoménologie de la religion, Martin Heidegger reprend la notion de </w:t>
      </w:r>
      <w:r w:rsidRPr="000D5230">
        <w:rPr>
          <w:rFonts w:ascii="Palatino Linotype" w:hAnsi="Palatino Linotype"/>
          <w:i/>
          <w:color w:val="000000" w:themeColor="text1"/>
          <w:sz w:val="22"/>
          <w:szCs w:val="22"/>
        </w:rPr>
        <w:t>kairos</w:t>
      </w:r>
      <w:r w:rsidRPr="000D5230">
        <w:rPr>
          <w:rStyle w:val="Appelnotedebasdep"/>
          <w:rFonts w:ascii="Palatino Linotype" w:hAnsi="Palatino Linotype"/>
          <w:color w:val="000000" w:themeColor="text1"/>
          <w:sz w:val="22"/>
          <w:szCs w:val="22"/>
        </w:rPr>
        <w:footnoteReference w:id="7"/>
      </w:r>
      <w:r w:rsidRPr="000D5230">
        <w:rPr>
          <w:rFonts w:ascii="Palatino Linotype" w:hAnsi="Palatino Linotype"/>
          <w:color w:val="000000" w:themeColor="text1"/>
          <w:sz w:val="22"/>
          <w:szCs w:val="22"/>
        </w:rPr>
        <w:t xml:space="preserve">. Pour lui, l’« arrachement » du </w:t>
      </w:r>
      <w:r w:rsidRPr="000D5230">
        <w:rPr>
          <w:rFonts w:ascii="Palatino Linotype" w:hAnsi="Palatino Linotype"/>
          <w:i/>
          <w:color w:val="000000" w:themeColor="text1"/>
          <w:sz w:val="22"/>
          <w:szCs w:val="22"/>
        </w:rPr>
        <w:t>Dasein</w:t>
      </w:r>
      <w:r w:rsidRPr="000D5230">
        <w:rPr>
          <w:rFonts w:ascii="Palatino Linotype" w:hAnsi="Palatino Linotype"/>
          <w:color w:val="000000" w:themeColor="text1"/>
          <w:sz w:val="22"/>
          <w:szCs w:val="22"/>
        </w:rPr>
        <w:t xml:space="preserve"> à ses soucis quotidiens le ramène à sa finitude essentielle lorsqu’il se trouve devant l’angoisse, et devant celle de la mort en particulier. L’acceptation de sa finitude lui permet l’arrachement à ses soucis quotidiens. Heidegger met alors en lien la « facticité de la vie » avec « l’expérience chrétienne primitive en attente du retour du Christ »</w:t>
      </w:r>
      <w:r w:rsidRPr="000D5230">
        <w:rPr>
          <w:rStyle w:val="Appelnotedebasdep"/>
          <w:rFonts w:ascii="Palatino Linotype" w:hAnsi="Palatino Linotype"/>
          <w:color w:val="000000" w:themeColor="text1"/>
          <w:sz w:val="22"/>
          <w:szCs w:val="22"/>
        </w:rPr>
        <w:footnoteReference w:id="8"/>
      </w:r>
      <w:r w:rsidRPr="000D5230">
        <w:rPr>
          <w:rFonts w:ascii="Palatino Linotype" w:hAnsi="Palatino Linotype"/>
          <w:color w:val="000000" w:themeColor="text1"/>
          <w:sz w:val="22"/>
          <w:szCs w:val="22"/>
        </w:rPr>
        <w:t xml:space="preserve"> (cf. 1 Th, chapitres 4 et 5). Le temps </w:t>
      </w:r>
      <w:proofErr w:type="spellStart"/>
      <w:r w:rsidRPr="000D5230">
        <w:rPr>
          <w:rFonts w:ascii="Palatino Linotype" w:hAnsi="Palatino Linotype"/>
          <w:color w:val="000000" w:themeColor="text1"/>
          <w:sz w:val="22"/>
          <w:szCs w:val="22"/>
        </w:rPr>
        <w:t>kairologique</w:t>
      </w:r>
      <w:proofErr w:type="spellEnd"/>
      <w:r w:rsidRPr="000D5230">
        <w:rPr>
          <w:rFonts w:ascii="Palatino Linotype" w:hAnsi="Palatino Linotype"/>
          <w:color w:val="000000" w:themeColor="text1"/>
          <w:sz w:val="22"/>
          <w:szCs w:val="22"/>
        </w:rPr>
        <w:t xml:space="preserve"> ou le temps opportun n’est donc pas le temps d’une simple attente mais plutôt l’éveil à la proximité de la venue du Christ : il s’agit de rester prêt car </w:t>
      </w:r>
      <w:r w:rsidRPr="000D5230">
        <w:rPr>
          <w:rFonts w:ascii="Palatino Linotype" w:hAnsi="Palatino Linotype"/>
          <w:i/>
          <w:color w:val="000000" w:themeColor="text1"/>
          <w:sz w:val="22"/>
          <w:szCs w:val="22"/>
        </w:rPr>
        <w:t>« le jour du Seigneur vient comme un voleur dans la nuit »</w:t>
      </w:r>
      <w:r w:rsidRPr="000D5230">
        <w:rPr>
          <w:rFonts w:ascii="Palatino Linotype" w:hAnsi="Palatino Linotype"/>
          <w:color w:val="000000" w:themeColor="text1"/>
          <w:sz w:val="22"/>
          <w:szCs w:val="22"/>
        </w:rPr>
        <w:t xml:space="preserve"> (1 Th 5, </w:t>
      </w:r>
      <w:r>
        <w:rPr>
          <w:rFonts w:ascii="Palatino Linotype" w:hAnsi="Palatino Linotype"/>
          <w:color w:val="000000" w:themeColor="text1"/>
          <w:sz w:val="22"/>
          <w:szCs w:val="22"/>
        </w:rPr>
        <w:t xml:space="preserve">2). </w:t>
      </w:r>
      <w:r w:rsidRPr="000D5230">
        <w:rPr>
          <w:rFonts w:ascii="Palatino Linotype" w:hAnsi="Palatino Linotype"/>
          <w:color w:val="000000" w:themeColor="text1"/>
          <w:sz w:val="22"/>
          <w:szCs w:val="22"/>
        </w:rPr>
        <w:t xml:space="preserve">Comme le précise Yves </w:t>
      </w:r>
      <w:proofErr w:type="spellStart"/>
      <w:r w:rsidRPr="000D5230">
        <w:rPr>
          <w:rFonts w:ascii="Palatino Linotype" w:hAnsi="Palatino Linotype"/>
          <w:color w:val="000000" w:themeColor="text1"/>
          <w:sz w:val="22"/>
          <w:szCs w:val="22"/>
        </w:rPr>
        <w:t>Meessen</w:t>
      </w:r>
      <w:proofErr w:type="spellEnd"/>
      <w:r w:rsidRPr="000D5230">
        <w:rPr>
          <w:rFonts w:ascii="Palatino Linotype" w:hAnsi="Palatino Linotype"/>
          <w:color w:val="000000" w:themeColor="text1"/>
          <w:sz w:val="22"/>
          <w:szCs w:val="22"/>
        </w:rPr>
        <w:t xml:space="preserve"> à la même page de son article, « vivre dans l’espérance de la </w:t>
      </w:r>
      <w:proofErr w:type="spellStart"/>
      <w:r w:rsidRPr="000D5230">
        <w:rPr>
          <w:rFonts w:ascii="Palatino Linotype" w:hAnsi="Palatino Linotype"/>
          <w:i/>
          <w:color w:val="000000" w:themeColor="text1"/>
          <w:sz w:val="22"/>
          <w:szCs w:val="22"/>
        </w:rPr>
        <w:t>parousia</w:t>
      </w:r>
      <w:proofErr w:type="spellEnd"/>
      <w:r w:rsidRPr="000D5230">
        <w:rPr>
          <w:rFonts w:ascii="Palatino Linotype" w:hAnsi="Palatino Linotype"/>
          <w:color w:val="000000" w:themeColor="text1"/>
          <w:sz w:val="22"/>
          <w:szCs w:val="22"/>
        </w:rPr>
        <w:t xml:space="preserve"> fait de chaque instant un moment crucial, un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 Dans cette perspective eschatologique où il est bon de rester en éveil, l’inquiétude est salutaire et la sécurité illusoire. Comme les premiers chrétiens, le </w:t>
      </w:r>
      <w:r w:rsidRPr="000D5230">
        <w:rPr>
          <w:rFonts w:ascii="Palatino Linotype" w:hAnsi="Palatino Linotype"/>
          <w:i/>
          <w:color w:val="000000" w:themeColor="text1"/>
          <w:sz w:val="22"/>
          <w:szCs w:val="22"/>
        </w:rPr>
        <w:t>Dasein</w:t>
      </w:r>
      <w:r w:rsidRPr="000D5230">
        <w:rPr>
          <w:rFonts w:ascii="Palatino Linotype" w:hAnsi="Palatino Linotype"/>
          <w:color w:val="000000" w:themeColor="text1"/>
          <w:sz w:val="22"/>
          <w:szCs w:val="22"/>
        </w:rPr>
        <w:t xml:space="preserve"> n’a plus cure des petits tracas quotidiens. Dans cet état d’esprit, il peut enfin prendre le temps de se retrouver et de réfléchir pour prendre soin de son être.</w:t>
      </w:r>
    </w:p>
    <w:p w:rsidR="0085141E" w:rsidRPr="000D5230" w:rsidRDefault="0085141E" w:rsidP="0085141E">
      <w:pPr>
        <w:spacing w:before="240"/>
        <w:jc w:val="both"/>
        <w:rPr>
          <w:rFonts w:ascii="Palatino Linotype" w:hAnsi="Palatino Linotype"/>
          <w:b/>
          <w:color w:val="000000" w:themeColor="text1"/>
          <w:sz w:val="22"/>
          <w:szCs w:val="22"/>
        </w:rPr>
      </w:pPr>
      <w:r w:rsidRPr="000D5230">
        <w:rPr>
          <w:rFonts w:ascii="Palatino Linotype" w:hAnsi="Palatino Linotype"/>
          <w:b/>
          <w:color w:val="000000" w:themeColor="text1"/>
          <w:sz w:val="22"/>
          <w:szCs w:val="22"/>
        </w:rPr>
        <w:t>2.2</w:t>
      </w:r>
      <w:r w:rsidRPr="000D5230">
        <w:rPr>
          <w:rFonts w:ascii="Palatino Linotype" w:hAnsi="Palatino Linotype"/>
          <w:b/>
          <w:color w:val="000000" w:themeColor="text1"/>
          <w:sz w:val="22"/>
          <w:szCs w:val="22"/>
        </w:rPr>
        <w:tab/>
        <w:t xml:space="preserve">Le </w:t>
      </w:r>
      <w:r w:rsidRPr="000D5230">
        <w:rPr>
          <w:rFonts w:ascii="Palatino Linotype" w:hAnsi="Palatino Linotype"/>
          <w:b/>
          <w:i/>
          <w:color w:val="000000" w:themeColor="text1"/>
          <w:sz w:val="22"/>
          <w:szCs w:val="22"/>
        </w:rPr>
        <w:t>kairos</w:t>
      </w:r>
      <w:r w:rsidRPr="000D5230">
        <w:rPr>
          <w:rFonts w:ascii="Palatino Linotype" w:hAnsi="Palatino Linotype"/>
          <w:b/>
          <w:color w:val="000000" w:themeColor="text1"/>
          <w:sz w:val="22"/>
          <w:szCs w:val="22"/>
        </w:rPr>
        <w:t xml:space="preserve"> chez Paul Tillich</w:t>
      </w:r>
    </w:p>
    <w:p w:rsidR="0085141E" w:rsidRPr="000D5230" w:rsidRDefault="0085141E" w:rsidP="0085141E">
      <w:pPr>
        <w:spacing w:before="24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En théologie, Tillich utilise aussi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Je présenterai celui-ci en trois temps : son contexte historique, ses définitions et ses caractéristiques.</w:t>
      </w:r>
    </w:p>
    <w:p w:rsidR="0085141E" w:rsidRPr="000D5230" w:rsidRDefault="0085141E" w:rsidP="0085141E">
      <w:pPr>
        <w:spacing w:before="240"/>
        <w:jc w:val="both"/>
        <w:rPr>
          <w:rFonts w:ascii="Palatino Linotype" w:hAnsi="Palatino Linotype"/>
          <w:b/>
          <w:color w:val="000000" w:themeColor="text1"/>
          <w:sz w:val="22"/>
          <w:szCs w:val="22"/>
        </w:rPr>
      </w:pPr>
      <w:r w:rsidRPr="000D5230">
        <w:rPr>
          <w:rFonts w:ascii="Palatino Linotype" w:hAnsi="Palatino Linotype"/>
          <w:b/>
          <w:color w:val="000000" w:themeColor="text1"/>
          <w:sz w:val="22"/>
          <w:szCs w:val="22"/>
        </w:rPr>
        <w:t>2.2.1</w:t>
      </w:r>
      <w:r w:rsidRPr="000D5230">
        <w:rPr>
          <w:rFonts w:ascii="Palatino Linotype" w:hAnsi="Palatino Linotype"/>
          <w:b/>
          <w:color w:val="000000" w:themeColor="text1"/>
          <w:sz w:val="22"/>
          <w:szCs w:val="22"/>
        </w:rPr>
        <w:tab/>
        <w:t>Contexte historique</w:t>
      </w:r>
    </w:p>
    <w:p w:rsidR="0085141E" w:rsidRPr="000D5230" w:rsidRDefault="0085141E" w:rsidP="0085141E">
      <w:pPr>
        <w:spacing w:before="24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Replaçons tout d’abord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de Tillich dans son contexte historique. Parallèlement à la défaite allemande de la première guerre mondiale et à la signature de l’Armistice, de l’hiver 1918 au printemps 1919, un mouvement ouvrier secoue le pays. Ce processus aboutit finalement avec l’écrasement des communistes, la fin de l’Empire allemand et la mise en place de la République de Weimar. L’instabilité politique règne dans tout le pays. </w:t>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lastRenderedPageBreak/>
        <w:t>Le 14 mai 1919, Tillich qui était pasteur luthérien et qui avait déjà écrit sa thèse sur Schelling présenta un exposé intitulé « Christianisme et socialisme » au parti social-démocrate allemand. Ensuite, il fit même partie du « Cercle Kairos »</w:t>
      </w:r>
      <w:r w:rsidRPr="000D5230">
        <w:rPr>
          <w:rStyle w:val="Appelnotedebasdep"/>
          <w:rFonts w:ascii="Palatino Linotype" w:hAnsi="Palatino Linotype"/>
          <w:color w:val="000000" w:themeColor="text1"/>
          <w:sz w:val="22"/>
          <w:szCs w:val="22"/>
        </w:rPr>
        <w:footnoteReference w:id="9"/>
      </w:r>
      <w:r w:rsidRPr="000D5230">
        <w:rPr>
          <w:rFonts w:ascii="Palatino Linotype" w:hAnsi="Palatino Linotype"/>
          <w:color w:val="000000" w:themeColor="text1"/>
          <w:sz w:val="22"/>
          <w:szCs w:val="22"/>
        </w:rPr>
        <w:t xml:space="preserve"> et publia avec d’autres membres de ce Cercle dans « Les Cahiers du socialisme religieux ». Pour ce groupe, il fallait rendre la religion socialement efficace.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leur permettait cette ambition car il représentait l’ère d’irruption de l’inconditionnel dans le monde par des voies nouvelles. </w:t>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S’opposant  au conservatisme, au progressisme bourgeois et au progressisme utopique révolutionnaire, le socialisme religieux allie le temps et l’action dans sa notion de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et permet la rencontre entre le christianisme et le socialisme. Mû par l’espérance chrétienne en la venue du Royaume de Dieu</w:t>
      </w:r>
      <w:r w:rsidRPr="000D5230">
        <w:rPr>
          <w:rStyle w:val="Appelnotedebasdep"/>
          <w:rFonts w:ascii="Palatino Linotype" w:hAnsi="Palatino Linotype"/>
          <w:color w:val="000000" w:themeColor="text1"/>
          <w:sz w:val="22"/>
          <w:szCs w:val="22"/>
        </w:rPr>
        <w:footnoteReference w:id="10"/>
      </w:r>
      <w:r w:rsidRPr="000D5230">
        <w:rPr>
          <w:rFonts w:ascii="Palatino Linotype" w:hAnsi="Palatino Linotype"/>
          <w:color w:val="000000" w:themeColor="text1"/>
          <w:sz w:val="22"/>
          <w:szCs w:val="22"/>
        </w:rPr>
        <w:t>, il a pour tâche de « transformer le monde »</w:t>
      </w:r>
      <w:r w:rsidRPr="000D5230">
        <w:rPr>
          <w:rStyle w:val="Appelnotedebasdep"/>
          <w:rFonts w:ascii="Palatino Linotype" w:hAnsi="Palatino Linotype"/>
          <w:color w:val="000000" w:themeColor="text1"/>
          <w:sz w:val="22"/>
          <w:szCs w:val="22"/>
        </w:rPr>
        <w:footnoteReference w:id="11"/>
      </w:r>
      <w:r w:rsidRPr="000D5230">
        <w:rPr>
          <w:rFonts w:ascii="Palatino Linotype" w:hAnsi="Palatino Linotype"/>
          <w:color w:val="000000" w:themeColor="text1"/>
          <w:sz w:val="22"/>
          <w:szCs w:val="22"/>
        </w:rPr>
        <w:t xml:space="preserve"> en créant « une nouvelle société remplie de sens, où chaque groupe et chaque individu [peut] trouver le sens de sa vie »</w:t>
      </w:r>
      <w:r w:rsidRPr="000D5230">
        <w:rPr>
          <w:rStyle w:val="Appelnotedebasdep"/>
          <w:rFonts w:ascii="Palatino Linotype" w:hAnsi="Palatino Linotype"/>
          <w:color w:val="000000" w:themeColor="text1"/>
          <w:sz w:val="22"/>
          <w:szCs w:val="22"/>
        </w:rPr>
        <w:footnoteReference w:id="12"/>
      </w:r>
      <w:r w:rsidRPr="000D5230">
        <w:rPr>
          <w:rFonts w:ascii="Palatino Linotype" w:hAnsi="Palatino Linotype"/>
          <w:color w:val="000000" w:themeColor="text1"/>
          <w:sz w:val="22"/>
          <w:szCs w:val="22"/>
        </w:rPr>
        <w:t>. Le socialisme religieux a donc « ses racines les plus importantes dans la tentative de supprimer l’élément d’incroyance dans l’utopie socialiste, l’attachement à la finitude et au temps sans pour autant détruire l’enthousiasme eschatologique »</w:t>
      </w:r>
      <w:r w:rsidRPr="000D5230">
        <w:rPr>
          <w:rStyle w:val="Appelnotedebasdep"/>
          <w:rFonts w:ascii="Palatino Linotype" w:hAnsi="Palatino Linotype"/>
          <w:color w:val="000000" w:themeColor="text1"/>
          <w:sz w:val="22"/>
          <w:szCs w:val="22"/>
        </w:rPr>
        <w:footnoteReference w:id="13"/>
      </w:r>
      <w:r w:rsidRPr="000D5230">
        <w:rPr>
          <w:rFonts w:ascii="Palatino Linotype" w:hAnsi="Palatino Linotype"/>
          <w:color w:val="000000" w:themeColor="text1"/>
          <w:sz w:val="22"/>
          <w:szCs w:val="22"/>
        </w:rPr>
        <w:t xml:space="preserve">. Par ailleurs, Tillich dit aussi que le socialisme religieux n’est lié ni </w:t>
      </w:r>
      <w:proofErr w:type="spellStart"/>
      <w:r w:rsidRPr="000D5230">
        <w:rPr>
          <w:rFonts w:ascii="Palatino Linotype" w:hAnsi="Palatino Linotype"/>
          <w:color w:val="000000" w:themeColor="text1"/>
          <w:sz w:val="22"/>
          <w:szCs w:val="22"/>
        </w:rPr>
        <w:t>confessionnellement</w:t>
      </w:r>
      <w:proofErr w:type="spellEnd"/>
      <w:r w:rsidRPr="000D5230">
        <w:rPr>
          <w:rStyle w:val="Appelnotedebasdep"/>
          <w:rFonts w:ascii="Palatino Linotype" w:hAnsi="Palatino Linotype"/>
          <w:color w:val="000000" w:themeColor="text1"/>
          <w:sz w:val="22"/>
          <w:szCs w:val="22"/>
        </w:rPr>
        <w:footnoteReference w:id="14"/>
      </w:r>
      <w:r w:rsidRPr="000D5230">
        <w:rPr>
          <w:rFonts w:ascii="Palatino Linotype" w:hAnsi="Palatino Linotype"/>
          <w:color w:val="000000" w:themeColor="text1"/>
          <w:sz w:val="22"/>
          <w:szCs w:val="22"/>
        </w:rPr>
        <w:t>, ni politiquement</w:t>
      </w:r>
      <w:r w:rsidRPr="000D5230">
        <w:rPr>
          <w:rStyle w:val="Appelnotedebasdep"/>
          <w:rFonts w:ascii="Palatino Linotype" w:hAnsi="Palatino Linotype"/>
          <w:color w:val="000000" w:themeColor="text1"/>
          <w:sz w:val="22"/>
          <w:szCs w:val="22"/>
        </w:rPr>
        <w:footnoteReference w:id="15"/>
      </w:r>
      <w:r w:rsidRPr="000D5230">
        <w:rPr>
          <w:rFonts w:ascii="Palatino Linotype" w:hAnsi="Palatino Linotype"/>
          <w:color w:val="000000" w:themeColor="text1"/>
          <w:sz w:val="22"/>
          <w:szCs w:val="22"/>
        </w:rPr>
        <w:t xml:space="preserve">. </w:t>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Durant toute cette décennie 1920-1930, Tillich étudia alors non seulement le socialisme religieux mais aussi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publiant beaucoup sur ce sujet. Je vous propose de parcourir quelques-uns de ces textes, en commençant par </w:t>
      </w:r>
      <w:r w:rsidRPr="000D5230">
        <w:rPr>
          <w:rFonts w:ascii="Palatino Linotype" w:hAnsi="Palatino Linotype"/>
          <w:i/>
          <w:color w:val="000000" w:themeColor="text1"/>
          <w:sz w:val="22"/>
          <w:szCs w:val="22"/>
        </w:rPr>
        <w:t>Kairos I</w:t>
      </w:r>
      <w:r w:rsidRPr="000D5230">
        <w:rPr>
          <w:rStyle w:val="Appelnotedebasdep"/>
          <w:rFonts w:ascii="Palatino Linotype" w:hAnsi="Palatino Linotype"/>
          <w:color w:val="000000" w:themeColor="text1"/>
          <w:sz w:val="22"/>
          <w:szCs w:val="22"/>
        </w:rPr>
        <w:footnoteReference w:id="16"/>
      </w:r>
      <w:r w:rsidRPr="000D5230">
        <w:rPr>
          <w:rFonts w:ascii="Palatino Linotype" w:hAnsi="Palatino Linotype"/>
          <w:color w:val="000000" w:themeColor="text1"/>
          <w:sz w:val="22"/>
          <w:szCs w:val="22"/>
        </w:rPr>
        <w:t xml:space="preserve"> publié en 1922. </w:t>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Dès les premières lignes, Tillich précise la finalité de son article : il entend « élaborer une philosophie de l’histoire »</w:t>
      </w:r>
      <w:r w:rsidRPr="000D5230">
        <w:rPr>
          <w:rStyle w:val="Appelnotedebasdep"/>
          <w:rFonts w:ascii="Palatino Linotype" w:hAnsi="Palatino Linotype"/>
          <w:color w:val="000000" w:themeColor="text1"/>
          <w:sz w:val="22"/>
          <w:szCs w:val="22"/>
        </w:rPr>
        <w:footnoteReference w:id="17"/>
      </w:r>
      <w:r w:rsidRPr="000D5230">
        <w:rPr>
          <w:rFonts w:ascii="Palatino Linotype" w:hAnsi="Palatino Linotype"/>
          <w:color w:val="000000" w:themeColor="text1"/>
          <w:sz w:val="22"/>
          <w:szCs w:val="22"/>
        </w:rPr>
        <w:t xml:space="preserve">. Par ailleurs, il veut « éveiller une conscience de l’histoire qui plonge ses racines dans les profondeurs de l’inconditionné […] et dont </w:t>
      </w:r>
      <w:r w:rsidRPr="000D5230">
        <w:rPr>
          <w:rFonts w:ascii="Palatino Linotype" w:hAnsi="Palatino Linotype"/>
          <w:i/>
          <w:color w:val="000000" w:themeColor="text1"/>
          <w:sz w:val="22"/>
          <w:szCs w:val="22"/>
        </w:rPr>
        <w:t>l’ethos</w:t>
      </w:r>
      <w:r w:rsidRPr="000D5230">
        <w:rPr>
          <w:rFonts w:ascii="Palatino Linotype" w:hAnsi="Palatino Linotype"/>
          <w:color w:val="000000" w:themeColor="text1"/>
          <w:sz w:val="22"/>
          <w:szCs w:val="22"/>
        </w:rPr>
        <w:t xml:space="preserve"> consiste en une responsabilité inconditionnée envers le moment présent »</w:t>
      </w:r>
      <w:r w:rsidRPr="000D5230">
        <w:rPr>
          <w:rStyle w:val="Appelnotedebasdep"/>
          <w:rFonts w:ascii="Palatino Linotype" w:hAnsi="Palatino Linotype"/>
          <w:color w:val="000000" w:themeColor="text1"/>
          <w:sz w:val="22"/>
          <w:szCs w:val="22"/>
        </w:rPr>
        <w:footnoteReference w:id="18"/>
      </w:r>
      <w:r w:rsidRPr="000D5230">
        <w:rPr>
          <w:rFonts w:ascii="Palatino Linotype" w:hAnsi="Palatino Linotype"/>
          <w:color w:val="000000" w:themeColor="text1"/>
          <w:sz w:val="22"/>
          <w:szCs w:val="22"/>
        </w:rPr>
        <w:t xml:space="preserve">. Contrairement à la conception grecque,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ne touche pas seulement l’individu mais ce</w:t>
      </w:r>
      <w:r w:rsidRPr="000D5230">
        <w:rPr>
          <w:rFonts w:ascii="Palatino Linotype" w:hAnsi="Palatino Linotype"/>
          <w:b/>
          <w:color w:val="000000" w:themeColor="text1"/>
          <w:sz w:val="22"/>
          <w:szCs w:val="22"/>
        </w:rPr>
        <w:t xml:space="preserve"> </w:t>
      </w:r>
      <w:r w:rsidRPr="000D5230">
        <w:rPr>
          <w:rFonts w:ascii="Palatino Linotype" w:hAnsi="Palatino Linotype"/>
          <w:color w:val="000000" w:themeColor="text1"/>
          <w:sz w:val="22"/>
          <w:szCs w:val="22"/>
        </w:rPr>
        <w:t>« moment temporel rempli d’un contenu et d’une exigence inconditionnée »</w:t>
      </w:r>
      <w:r w:rsidRPr="000D5230">
        <w:rPr>
          <w:rStyle w:val="Appelnotedebasdep"/>
          <w:rFonts w:ascii="Palatino Linotype" w:hAnsi="Palatino Linotype"/>
          <w:color w:val="000000" w:themeColor="text1"/>
          <w:sz w:val="22"/>
          <w:szCs w:val="22"/>
        </w:rPr>
        <w:footnoteReference w:id="19"/>
      </w:r>
      <w:r w:rsidRPr="000D5230">
        <w:rPr>
          <w:rFonts w:ascii="Palatino Linotype" w:hAnsi="Palatino Linotype"/>
          <w:color w:val="000000" w:themeColor="text1"/>
          <w:sz w:val="22"/>
          <w:szCs w:val="22"/>
        </w:rPr>
        <w:t xml:space="preserve"> vise une action individuelle et collective</w:t>
      </w:r>
      <w:r w:rsidRPr="000D5230">
        <w:rPr>
          <w:rStyle w:val="Appelnotedebasdep"/>
          <w:rFonts w:ascii="Palatino Linotype" w:hAnsi="Palatino Linotype"/>
          <w:color w:val="000000" w:themeColor="text1"/>
          <w:sz w:val="22"/>
          <w:szCs w:val="22"/>
        </w:rPr>
        <w:footnoteReference w:id="20"/>
      </w:r>
      <w:r w:rsidRPr="000D5230">
        <w:rPr>
          <w:rFonts w:ascii="Palatino Linotype" w:hAnsi="Palatino Linotype"/>
          <w:color w:val="000000" w:themeColor="text1"/>
          <w:sz w:val="22"/>
          <w:szCs w:val="22"/>
        </w:rPr>
        <w:t>.</w:t>
      </w:r>
    </w:p>
    <w:p w:rsidR="0085141E" w:rsidRDefault="0085141E" w:rsidP="0085141E">
      <w:pPr>
        <w:spacing w:before="240"/>
        <w:jc w:val="both"/>
        <w:rPr>
          <w:rFonts w:ascii="Palatino Linotype" w:hAnsi="Palatino Linotype"/>
          <w:b/>
          <w:color w:val="000000" w:themeColor="text1"/>
          <w:sz w:val="22"/>
          <w:szCs w:val="22"/>
        </w:rPr>
      </w:pPr>
    </w:p>
    <w:p w:rsidR="0085141E" w:rsidRDefault="0085141E" w:rsidP="0085141E">
      <w:pPr>
        <w:spacing w:before="240"/>
        <w:jc w:val="both"/>
        <w:rPr>
          <w:rFonts w:ascii="Palatino Linotype" w:hAnsi="Palatino Linotype"/>
          <w:b/>
          <w:color w:val="000000" w:themeColor="text1"/>
          <w:sz w:val="22"/>
          <w:szCs w:val="22"/>
        </w:rPr>
      </w:pPr>
    </w:p>
    <w:p w:rsidR="0085141E" w:rsidRPr="000D5230" w:rsidRDefault="0085141E" w:rsidP="0085141E">
      <w:pPr>
        <w:spacing w:before="240"/>
        <w:jc w:val="both"/>
        <w:rPr>
          <w:rFonts w:ascii="Palatino Linotype" w:hAnsi="Palatino Linotype"/>
          <w:b/>
          <w:color w:val="000000" w:themeColor="text1"/>
          <w:sz w:val="22"/>
          <w:szCs w:val="22"/>
        </w:rPr>
      </w:pPr>
      <w:r w:rsidRPr="000D5230">
        <w:rPr>
          <w:rFonts w:ascii="Palatino Linotype" w:hAnsi="Palatino Linotype"/>
          <w:b/>
          <w:color w:val="000000" w:themeColor="text1"/>
          <w:sz w:val="22"/>
          <w:szCs w:val="22"/>
        </w:rPr>
        <w:lastRenderedPageBreak/>
        <w:t>2.2.2</w:t>
      </w:r>
      <w:r w:rsidRPr="000D5230">
        <w:rPr>
          <w:rFonts w:ascii="Palatino Linotype" w:hAnsi="Palatino Linotype"/>
          <w:b/>
          <w:color w:val="000000" w:themeColor="text1"/>
          <w:sz w:val="22"/>
          <w:szCs w:val="22"/>
        </w:rPr>
        <w:tab/>
        <w:t>Définitions</w:t>
      </w:r>
    </w:p>
    <w:p w:rsidR="0085141E" w:rsidRPr="000D5230" w:rsidRDefault="0085141E" w:rsidP="0085141E">
      <w:pPr>
        <w:spacing w:before="24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Toujours dans cet article, par opposition </w:t>
      </w:r>
      <w:proofErr w:type="gramStart"/>
      <w:r w:rsidRPr="000D5230">
        <w:rPr>
          <w:rFonts w:ascii="Palatino Linotype" w:hAnsi="Palatino Linotype"/>
          <w:color w:val="000000" w:themeColor="text1"/>
          <w:sz w:val="22"/>
          <w:szCs w:val="22"/>
        </w:rPr>
        <w:t xml:space="preserve">au </w:t>
      </w:r>
      <w:r w:rsidRPr="000D5230">
        <w:rPr>
          <w:rFonts w:ascii="Palatino Linotype" w:hAnsi="Palatino Linotype"/>
          <w:i/>
          <w:color w:val="000000" w:themeColor="text1"/>
          <w:sz w:val="22"/>
          <w:szCs w:val="22"/>
        </w:rPr>
        <w:t>chronos</w:t>
      </w:r>
      <w:proofErr w:type="gramEnd"/>
      <w:r w:rsidRPr="000D5230">
        <w:rPr>
          <w:rFonts w:ascii="Palatino Linotype" w:hAnsi="Palatino Linotype"/>
          <w:color w:val="000000" w:themeColor="text1"/>
          <w:sz w:val="22"/>
          <w:szCs w:val="22"/>
        </w:rPr>
        <w:t xml:space="preserve">, Tillich reprend ensuite la définition grecque du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comme « "le temps opportun", le moment riche en contenu et en signification »</w:t>
      </w:r>
      <w:r w:rsidRPr="000D5230">
        <w:rPr>
          <w:rStyle w:val="Appelnotedebasdep"/>
          <w:rFonts w:ascii="Palatino Linotype" w:hAnsi="Palatino Linotype"/>
          <w:color w:val="000000" w:themeColor="text1"/>
          <w:sz w:val="22"/>
          <w:szCs w:val="22"/>
        </w:rPr>
        <w:footnoteReference w:id="21"/>
      </w:r>
      <w:r w:rsidRPr="000D5230">
        <w:rPr>
          <w:rFonts w:ascii="Palatino Linotype" w:hAnsi="Palatino Linotype"/>
          <w:color w:val="000000" w:themeColor="text1"/>
          <w:sz w:val="22"/>
          <w:szCs w:val="22"/>
        </w:rPr>
        <w:t xml:space="preserve"> en l’appliquant au Nouveau Testament. Dans ce cadre,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est « la plénitude du temps »</w:t>
      </w:r>
      <w:r w:rsidRPr="000D5230">
        <w:rPr>
          <w:rStyle w:val="Appelnotedebasdep"/>
          <w:rFonts w:ascii="Palatino Linotype" w:hAnsi="Palatino Linotype"/>
          <w:color w:val="000000" w:themeColor="text1"/>
          <w:sz w:val="22"/>
          <w:szCs w:val="22"/>
        </w:rPr>
        <w:footnoteReference w:id="22"/>
      </w:r>
      <w:r w:rsidRPr="000D5230">
        <w:rPr>
          <w:rFonts w:ascii="Palatino Linotype" w:hAnsi="Palatino Linotype"/>
          <w:color w:val="000000" w:themeColor="text1"/>
          <w:sz w:val="22"/>
          <w:szCs w:val="22"/>
        </w:rPr>
        <w:t>, « le moment où l’éternel surgit dans le temporel et où le temporel est disposé à le recevoir »</w:t>
      </w:r>
      <w:r w:rsidRPr="000D5230">
        <w:rPr>
          <w:rStyle w:val="Appelnotedebasdep"/>
          <w:rFonts w:ascii="Palatino Linotype" w:hAnsi="Palatino Linotype"/>
          <w:color w:val="000000" w:themeColor="text1"/>
          <w:sz w:val="22"/>
          <w:szCs w:val="22"/>
        </w:rPr>
        <w:footnoteReference w:id="23"/>
      </w:r>
      <w:r w:rsidRPr="000D5230">
        <w:rPr>
          <w:rFonts w:ascii="Palatino Linotype" w:hAnsi="Palatino Linotype"/>
          <w:color w:val="000000" w:themeColor="text1"/>
          <w:sz w:val="22"/>
          <w:szCs w:val="22"/>
        </w:rPr>
        <w:t>. Pour suivre l’opposition qu’établit André Gounelle</w:t>
      </w:r>
      <w:r w:rsidRPr="000D5230">
        <w:rPr>
          <w:rStyle w:val="Appelnotedebasdep"/>
          <w:rFonts w:ascii="Palatino Linotype" w:hAnsi="Palatino Linotype"/>
          <w:color w:val="000000" w:themeColor="text1"/>
          <w:sz w:val="22"/>
          <w:szCs w:val="22"/>
        </w:rPr>
        <w:footnoteReference w:id="24"/>
      </w:r>
      <w:r w:rsidRPr="000D5230">
        <w:rPr>
          <w:rFonts w:ascii="Palatino Linotype" w:hAnsi="Palatino Linotype"/>
          <w:color w:val="000000" w:themeColor="text1"/>
          <w:sz w:val="22"/>
          <w:szCs w:val="22"/>
        </w:rPr>
        <w:t>, alors que </w:t>
      </w:r>
      <w:proofErr w:type="gramStart"/>
      <w:r w:rsidRPr="000D5230">
        <w:rPr>
          <w:rFonts w:ascii="Palatino Linotype" w:hAnsi="Palatino Linotype"/>
          <w:color w:val="000000" w:themeColor="text1"/>
          <w:sz w:val="22"/>
          <w:szCs w:val="22"/>
        </w:rPr>
        <w:t xml:space="preserve">le </w:t>
      </w:r>
      <w:r w:rsidRPr="000D5230">
        <w:rPr>
          <w:rFonts w:ascii="Palatino Linotype" w:hAnsi="Palatino Linotype"/>
          <w:i/>
          <w:color w:val="000000" w:themeColor="text1"/>
          <w:sz w:val="22"/>
          <w:szCs w:val="22"/>
        </w:rPr>
        <w:t>chronos</w:t>
      </w:r>
      <w:proofErr w:type="gramEnd"/>
      <w:r w:rsidRPr="000D5230">
        <w:rPr>
          <w:rFonts w:ascii="Palatino Linotype" w:hAnsi="Palatino Linotype"/>
          <w:i/>
          <w:color w:val="000000" w:themeColor="text1"/>
          <w:sz w:val="22"/>
          <w:szCs w:val="22"/>
        </w:rPr>
        <w:t> </w:t>
      </w:r>
      <w:r w:rsidRPr="000D5230">
        <w:rPr>
          <w:rFonts w:ascii="Palatino Linotype" w:hAnsi="Palatino Linotype"/>
          <w:color w:val="000000" w:themeColor="text1"/>
          <w:sz w:val="22"/>
          <w:szCs w:val="22"/>
        </w:rPr>
        <w:t xml:space="preserve">est quantitatif, uniforme et abstrait, le </w:t>
      </w:r>
      <w:r w:rsidRPr="000D5230">
        <w:rPr>
          <w:rFonts w:ascii="Palatino Linotype" w:hAnsi="Palatino Linotype"/>
          <w:i/>
          <w:color w:val="000000" w:themeColor="text1"/>
          <w:sz w:val="22"/>
          <w:szCs w:val="22"/>
        </w:rPr>
        <w:t xml:space="preserve">kairos </w:t>
      </w:r>
      <w:r w:rsidRPr="000D5230">
        <w:rPr>
          <w:rFonts w:ascii="Palatino Linotype" w:hAnsi="Palatino Linotype"/>
          <w:color w:val="000000" w:themeColor="text1"/>
          <w:sz w:val="22"/>
          <w:szCs w:val="22"/>
        </w:rPr>
        <w:t>est « qualitatif et riche en contenu »</w:t>
      </w:r>
      <w:r w:rsidRPr="000D5230">
        <w:rPr>
          <w:rStyle w:val="Appelnotedebasdep"/>
          <w:rFonts w:ascii="Palatino Linotype" w:hAnsi="Palatino Linotype"/>
          <w:color w:val="000000" w:themeColor="text1"/>
          <w:sz w:val="22"/>
          <w:szCs w:val="22"/>
        </w:rPr>
        <w:footnoteReference w:id="25"/>
      </w:r>
      <w:r w:rsidRPr="000D5230">
        <w:rPr>
          <w:rFonts w:ascii="Palatino Linotype" w:hAnsi="Palatino Linotype"/>
          <w:color w:val="000000" w:themeColor="text1"/>
          <w:sz w:val="22"/>
          <w:szCs w:val="22"/>
        </w:rPr>
        <w:t xml:space="preserve">. Ce n’est pas le temps du calendrier, mais le temps différencié et concret qui permet de donner un sens à l’histoire. Il y a donc une double transformation du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dans le Nouveau Testament</w:t>
      </w:r>
      <w:r w:rsidRPr="000D5230">
        <w:rPr>
          <w:rStyle w:val="Appelnotedebasdep"/>
          <w:rFonts w:ascii="Palatino Linotype" w:hAnsi="Palatino Linotype"/>
          <w:color w:val="000000" w:themeColor="text1"/>
          <w:sz w:val="22"/>
          <w:szCs w:val="22"/>
        </w:rPr>
        <w:footnoteReference w:id="26"/>
      </w:r>
      <w:r w:rsidRPr="000D5230">
        <w:rPr>
          <w:rFonts w:ascii="Palatino Linotype" w:hAnsi="Palatino Linotype"/>
          <w:color w:val="000000" w:themeColor="text1"/>
          <w:sz w:val="22"/>
          <w:szCs w:val="22"/>
        </w:rPr>
        <w:t xml:space="preserve"> : d’une part,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est le temps où Dieu intervient, agit et se manifeste (il y a irruption) ; d’autre part,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oriente l’histoire vers un but, vers une réalité nouvelle (qu’on appelle le </w:t>
      </w:r>
      <w:r w:rsidRPr="000D5230">
        <w:rPr>
          <w:rFonts w:ascii="Palatino Linotype" w:hAnsi="Palatino Linotype"/>
          <w:i/>
          <w:color w:val="000000" w:themeColor="text1"/>
          <w:sz w:val="22"/>
          <w:szCs w:val="22"/>
        </w:rPr>
        <w:t>« jour du Seigneur »</w:t>
      </w:r>
      <w:r w:rsidRPr="000D5230">
        <w:rPr>
          <w:rFonts w:ascii="Palatino Linotype" w:hAnsi="Palatino Linotype"/>
          <w:color w:val="000000" w:themeColor="text1"/>
          <w:sz w:val="22"/>
          <w:szCs w:val="22"/>
        </w:rPr>
        <w:t xml:space="preserve"> dans l’Ancien Testament et </w:t>
      </w:r>
      <w:r w:rsidRPr="000D5230">
        <w:rPr>
          <w:rFonts w:ascii="Palatino Linotype" w:hAnsi="Palatino Linotype"/>
          <w:i/>
          <w:color w:val="000000" w:themeColor="text1"/>
          <w:sz w:val="22"/>
          <w:szCs w:val="22"/>
        </w:rPr>
        <w:t>« la venue du Royaume »</w:t>
      </w:r>
      <w:r w:rsidRPr="000D5230">
        <w:rPr>
          <w:rFonts w:ascii="Palatino Linotype" w:hAnsi="Palatino Linotype"/>
          <w:color w:val="000000" w:themeColor="text1"/>
          <w:sz w:val="22"/>
          <w:szCs w:val="22"/>
        </w:rPr>
        <w:t xml:space="preserve"> dans le Nouveau Testament). </w:t>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En 1948, dans sa réécriture américaine de l’article </w:t>
      </w:r>
      <w:r w:rsidRPr="000D5230">
        <w:rPr>
          <w:rFonts w:ascii="Palatino Linotype" w:hAnsi="Palatino Linotype"/>
          <w:i/>
          <w:color w:val="000000" w:themeColor="text1"/>
          <w:sz w:val="22"/>
          <w:szCs w:val="22"/>
        </w:rPr>
        <w:t>Kairos I</w:t>
      </w:r>
      <w:r w:rsidRPr="000D5230">
        <w:rPr>
          <w:rFonts w:ascii="Palatino Linotype" w:hAnsi="Palatino Linotype"/>
          <w:color w:val="000000" w:themeColor="text1"/>
          <w:sz w:val="22"/>
          <w:szCs w:val="22"/>
        </w:rPr>
        <w:t xml:space="preserve">, Tillich définit plus précisément encore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 </w:t>
      </w:r>
    </w:p>
    <w:p w:rsidR="0085141E" w:rsidRPr="000D5230" w:rsidRDefault="0085141E" w:rsidP="0085141E">
      <w:pPr>
        <w:spacing w:before="120"/>
        <w:ind w:left="567"/>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 En son sens unique et universel,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est pour la foi chrétienne l’apparition de Jésus comme Christ. En son sens général et spécial pour le philosophe de l’histoire,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est tout point tournant de l’histoire où l’éternel juge et transforme le temporel. En son sens particulier pour nous, c’est-à-dire en tant que décisif pour notre situation présente,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est l’irruption d’une nouvelle théonomie sur le sol d’une culture autonome sécularisée et vide.  »</w:t>
      </w:r>
      <w:r w:rsidRPr="000D5230">
        <w:rPr>
          <w:rStyle w:val="Appelnotedebasdep"/>
          <w:rFonts w:ascii="Palatino Linotype" w:hAnsi="Palatino Linotype"/>
          <w:color w:val="000000" w:themeColor="text1"/>
          <w:sz w:val="22"/>
          <w:szCs w:val="22"/>
        </w:rPr>
        <w:footnoteReference w:id="27"/>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est donc un concept actualisable en fonction de la situation et du contexte. Il est ainsi présenté dans la conception tillichienne comme une percée, une irruption de l’inconditionnel dans le temporel : Dieu ébranle le monde et le transforme. Et, pour les chrétiens, si l’apparition de Jésus le Christ constitue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central</w:t>
      </w:r>
      <w:r w:rsidRPr="000D5230">
        <w:rPr>
          <w:rStyle w:val="Appelnotedebasdep"/>
          <w:rFonts w:ascii="Palatino Linotype" w:hAnsi="Palatino Linotype"/>
          <w:color w:val="000000" w:themeColor="text1"/>
          <w:sz w:val="22"/>
          <w:szCs w:val="22"/>
        </w:rPr>
        <w:footnoteReference w:id="28"/>
      </w:r>
      <w:r w:rsidRPr="000D5230">
        <w:rPr>
          <w:rFonts w:ascii="Palatino Linotype" w:hAnsi="Palatino Linotype"/>
          <w:color w:val="000000" w:themeColor="text1"/>
          <w:sz w:val="22"/>
          <w:szCs w:val="22"/>
        </w:rPr>
        <w:t xml:space="preserve">, d’autres </w:t>
      </w:r>
      <w:r w:rsidRPr="000D5230">
        <w:rPr>
          <w:rFonts w:ascii="Palatino Linotype" w:hAnsi="Palatino Linotype"/>
          <w:i/>
          <w:color w:val="000000" w:themeColor="text1"/>
          <w:sz w:val="22"/>
          <w:szCs w:val="22"/>
        </w:rPr>
        <w:t>kairoi</w:t>
      </w:r>
      <w:r w:rsidRPr="000D5230">
        <w:rPr>
          <w:rFonts w:ascii="Palatino Linotype" w:hAnsi="Palatino Linotype"/>
          <w:color w:val="000000" w:themeColor="text1"/>
          <w:sz w:val="22"/>
          <w:szCs w:val="22"/>
        </w:rPr>
        <w:t>, c’est-à-dire d’autres points tournants de l’histoire</w:t>
      </w:r>
      <w:r w:rsidRPr="000D5230">
        <w:rPr>
          <w:rStyle w:val="Appelnotedebasdep"/>
          <w:rFonts w:ascii="Palatino Linotype" w:hAnsi="Palatino Linotype"/>
          <w:color w:val="000000" w:themeColor="text1"/>
          <w:sz w:val="22"/>
          <w:szCs w:val="22"/>
        </w:rPr>
        <w:footnoteReference w:id="29"/>
      </w:r>
      <w:r w:rsidRPr="000D5230">
        <w:rPr>
          <w:rFonts w:ascii="Palatino Linotype" w:hAnsi="Palatino Linotype"/>
          <w:color w:val="000000" w:themeColor="text1"/>
          <w:sz w:val="22"/>
          <w:szCs w:val="22"/>
        </w:rPr>
        <w:t>, peuvent avoir lieu : d’après Tillich, « l’histoire provient d’époques théonomes et se dirige vers d’autres époques théonomes, c’est-à-dire vers des époques où le conditionné est ouvert à l’inconditionné, sans prétendre être lui-même inconditionné »</w:t>
      </w:r>
      <w:r w:rsidRPr="000D5230">
        <w:rPr>
          <w:rStyle w:val="Appelnotedebasdep"/>
          <w:rFonts w:ascii="Palatino Linotype" w:hAnsi="Palatino Linotype"/>
          <w:color w:val="000000" w:themeColor="text1"/>
          <w:sz w:val="22"/>
          <w:szCs w:val="22"/>
        </w:rPr>
        <w:footnoteReference w:id="30"/>
      </w:r>
      <w:r w:rsidRPr="000D5230">
        <w:rPr>
          <w:rFonts w:ascii="Palatino Linotype" w:hAnsi="Palatino Linotype"/>
          <w:color w:val="000000" w:themeColor="text1"/>
          <w:sz w:val="22"/>
          <w:szCs w:val="22"/>
        </w:rPr>
        <w:t>.</w:t>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vise par conséquent un nouveau temps de théonomie, à savoir « une situation où les formes spirituelles et sociales sont remplies du contenu de l’inconditionné, lequel est le </w:t>
      </w:r>
      <w:r w:rsidRPr="000D5230">
        <w:rPr>
          <w:rFonts w:ascii="Palatino Linotype" w:hAnsi="Palatino Linotype"/>
          <w:color w:val="000000" w:themeColor="text1"/>
          <w:sz w:val="22"/>
          <w:szCs w:val="22"/>
        </w:rPr>
        <w:lastRenderedPageBreak/>
        <w:t>fondement porteur, le sens et la réalité de toute forme »</w:t>
      </w:r>
      <w:r w:rsidRPr="000D5230">
        <w:rPr>
          <w:rStyle w:val="Appelnotedebasdep"/>
          <w:rFonts w:ascii="Palatino Linotype" w:hAnsi="Palatino Linotype"/>
          <w:color w:val="000000" w:themeColor="text1"/>
          <w:sz w:val="22"/>
          <w:szCs w:val="22"/>
        </w:rPr>
        <w:footnoteReference w:id="31"/>
      </w:r>
      <w:r w:rsidRPr="000D5230">
        <w:rPr>
          <w:rFonts w:ascii="Palatino Linotype" w:hAnsi="Palatino Linotype"/>
          <w:color w:val="000000" w:themeColor="text1"/>
          <w:sz w:val="22"/>
          <w:szCs w:val="22"/>
        </w:rPr>
        <w:t>. Il est souvent associé à un mouvement démonique : l’approche du Royaume de Dieu va de pair avec un déferlement des forces négatives de destruction</w:t>
      </w:r>
      <w:r w:rsidRPr="000D5230">
        <w:rPr>
          <w:rStyle w:val="Appelnotedebasdep"/>
          <w:rFonts w:ascii="Palatino Linotype" w:hAnsi="Palatino Linotype"/>
          <w:color w:val="000000" w:themeColor="text1"/>
          <w:sz w:val="22"/>
          <w:szCs w:val="22"/>
        </w:rPr>
        <w:footnoteReference w:id="32"/>
      </w:r>
      <w:r w:rsidRPr="000D5230">
        <w:rPr>
          <w:rFonts w:ascii="Palatino Linotype" w:hAnsi="Palatino Linotype"/>
          <w:color w:val="000000" w:themeColor="text1"/>
          <w:sz w:val="22"/>
          <w:szCs w:val="22"/>
        </w:rPr>
        <w:t>.</w:t>
      </w:r>
    </w:p>
    <w:p w:rsidR="0085141E" w:rsidRPr="000D5230" w:rsidRDefault="0085141E" w:rsidP="0085141E">
      <w:pPr>
        <w:spacing w:before="240"/>
        <w:jc w:val="both"/>
        <w:rPr>
          <w:rFonts w:ascii="Palatino Linotype" w:hAnsi="Palatino Linotype"/>
          <w:b/>
          <w:color w:val="000000" w:themeColor="text1"/>
          <w:sz w:val="22"/>
          <w:szCs w:val="22"/>
        </w:rPr>
      </w:pPr>
      <w:r w:rsidRPr="000D5230">
        <w:rPr>
          <w:rFonts w:ascii="Palatino Linotype" w:hAnsi="Palatino Linotype"/>
          <w:b/>
          <w:color w:val="000000" w:themeColor="text1"/>
          <w:sz w:val="22"/>
          <w:szCs w:val="22"/>
        </w:rPr>
        <w:t>2.2.3</w:t>
      </w:r>
      <w:r w:rsidRPr="000D5230">
        <w:rPr>
          <w:rFonts w:ascii="Palatino Linotype" w:hAnsi="Palatino Linotype"/>
          <w:b/>
          <w:color w:val="000000" w:themeColor="text1"/>
          <w:sz w:val="22"/>
          <w:szCs w:val="22"/>
        </w:rPr>
        <w:tab/>
        <w:t>Caractéristiques</w:t>
      </w:r>
    </w:p>
    <w:p w:rsidR="0085141E" w:rsidRPr="000D5230" w:rsidRDefault="0085141E" w:rsidP="0085141E">
      <w:pPr>
        <w:spacing w:before="24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ainsi défini, Tillich dit également de lui qu’il appartient au « réalisme croyant », et qu’il présente deux caractéristiques majeures : il est à la fois prophétique et eschatologique. </w:t>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S’il est prophétique, c’est qu’il annonce que du nouveau est en train de venir et qu’il appelle à un engagement pour que ce qui est neuf puisse être accueilli. Certes,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ne dépend pas de nous (« nous n’en disposons pas, nous n’avons pas le pouvoir de le provoquer ou de l’engendrer »</w:t>
      </w:r>
      <w:r w:rsidRPr="000D5230">
        <w:rPr>
          <w:rStyle w:val="Appelnotedebasdep"/>
          <w:rFonts w:ascii="Palatino Linotype" w:hAnsi="Palatino Linotype"/>
          <w:color w:val="000000" w:themeColor="text1"/>
          <w:sz w:val="22"/>
          <w:szCs w:val="22"/>
        </w:rPr>
        <w:footnoteReference w:id="33"/>
      </w:r>
      <w:r w:rsidRPr="000D5230">
        <w:rPr>
          <w:rFonts w:ascii="Palatino Linotype" w:hAnsi="Palatino Linotype"/>
          <w:color w:val="000000" w:themeColor="text1"/>
          <w:sz w:val="22"/>
          <w:szCs w:val="22"/>
        </w:rPr>
        <w:t xml:space="preserve">), mais il requiert notre engagement et notre responsabilité : « considérer une époque comme un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considérer ce temps comme celui d’une décision inévitable, d’une responsabilité inéluctable, c’est le considérer dans l’esprit de la prophétie. »</w:t>
      </w:r>
      <w:r w:rsidRPr="000D5230">
        <w:rPr>
          <w:rStyle w:val="Appelnotedebasdep"/>
          <w:rFonts w:ascii="Palatino Linotype" w:hAnsi="Palatino Linotype"/>
          <w:color w:val="000000" w:themeColor="text1"/>
          <w:sz w:val="22"/>
          <w:szCs w:val="22"/>
        </w:rPr>
        <w:footnoteReference w:id="34"/>
      </w:r>
    </w:p>
    <w:p w:rsidR="0085141E" w:rsidRPr="000A4115"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S’il est eschatologique, c’est qu’il est en rapport avec la venue du Royaume de Dieu. Or, celui-ci « vient </w:t>
      </w:r>
      <w:r w:rsidRPr="000D5230">
        <w:rPr>
          <w:rFonts w:ascii="Palatino Linotype" w:hAnsi="Palatino Linotype"/>
          <w:i/>
          <w:color w:val="000000" w:themeColor="text1"/>
          <w:sz w:val="22"/>
          <w:szCs w:val="22"/>
        </w:rPr>
        <w:t>dans</w:t>
      </w:r>
      <w:r w:rsidRPr="000D5230">
        <w:rPr>
          <w:rFonts w:ascii="Palatino Linotype" w:hAnsi="Palatino Linotype"/>
          <w:color w:val="000000" w:themeColor="text1"/>
          <w:sz w:val="22"/>
          <w:szCs w:val="22"/>
        </w:rPr>
        <w:t xml:space="preserve"> l’histoire tout en demeurant cependant </w:t>
      </w:r>
      <w:r w:rsidRPr="000D5230">
        <w:rPr>
          <w:rFonts w:ascii="Palatino Linotype" w:hAnsi="Palatino Linotype"/>
          <w:i/>
          <w:color w:val="000000" w:themeColor="text1"/>
          <w:sz w:val="22"/>
          <w:szCs w:val="22"/>
        </w:rPr>
        <w:t>au-dessus</w:t>
      </w:r>
      <w:r w:rsidRPr="000D5230">
        <w:rPr>
          <w:rFonts w:ascii="Palatino Linotype" w:hAnsi="Palatino Linotype"/>
          <w:color w:val="000000" w:themeColor="text1"/>
          <w:sz w:val="22"/>
          <w:szCs w:val="22"/>
        </w:rPr>
        <w:t xml:space="preserve"> de l’histoire »</w:t>
      </w:r>
      <w:r w:rsidRPr="000D5230">
        <w:rPr>
          <w:rStyle w:val="Appelnotedebasdep"/>
          <w:rFonts w:ascii="Palatino Linotype" w:hAnsi="Palatino Linotype"/>
          <w:color w:val="000000" w:themeColor="text1"/>
          <w:sz w:val="22"/>
          <w:szCs w:val="22"/>
        </w:rPr>
        <w:footnoteReference w:id="35"/>
      </w:r>
      <w:r w:rsidRPr="000D5230">
        <w:rPr>
          <w:rFonts w:ascii="Palatino Linotype" w:hAnsi="Palatino Linotype"/>
          <w:color w:val="000000" w:themeColor="text1"/>
          <w:sz w:val="22"/>
          <w:szCs w:val="22"/>
        </w:rPr>
        <w:t xml:space="preserve">. Le Royaume s’approche avec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mais il est « déjà là » et « pas encore là ». Pour reprendre les mots d’André Gounelle, « on se trompe chaque fois qu’on dit : "il est ici ou il est là" […] :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n’est pas l’ultime, il "oriente" vers l’ultime qu’il ne possède ni ne contient »</w:t>
      </w:r>
      <w:r w:rsidRPr="000D5230">
        <w:rPr>
          <w:rStyle w:val="Appelnotedebasdep"/>
          <w:rFonts w:ascii="Palatino Linotype" w:hAnsi="Palatino Linotype"/>
          <w:color w:val="000000" w:themeColor="text1"/>
          <w:sz w:val="22"/>
          <w:szCs w:val="22"/>
        </w:rPr>
        <w:footnoteReference w:id="36"/>
      </w:r>
      <w:r w:rsidRPr="000D5230">
        <w:rPr>
          <w:rFonts w:ascii="Palatino Linotype" w:hAnsi="Palatino Linotype"/>
          <w:color w:val="000000" w:themeColor="text1"/>
          <w:sz w:val="22"/>
          <w:szCs w:val="22"/>
        </w:rPr>
        <w:t xml:space="preserve">. C’est d’ailleurs la raison pour laquelle « Tillich ne divinise pas le </w:t>
      </w:r>
      <w:r w:rsidRPr="000A4115">
        <w:rPr>
          <w:rFonts w:ascii="Palatino Linotype" w:hAnsi="Palatino Linotype"/>
          <w:color w:val="000000" w:themeColor="text1"/>
          <w:sz w:val="22"/>
          <w:szCs w:val="22"/>
        </w:rPr>
        <w:t>socialisme »</w:t>
      </w:r>
      <w:r w:rsidRPr="000A4115">
        <w:rPr>
          <w:rStyle w:val="Appelnotedebasdep"/>
          <w:rFonts w:ascii="Palatino Linotype" w:hAnsi="Palatino Linotype"/>
          <w:color w:val="000000" w:themeColor="text1"/>
          <w:sz w:val="22"/>
          <w:szCs w:val="22"/>
        </w:rPr>
        <w:footnoteReference w:id="37"/>
      </w:r>
      <w:r w:rsidRPr="000A4115">
        <w:rPr>
          <w:rFonts w:ascii="Palatino Linotype" w:hAnsi="Palatino Linotype"/>
          <w:color w:val="000000" w:themeColor="text1"/>
          <w:sz w:val="22"/>
          <w:szCs w:val="22"/>
        </w:rPr>
        <w:t xml:space="preserve"> et qu’il affirme : « tout peut devenir le véhicule de l’inconditionné, mais rien ne peut soi-même devenir l’inconditionné. »</w:t>
      </w:r>
      <w:r w:rsidRPr="000A4115">
        <w:rPr>
          <w:rStyle w:val="Appelnotedebasdep"/>
          <w:rFonts w:ascii="Palatino Linotype" w:hAnsi="Palatino Linotype"/>
          <w:color w:val="000000" w:themeColor="text1"/>
          <w:sz w:val="22"/>
          <w:szCs w:val="22"/>
        </w:rPr>
        <w:footnoteReference w:id="38"/>
      </w:r>
    </w:p>
    <w:p w:rsidR="0085141E" w:rsidRPr="000D5230" w:rsidRDefault="0085141E" w:rsidP="0085141E">
      <w:pPr>
        <w:spacing w:before="120"/>
        <w:jc w:val="both"/>
        <w:rPr>
          <w:rFonts w:ascii="Palatino Linotype" w:hAnsi="Palatino Linotype"/>
          <w:i/>
          <w:color w:val="000000" w:themeColor="text1"/>
          <w:sz w:val="22"/>
          <w:szCs w:val="22"/>
        </w:rPr>
      </w:pPr>
      <w:r w:rsidRPr="000A4115">
        <w:rPr>
          <w:rFonts w:ascii="Palatino Linotype" w:hAnsi="Palatino Linotype"/>
          <w:color w:val="000000" w:themeColor="text1"/>
          <w:sz w:val="22"/>
          <w:szCs w:val="22"/>
        </w:rPr>
        <w:t xml:space="preserve">Le thème du </w:t>
      </w:r>
      <w:r w:rsidRPr="000A4115">
        <w:rPr>
          <w:rFonts w:ascii="Palatino Linotype" w:hAnsi="Palatino Linotype"/>
          <w:i/>
          <w:color w:val="000000" w:themeColor="text1"/>
          <w:sz w:val="22"/>
          <w:szCs w:val="22"/>
        </w:rPr>
        <w:t>kairos</w:t>
      </w:r>
      <w:r w:rsidRPr="000A4115">
        <w:rPr>
          <w:rFonts w:ascii="Palatino Linotype" w:hAnsi="Palatino Linotype"/>
          <w:color w:val="000000" w:themeColor="text1"/>
          <w:sz w:val="22"/>
          <w:szCs w:val="22"/>
        </w:rPr>
        <w:t xml:space="preserve"> parcourt l’ensemble de l’œuvre de Tillich depuis ses écrits de 1919 jusqu’à ses dernières allocutions. Si Tillich et beaucoup d’intellectuels de la décennie 1920-1930 croyaient discerner l’approche d’un </w:t>
      </w:r>
      <w:r w:rsidRPr="000A4115">
        <w:rPr>
          <w:rFonts w:ascii="Palatino Linotype" w:hAnsi="Palatino Linotype"/>
          <w:i/>
          <w:color w:val="000000" w:themeColor="text1"/>
          <w:sz w:val="22"/>
          <w:szCs w:val="22"/>
        </w:rPr>
        <w:t>kairos</w:t>
      </w:r>
      <w:r w:rsidRPr="000A4115">
        <w:rPr>
          <w:rFonts w:ascii="Palatino Linotype" w:hAnsi="Palatino Linotype"/>
          <w:color w:val="000000" w:themeColor="text1"/>
          <w:sz w:val="22"/>
          <w:szCs w:val="22"/>
        </w:rPr>
        <w:t xml:space="preserve"> après la première guerre mondiale, ils ont été fortement déçus, étant donné que ce temps s’est soldé par la montée du nazisme et les horreurs qu’on lui connaît. L’issue de la seconde guerre mondiale ne permettait plus à Tillich de croire au retour du </w:t>
      </w:r>
      <w:r w:rsidRPr="000A4115">
        <w:rPr>
          <w:rFonts w:ascii="Palatino Linotype" w:hAnsi="Palatino Linotype"/>
          <w:i/>
          <w:color w:val="000000" w:themeColor="text1"/>
          <w:sz w:val="22"/>
          <w:szCs w:val="22"/>
        </w:rPr>
        <w:t>kairos</w:t>
      </w:r>
      <w:r w:rsidRPr="000A4115">
        <w:rPr>
          <w:rFonts w:ascii="Palatino Linotype" w:hAnsi="Palatino Linotype"/>
          <w:color w:val="000000" w:themeColor="text1"/>
          <w:sz w:val="22"/>
          <w:szCs w:val="22"/>
        </w:rPr>
        <w:t xml:space="preserve"> : il ne reconnaissait que le vide de l’après-guerre avec le face-à-face entre les deux blocs, l’Est et l’Ouest. Néanmoins, un an avant sa mort, dans une conférence à l’Université de l’Ohio, le 19 mai 1964, Tillich traite une dernière fois du </w:t>
      </w:r>
      <w:r w:rsidRPr="000A4115">
        <w:rPr>
          <w:rFonts w:ascii="Palatino Linotype" w:hAnsi="Palatino Linotype"/>
          <w:i/>
          <w:color w:val="000000" w:themeColor="text1"/>
          <w:sz w:val="22"/>
          <w:szCs w:val="22"/>
        </w:rPr>
        <w:t xml:space="preserve">kairos. </w:t>
      </w:r>
      <w:r w:rsidRPr="000A4115">
        <w:rPr>
          <w:rFonts w:ascii="Palatino Linotype" w:hAnsi="Palatino Linotype"/>
          <w:color w:val="000000" w:themeColor="text1"/>
          <w:sz w:val="22"/>
          <w:szCs w:val="22"/>
        </w:rPr>
        <w:t>Pour lui, c’est « un grand</w:t>
      </w:r>
      <w:r w:rsidRPr="000D5230">
        <w:rPr>
          <w:rFonts w:ascii="Palatino Linotype" w:hAnsi="Palatino Linotype"/>
          <w:color w:val="000000" w:themeColor="text1"/>
          <w:sz w:val="22"/>
          <w:szCs w:val="22"/>
        </w:rPr>
        <w:t xml:space="preserve"> </w:t>
      </w:r>
      <w:r w:rsidRPr="000A4115">
        <w:rPr>
          <w:rFonts w:ascii="Palatino Linotype" w:hAnsi="Palatino Linotype"/>
          <w:color w:val="000000" w:themeColor="text1"/>
          <w:sz w:val="22"/>
          <w:szCs w:val="22"/>
        </w:rPr>
        <w:t>moment dans lequel quelque</w:t>
      </w:r>
      <w:r w:rsidRPr="000D5230">
        <w:rPr>
          <w:rFonts w:ascii="Palatino Linotype" w:hAnsi="Palatino Linotype"/>
          <w:color w:val="000000" w:themeColor="text1"/>
          <w:sz w:val="22"/>
          <w:szCs w:val="22"/>
        </w:rPr>
        <w:t xml:space="preserve"> chose de neuf pourrait </w:t>
      </w:r>
      <w:r w:rsidRPr="000A4115">
        <w:rPr>
          <w:rFonts w:ascii="Palatino Linotype" w:hAnsi="Palatino Linotype"/>
          <w:color w:val="000000" w:themeColor="text1"/>
          <w:sz w:val="22"/>
          <w:szCs w:val="22"/>
        </w:rPr>
        <w:t>être créé [dans le sens d’une] victoire sur une puissance démoniaque particulière, sur une force particulière de destruction »</w:t>
      </w:r>
      <w:r w:rsidRPr="000A4115">
        <w:rPr>
          <w:rStyle w:val="Appelnotedebasdep"/>
          <w:rFonts w:ascii="Palatino Linotype" w:hAnsi="Palatino Linotype"/>
          <w:color w:val="000000" w:themeColor="text1"/>
          <w:sz w:val="22"/>
          <w:szCs w:val="22"/>
        </w:rPr>
        <w:footnoteReference w:id="39"/>
      </w:r>
      <w:r w:rsidRPr="000A4115">
        <w:rPr>
          <w:rFonts w:ascii="Palatino Linotype" w:hAnsi="Palatino Linotype"/>
          <w:color w:val="000000" w:themeColor="text1"/>
          <w:sz w:val="22"/>
          <w:szCs w:val="22"/>
        </w:rPr>
        <w:t xml:space="preserve">. Avec beaucoup de prudence, Tillich laisse entendre dans cette conférence qu’un nouveau </w:t>
      </w:r>
      <w:r w:rsidRPr="000A4115">
        <w:rPr>
          <w:rFonts w:ascii="Palatino Linotype" w:hAnsi="Palatino Linotype"/>
          <w:i/>
          <w:color w:val="000000" w:themeColor="text1"/>
          <w:sz w:val="22"/>
          <w:szCs w:val="22"/>
        </w:rPr>
        <w:t>kairos</w:t>
      </w:r>
      <w:r w:rsidRPr="000A4115">
        <w:rPr>
          <w:rFonts w:ascii="Palatino Linotype" w:hAnsi="Palatino Linotype"/>
          <w:color w:val="000000" w:themeColor="text1"/>
          <w:sz w:val="22"/>
          <w:szCs w:val="22"/>
        </w:rPr>
        <w:t xml:space="preserve"> s’amorcerait, notamment avec la résolution progressive du problème racial. Dans son analyse du texte de Tillich, André Gounelle repère les exemples suivants</w:t>
      </w:r>
      <w:r w:rsidRPr="000A4115">
        <w:rPr>
          <w:rFonts w:ascii="Palatino Linotype" w:hAnsi="Palatino Linotype"/>
          <w:i/>
          <w:color w:val="000000" w:themeColor="text1"/>
          <w:sz w:val="22"/>
          <w:szCs w:val="22"/>
        </w:rPr>
        <w:t xml:space="preserve"> </w:t>
      </w:r>
      <w:r w:rsidRPr="000A4115">
        <w:rPr>
          <w:rFonts w:ascii="Palatino Linotype" w:hAnsi="Palatino Linotype"/>
          <w:color w:val="000000" w:themeColor="text1"/>
          <w:sz w:val="22"/>
          <w:szCs w:val="22"/>
        </w:rPr>
        <w:t>: « l’avancée dans la lutte contre le racisme (avec Martin Luther King), l’accroissement de</w:t>
      </w:r>
      <w:r w:rsidRPr="000D5230">
        <w:rPr>
          <w:rFonts w:ascii="Palatino Linotype" w:hAnsi="Palatino Linotype"/>
          <w:color w:val="000000" w:themeColor="text1"/>
          <w:sz w:val="22"/>
          <w:szCs w:val="22"/>
        </w:rPr>
        <w:t xml:space="preserve"> </w:t>
      </w:r>
      <w:r w:rsidRPr="000D5230">
        <w:rPr>
          <w:rFonts w:ascii="Palatino Linotype" w:hAnsi="Palatino Linotype"/>
          <w:color w:val="000000" w:themeColor="text1"/>
          <w:sz w:val="22"/>
          <w:szCs w:val="22"/>
        </w:rPr>
        <w:lastRenderedPageBreak/>
        <w:t>l’indépendance nationale […], l’ouverture grandissante de théologiens conservateurs dans le dialogue interreligieux, etc. »</w:t>
      </w:r>
      <w:r w:rsidRPr="000D5230">
        <w:rPr>
          <w:rStyle w:val="Appelnotedebasdep"/>
          <w:rFonts w:ascii="Palatino Linotype" w:hAnsi="Palatino Linotype"/>
          <w:color w:val="000000" w:themeColor="text1"/>
          <w:sz w:val="22"/>
          <w:szCs w:val="22"/>
        </w:rPr>
        <w:footnoteReference w:id="40"/>
      </w:r>
      <w:r w:rsidRPr="000D5230">
        <w:rPr>
          <w:rFonts w:ascii="Palatino Linotype" w:hAnsi="Palatino Linotype"/>
          <w:color w:val="000000" w:themeColor="text1"/>
          <w:sz w:val="22"/>
          <w:szCs w:val="22"/>
        </w:rPr>
        <w:t xml:space="preserve">. </w:t>
      </w:r>
    </w:p>
    <w:p w:rsidR="0085141E" w:rsidRPr="000D5230"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 xml:space="preserve">On voit donc à quel point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peut mobiliser l’espérance et favoriser la venue d’un humanisme chrétien. Pour Tillich en effet, le socialisme religieux est un rejeton de l’humanisme chrétien</w:t>
      </w:r>
      <w:r w:rsidRPr="000D5230">
        <w:rPr>
          <w:rStyle w:val="Appelnotedebasdep"/>
          <w:rFonts w:ascii="Palatino Linotype" w:hAnsi="Palatino Linotype"/>
          <w:color w:val="000000" w:themeColor="text1"/>
          <w:sz w:val="22"/>
          <w:szCs w:val="22"/>
        </w:rPr>
        <w:footnoteReference w:id="41"/>
      </w:r>
      <w:r w:rsidRPr="000D5230">
        <w:rPr>
          <w:rFonts w:ascii="Palatino Linotype" w:hAnsi="Palatino Linotype"/>
          <w:color w:val="000000" w:themeColor="text1"/>
          <w:sz w:val="22"/>
          <w:szCs w:val="22"/>
        </w:rPr>
        <w:t xml:space="preserve">. Celui-ci implique une éthique sociale : </w:t>
      </w:r>
      <w:r w:rsidRPr="000A4115">
        <w:rPr>
          <w:rFonts w:ascii="Palatino Linotype" w:hAnsi="Palatino Linotype"/>
          <w:color w:val="000000" w:themeColor="text1"/>
          <w:sz w:val="22"/>
          <w:szCs w:val="22"/>
        </w:rPr>
        <w:t>« agir</w:t>
      </w:r>
      <w:r w:rsidRPr="000D5230">
        <w:rPr>
          <w:rFonts w:ascii="Palatino Linotype" w:hAnsi="Palatino Linotype"/>
          <w:color w:val="000000" w:themeColor="text1"/>
          <w:sz w:val="22"/>
          <w:szCs w:val="22"/>
        </w:rPr>
        <w:t xml:space="preserve"> dans la perspective ouverte par le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c’est agir dans la direction de la théonomie. »</w:t>
      </w:r>
      <w:r w:rsidRPr="000D5230">
        <w:rPr>
          <w:rStyle w:val="Appelnotedebasdep"/>
          <w:rFonts w:ascii="Palatino Linotype" w:hAnsi="Palatino Linotype"/>
          <w:color w:val="000000" w:themeColor="text1"/>
          <w:sz w:val="22"/>
          <w:szCs w:val="22"/>
        </w:rPr>
        <w:footnoteReference w:id="42"/>
      </w:r>
    </w:p>
    <w:p w:rsidR="0085141E" w:rsidRPr="000A4115" w:rsidRDefault="0085141E" w:rsidP="0085141E">
      <w:pPr>
        <w:spacing w:before="12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Comment agir dans cette perspective ? Grâce aux lois qui sont comme des garde-fous</w:t>
      </w:r>
      <w:r w:rsidRPr="000D5230">
        <w:rPr>
          <w:rStyle w:val="Appelnotedebasdep"/>
          <w:rFonts w:ascii="Palatino Linotype" w:hAnsi="Palatino Linotype"/>
          <w:color w:val="000000" w:themeColor="text1"/>
          <w:sz w:val="22"/>
          <w:szCs w:val="22"/>
        </w:rPr>
        <w:footnoteReference w:id="43"/>
      </w:r>
      <w:r w:rsidRPr="000D5230">
        <w:rPr>
          <w:rFonts w:ascii="Palatino Linotype" w:hAnsi="Palatino Linotype"/>
          <w:color w:val="000000" w:themeColor="text1"/>
          <w:sz w:val="22"/>
          <w:szCs w:val="22"/>
        </w:rPr>
        <w:t>, mais surtout grâce à « l’amour (</w:t>
      </w:r>
      <w:r w:rsidRPr="000D5230">
        <w:rPr>
          <w:rFonts w:ascii="Palatino Linotype" w:hAnsi="Palatino Linotype"/>
          <w:i/>
          <w:color w:val="000000" w:themeColor="text1"/>
          <w:sz w:val="22"/>
          <w:szCs w:val="22"/>
        </w:rPr>
        <w:t>agapè</w:t>
      </w:r>
      <w:r w:rsidRPr="000D5230">
        <w:rPr>
          <w:rFonts w:ascii="Palatino Linotype" w:hAnsi="Palatino Linotype"/>
          <w:color w:val="000000" w:themeColor="text1"/>
          <w:sz w:val="22"/>
          <w:szCs w:val="22"/>
        </w:rPr>
        <w:t>) qui est au-dessus de la loi »</w:t>
      </w:r>
      <w:r w:rsidRPr="000D5230">
        <w:rPr>
          <w:rStyle w:val="Appelnotedebasdep"/>
          <w:rFonts w:ascii="Palatino Linotype" w:hAnsi="Palatino Linotype"/>
          <w:color w:val="000000" w:themeColor="text1"/>
          <w:sz w:val="22"/>
          <w:szCs w:val="22"/>
        </w:rPr>
        <w:footnoteReference w:id="44"/>
      </w:r>
      <w:r w:rsidRPr="000D5230">
        <w:rPr>
          <w:rFonts w:ascii="Palatino Linotype" w:hAnsi="Palatino Linotype"/>
          <w:color w:val="000000" w:themeColor="text1"/>
          <w:sz w:val="22"/>
          <w:szCs w:val="22"/>
        </w:rPr>
        <w:t xml:space="preserve">, et qui est en mesure de s’adapter à chaque </w:t>
      </w:r>
      <w:r w:rsidRPr="000D5230">
        <w:rPr>
          <w:rFonts w:ascii="Palatino Linotype" w:hAnsi="Palatino Linotype"/>
          <w:i/>
          <w:color w:val="000000" w:themeColor="text1"/>
          <w:sz w:val="22"/>
          <w:szCs w:val="22"/>
        </w:rPr>
        <w:t>kairos</w:t>
      </w:r>
      <w:r w:rsidRPr="000D5230">
        <w:rPr>
          <w:rStyle w:val="Appelnotedebasdep"/>
          <w:rFonts w:ascii="Palatino Linotype" w:hAnsi="Palatino Linotype"/>
          <w:color w:val="000000" w:themeColor="text1"/>
          <w:sz w:val="22"/>
          <w:szCs w:val="22"/>
        </w:rPr>
        <w:footnoteReference w:id="45"/>
      </w:r>
      <w:r w:rsidRPr="000D5230">
        <w:rPr>
          <w:rFonts w:ascii="Palatino Linotype" w:hAnsi="Palatino Linotype"/>
          <w:color w:val="000000" w:themeColor="text1"/>
          <w:sz w:val="22"/>
          <w:szCs w:val="22"/>
        </w:rPr>
        <w:t xml:space="preserve"> : l’éthique issue du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est une éthique d’amour, l’amour étant compris par Tillich comme « ce qui pousse vers la réunion de ce qui est séparé »</w:t>
      </w:r>
      <w:r w:rsidRPr="000D5230">
        <w:rPr>
          <w:rStyle w:val="Appelnotedebasdep"/>
          <w:rFonts w:ascii="Palatino Linotype" w:hAnsi="Palatino Linotype"/>
          <w:color w:val="000000" w:themeColor="text1"/>
          <w:sz w:val="22"/>
          <w:szCs w:val="22"/>
        </w:rPr>
        <w:footnoteReference w:id="46"/>
      </w:r>
      <w:r w:rsidRPr="000D5230">
        <w:rPr>
          <w:rFonts w:ascii="Palatino Linotype" w:hAnsi="Palatino Linotype"/>
          <w:color w:val="000000" w:themeColor="text1"/>
          <w:sz w:val="22"/>
          <w:szCs w:val="22"/>
        </w:rPr>
        <w:t xml:space="preserve">. Dans le </w:t>
      </w:r>
      <w:r w:rsidRPr="000A4115">
        <w:rPr>
          <w:rFonts w:ascii="Palatino Linotype" w:hAnsi="Palatino Linotype"/>
          <w:color w:val="000000" w:themeColor="text1"/>
          <w:sz w:val="22"/>
          <w:szCs w:val="22"/>
        </w:rPr>
        <w:t xml:space="preserve">christianisme, cet amour est l’amour du prochain et même celui des ennemis.  </w:t>
      </w:r>
    </w:p>
    <w:p w:rsidR="0085141E" w:rsidRPr="000D5230" w:rsidRDefault="0085141E" w:rsidP="0085141E">
      <w:pPr>
        <w:spacing w:before="120"/>
        <w:jc w:val="both"/>
        <w:rPr>
          <w:rFonts w:ascii="Palatino Linotype" w:hAnsi="Palatino Linotype"/>
          <w:color w:val="000000" w:themeColor="text1"/>
          <w:sz w:val="22"/>
          <w:szCs w:val="22"/>
        </w:rPr>
      </w:pPr>
      <w:r w:rsidRPr="000A4115">
        <w:rPr>
          <w:rFonts w:ascii="Palatino Linotype" w:hAnsi="Palatino Linotype"/>
          <w:color w:val="000000" w:themeColor="text1"/>
          <w:sz w:val="22"/>
          <w:szCs w:val="22"/>
        </w:rPr>
        <w:t xml:space="preserve">Après ce développement, reprenons donc les éléments essentiels et discernons comment un nouveau </w:t>
      </w:r>
      <w:r w:rsidRPr="000A4115">
        <w:rPr>
          <w:rFonts w:ascii="Palatino Linotype" w:hAnsi="Palatino Linotype"/>
          <w:i/>
          <w:color w:val="000000" w:themeColor="text1"/>
          <w:sz w:val="22"/>
          <w:szCs w:val="22"/>
        </w:rPr>
        <w:t>kairos</w:t>
      </w:r>
      <w:r w:rsidRPr="000A4115">
        <w:rPr>
          <w:rFonts w:ascii="Palatino Linotype" w:hAnsi="Palatino Linotype"/>
          <w:color w:val="000000" w:themeColor="text1"/>
          <w:sz w:val="22"/>
          <w:szCs w:val="22"/>
        </w:rPr>
        <w:t xml:space="preserve"> est perceptible pour notre temps : le </w:t>
      </w:r>
      <w:r w:rsidRPr="000A4115">
        <w:rPr>
          <w:rFonts w:ascii="Palatino Linotype" w:hAnsi="Palatino Linotype"/>
          <w:i/>
          <w:color w:val="000000" w:themeColor="text1"/>
          <w:sz w:val="22"/>
          <w:szCs w:val="22"/>
        </w:rPr>
        <w:t>kairos</w:t>
      </w:r>
      <w:r w:rsidRPr="000A4115">
        <w:rPr>
          <w:rFonts w:ascii="Palatino Linotype" w:hAnsi="Palatino Linotype"/>
          <w:color w:val="000000" w:themeColor="text1"/>
          <w:sz w:val="22"/>
          <w:szCs w:val="22"/>
        </w:rPr>
        <w:t xml:space="preserve"> est donc le temps concret où l’inconditionnel fait irruption dans notre temps en vue d’une nouvelle théonomie. Il vise une action individuelle et collective ; son versant prophétique confère une responsabilité et son versant eschatologique est en rapport avec la venue du Royaume de Dieu. Toutefois, il ne dépend pas de nous et ne s’accomplit jamais dans sa totalité. Enfin, nous avons</w:t>
      </w:r>
      <w:r w:rsidRPr="000D5230">
        <w:rPr>
          <w:rFonts w:ascii="Palatino Linotype" w:hAnsi="Palatino Linotype"/>
          <w:color w:val="000000" w:themeColor="text1"/>
          <w:sz w:val="22"/>
          <w:szCs w:val="22"/>
        </w:rPr>
        <w:t xml:space="preserve"> découvert que le socialisme religieux est en lien avec l’humanisme chrétien et que l’</w:t>
      </w:r>
      <w:r w:rsidRPr="000D5230">
        <w:rPr>
          <w:rFonts w:ascii="Palatino Linotype" w:hAnsi="Palatino Linotype"/>
          <w:i/>
          <w:color w:val="000000" w:themeColor="text1"/>
          <w:sz w:val="22"/>
          <w:szCs w:val="22"/>
        </w:rPr>
        <w:t>agapè</w:t>
      </w:r>
      <w:r w:rsidRPr="000D5230">
        <w:rPr>
          <w:rFonts w:ascii="Palatino Linotype" w:hAnsi="Palatino Linotype"/>
          <w:color w:val="000000" w:themeColor="text1"/>
          <w:sz w:val="22"/>
          <w:szCs w:val="22"/>
        </w:rPr>
        <w:t xml:space="preserve"> constitue l’éthique issue du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w:t>
      </w:r>
    </w:p>
    <w:p w:rsidR="0085141E" w:rsidRPr="000D5230" w:rsidRDefault="0085141E" w:rsidP="0085141E">
      <w:pPr>
        <w:spacing w:before="240"/>
        <w:jc w:val="both"/>
        <w:rPr>
          <w:rFonts w:ascii="Palatino Linotype" w:hAnsi="Palatino Linotype"/>
          <w:b/>
          <w:color w:val="000000" w:themeColor="text1"/>
          <w:sz w:val="22"/>
          <w:szCs w:val="22"/>
        </w:rPr>
      </w:pPr>
      <w:r w:rsidRPr="000D5230">
        <w:rPr>
          <w:rFonts w:ascii="Palatino Linotype" w:hAnsi="Palatino Linotype"/>
          <w:b/>
          <w:color w:val="000000" w:themeColor="text1"/>
          <w:sz w:val="22"/>
          <w:szCs w:val="22"/>
        </w:rPr>
        <w:t>3.</w:t>
      </w:r>
      <w:r w:rsidRPr="000D5230">
        <w:rPr>
          <w:rFonts w:ascii="Palatino Linotype" w:hAnsi="Palatino Linotype"/>
          <w:b/>
          <w:color w:val="000000" w:themeColor="text1"/>
          <w:sz w:val="22"/>
          <w:szCs w:val="22"/>
        </w:rPr>
        <w:tab/>
        <w:t>Recontextualisation</w:t>
      </w:r>
    </w:p>
    <w:p w:rsidR="0085141E" w:rsidRPr="000D5230" w:rsidRDefault="0085141E" w:rsidP="0085141E">
      <w:pPr>
        <w:jc w:val="both"/>
        <w:rPr>
          <w:rFonts w:ascii="Palatino Linotype" w:hAnsi="Palatino Linotype"/>
          <w:b/>
          <w:sz w:val="22"/>
          <w:szCs w:val="22"/>
        </w:rPr>
      </w:pPr>
    </w:p>
    <w:p w:rsidR="0085141E" w:rsidRPr="000A4115" w:rsidRDefault="0085141E" w:rsidP="0085141E">
      <w:pPr>
        <w:jc w:val="both"/>
        <w:rPr>
          <w:rFonts w:ascii="Palatino Linotype" w:hAnsi="Palatino Linotype"/>
          <w:sz w:val="22"/>
          <w:szCs w:val="22"/>
        </w:rPr>
      </w:pPr>
      <w:r w:rsidRPr="000A4115">
        <w:rPr>
          <w:rFonts w:ascii="Palatino Linotype" w:hAnsi="Palatino Linotype"/>
          <w:sz w:val="22"/>
          <w:szCs w:val="22"/>
        </w:rPr>
        <w:t xml:space="preserve">Revenons à notre contexte, l’école catholique et la pastorale scolaire en Belgique francophone : y-percevons-nous aujourd’hui un nouveau </w:t>
      </w:r>
      <w:r w:rsidRPr="000A4115">
        <w:rPr>
          <w:rFonts w:ascii="Palatino Linotype" w:hAnsi="Palatino Linotype"/>
          <w:i/>
          <w:sz w:val="22"/>
          <w:szCs w:val="22"/>
        </w:rPr>
        <w:t xml:space="preserve">kairos </w:t>
      </w:r>
      <w:r w:rsidRPr="000A4115">
        <w:rPr>
          <w:rFonts w:ascii="Palatino Linotype" w:hAnsi="Palatino Linotype"/>
          <w:sz w:val="22"/>
          <w:szCs w:val="22"/>
        </w:rPr>
        <w:t xml:space="preserve">/ de nouveaux </w:t>
      </w:r>
      <w:r w:rsidRPr="000A4115">
        <w:rPr>
          <w:rFonts w:ascii="Palatino Linotype" w:hAnsi="Palatino Linotype"/>
          <w:i/>
          <w:sz w:val="22"/>
          <w:szCs w:val="22"/>
        </w:rPr>
        <w:t>kairoi</w:t>
      </w:r>
      <w:r w:rsidRPr="000A4115">
        <w:rPr>
          <w:rFonts w:ascii="Palatino Linotype" w:hAnsi="Palatino Linotype"/>
          <w:sz w:val="22"/>
          <w:szCs w:val="22"/>
        </w:rPr>
        <w:t> ? Le projet de travailler à l’avènement du Royaume a particulièrement motivé Tillich durant toute sa vie, particulièrement dans les années 1920, lors de son engagement dans le socialisme religieux. Si l’on relit les textes de référence pour notre contexte, il apparait que « travailler à l’extension du Royaume de Dieu » (</w:t>
      </w:r>
      <w:proofErr w:type="spellStart"/>
      <w:r w:rsidRPr="000A4115">
        <w:rPr>
          <w:rFonts w:ascii="Palatino Linotype" w:hAnsi="Palatino Linotype"/>
          <w:i/>
          <w:sz w:val="22"/>
          <w:szCs w:val="22"/>
        </w:rPr>
        <w:t>Gravissimum</w:t>
      </w:r>
      <w:proofErr w:type="spellEnd"/>
      <w:r w:rsidRPr="000A4115">
        <w:rPr>
          <w:rFonts w:ascii="Palatino Linotype" w:hAnsi="Palatino Linotype"/>
          <w:i/>
          <w:sz w:val="22"/>
          <w:szCs w:val="22"/>
        </w:rPr>
        <w:t xml:space="preserve"> </w:t>
      </w:r>
      <w:proofErr w:type="spellStart"/>
      <w:r w:rsidRPr="000A4115">
        <w:rPr>
          <w:rFonts w:ascii="Palatino Linotype" w:hAnsi="Palatino Linotype"/>
          <w:i/>
          <w:sz w:val="22"/>
          <w:szCs w:val="22"/>
        </w:rPr>
        <w:t>Educationis</w:t>
      </w:r>
      <w:proofErr w:type="spellEnd"/>
      <w:r w:rsidRPr="000A4115">
        <w:rPr>
          <w:rFonts w:ascii="Palatino Linotype" w:hAnsi="Palatino Linotype"/>
          <w:sz w:val="22"/>
          <w:szCs w:val="22"/>
        </w:rPr>
        <w:t>, § 8) ou, formulé autrement, « travailler à l’avènement du Royaume »</w:t>
      </w:r>
      <w:r w:rsidRPr="000A4115">
        <w:rPr>
          <w:rStyle w:val="Appelnotedebasdep"/>
          <w:rFonts w:ascii="Palatino Linotype" w:hAnsi="Palatino Linotype"/>
          <w:sz w:val="22"/>
          <w:szCs w:val="22"/>
        </w:rPr>
        <w:footnoteReference w:id="47"/>
      </w:r>
      <w:r w:rsidRPr="000A4115">
        <w:rPr>
          <w:rFonts w:ascii="Palatino Linotype" w:hAnsi="Palatino Linotype"/>
          <w:sz w:val="22"/>
          <w:szCs w:val="22"/>
        </w:rPr>
        <w:t xml:space="preserve"> fait aussi partie du projet chrétien de l’école. Cela constitue donc un point d’appui pour développer la théologie du </w:t>
      </w:r>
      <w:r w:rsidRPr="000A4115">
        <w:rPr>
          <w:rFonts w:ascii="Palatino Linotype" w:hAnsi="Palatino Linotype"/>
          <w:i/>
          <w:sz w:val="22"/>
          <w:szCs w:val="22"/>
        </w:rPr>
        <w:t>kairos</w:t>
      </w:r>
      <w:r w:rsidRPr="000A4115">
        <w:rPr>
          <w:rFonts w:ascii="Palatino Linotype" w:hAnsi="Palatino Linotype"/>
          <w:sz w:val="22"/>
          <w:szCs w:val="22"/>
        </w:rPr>
        <w:t xml:space="preserve"> dans notre contexte. Le défi consiste à présent à discerner, avec prudence</w:t>
      </w:r>
      <w:r w:rsidRPr="000A4115">
        <w:rPr>
          <w:rStyle w:val="Appelnotedebasdep"/>
          <w:rFonts w:ascii="Palatino Linotype" w:hAnsi="Palatino Linotype"/>
          <w:sz w:val="22"/>
          <w:szCs w:val="22"/>
        </w:rPr>
        <w:footnoteReference w:id="48"/>
      </w:r>
      <w:r w:rsidRPr="000A4115">
        <w:rPr>
          <w:rFonts w:ascii="Palatino Linotype" w:hAnsi="Palatino Linotype"/>
          <w:sz w:val="22"/>
          <w:szCs w:val="22"/>
        </w:rPr>
        <w:t xml:space="preserve">, quels seraient ces </w:t>
      </w:r>
      <w:r w:rsidRPr="000A4115">
        <w:rPr>
          <w:rFonts w:ascii="Palatino Linotype" w:hAnsi="Palatino Linotype"/>
          <w:i/>
          <w:sz w:val="22"/>
          <w:szCs w:val="22"/>
        </w:rPr>
        <w:t>kairoi</w:t>
      </w:r>
      <w:r w:rsidRPr="000A4115">
        <w:rPr>
          <w:rFonts w:ascii="Palatino Linotype" w:hAnsi="Palatino Linotype"/>
          <w:sz w:val="22"/>
          <w:szCs w:val="22"/>
        </w:rPr>
        <w:t xml:space="preserve">, ces moments </w:t>
      </w:r>
      <w:r w:rsidRPr="000A4115">
        <w:rPr>
          <w:rFonts w:ascii="Palatino Linotype" w:hAnsi="Palatino Linotype"/>
          <w:sz w:val="22"/>
          <w:szCs w:val="22"/>
        </w:rPr>
        <w:lastRenderedPageBreak/>
        <w:t>d’« irruption de l’éternel dans le temps »</w:t>
      </w:r>
      <w:r w:rsidRPr="000A4115">
        <w:rPr>
          <w:rStyle w:val="Appelnotedebasdep"/>
          <w:rFonts w:ascii="Palatino Linotype" w:hAnsi="Palatino Linotype"/>
          <w:sz w:val="22"/>
          <w:szCs w:val="22"/>
        </w:rPr>
        <w:footnoteReference w:id="49"/>
      </w:r>
      <w:r w:rsidRPr="000A4115">
        <w:rPr>
          <w:rFonts w:ascii="Palatino Linotype" w:hAnsi="Palatino Linotype"/>
          <w:sz w:val="22"/>
          <w:szCs w:val="22"/>
        </w:rPr>
        <w:t xml:space="preserve"> qui inspireraient une action des croyants pour faire avancer le Royaume. </w:t>
      </w:r>
    </w:p>
    <w:p w:rsidR="0085141E" w:rsidRPr="000A4115" w:rsidRDefault="0085141E" w:rsidP="0085141E">
      <w:pPr>
        <w:jc w:val="both"/>
        <w:rPr>
          <w:rFonts w:ascii="Palatino Linotype" w:hAnsi="Palatino Linotype"/>
          <w:sz w:val="22"/>
          <w:szCs w:val="22"/>
        </w:rPr>
      </w:pPr>
    </w:p>
    <w:p w:rsidR="0085141E" w:rsidRPr="000A4115" w:rsidRDefault="0085141E" w:rsidP="0085141E">
      <w:pPr>
        <w:jc w:val="both"/>
        <w:rPr>
          <w:rFonts w:ascii="Palatino Linotype" w:hAnsi="Palatino Linotype"/>
          <w:b/>
          <w:sz w:val="22"/>
          <w:szCs w:val="22"/>
        </w:rPr>
      </w:pPr>
      <w:r w:rsidRPr="000A4115">
        <w:rPr>
          <w:rFonts w:ascii="Palatino Linotype" w:hAnsi="Palatino Linotype"/>
          <w:b/>
          <w:sz w:val="22"/>
          <w:szCs w:val="22"/>
        </w:rPr>
        <w:t xml:space="preserve">3.1. Un </w:t>
      </w:r>
      <w:r w:rsidRPr="000A4115">
        <w:rPr>
          <w:rFonts w:ascii="Palatino Linotype" w:hAnsi="Palatino Linotype"/>
          <w:b/>
          <w:i/>
          <w:sz w:val="22"/>
          <w:szCs w:val="22"/>
        </w:rPr>
        <w:t>kairos</w:t>
      </w:r>
      <w:r w:rsidRPr="000A4115">
        <w:rPr>
          <w:rFonts w:ascii="Palatino Linotype" w:hAnsi="Palatino Linotype"/>
          <w:b/>
          <w:sz w:val="22"/>
          <w:szCs w:val="22"/>
        </w:rPr>
        <w:t xml:space="preserve"> social ?</w:t>
      </w:r>
    </w:p>
    <w:p w:rsidR="0085141E" w:rsidRPr="000A4115" w:rsidRDefault="0085141E" w:rsidP="0085141E">
      <w:pPr>
        <w:jc w:val="both"/>
        <w:rPr>
          <w:rFonts w:ascii="Palatino Linotype" w:hAnsi="Palatino Linotype"/>
          <w:b/>
          <w:sz w:val="22"/>
          <w:szCs w:val="22"/>
        </w:rPr>
      </w:pPr>
    </w:p>
    <w:p w:rsidR="0085141E" w:rsidRPr="000A4115" w:rsidRDefault="0085141E" w:rsidP="0085141E">
      <w:pPr>
        <w:jc w:val="both"/>
        <w:rPr>
          <w:rFonts w:ascii="Palatino Linotype" w:hAnsi="Palatino Linotype"/>
          <w:sz w:val="22"/>
          <w:szCs w:val="22"/>
        </w:rPr>
      </w:pPr>
      <w:r w:rsidRPr="000A4115">
        <w:rPr>
          <w:rFonts w:ascii="Palatino Linotype" w:hAnsi="Palatino Linotype"/>
          <w:sz w:val="22"/>
          <w:szCs w:val="22"/>
        </w:rPr>
        <w:t xml:space="preserve">Par le passé, de nombreuses congrégations féminines et masculines (Frères des Écoles chrétiennes, Aumôniers du travail, etc.) ont œuvré pour permettre l’éducation de tous, y compris des plus pauvres : cette transformation du monde à l’aune de l’idéal chrétien a certainement constitué un </w:t>
      </w:r>
      <w:r w:rsidRPr="000A4115">
        <w:rPr>
          <w:rFonts w:ascii="Palatino Linotype" w:hAnsi="Palatino Linotype"/>
          <w:i/>
          <w:sz w:val="22"/>
          <w:szCs w:val="22"/>
        </w:rPr>
        <w:t>kairos</w:t>
      </w:r>
      <w:r w:rsidRPr="000A4115">
        <w:rPr>
          <w:rFonts w:ascii="Palatino Linotype" w:hAnsi="Palatino Linotype"/>
          <w:sz w:val="22"/>
          <w:szCs w:val="22"/>
        </w:rPr>
        <w:t xml:space="preserve"> en son temps. Aujourd’hui encore, l’OIEC (Office International de l’Enseignement Catholique) et le CEEC (Comité Européen pour l’Enseignement Catholique) sont actifs et appliquent les quatre principes de la doctrine sociale de l’Église pour l’école catholique : la dignité de la personne, la recherche du bien commun, le principe de subsidiarité et le principe de solidarité</w:t>
      </w:r>
      <w:r w:rsidRPr="000A4115">
        <w:rPr>
          <w:rStyle w:val="Appelnotedebasdep"/>
          <w:rFonts w:ascii="Palatino Linotype" w:hAnsi="Palatino Linotype"/>
          <w:sz w:val="22"/>
          <w:szCs w:val="22"/>
        </w:rPr>
        <w:footnoteReference w:id="50"/>
      </w:r>
      <w:r w:rsidRPr="000A4115">
        <w:rPr>
          <w:rFonts w:ascii="Palatino Linotype" w:hAnsi="Palatino Linotype"/>
          <w:sz w:val="22"/>
          <w:szCs w:val="22"/>
        </w:rPr>
        <w:t>. Les textes de référence, tant romains que belges, accordent eux aussi une attention particulière aux plus pauvres</w:t>
      </w:r>
      <w:r w:rsidRPr="000A4115">
        <w:rPr>
          <w:rStyle w:val="Appelnotedebasdep"/>
          <w:rFonts w:ascii="Palatino Linotype" w:hAnsi="Palatino Linotype"/>
          <w:sz w:val="22"/>
          <w:szCs w:val="22"/>
        </w:rPr>
        <w:footnoteReference w:id="51"/>
      </w:r>
      <w:r w:rsidRPr="000A4115">
        <w:rPr>
          <w:rFonts w:ascii="Palatino Linotype" w:hAnsi="Palatino Linotype"/>
          <w:sz w:val="22"/>
          <w:szCs w:val="22"/>
        </w:rPr>
        <w:t xml:space="preserve">. Toutefois, le </w:t>
      </w:r>
      <w:r w:rsidRPr="000A4115">
        <w:rPr>
          <w:rFonts w:ascii="Palatino Linotype" w:hAnsi="Palatino Linotype"/>
          <w:i/>
          <w:sz w:val="22"/>
          <w:szCs w:val="22"/>
        </w:rPr>
        <w:t>kairos</w:t>
      </w:r>
      <w:r w:rsidRPr="000A4115">
        <w:rPr>
          <w:rFonts w:ascii="Palatino Linotype" w:hAnsi="Palatino Linotype"/>
          <w:sz w:val="22"/>
          <w:szCs w:val="22"/>
        </w:rPr>
        <w:t xml:space="preserve"> est-il d’abord un </w:t>
      </w:r>
      <w:r w:rsidRPr="000A4115">
        <w:rPr>
          <w:rFonts w:ascii="Palatino Linotype" w:hAnsi="Palatino Linotype"/>
          <w:i/>
          <w:sz w:val="22"/>
          <w:szCs w:val="22"/>
        </w:rPr>
        <w:t>kairos</w:t>
      </w:r>
      <w:r w:rsidRPr="000A4115">
        <w:rPr>
          <w:rFonts w:ascii="Palatino Linotype" w:hAnsi="Palatino Linotype"/>
          <w:sz w:val="22"/>
          <w:szCs w:val="22"/>
        </w:rPr>
        <w:t xml:space="preserve"> social dans notre contexte ou s’agit-il plutôt ici de veiller à poursuivre avec attention le travail déjà entamé d’une éducation pour tous ? Il y a sûrement encore beaucoup à faire pour rencontrer les périphéries, comme dit le pape François, pour rencontrer les plus pauvres et bâtir de nouvelles écoles catholiques dans les milieux défavorisés, même en Belgique. Après tout, les pauvres ont une place privilégiée dans le Royaume</w:t>
      </w:r>
      <w:r w:rsidRPr="000A4115">
        <w:rPr>
          <w:rStyle w:val="Appelnotedebasdep"/>
          <w:rFonts w:ascii="Palatino Linotype" w:hAnsi="Palatino Linotype"/>
          <w:sz w:val="22"/>
          <w:szCs w:val="22"/>
        </w:rPr>
        <w:footnoteReference w:id="52"/>
      </w:r>
      <w:r w:rsidRPr="000A4115">
        <w:rPr>
          <w:rFonts w:ascii="Palatino Linotype" w:hAnsi="Palatino Linotype"/>
          <w:sz w:val="22"/>
          <w:szCs w:val="22"/>
        </w:rPr>
        <w:t>. Néanmoins, de manière plus générale, l’urgence ne serait-elle pas ailleurs, ou, tout du moins, ne pourrait-elle pas être formulée autrement ?</w:t>
      </w:r>
    </w:p>
    <w:p w:rsidR="0085141E" w:rsidRPr="000A4115" w:rsidRDefault="0085141E" w:rsidP="0085141E">
      <w:pPr>
        <w:jc w:val="both"/>
        <w:rPr>
          <w:rFonts w:ascii="Palatino Linotype" w:hAnsi="Palatino Linotype"/>
          <w:sz w:val="22"/>
          <w:szCs w:val="22"/>
        </w:rPr>
      </w:pPr>
    </w:p>
    <w:p w:rsidR="0085141E" w:rsidRPr="000A4115" w:rsidRDefault="0085141E" w:rsidP="0085141E">
      <w:pPr>
        <w:jc w:val="both"/>
        <w:rPr>
          <w:rFonts w:ascii="Palatino Linotype" w:hAnsi="Palatino Linotype"/>
          <w:b/>
          <w:sz w:val="22"/>
          <w:szCs w:val="22"/>
        </w:rPr>
      </w:pPr>
      <w:r w:rsidRPr="000A4115">
        <w:rPr>
          <w:rFonts w:ascii="Palatino Linotype" w:hAnsi="Palatino Linotype"/>
          <w:b/>
          <w:sz w:val="22"/>
          <w:szCs w:val="22"/>
        </w:rPr>
        <w:t xml:space="preserve">3.2. Un </w:t>
      </w:r>
      <w:r w:rsidRPr="000A4115">
        <w:rPr>
          <w:rFonts w:ascii="Palatino Linotype" w:hAnsi="Palatino Linotype"/>
          <w:b/>
          <w:i/>
          <w:sz w:val="22"/>
          <w:szCs w:val="22"/>
        </w:rPr>
        <w:t>kairos</w:t>
      </w:r>
      <w:r w:rsidRPr="000A4115">
        <w:rPr>
          <w:rFonts w:ascii="Palatino Linotype" w:hAnsi="Palatino Linotype"/>
          <w:b/>
          <w:sz w:val="22"/>
          <w:szCs w:val="22"/>
        </w:rPr>
        <w:t xml:space="preserve"> écologique ?</w:t>
      </w:r>
    </w:p>
    <w:p w:rsidR="0085141E" w:rsidRPr="000D5230" w:rsidRDefault="0085141E" w:rsidP="0085141E">
      <w:pPr>
        <w:jc w:val="both"/>
        <w:rPr>
          <w:rFonts w:ascii="Palatino Linotype" w:hAnsi="Palatino Linotype"/>
          <w:b/>
          <w:sz w:val="22"/>
          <w:szCs w:val="22"/>
          <w:highlight w:val="yellow"/>
        </w:rPr>
      </w:pPr>
    </w:p>
    <w:p w:rsidR="0085141E" w:rsidRPr="000A4115" w:rsidRDefault="0085141E" w:rsidP="0085141E">
      <w:pPr>
        <w:jc w:val="both"/>
        <w:rPr>
          <w:rFonts w:ascii="Palatino Linotype" w:hAnsi="Palatino Linotype"/>
          <w:sz w:val="22"/>
          <w:szCs w:val="22"/>
        </w:rPr>
      </w:pPr>
      <w:r w:rsidRPr="000A4115">
        <w:rPr>
          <w:rFonts w:ascii="Palatino Linotype" w:hAnsi="Palatino Linotype"/>
          <w:sz w:val="22"/>
          <w:szCs w:val="22"/>
        </w:rPr>
        <w:t xml:space="preserve">Pour rappel, afin de parler du </w:t>
      </w:r>
      <w:r w:rsidRPr="000A4115">
        <w:rPr>
          <w:rFonts w:ascii="Palatino Linotype" w:hAnsi="Palatino Linotype"/>
          <w:i/>
          <w:sz w:val="22"/>
          <w:szCs w:val="22"/>
        </w:rPr>
        <w:t>kairos</w:t>
      </w:r>
      <w:r w:rsidRPr="000A4115">
        <w:rPr>
          <w:rFonts w:ascii="Palatino Linotype" w:hAnsi="Palatino Linotype"/>
          <w:sz w:val="22"/>
          <w:szCs w:val="22"/>
        </w:rPr>
        <w:t xml:space="preserve"> et d l’inconditionné aujourd’hui, en suivant la théologie de Tillich, il faut en parler à travers les crises de notre temps. Or, en Belgique francophone, pour beaucoup, la crise prend un caractère écologique. En effet, durant le printemps 2019, de jeunes belges (catholiques ou non) se sont mobilisés pour le climat en manifestant massivement dans les rues des grandes villes. Parallèlement, depuis plusieurs années maintenant, la conscience écologique grandit proportionnellement à l’inquiétude par rapport au réchauffement climatique et à la survie de la planète. Plusieurs exemples seraient en mesure de prouver que des intérêts économiques - qu’on pourrait qualifier de démoniques - prennent le dessus sur la préservation de notre terre. </w:t>
      </w:r>
    </w:p>
    <w:p w:rsidR="0085141E" w:rsidRPr="000A4115" w:rsidRDefault="0085141E" w:rsidP="0085141E">
      <w:pPr>
        <w:jc w:val="both"/>
        <w:rPr>
          <w:rFonts w:ascii="Palatino Linotype" w:hAnsi="Palatino Linotype"/>
          <w:sz w:val="22"/>
          <w:szCs w:val="22"/>
        </w:rPr>
      </w:pPr>
    </w:p>
    <w:p w:rsidR="0085141E" w:rsidRPr="000A4115" w:rsidRDefault="0085141E" w:rsidP="0085141E">
      <w:pPr>
        <w:jc w:val="both"/>
        <w:rPr>
          <w:rFonts w:ascii="Palatino Linotype" w:hAnsi="Palatino Linotype"/>
          <w:sz w:val="22"/>
          <w:szCs w:val="22"/>
        </w:rPr>
      </w:pPr>
      <w:r w:rsidRPr="000A4115">
        <w:rPr>
          <w:rFonts w:ascii="Palatino Linotype" w:hAnsi="Palatino Linotype"/>
          <w:sz w:val="22"/>
          <w:szCs w:val="22"/>
        </w:rPr>
        <w:t xml:space="preserve">Tout comme la crise sociale à l’époque de Tillich a été l’occasion pour lui d’un engagement personnel, cette crise liée à l’écologie et à la sauvegarde de « notre maison commune » est aujourd’hui l’occasion pour beaucoup d’un engagement en vue de la préservation de </w:t>
      </w:r>
      <w:r w:rsidRPr="000A4115">
        <w:rPr>
          <w:rFonts w:ascii="Palatino Linotype" w:hAnsi="Palatino Linotype"/>
          <w:sz w:val="22"/>
          <w:szCs w:val="22"/>
        </w:rPr>
        <w:lastRenderedPageBreak/>
        <w:t xml:space="preserve">l’environnement. Le pape François l’a d’ailleurs bien exprimé dans son encyclique </w:t>
      </w:r>
      <w:proofErr w:type="spellStart"/>
      <w:r w:rsidRPr="000A4115">
        <w:rPr>
          <w:rFonts w:ascii="Palatino Linotype" w:hAnsi="Palatino Linotype"/>
          <w:i/>
          <w:sz w:val="22"/>
          <w:szCs w:val="22"/>
        </w:rPr>
        <w:t>Laudato</w:t>
      </w:r>
      <w:proofErr w:type="spellEnd"/>
      <w:r w:rsidRPr="000A4115">
        <w:rPr>
          <w:rFonts w:ascii="Palatino Linotype" w:hAnsi="Palatino Linotype"/>
          <w:i/>
          <w:sz w:val="22"/>
          <w:szCs w:val="22"/>
        </w:rPr>
        <w:t xml:space="preserve"> Si’</w:t>
      </w:r>
      <w:r w:rsidRPr="000A4115">
        <w:rPr>
          <w:rFonts w:ascii="Palatino Linotype" w:hAnsi="Palatino Linotype"/>
          <w:sz w:val="22"/>
          <w:szCs w:val="22"/>
        </w:rPr>
        <w:t>. Dans ce texte, le Pape montre à de nombreuses reprises que le problème écologique est « intégral » et que « tout est lié »</w:t>
      </w:r>
      <w:r w:rsidRPr="000A4115">
        <w:rPr>
          <w:rStyle w:val="Appelnotedebasdep"/>
          <w:rFonts w:ascii="Palatino Linotype" w:hAnsi="Palatino Linotype"/>
          <w:sz w:val="22"/>
          <w:szCs w:val="22"/>
        </w:rPr>
        <w:footnoteReference w:id="53"/>
      </w:r>
      <w:r w:rsidRPr="000A4115">
        <w:rPr>
          <w:rFonts w:ascii="Palatino Linotype" w:hAnsi="Palatino Linotype"/>
          <w:sz w:val="22"/>
          <w:szCs w:val="22"/>
        </w:rPr>
        <w:t xml:space="preserve">. Par conséquent, il ne serait pas absurde du tout que l’école catholique s’engage dans cette voie de l’écologie intégrale, ce </w:t>
      </w:r>
      <w:r w:rsidRPr="000A4115">
        <w:rPr>
          <w:rFonts w:ascii="Palatino Linotype" w:hAnsi="Palatino Linotype"/>
          <w:i/>
          <w:sz w:val="22"/>
          <w:szCs w:val="22"/>
        </w:rPr>
        <w:t>kairos</w:t>
      </w:r>
      <w:r w:rsidRPr="000A4115">
        <w:rPr>
          <w:rFonts w:ascii="Palatino Linotype" w:hAnsi="Palatino Linotype"/>
          <w:sz w:val="22"/>
          <w:szCs w:val="22"/>
        </w:rPr>
        <w:t xml:space="preserve"> de notre temps, plus en raison du respect de la création et en vue de la préparation du Royaume que pour des valeurs communes. </w:t>
      </w:r>
    </w:p>
    <w:p w:rsidR="0085141E" w:rsidRPr="000A4115" w:rsidRDefault="0085141E" w:rsidP="0085141E">
      <w:pPr>
        <w:jc w:val="both"/>
        <w:rPr>
          <w:rFonts w:ascii="Palatino Linotype" w:hAnsi="Palatino Linotype"/>
          <w:sz w:val="22"/>
          <w:szCs w:val="22"/>
        </w:rPr>
      </w:pPr>
    </w:p>
    <w:p w:rsidR="0085141E" w:rsidRPr="000A4115" w:rsidRDefault="0085141E" w:rsidP="0085141E">
      <w:pPr>
        <w:jc w:val="both"/>
        <w:rPr>
          <w:rFonts w:ascii="Palatino Linotype" w:hAnsi="Palatino Linotype"/>
          <w:b/>
          <w:sz w:val="22"/>
          <w:szCs w:val="22"/>
        </w:rPr>
      </w:pPr>
      <w:r w:rsidRPr="000A4115">
        <w:rPr>
          <w:rFonts w:ascii="Palatino Linotype" w:hAnsi="Palatino Linotype"/>
          <w:b/>
          <w:sz w:val="22"/>
          <w:szCs w:val="22"/>
        </w:rPr>
        <w:t xml:space="preserve">3.3. Un </w:t>
      </w:r>
      <w:r w:rsidRPr="000A4115">
        <w:rPr>
          <w:rFonts w:ascii="Palatino Linotype" w:hAnsi="Palatino Linotype"/>
          <w:b/>
          <w:i/>
          <w:sz w:val="22"/>
          <w:szCs w:val="22"/>
        </w:rPr>
        <w:t>kairos</w:t>
      </w:r>
      <w:r w:rsidRPr="000A4115">
        <w:rPr>
          <w:rFonts w:ascii="Palatino Linotype" w:hAnsi="Palatino Linotype"/>
          <w:b/>
          <w:sz w:val="22"/>
          <w:szCs w:val="22"/>
        </w:rPr>
        <w:t xml:space="preserve"> lié à la liberté religieuse ? </w:t>
      </w:r>
    </w:p>
    <w:p w:rsidR="0085141E" w:rsidRPr="000A4115" w:rsidRDefault="0085141E" w:rsidP="0085141E">
      <w:pPr>
        <w:jc w:val="both"/>
        <w:rPr>
          <w:rFonts w:ascii="Palatino Linotype" w:hAnsi="Palatino Linotype"/>
          <w:b/>
          <w:sz w:val="22"/>
          <w:szCs w:val="22"/>
        </w:rPr>
      </w:pPr>
    </w:p>
    <w:p w:rsidR="0085141E" w:rsidRPr="000A4115" w:rsidRDefault="0085141E" w:rsidP="0085141E">
      <w:pPr>
        <w:jc w:val="both"/>
        <w:rPr>
          <w:rFonts w:ascii="Palatino Linotype" w:hAnsi="Palatino Linotype"/>
          <w:sz w:val="22"/>
          <w:szCs w:val="22"/>
        </w:rPr>
      </w:pPr>
      <w:r w:rsidRPr="000A4115">
        <w:rPr>
          <w:rFonts w:ascii="Palatino Linotype" w:hAnsi="Palatino Linotype"/>
          <w:sz w:val="22"/>
          <w:szCs w:val="22"/>
        </w:rPr>
        <w:t xml:space="preserve">Depuis le 11 septembre 2001 et suite aux différents attentats en Belgique, en Europe et ailleurs, nous pourrions identifier une autre crise contemporaine liée au religieux, à l’anti-religiosité ou à l’ultra-religiosité. Elle comporte plusieurs aspects : la sécularisation de l’Occident séculier, la radicalisation de courants religieux et la rencontre des religions. </w:t>
      </w:r>
    </w:p>
    <w:p w:rsidR="0085141E" w:rsidRPr="000D5230" w:rsidRDefault="0085141E" w:rsidP="0085141E">
      <w:pPr>
        <w:jc w:val="both"/>
        <w:rPr>
          <w:rFonts w:ascii="Palatino Linotype" w:hAnsi="Palatino Linotype"/>
          <w:sz w:val="22"/>
          <w:szCs w:val="22"/>
          <w:highlight w:val="yellow"/>
        </w:rPr>
      </w:pPr>
    </w:p>
    <w:p w:rsidR="0085141E" w:rsidRPr="000A4115" w:rsidRDefault="0085141E" w:rsidP="0085141E">
      <w:pPr>
        <w:jc w:val="both"/>
        <w:rPr>
          <w:rFonts w:ascii="Palatino Linotype" w:hAnsi="Palatino Linotype"/>
          <w:sz w:val="22"/>
          <w:szCs w:val="22"/>
        </w:rPr>
      </w:pPr>
      <w:r w:rsidRPr="000A4115">
        <w:rPr>
          <w:rFonts w:ascii="Palatino Linotype" w:hAnsi="Palatino Linotype"/>
          <w:sz w:val="22"/>
          <w:szCs w:val="22"/>
        </w:rPr>
        <w:t xml:space="preserve">En Europe occidentale, le nombre de pratiquants diminue significativement alors que le nombre de personnes se reconnaissant comme spirituelles mais sans religion augmente progressivement. Ce contexte ne serait-il pas favorable à un </w:t>
      </w:r>
      <w:r w:rsidRPr="000A4115">
        <w:rPr>
          <w:rFonts w:ascii="Palatino Linotype" w:hAnsi="Palatino Linotype"/>
          <w:i/>
          <w:sz w:val="22"/>
          <w:szCs w:val="22"/>
        </w:rPr>
        <w:t>kairos</w:t>
      </w:r>
      <w:r w:rsidRPr="000A4115">
        <w:rPr>
          <w:rFonts w:ascii="Palatino Linotype" w:hAnsi="Palatino Linotype"/>
          <w:sz w:val="22"/>
          <w:szCs w:val="22"/>
        </w:rPr>
        <w:t xml:space="preserve"> lorsque croyants et non-croyants discutent ensemble et redécouvrent mutuellement leur spiritualité ? Pour Tillich, cette attitude de « l’athée spirituel » correspond en effet à la dernière phrase de son ouvrage, </w:t>
      </w:r>
      <w:r w:rsidRPr="000A4115">
        <w:rPr>
          <w:rFonts w:ascii="Palatino Linotype" w:hAnsi="Palatino Linotype"/>
          <w:i/>
          <w:sz w:val="22"/>
          <w:szCs w:val="22"/>
        </w:rPr>
        <w:t>Le courage d’être</w:t>
      </w:r>
      <w:r w:rsidRPr="000A4115">
        <w:rPr>
          <w:rFonts w:ascii="Palatino Linotype" w:hAnsi="Palatino Linotype"/>
          <w:sz w:val="22"/>
          <w:szCs w:val="22"/>
        </w:rPr>
        <w:t> : « le courage d’être s’enracine dans le Dieu qui apparaît quand Dieu a disparu dans l’angoisse du doute »</w:t>
      </w:r>
      <w:r w:rsidRPr="000A4115">
        <w:rPr>
          <w:rStyle w:val="Appelnotedebasdep"/>
          <w:rFonts w:ascii="Palatino Linotype" w:hAnsi="Palatino Linotype"/>
          <w:sz w:val="22"/>
          <w:szCs w:val="22"/>
        </w:rPr>
        <w:footnoteReference w:id="54"/>
      </w:r>
      <w:r w:rsidRPr="000A4115">
        <w:rPr>
          <w:rFonts w:ascii="Palatino Linotype" w:hAnsi="Palatino Linotype"/>
          <w:sz w:val="22"/>
          <w:szCs w:val="22"/>
        </w:rPr>
        <w:t xml:space="preserve">. </w:t>
      </w:r>
    </w:p>
    <w:p w:rsidR="0085141E" w:rsidRPr="000D5230" w:rsidRDefault="0085141E" w:rsidP="0085141E">
      <w:pPr>
        <w:jc w:val="both"/>
        <w:rPr>
          <w:rFonts w:ascii="Palatino Linotype" w:hAnsi="Palatino Linotype"/>
          <w:sz w:val="22"/>
          <w:szCs w:val="22"/>
          <w:highlight w:val="yellow"/>
        </w:rPr>
      </w:pPr>
    </w:p>
    <w:p w:rsidR="0085141E" w:rsidRPr="000D5230" w:rsidRDefault="0085141E" w:rsidP="0085141E">
      <w:pPr>
        <w:jc w:val="both"/>
        <w:rPr>
          <w:rFonts w:ascii="Palatino Linotype" w:hAnsi="Palatino Linotype"/>
          <w:sz w:val="22"/>
          <w:szCs w:val="22"/>
        </w:rPr>
      </w:pPr>
      <w:r w:rsidRPr="000D5230">
        <w:rPr>
          <w:rFonts w:ascii="Palatino Linotype" w:hAnsi="Palatino Linotype"/>
          <w:sz w:val="22"/>
          <w:szCs w:val="22"/>
        </w:rPr>
        <w:t>Un autre champ d’action consisterait à aider les jeunes à porter un regard critique sur la religion en leur apprenant à mettre l’absolu à la bonne place. Dans le cas des extrémismes religieux, le problème ne consiste-t-il pas à davantage absolutiser la religion (démonisme) au détriment de la recherche du sens (préoccupation ultime) et de la transcendance/Dieu ?</w:t>
      </w:r>
    </w:p>
    <w:p w:rsidR="0085141E" w:rsidRPr="000D5230" w:rsidRDefault="0085141E" w:rsidP="0085141E">
      <w:pPr>
        <w:jc w:val="both"/>
        <w:rPr>
          <w:rFonts w:ascii="Palatino Linotype" w:hAnsi="Palatino Linotype"/>
          <w:sz w:val="22"/>
          <w:szCs w:val="22"/>
        </w:rPr>
      </w:pPr>
    </w:p>
    <w:p w:rsidR="0085141E" w:rsidRPr="000D5230" w:rsidRDefault="0085141E" w:rsidP="0085141E">
      <w:pPr>
        <w:jc w:val="both"/>
        <w:rPr>
          <w:rFonts w:ascii="Palatino Linotype" w:hAnsi="Palatino Linotype"/>
          <w:sz w:val="22"/>
          <w:szCs w:val="22"/>
        </w:rPr>
      </w:pPr>
      <w:r w:rsidRPr="000D5230">
        <w:rPr>
          <w:rFonts w:ascii="Palatino Linotype" w:hAnsi="Palatino Linotype"/>
          <w:sz w:val="22"/>
          <w:szCs w:val="22"/>
        </w:rPr>
        <w:t xml:space="preserve">Enfin, comme en attestent d’ailleurs les derniers documents du Vatican sur l’éducation chrétienne (cf. notamment </w:t>
      </w:r>
      <w:r w:rsidRPr="000D5230">
        <w:rPr>
          <w:rFonts w:ascii="Palatino Linotype" w:hAnsi="Palatino Linotype"/>
          <w:i/>
          <w:sz w:val="22"/>
          <w:szCs w:val="22"/>
        </w:rPr>
        <w:t>Éduquer au dialogue interculturel à l’école catholique</w:t>
      </w:r>
      <w:r w:rsidRPr="000D5230">
        <w:rPr>
          <w:rFonts w:ascii="Palatino Linotype" w:hAnsi="Palatino Linotype"/>
          <w:sz w:val="22"/>
          <w:szCs w:val="22"/>
        </w:rPr>
        <w:t>), l’école catholique doit aussi remplir un rôle majeur afin de favoriser la rencontre des religions (et la rencontre entre le christianisme et l’islam en particulier) et afin de devenir un « laboratoire de l’interculture » en recherchant une « grammaire du dialogue »</w:t>
      </w:r>
      <w:r w:rsidRPr="000D5230">
        <w:rPr>
          <w:rStyle w:val="Appelnotedebasdep"/>
          <w:rFonts w:ascii="Palatino Linotype" w:hAnsi="Palatino Linotype"/>
          <w:sz w:val="22"/>
          <w:szCs w:val="22"/>
        </w:rPr>
        <w:footnoteReference w:id="55"/>
      </w:r>
      <w:r w:rsidRPr="000D5230">
        <w:rPr>
          <w:rFonts w:ascii="Palatino Linotype" w:hAnsi="Palatino Linotype"/>
          <w:sz w:val="22"/>
          <w:szCs w:val="22"/>
        </w:rPr>
        <w:t xml:space="preserve">. </w:t>
      </w:r>
    </w:p>
    <w:p w:rsidR="0085141E" w:rsidRPr="000D5230" w:rsidRDefault="0085141E" w:rsidP="0085141E">
      <w:pPr>
        <w:jc w:val="both"/>
        <w:rPr>
          <w:rFonts w:ascii="Palatino Linotype" w:hAnsi="Palatino Linotype"/>
          <w:sz w:val="22"/>
          <w:szCs w:val="22"/>
        </w:rPr>
      </w:pPr>
    </w:p>
    <w:p w:rsidR="0085141E" w:rsidRPr="000D5230" w:rsidRDefault="0085141E" w:rsidP="0085141E">
      <w:pPr>
        <w:jc w:val="both"/>
        <w:rPr>
          <w:rFonts w:ascii="Palatino Linotype" w:hAnsi="Palatino Linotype"/>
          <w:sz w:val="22"/>
          <w:szCs w:val="22"/>
        </w:rPr>
      </w:pPr>
      <w:r w:rsidRPr="000D5230">
        <w:rPr>
          <w:rFonts w:ascii="Palatino Linotype" w:hAnsi="Palatino Linotype"/>
          <w:sz w:val="22"/>
          <w:szCs w:val="22"/>
        </w:rPr>
        <w:t xml:space="preserve">Ainsi, bien encadrés et bien outillés dans un contexte pastoral, les jeunes devraient vivre à l’école catholique les différentes rencontres rendues possibles par ces </w:t>
      </w:r>
      <w:r w:rsidRPr="000D5230">
        <w:rPr>
          <w:rFonts w:ascii="Palatino Linotype" w:hAnsi="Palatino Linotype"/>
          <w:i/>
          <w:sz w:val="22"/>
          <w:szCs w:val="22"/>
        </w:rPr>
        <w:t>kairoi</w:t>
      </w:r>
      <w:r w:rsidRPr="000D5230">
        <w:rPr>
          <w:rFonts w:ascii="Palatino Linotype" w:hAnsi="Palatino Linotype"/>
          <w:sz w:val="22"/>
          <w:szCs w:val="22"/>
        </w:rPr>
        <w:t xml:space="preserve"> liés à interconvictionnel et à l’interreligieux. Ces moments auraient pour but de rendre possible un dialogue constructif pour tous, voire un « dialogue du salut »</w:t>
      </w:r>
      <w:r w:rsidRPr="000D5230">
        <w:rPr>
          <w:rStyle w:val="Appelnotedebasdep"/>
          <w:rFonts w:ascii="Palatino Linotype" w:hAnsi="Palatino Linotype"/>
          <w:sz w:val="22"/>
          <w:szCs w:val="22"/>
        </w:rPr>
        <w:footnoteReference w:id="56"/>
      </w:r>
      <w:r w:rsidRPr="000D5230">
        <w:rPr>
          <w:rFonts w:ascii="Palatino Linotype" w:hAnsi="Palatino Linotype"/>
          <w:sz w:val="22"/>
          <w:szCs w:val="22"/>
        </w:rPr>
        <w:t xml:space="preserve"> permettant notamment aux chrétiens de redécouvrir leur identité au sein même de la pluralité</w:t>
      </w:r>
      <w:r w:rsidRPr="000D5230">
        <w:rPr>
          <w:rStyle w:val="Appelnotedebasdep"/>
          <w:rFonts w:ascii="Palatino Linotype" w:hAnsi="Palatino Linotype"/>
          <w:sz w:val="22"/>
          <w:szCs w:val="22"/>
        </w:rPr>
        <w:footnoteReference w:id="57"/>
      </w:r>
      <w:r w:rsidRPr="000D5230">
        <w:rPr>
          <w:rFonts w:ascii="Palatino Linotype" w:hAnsi="Palatino Linotype"/>
          <w:sz w:val="22"/>
          <w:szCs w:val="22"/>
        </w:rPr>
        <w:t>.</w:t>
      </w:r>
    </w:p>
    <w:p w:rsidR="0085141E" w:rsidRPr="000D5230" w:rsidRDefault="0085141E" w:rsidP="0085141E">
      <w:pPr>
        <w:jc w:val="both"/>
        <w:rPr>
          <w:rFonts w:ascii="Palatino Linotype" w:hAnsi="Palatino Linotype"/>
          <w:sz w:val="22"/>
          <w:szCs w:val="22"/>
        </w:rPr>
      </w:pPr>
    </w:p>
    <w:p w:rsidR="0085141E" w:rsidRPr="000D5230" w:rsidRDefault="0085141E" w:rsidP="0085141E">
      <w:pPr>
        <w:jc w:val="both"/>
        <w:rPr>
          <w:rFonts w:ascii="Palatino Linotype" w:hAnsi="Palatino Linotype"/>
          <w:b/>
          <w:sz w:val="22"/>
          <w:szCs w:val="22"/>
        </w:rPr>
      </w:pPr>
      <w:r w:rsidRPr="000D5230">
        <w:rPr>
          <w:rFonts w:ascii="Palatino Linotype" w:hAnsi="Palatino Linotype"/>
          <w:b/>
          <w:sz w:val="22"/>
          <w:szCs w:val="22"/>
        </w:rPr>
        <w:t>3.4. Conclusions et perspectives</w:t>
      </w:r>
    </w:p>
    <w:p w:rsidR="0085141E" w:rsidRPr="000D5230" w:rsidRDefault="0085141E" w:rsidP="0085141E">
      <w:pPr>
        <w:jc w:val="both"/>
        <w:rPr>
          <w:rFonts w:ascii="Palatino Linotype" w:hAnsi="Palatino Linotype"/>
          <w:b/>
          <w:sz w:val="22"/>
          <w:szCs w:val="22"/>
        </w:rPr>
      </w:pPr>
    </w:p>
    <w:p w:rsidR="0085141E" w:rsidRPr="000D5230" w:rsidRDefault="0085141E" w:rsidP="0085141E">
      <w:pPr>
        <w:jc w:val="both"/>
        <w:rPr>
          <w:rFonts w:ascii="Palatino Linotype" w:hAnsi="Palatino Linotype"/>
          <w:sz w:val="22"/>
          <w:szCs w:val="22"/>
        </w:rPr>
      </w:pPr>
      <w:r w:rsidRPr="000D5230">
        <w:rPr>
          <w:rFonts w:ascii="Palatino Linotype" w:hAnsi="Palatino Linotype"/>
          <w:sz w:val="22"/>
          <w:szCs w:val="22"/>
        </w:rPr>
        <w:lastRenderedPageBreak/>
        <w:t xml:space="preserve">Afin de parvenir à ce résultat, de manière pratique, il faudrait pouvoir compter sur l’appui d’équipes de pastorale scolaire formées et suffisamment représentatives des différentes fonctions au sein de l’établissement afin d’œuvrer à la recontextualisation de la foi chrétienne. Pour relire le vécu de l’école afin d’y discerner l’action de la grâce et les avancées du Royaume ainsi que pour agir dans les </w:t>
      </w:r>
      <w:r w:rsidRPr="000D5230">
        <w:rPr>
          <w:rFonts w:ascii="Palatino Linotype" w:hAnsi="Palatino Linotype"/>
          <w:i/>
          <w:sz w:val="22"/>
          <w:szCs w:val="22"/>
        </w:rPr>
        <w:t>kairoi</w:t>
      </w:r>
      <w:r w:rsidRPr="000D5230">
        <w:rPr>
          <w:rFonts w:ascii="Palatino Linotype" w:hAnsi="Palatino Linotype"/>
          <w:sz w:val="22"/>
          <w:szCs w:val="22"/>
        </w:rPr>
        <w:t xml:space="preserve"> de notre temps, ces équipes pastorales devraient veiller à ne pas perdre la dimension de profondeur de l’humanisme chrétien qui, jadis, a permis la fondation de leurs écoles. De nos jours, ces équipes doivent aussi être sensibilisées à l’articulation possible entre la théonomie et l’autonomie</w:t>
      </w:r>
      <w:r w:rsidRPr="000D5230">
        <w:rPr>
          <w:rStyle w:val="Appelnotedebasdep"/>
          <w:rFonts w:ascii="Palatino Linotype" w:hAnsi="Palatino Linotype"/>
          <w:sz w:val="22"/>
          <w:szCs w:val="22"/>
        </w:rPr>
        <w:footnoteReference w:id="58"/>
      </w:r>
      <w:r w:rsidRPr="000D5230">
        <w:rPr>
          <w:rFonts w:ascii="Palatino Linotype" w:hAnsi="Palatino Linotype"/>
          <w:sz w:val="22"/>
          <w:szCs w:val="22"/>
        </w:rPr>
        <w:t xml:space="preserve"> afin qu’une parole éthique qui ne se limite pas aux valeurs communes puisse être entendue dans les nouveaux débats qui seront les leurs à l’école. </w:t>
      </w:r>
    </w:p>
    <w:p w:rsidR="0085141E" w:rsidRPr="000D5230" w:rsidRDefault="0085141E" w:rsidP="0085141E">
      <w:pPr>
        <w:spacing w:before="240"/>
        <w:jc w:val="both"/>
        <w:rPr>
          <w:rFonts w:ascii="Palatino Linotype" w:hAnsi="Palatino Linotype"/>
          <w:b/>
          <w:color w:val="000000" w:themeColor="text1"/>
          <w:sz w:val="22"/>
          <w:szCs w:val="22"/>
        </w:rPr>
      </w:pPr>
      <w:r w:rsidRPr="000D5230">
        <w:rPr>
          <w:rFonts w:ascii="Palatino Linotype" w:hAnsi="Palatino Linotype"/>
          <w:b/>
          <w:color w:val="000000" w:themeColor="text1"/>
          <w:sz w:val="22"/>
          <w:szCs w:val="22"/>
        </w:rPr>
        <w:t xml:space="preserve">Résumé </w:t>
      </w:r>
    </w:p>
    <w:p w:rsidR="0085141E" w:rsidRPr="000D5230" w:rsidRDefault="0085141E" w:rsidP="0085141E">
      <w:pPr>
        <w:spacing w:before="240"/>
        <w:jc w:val="both"/>
        <w:rPr>
          <w:rFonts w:ascii="Palatino Linotype" w:hAnsi="Palatino Linotype"/>
          <w:color w:val="000000" w:themeColor="text1"/>
          <w:sz w:val="22"/>
          <w:szCs w:val="22"/>
        </w:rPr>
      </w:pPr>
      <w:r w:rsidRPr="000D5230">
        <w:rPr>
          <w:rFonts w:ascii="Palatino Linotype" w:hAnsi="Palatino Linotype"/>
          <w:color w:val="000000" w:themeColor="text1"/>
          <w:sz w:val="22"/>
          <w:szCs w:val="22"/>
        </w:rPr>
        <w:t>Dans une culture contemporaine consumériste, l’école catholique a certainement un rôle de vigilance active pour dénoncer les travers d’une société lorsqu’elle ne permet pas à l’être humain de s’édifier dans son intégralité. En portant un regard neuf</w:t>
      </w:r>
      <w:r>
        <w:rPr>
          <w:rFonts w:ascii="Palatino Linotype" w:hAnsi="Palatino Linotype"/>
          <w:color w:val="000000" w:themeColor="text1"/>
          <w:sz w:val="22"/>
          <w:szCs w:val="22"/>
        </w:rPr>
        <w:t xml:space="preserve"> et en étant prêts à saisir les </w:t>
      </w:r>
      <w:r w:rsidRPr="000D5230">
        <w:rPr>
          <w:rFonts w:ascii="Palatino Linotype" w:hAnsi="Palatino Linotype"/>
          <w:color w:val="000000" w:themeColor="text1"/>
          <w:sz w:val="22"/>
          <w:szCs w:val="22"/>
        </w:rPr>
        <w:t xml:space="preserve">opportunités données pour scruter un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en cette époque insolite, pouvons-nous encore faire entendre la Parole de Dieu ? En revisitant la théologie de Tillich, notamment dans le cadre de la pastorale scolaire, la contribution s’interroge sur la venue possible d’un nouveau </w:t>
      </w:r>
      <w:r w:rsidRPr="000D5230">
        <w:rPr>
          <w:rFonts w:ascii="Palatino Linotype" w:hAnsi="Palatino Linotype"/>
          <w:i/>
          <w:color w:val="000000" w:themeColor="text1"/>
          <w:sz w:val="22"/>
          <w:szCs w:val="22"/>
        </w:rPr>
        <w:t>kairos</w:t>
      </w:r>
      <w:r w:rsidRPr="000D5230">
        <w:rPr>
          <w:rFonts w:ascii="Palatino Linotype" w:hAnsi="Palatino Linotype"/>
          <w:color w:val="000000" w:themeColor="text1"/>
          <w:sz w:val="22"/>
          <w:szCs w:val="22"/>
        </w:rPr>
        <w:t xml:space="preserve"> pour notre temps ainsi que sur l’attitude à avoir face à cette éventualité.</w:t>
      </w:r>
    </w:p>
    <w:p w:rsidR="0085141E" w:rsidRPr="000D5230" w:rsidRDefault="0085141E" w:rsidP="0085141E">
      <w:pPr>
        <w:spacing w:before="240"/>
        <w:jc w:val="both"/>
        <w:rPr>
          <w:rFonts w:ascii="Palatino Linotype" w:hAnsi="Palatino Linotype"/>
          <w:b/>
          <w:color w:val="000000" w:themeColor="text1"/>
          <w:sz w:val="22"/>
          <w:szCs w:val="22"/>
          <w:lang w:val="en-GB"/>
        </w:rPr>
      </w:pPr>
      <w:r w:rsidRPr="000D5230">
        <w:rPr>
          <w:rFonts w:ascii="Palatino Linotype" w:hAnsi="Palatino Linotype"/>
          <w:b/>
          <w:color w:val="000000" w:themeColor="text1"/>
          <w:sz w:val="22"/>
          <w:szCs w:val="22"/>
          <w:lang w:val="en-GB"/>
        </w:rPr>
        <w:t xml:space="preserve">Abstract </w:t>
      </w:r>
    </w:p>
    <w:p w:rsidR="0085141E" w:rsidRPr="000D5230" w:rsidRDefault="0085141E" w:rsidP="0085141E">
      <w:pPr>
        <w:spacing w:before="240"/>
        <w:jc w:val="both"/>
        <w:rPr>
          <w:rFonts w:ascii="Palatino Linotype" w:hAnsi="Palatino Linotype"/>
          <w:color w:val="000000" w:themeColor="text1"/>
          <w:sz w:val="22"/>
          <w:szCs w:val="22"/>
          <w:lang w:val="en-US"/>
        </w:rPr>
      </w:pPr>
      <w:r w:rsidRPr="000D5230">
        <w:rPr>
          <w:rFonts w:ascii="Palatino Linotype" w:hAnsi="Palatino Linotype"/>
          <w:b/>
          <w:color w:val="000000" w:themeColor="text1"/>
          <w:sz w:val="22"/>
          <w:szCs w:val="22"/>
          <w:lang w:val="en-US"/>
        </w:rPr>
        <w:t xml:space="preserve">« The </w:t>
      </w:r>
      <w:r w:rsidRPr="000D5230">
        <w:rPr>
          <w:rFonts w:ascii="Palatino Linotype" w:hAnsi="Palatino Linotype"/>
          <w:b/>
          <w:i/>
          <w:color w:val="000000" w:themeColor="text1"/>
          <w:sz w:val="22"/>
          <w:szCs w:val="22"/>
          <w:lang w:val="en-US"/>
        </w:rPr>
        <w:t>Kairos</w:t>
      </w:r>
      <w:r w:rsidRPr="000D5230">
        <w:rPr>
          <w:rFonts w:ascii="Palatino Linotype" w:hAnsi="Palatino Linotype"/>
          <w:b/>
          <w:color w:val="000000" w:themeColor="text1"/>
          <w:sz w:val="22"/>
          <w:szCs w:val="22"/>
          <w:lang w:val="en-US"/>
        </w:rPr>
        <w:t xml:space="preserve"> by theologian Paul Tillich to live the God’s Word today </w:t>
      </w:r>
      <w:proofErr w:type="gramStart"/>
      <w:r w:rsidRPr="000D5230">
        <w:rPr>
          <w:rFonts w:ascii="Palatino Linotype" w:hAnsi="Palatino Linotype"/>
          <w:b/>
          <w:color w:val="000000" w:themeColor="text1"/>
          <w:sz w:val="22"/>
          <w:szCs w:val="22"/>
          <w:lang w:val="en-US"/>
        </w:rPr>
        <w:t>» :</w:t>
      </w:r>
      <w:proofErr w:type="gramEnd"/>
      <w:r w:rsidRPr="000D5230">
        <w:rPr>
          <w:rFonts w:ascii="Palatino Linotype" w:hAnsi="Palatino Linotype"/>
          <w:b/>
          <w:color w:val="000000" w:themeColor="text1"/>
          <w:sz w:val="22"/>
          <w:szCs w:val="22"/>
          <w:lang w:val="en-US"/>
        </w:rPr>
        <w:t xml:space="preserve"> </w:t>
      </w:r>
      <w:r w:rsidRPr="000D5230">
        <w:rPr>
          <w:rFonts w:ascii="Palatino Linotype" w:hAnsi="Palatino Linotype"/>
          <w:color w:val="000000" w:themeColor="text1"/>
          <w:sz w:val="22"/>
          <w:szCs w:val="22"/>
          <w:lang w:val="en-US"/>
        </w:rPr>
        <w:t xml:space="preserve">In a consumption contemporary culture, where the instant satisfaction is the main order, Catholic school does have a certain status of active vigilance to report society's problems when it doesn't allow the human being to build himself in his integrity. Looking at it with fresh eyes and being ready to take opportunities in this unusual time to deeply look at a </w:t>
      </w:r>
      <w:r w:rsidRPr="000D5230">
        <w:rPr>
          <w:rFonts w:ascii="Palatino Linotype" w:hAnsi="Palatino Linotype"/>
          <w:i/>
          <w:color w:val="000000" w:themeColor="text1"/>
          <w:sz w:val="22"/>
          <w:szCs w:val="22"/>
          <w:lang w:val="en-US"/>
        </w:rPr>
        <w:t>kairos</w:t>
      </w:r>
      <w:r w:rsidRPr="000D5230">
        <w:rPr>
          <w:rFonts w:ascii="Palatino Linotype" w:hAnsi="Palatino Linotype"/>
          <w:color w:val="000000" w:themeColor="text1"/>
          <w:sz w:val="22"/>
          <w:szCs w:val="22"/>
          <w:lang w:val="en-US"/>
        </w:rPr>
        <w:t xml:space="preserve">, can we still make people hear the God’s Word? When we are studying Tillich’s theology, especially with the pastoral care, we ask ourselves about the possibility of the raising of a new </w:t>
      </w:r>
      <w:r w:rsidRPr="000D5230">
        <w:rPr>
          <w:rFonts w:ascii="Palatino Linotype" w:hAnsi="Palatino Linotype"/>
          <w:i/>
          <w:color w:val="000000" w:themeColor="text1"/>
          <w:sz w:val="22"/>
          <w:szCs w:val="22"/>
          <w:lang w:val="en-US"/>
        </w:rPr>
        <w:t>kairos</w:t>
      </w:r>
      <w:r w:rsidRPr="000D5230">
        <w:rPr>
          <w:rFonts w:ascii="Palatino Linotype" w:hAnsi="Palatino Linotype"/>
          <w:color w:val="000000" w:themeColor="text1"/>
          <w:sz w:val="22"/>
          <w:szCs w:val="22"/>
          <w:lang w:val="en-US"/>
        </w:rPr>
        <w:t xml:space="preserve"> in our time and what is the right behavior in this contingency. </w:t>
      </w:r>
    </w:p>
    <w:p w:rsidR="0085141E" w:rsidRPr="000D5230" w:rsidRDefault="0085141E" w:rsidP="0085141E">
      <w:pPr>
        <w:jc w:val="both"/>
        <w:rPr>
          <w:rFonts w:ascii="Palatino Linotype" w:hAnsi="Palatino Linotype"/>
          <w:sz w:val="20"/>
          <w:lang w:val="en-US"/>
        </w:rPr>
      </w:pPr>
    </w:p>
    <w:p w:rsidR="00310FE8" w:rsidRPr="0085141E" w:rsidRDefault="00310FE8" w:rsidP="0085141E">
      <w:pPr>
        <w:spacing w:after="200" w:line="276" w:lineRule="auto"/>
        <w:jc w:val="both"/>
        <w:rPr>
          <w:rFonts w:ascii="Palatino Linotype" w:hAnsi="Palatino Linotype"/>
          <w:sz w:val="20"/>
          <w:lang w:val="en-US"/>
        </w:rPr>
      </w:pPr>
    </w:p>
    <w:sectPr w:rsidR="00310FE8" w:rsidRPr="0085141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71FD" w:rsidRDefault="007171FD" w:rsidP="0085141E">
      <w:r>
        <w:separator/>
      </w:r>
    </w:p>
  </w:endnote>
  <w:endnote w:type="continuationSeparator" w:id="0">
    <w:p w:rsidR="007171FD" w:rsidRDefault="007171FD" w:rsidP="008514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71FD" w:rsidRDefault="007171FD" w:rsidP="0085141E">
      <w:r>
        <w:separator/>
      </w:r>
    </w:p>
  </w:footnote>
  <w:footnote w:type="continuationSeparator" w:id="0">
    <w:p w:rsidR="007171FD" w:rsidRDefault="007171FD" w:rsidP="0085141E">
      <w:r>
        <w:continuationSeparator/>
      </w:r>
    </w:p>
  </w:footnote>
  <w:footnote w:id="1">
    <w:p w:rsidR="0085141E" w:rsidRPr="000A4115" w:rsidRDefault="0085141E" w:rsidP="0085141E">
      <w:pPr>
        <w:pStyle w:val="Notedebasdepage"/>
        <w:spacing w:line="240" w:lineRule="auto"/>
        <w:rPr>
          <w:rFonts w:ascii="Palatino Linotype" w:hAnsi="Palatino Linotype"/>
          <w:sz w:val="18"/>
          <w:szCs w:val="18"/>
        </w:rPr>
      </w:pPr>
      <w:r w:rsidRPr="000A4115">
        <w:rPr>
          <w:rStyle w:val="Appelnotedebasdep"/>
          <w:rFonts w:ascii="Palatino Linotype" w:hAnsi="Palatino Linotype"/>
          <w:sz w:val="18"/>
          <w:szCs w:val="18"/>
        </w:rPr>
        <w:footnoteRef/>
      </w:r>
      <w:r w:rsidRPr="000A4115">
        <w:rPr>
          <w:rFonts w:ascii="Palatino Linotype" w:hAnsi="Palatino Linotype"/>
          <w:sz w:val="18"/>
          <w:szCs w:val="18"/>
        </w:rPr>
        <w:t xml:space="preserve"> Cette méthode pédagogique en trois temps qui vise le transfert d’apprentissages a été </w:t>
      </w:r>
      <w:proofErr w:type="gramStart"/>
      <w:r w:rsidRPr="000A4115">
        <w:rPr>
          <w:rFonts w:ascii="Palatino Linotype" w:hAnsi="Palatino Linotype"/>
          <w:sz w:val="18"/>
          <w:szCs w:val="18"/>
        </w:rPr>
        <w:t>reprise</w:t>
      </w:r>
      <w:proofErr w:type="gramEnd"/>
      <w:r w:rsidRPr="000A4115">
        <w:rPr>
          <w:rFonts w:ascii="Palatino Linotype" w:hAnsi="Palatino Linotype"/>
          <w:sz w:val="18"/>
          <w:szCs w:val="18"/>
        </w:rPr>
        <w:t xml:space="preserve"> par Maurice </w:t>
      </w:r>
      <w:proofErr w:type="spellStart"/>
      <w:r w:rsidRPr="000A4115">
        <w:rPr>
          <w:rFonts w:ascii="Palatino Linotype" w:hAnsi="Palatino Linotype"/>
          <w:sz w:val="18"/>
          <w:szCs w:val="18"/>
        </w:rPr>
        <w:t>Cheza</w:t>
      </w:r>
      <w:proofErr w:type="spellEnd"/>
      <w:r w:rsidRPr="000A4115">
        <w:rPr>
          <w:rFonts w:ascii="Palatino Linotype" w:hAnsi="Palatino Linotype"/>
          <w:sz w:val="18"/>
          <w:szCs w:val="18"/>
        </w:rPr>
        <w:t xml:space="preserve">. Ce spécialiste en théologie et missions ainsi qu’en dialogue interculturel a enseigné à la faculté de théologie de l’Université catholique de Louvain et décrit cette méthode dans l’ouvrage de Fidèle </w:t>
      </w:r>
      <w:proofErr w:type="spellStart"/>
      <w:r w:rsidRPr="000A4115">
        <w:rPr>
          <w:rFonts w:ascii="Palatino Linotype" w:hAnsi="Palatino Linotype"/>
          <w:smallCaps/>
          <w:sz w:val="18"/>
          <w:szCs w:val="18"/>
        </w:rPr>
        <w:t>Mabundu</w:t>
      </w:r>
      <w:proofErr w:type="spellEnd"/>
      <w:r w:rsidRPr="000A4115">
        <w:rPr>
          <w:rFonts w:ascii="Palatino Linotype" w:hAnsi="Palatino Linotype"/>
          <w:sz w:val="18"/>
          <w:szCs w:val="18"/>
        </w:rPr>
        <w:t xml:space="preserve"> </w:t>
      </w:r>
      <w:proofErr w:type="spellStart"/>
      <w:r w:rsidRPr="000A4115">
        <w:rPr>
          <w:rFonts w:ascii="Palatino Linotype" w:hAnsi="Palatino Linotype"/>
          <w:smallCaps/>
          <w:sz w:val="18"/>
          <w:szCs w:val="18"/>
        </w:rPr>
        <w:t>Masamba</w:t>
      </w:r>
      <w:proofErr w:type="spellEnd"/>
      <w:r w:rsidRPr="000A4115">
        <w:rPr>
          <w:rFonts w:ascii="Palatino Linotype" w:hAnsi="Palatino Linotype"/>
          <w:sz w:val="18"/>
          <w:szCs w:val="18"/>
        </w:rPr>
        <w:t xml:space="preserve">, </w:t>
      </w:r>
      <w:r w:rsidRPr="000A4115">
        <w:rPr>
          <w:rFonts w:ascii="Palatino Linotype" w:hAnsi="Palatino Linotype"/>
          <w:i/>
          <w:sz w:val="18"/>
          <w:szCs w:val="18"/>
        </w:rPr>
        <w:t xml:space="preserve">Lire la bible en milieu populaire. Préface de Maurice </w:t>
      </w:r>
      <w:proofErr w:type="spellStart"/>
      <w:r w:rsidRPr="000A4115">
        <w:rPr>
          <w:rFonts w:ascii="Palatino Linotype" w:hAnsi="Palatino Linotype"/>
          <w:i/>
          <w:sz w:val="18"/>
          <w:szCs w:val="18"/>
        </w:rPr>
        <w:t>Cheza</w:t>
      </w:r>
      <w:proofErr w:type="spellEnd"/>
      <w:r w:rsidRPr="000A4115">
        <w:rPr>
          <w:rFonts w:ascii="Palatino Linotype" w:hAnsi="Palatino Linotype"/>
          <w:sz w:val="18"/>
          <w:szCs w:val="18"/>
        </w:rPr>
        <w:t xml:space="preserve">, Paris, Karthala, 2003, p. 11. </w:t>
      </w:r>
    </w:p>
  </w:footnote>
  <w:footnote w:id="2">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w:t>
      </w:r>
      <w:r w:rsidRPr="000A4115">
        <w:rPr>
          <w:rFonts w:ascii="Palatino Linotype" w:eastAsia="Times New Roman" w:hAnsi="Palatino Linotype"/>
          <w:color w:val="000000" w:themeColor="text1"/>
          <w:sz w:val="18"/>
          <w:szCs w:val="18"/>
        </w:rPr>
        <w:t xml:space="preserve">Parmi les ouvrages en français de </w:t>
      </w:r>
      <w:proofErr w:type="spellStart"/>
      <w:r w:rsidRPr="000A4115">
        <w:rPr>
          <w:rFonts w:ascii="Palatino Linotype" w:eastAsia="Times New Roman" w:hAnsi="Palatino Linotype"/>
          <w:color w:val="000000" w:themeColor="text1"/>
          <w:sz w:val="18"/>
          <w:szCs w:val="18"/>
        </w:rPr>
        <w:t>Zygmunt</w:t>
      </w:r>
      <w:proofErr w:type="spellEnd"/>
      <w:r w:rsidRPr="000A4115">
        <w:rPr>
          <w:rFonts w:ascii="Palatino Linotype" w:eastAsia="Times New Roman" w:hAnsi="Palatino Linotype"/>
          <w:color w:val="000000" w:themeColor="text1"/>
          <w:sz w:val="18"/>
          <w:szCs w:val="18"/>
        </w:rPr>
        <w:t xml:space="preserve"> </w:t>
      </w:r>
      <w:proofErr w:type="spellStart"/>
      <w:r w:rsidRPr="000A4115">
        <w:rPr>
          <w:rFonts w:ascii="Palatino Linotype" w:eastAsia="Times New Roman" w:hAnsi="Palatino Linotype"/>
          <w:smallCaps/>
          <w:color w:val="000000" w:themeColor="text1"/>
          <w:sz w:val="18"/>
          <w:szCs w:val="18"/>
        </w:rPr>
        <w:t>Bauman</w:t>
      </w:r>
      <w:proofErr w:type="spellEnd"/>
      <w:r w:rsidRPr="000A4115">
        <w:rPr>
          <w:rFonts w:ascii="Palatino Linotype" w:eastAsia="Times New Roman" w:hAnsi="Palatino Linotype"/>
          <w:color w:val="000000" w:themeColor="text1"/>
          <w:sz w:val="18"/>
          <w:szCs w:val="18"/>
        </w:rPr>
        <w:t xml:space="preserve">, citons : </w:t>
      </w:r>
      <w:r w:rsidRPr="000A4115">
        <w:rPr>
          <w:rFonts w:ascii="Palatino Linotype" w:eastAsia="Times New Roman" w:hAnsi="Palatino Linotype"/>
          <w:i/>
          <w:iCs/>
          <w:color w:val="000000" w:themeColor="text1"/>
          <w:sz w:val="18"/>
          <w:szCs w:val="18"/>
        </w:rPr>
        <w:t>La vie en miettes. Expérience postmoderne et moralité</w:t>
      </w:r>
      <w:r w:rsidRPr="000A4115">
        <w:rPr>
          <w:rFonts w:ascii="Palatino Linotype" w:eastAsia="Times New Roman" w:hAnsi="Palatino Linotype"/>
          <w:color w:val="000000" w:themeColor="text1"/>
          <w:sz w:val="18"/>
          <w:szCs w:val="18"/>
        </w:rPr>
        <w:t xml:space="preserve">, Rodez, Le Rouergue / Chambon, 2003 ; </w:t>
      </w:r>
      <w:r w:rsidRPr="000A4115">
        <w:rPr>
          <w:rFonts w:ascii="Palatino Linotype" w:eastAsia="Times New Roman" w:hAnsi="Palatino Linotype"/>
          <w:i/>
          <w:iCs/>
          <w:color w:val="000000" w:themeColor="text1"/>
          <w:sz w:val="18"/>
          <w:szCs w:val="18"/>
        </w:rPr>
        <w:t>L’amour liquide. De la fragilité des liens entre les hommes</w:t>
      </w:r>
      <w:r w:rsidRPr="000A4115">
        <w:rPr>
          <w:rFonts w:ascii="Palatino Linotype" w:eastAsia="Times New Roman" w:hAnsi="Palatino Linotype"/>
          <w:color w:val="000000" w:themeColor="text1"/>
          <w:sz w:val="18"/>
          <w:szCs w:val="18"/>
        </w:rPr>
        <w:t>, Rodez, Le Rouergue / Chambon, 2004 ;</w:t>
      </w:r>
      <w:r w:rsidRPr="000A4115">
        <w:rPr>
          <w:rFonts w:ascii="Palatino Linotype" w:eastAsia="Times New Roman" w:hAnsi="Palatino Linotype"/>
          <w:i/>
          <w:iCs/>
          <w:color w:val="000000" w:themeColor="text1"/>
          <w:sz w:val="18"/>
          <w:szCs w:val="18"/>
        </w:rPr>
        <w:t xml:space="preserve"> Identité</w:t>
      </w:r>
      <w:r w:rsidRPr="000A4115">
        <w:rPr>
          <w:rFonts w:ascii="Palatino Linotype" w:eastAsia="Times New Roman" w:hAnsi="Palatino Linotype"/>
          <w:color w:val="000000" w:themeColor="text1"/>
          <w:sz w:val="18"/>
          <w:szCs w:val="18"/>
        </w:rPr>
        <w:t xml:space="preserve">, Paris, L’Herne, 2010 ; </w:t>
      </w:r>
      <w:r w:rsidRPr="000A4115">
        <w:rPr>
          <w:rFonts w:ascii="Palatino Linotype" w:eastAsia="Times New Roman" w:hAnsi="Palatino Linotype"/>
          <w:i/>
          <w:iCs/>
          <w:color w:val="000000" w:themeColor="text1"/>
          <w:sz w:val="18"/>
          <w:szCs w:val="18"/>
        </w:rPr>
        <w:t>Le présent liquide. Peurs sociales et obsession sécuritaire</w:t>
      </w:r>
      <w:r w:rsidRPr="000A4115">
        <w:rPr>
          <w:rFonts w:ascii="Palatino Linotype" w:eastAsia="Times New Roman" w:hAnsi="Palatino Linotype"/>
          <w:color w:val="000000" w:themeColor="text1"/>
          <w:sz w:val="18"/>
          <w:szCs w:val="18"/>
        </w:rPr>
        <w:t>, Paris, Seuil, 2007.</w:t>
      </w:r>
    </w:p>
  </w:footnote>
  <w:footnote w:id="3">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w:t>
      </w:r>
      <w:r w:rsidRPr="000A4115">
        <w:rPr>
          <w:rFonts w:ascii="Palatino Linotype" w:eastAsia="Times New Roman" w:hAnsi="Palatino Linotype"/>
          <w:color w:val="000000" w:themeColor="text1"/>
          <w:sz w:val="18"/>
          <w:szCs w:val="18"/>
        </w:rPr>
        <w:t xml:space="preserve">Jean-Marc </w:t>
      </w:r>
      <w:r w:rsidRPr="000A4115">
        <w:rPr>
          <w:rFonts w:ascii="Palatino Linotype" w:eastAsia="Times New Roman" w:hAnsi="Palatino Linotype"/>
          <w:smallCaps/>
          <w:color w:val="000000" w:themeColor="text1"/>
          <w:sz w:val="18"/>
          <w:szCs w:val="18"/>
        </w:rPr>
        <w:t>Ferry</w:t>
      </w:r>
      <w:r w:rsidRPr="000A4115">
        <w:rPr>
          <w:rFonts w:ascii="Palatino Linotype" w:eastAsia="Times New Roman" w:hAnsi="Palatino Linotype"/>
          <w:color w:val="000000" w:themeColor="text1"/>
          <w:sz w:val="18"/>
          <w:szCs w:val="18"/>
        </w:rPr>
        <w:t xml:space="preserve">, </w:t>
      </w:r>
      <w:r w:rsidRPr="000A4115">
        <w:rPr>
          <w:rFonts w:ascii="Palatino Linotype" w:eastAsia="Times New Roman" w:hAnsi="Palatino Linotype"/>
          <w:i/>
          <w:iCs/>
          <w:color w:val="000000" w:themeColor="text1"/>
          <w:sz w:val="18"/>
          <w:szCs w:val="18"/>
        </w:rPr>
        <w:t>Les puissances de l’expérience</w:t>
      </w:r>
      <w:r w:rsidRPr="000A4115">
        <w:rPr>
          <w:rFonts w:ascii="Palatino Linotype" w:eastAsia="Times New Roman" w:hAnsi="Palatino Linotype"/>
          <w:color w:val="000000" w:themeColor="text1"/>
          <w:sz w:val="18"/>
          <w:szCs w:val="18"/>
        </w:rPr>
        <w:t xml:space="preserve">, t. 1, </w:t>
      </w:r>
      <w:r w:rsidRPr="000A4115">
        <w:rPr>
          <w:rFonts w:ascii="Palatino Linotype" w:eastAsia="Times New Roman" w:hAnsi="Palatino Linotype"/>
          <w:i/>
          <w:iCs/>
          <w:color w:val="000000" w:themeColor="text1"/>
          <w:sz w:val="18"/>
          <w:szCs w:val="18"/>
        </w:rPr>
        <w:t>Le sujet et le verbe</w:t>
      </w:r>
      <w:r w:rsidRPr="000A4115">
        <w:rPr>
          <w:rFonts w:ascii="Palatino Linotype" w:eastAsia="Times New Roman" w:hAnsi="Palatino Linotype"/>
          <w:color w:val="000000" w:themeColor="text1"/>
          <w:sz w:val="18"/>
          <w:szCs w:val="18"/>
        </w:rPr>
        <w:t xml:space="preserve"> ; t. 2, </w:t>
      </w:r>
      <w:r w:rsidRPr="000A4115">
        <w:rPr>
          <w:rFonts w:ascii="Palatino Linotype" w:eastAsia="Times New Roman" w:hAnsi="Palatino Linotype"/>
          <w:i/>
          <w:iCs/>
          <w:color w:val="000000" w:themeColor="text1"/>
          <w:sz w:val="18"/>
          <w:szCs w:val="18"/>
        </w:rPr>
        <w:t>Les ordres de la reconnaissance</w:t>
      </w:r>
      <w:r w:rsidRPr="000A4115">
        <w:rPr>
          <w:rFonts w:ascii="Palatino Linotype" w:eastAsia="Times New Roman" w:hAnsi="Palatino Linotype"/>
          <w:color w:val="000000" w:themeColor="text1"/>
          <w:sz w:val="18"/>
          <w:szCs w:val="18"/>
        </w:rPr>
        <w:t>, Paris, Cerf, 1991.</w:t>
      </w:r>
    </w:p>
  </w:footnote>
  <w:footnote w:id="4">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w:t>
      </w:r>
      <w:r w:rsidRPr="000A4115">
        <w:rPr>
          <w:rFonts w:ascii="Palatino Linotype" w:eastAsia="Times New Roman" w:hAnsi="Palatino Linotype"/>
          <w:color w:val="000000" w:themeColor="text1"/>
          <w:sz w:val="18"/>
          <w:szCs w:val="18"/>
        </w:rPr>
        <w:t xml:space="preserve">Charles </w:t>
      </w:r>
      <w:r w:rsidRPr="000A4115">
        <w:rPr>
          <w:rFonts w:ascii="Palatino Linotype" w:eastAsia="Times New Roman" w:hAnsi="Palatino Linotype"/>
          <w:smallCaps/>
          <w:color w:val="000000" w:themeColor="text1"/>
          <w:sz w:val="18"/>
          <w:szCs w:val="18"/>
        </w:rPr>
        <w:t>Taylor</w:t>
      </w:r>
      <w:r w:rsidRPr="000A4115">
        <w:rPr>
          <w:rFonts w:ascii="Palatino Linotype" w:eastAsia="Times New Roman" w:hAnsi="Palatino Linotype"/>
          <w:color w:val="000000" w:themeColor="text1"/>
          <w:sz w:val="18"/>
          <w:szCs w:val="18"/>
        </w:rPr>
        <w:t xml:space="preserve">, </w:t>
      </w:r>
      <w:r w:rsidRPr="000A4115">
        <w:rPr>
          <w:rFonts w:ascii="Palatino Linotype" w:eastAsia="Times New Roman" w:hAnsi="Palatino Linotype"/>
          <w:i/>
          <w:iCs/>
          <w:color w:val="000000" w:themeColor="text1"/>
          <w:sz w:val="18"/>
          <w:szCs w:val="18"/>
        </w:rPr>
        <w:t xml:space="preserve">Les sources du moi. La formation de l’identité moderne, </w:t>
      </w:r>
      <w:r w:rsidRPr="000A4115">
        <w:rPr>
          <w:rFonts w:ascii="Palatino Linotype" w:eastAsia="Times New Roman" w:hAnsi="Palatino Linotype"/>
          <w:color w:val="000000" w:themeColor="text1"/>
          <w:sz w:val="18"/>
          <w:szCs w:val="18"/>
        </w:rPr>
        <w:t>Paris, Seuil, 1998.</w:t>
      </w:r>
    </w:p>
  </w:footnote>
  <w:footnote w:id="5">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eastAsia="Times New Roman" w:hAnsi="Palatino Linotype"/>
          <w:color w:val="000000" w:themeColor="text1"/>
          <w:sz w:val="18"/>
          <w:szCs w:val="18"/>
        </w:rPr>
        <w:footnoteRef/>
      </w:r>
      <w:r w:rsidRPr="000A4115">
        <w:rPr>
          <w:rFonts w:ascii="Palatino Linotype" w:eastAsia="Times New Roman" w:hAnsi="Palatino Linotype"/>
          <w:color w:val="000000" w:themeColor="text1"/>
          <w:sz w:val="18"/>
          <w:szCs w:val="18"/>
        </w:rPr>
        <w:t xml:space="preserve"> Ce passage reprend les analyses sociologiques présentées par Benoît </w:t>
      </w:r>
      <w:proofErr w:type="spellStart"/>
      <w:r w:rsidRPr="000A4115">
        <w:rPr>
          <w:rFonts w:ascii="Palatino Linotype" w:eastAsia="Times New Roman" w:hAnsi="Palatino Linotype"/>
          <w:smallCaps/>
          <w:color w:val="000000" w:themeColor="text1"/>
          <w:sz w:val="18"/>
          <w:szCs w:val="18"/>
        </w:rPr>
        <w:t>Bourgine</w:t>
      </w:r>
      <w:proofErr w:type="spellEnd"/>
      <w:r w:rsidRPr="000A4115">
        <w:rPr>
          <w:rFonts w:ascii="Palatino Linotype" w:eastAsia="Times New Roman" w:hAnsi="Palatino Linotype"/>
          <w:smallCaps/>
          <w:color w:val="000000" w:themeColor="text1"/>
          <w:sz w:val="18"/>
          <w:szCs w:val="18"/>
        </w:rPr>
        <w:t xml:space="preserve"> </w:t>
      </w:r>
      <w:r w:rsidRPr="000A4115">
        <w:rPr>
          <w:rFonts w:ascii="Palatino Linotype" w:eastAsia="Times New Roman" w:hAnsi="Palatino Linotype"/>
          <w:color w:val="000000" w:themeColor="text1"/>
          <w:sz w:val="18"/>
          <w:szCs w:val="18"/>
        </w:rPr>
        <w:t>dans son article, « </w:t>
      </w:r>
      <w:r w:rsidRPr="000A4115">
        <w:rPr>
          <w:rFonts w:ascii="Palatino Linotype" w:eastAsia="Times New Roman" w:hAnsi="Palatino Linotype"/>
          <w:iCs/>
          <w:color w:val="000000" w:themeColor="text1"/>
          <w:sz w:val="18"/>
          <w:szCs w:val="18"/>
        </w:rPr>
        <w:t>La promesse d’être soi »</w:t>
      </w:r>
      <w:r w:rsidRPr="000A4115">
        <w:rPr>
          <w:rFonts w:ascii="Palatino Linotype" w:eastAsia="Times New Roman" w:hAnsi="Palatino Linotype"/>
          <w:color w:val="000000" w:themeColor="text1"/>
          <w:sz w:val="18"/>
          <w:szCs w:val="18"/>
        </w:rPr>
        <w:t xml:space="preserve">, dans </w:t>
      </w:r>
      <w:r w:rsidRPr="000A4115">
        <w:rPr>
          <w:rFonts w:ascii="Palatino Linotype" w:eastAsia="Times New Roman" w:hAnsi="Palatino Linotype"/>
          <w:i/>
          <w:color w:val="000000" w:themeColor="text1"/>
          <w:sz w:val="18"/>
          <w:szCs w:val="18"/>
        </w:rPr>
        <w:t>Revue théologique de Louvain</w:t>
      </w:r>
      <w:r w:rsidRPr="000A4115">
        <w:rPr>
          <w:rFonts w:ascii="Palatino Linotype" w:eastAsia="Times New Roman" w:hAnsi="Palatino Linotype"/>
          <w:color w:val="000000" w:themeColor="text1"/>
          <w:sz w:val="18"/>
          <w:szCs w:val="18"/>
        </w:rPr>
        <w:t xml:space="preserve"> 42, 2011/1, p. 4-17. </w:t>
      </w:r>
    </w:p>
  </w:footnote>
  <w:footnote w:id="6">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eastAsia="Times New Roman" w:hAnsi="Palatino Linotype"/>
          <w:color w:val="000000" w:themeColor="text1"/>
          <w:sz w:val="18"/>
          <w:szCs w:val="18"/>
        </w:rPr>
        <w:footnoteRef/>
      </w:r>
      <w:r w:rsidRPr="000A4115">
        <w:rPr>
          <w:rFonts w:ascii="Palatino Linotype" w:eastAsia="Times New Roman" w:hAnsi="Palatino Linotype"/>
          <w:color w:val="000000" w:themeColor="text1"/>
          <w:sz w:val="18"/>
          <w:szCs w:val="18"/>
        </w:rPr>
        <w:t xml:space="preserve"> </w:t>
      </w:r>
      <w:proofErr w:type="spellStart"/>
      <w:r w:rsidRPr="000A4115">
        <w:rPr>
          <w:rFonts w:ascii="Palatino Linotype" w:eastAsia="Times New Roman" w:hAnsi="Palatino Linotype"/>
          <w:color w:val="000000" w:themeColor="text1"/>
          <w:sz w:val="18"/>
          <w:szCs w:val="18"/>
        </w:rPr>
        <w:t>Hartmut</w:t>
      </w:r>
      <w:proofErr w:type="spellEnd"/>
      <w:r w:rsidRPr="000A4115">
        <w:rPr>
          <w:rFonts w:ascii="Palatino Linotype" w:eastAsia="Times New Roman" w:hAnsi="Palatino Linotype"/>
          <w:color w:val="000000" w:themeColor="text1"/>
          <w:sz w:val="18"/>
          <w:szCs w:val="18"/>
        </w:rPr>
        <w:t xml:space="preserve"> </w:t>
      </w:r>
      <w:r w:rsidRPr="000A4115">
        <w:rPr>
          <w:rFonts w:ascii="Palatino Linotype" w:eastAsia="Times New Roman" w:hAnsi="Palatino Linotype"/>
          <w:smallCaps/>
          <w:color w:val="000000" w:themeColor="text1"/>
          <w:sz w:val="18"/>
          <w:szCs w:val="18"/>
        </w:rPr>
        <w:t>Rosa</w:t>
      </w:r>
      <w:r w:rsidRPr="000A4115">
        <w:rPr>
          <w:rFonts w:ascii="Palatino Linotype" w:eastAsia="Times New Roman" w:hAnsi="Palatino Linotype"/>
          <w:color w:val="000000" w:themeColor="text1"/>
          <w:sz w:val="18"/>
          <w:szCs w:val="18"/>
        </w:rPr>
        <w:t xml:space="preserve">, </w:t>
      </w:r>
      <w:r w:rsidRPr="000A4115">
        <w:rPr>
          <w:rFonts w:ascii="Palatino Linotype" w:eastAsia="Times New Roman" w:hAnsi="Palatino Linotype"/>
          <w:i/>
          <w:iCs/>
          <w:color w:val="000000" w:themeColor="text1"/>
          <w:sz w:val="18"/>
          <w:szCs w:val="18"/>
        </w:rPr>
        <w:t>Accélération. Une critique sociale du temps</w:t>
      </w:r>
      <w:r w:rsidRPr="000A4115">
        <w:rPr>
          <w:rFonts w:ascii="Palatino Linotype" w:eastAsia="Times New Roman" w:hAnsi="Palatino Linotype"/>
          <w:color w:val="000000" w:themeColor="text1"/>
          <w:sz w:val="18"/>
          <w:szCs w:val="18"/>
        </w:rPr>
        <w:t>, Paris, La Découverte, 2010.</w:t>
      </w:r>
    </w:p>
  </w:footnote>
  <w:footnote w:id="7">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Pour une étude comparative du concept de </w:t>
      </w:r>
      <w:r w:rsidRPr="000A4115">
        <w:rPr>
          <w:rFonts w:ascii="Palatino Linotype" w:hAnsi="Palatino Linotype"/>
          <w:i/>
          <w:color w:val="000000" w:themeColor="text1"/>
          <w:sz w:val="18"/>
          <w:szCs w:val="18"/>
        </w:rPr>
        <w:t>kairos</w:t>
      </w:r>
      <w:r w:rsidRPr="000A4115">
        <w:rPr>
          <w:rFonts w:ascii="Palatino Linotype" w:hAnsi="Palatino Linotype"/>
          <w:color w:val="000000" w:themeColor="text1"/>
          <w:sz w:val="18"/>
          <w:szCs w:val="18"/>
        </w:rPr>
        <w:t xml:space="preserve"> chez Tillich et Heidegger, cf. Marc </w:t>
      </w:r>
      <w:r w:rsidRPr="000A4115">
        <w:rPr>
          <w:rFonts w:ascii="Palatino Linotype" w:hAnsi="Palatino Linotype"/>
          <w:smallCaps/>
          <w:color w:val="000000" w:themeColor="text1"/>
          <w:sz w:val="18"/>
          <w:szCs w:val="18"/>
        </w:rPr>
        <w:t>Boss</w:t>
      </w:r>
      <w:r w:rsidRPr="000A4115">
        <w:rPr>
          <w:rFonts w:ascii="Palatino Linotype" w:hAnsi="Palatino Linotype"/>
          <w:color w:val="000000" w:themeColor="text1"/>
          <w:sz w:val="18"/>
          <w:szCs w:val="18"/>
        </w:rPr>
        <w:t xml:space="preserve">, « Tillich, Heidegger et la question du kairos », dans </w:t>
      </w:r>
      <w:r w:rsidRPr="000A4115">
        <w:rPr>
          <w:rFonts w:ascii="Palatino Linotype" w:hAnsi="Palatino Linotype"/>
          <w:i/>
          <w:color w:val="000000" w:themeColor="text1"/>
          <w:sz w:val="18"/>
          <w:szCs w:val="18"/>
        </w:rPr>
        <w:t>Études théologiques et religieuses</w:t>
      </w:r>
      <w:r w:rsidRPr="000A4115">
        <w:rPr>
          <w:rFonts w:ascii="Palatino Linotype" w:hAnsi="Palatino Linotype"/>
          <w:color w:val="000000" w:themeColor="text1"/>
          <w:sz w:val="18"/>
          <w:szCs w:val="18"/>
        </w:rPr>
        <w:t xml:space="preserve"> 76, 2001/1, p. 47-59. </w:t>
      </w:r>
    </w:p>
  </w:footnote>
  <w:footnote w:id="8">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Yves </w:t>
      </w:r>
      <w:proofErr w:type="spellStart"/>
      <w:r w:rsidRPr="000A4115">
        <w:rPr>
          <w:rFonts w:ascii="Palatino Linotype" w:hAnsi="Palatino Linotype"/>
          <w:smallCaps/>
          <w:color w:val="000000" w:themeColor="text1"/>
          <w:sz w:val="18"/>
          <w:szCs w:val="18"/>
        </w:rPr>
        <w:t>Meessens</w:t>
      </w:r>
      <w:proofErr w:type="spellEnd"/>
      <w:r w:rsidRPr="000A4115">
        <w:rPr>
          <w:rFonts w:ascii="Palatino Linotype" w:hAnsi="Palatino Linotype"/>
          <w:color w:val="000000" w:themeColor="text1"/>
          <w:sz w:val="18"/>
          <w:szCs w:val="18"/>
        </w:rPr>
        <w:t xml:space="preserve">, « De la facticité à la métaphysique : Heidegger </w:t>
      </w:r>
      <w:proofErr w:type="spellStart"/>
      <w:r w:rsidRPr="000A4115">
        <w:rPr>
          <w:rFonts w:ascii="Palatino Linotype" w:hAnsi="Palatino Linotype"/>
          <w:color w:val="000000" w:themeColor="text1"/>
          <w:sz w:val="18"/>
          <w:szCs w:val="18"/>
        </w:rPr>
        <w:t>a-t-il</w:t>
      </w:r>
      <w:proofErr w:type="spellEnd"/>
      <w:r w:rsidRPr="000A4115">
        <w:rPr>
          <w:rFonts w:ascii="Palatino Linotype" w:hAnsi="Palatino Linotype"/>
          <w:color w:val="000000" w:themeColor="text1"/>
          <w:sz w:val="18"/>
          <w:szCs w:val="18"/>
        </w:rPr>
        <w:t xml:space="preserve"> bien lu Augustin</w:t>
      </w:r>
      <w:r w:rsidRPr="000A4115">
        <w:rPr>
          <w:rFonts w:ascii="Palatino Linotype" w:hAnsi="Palatino Linotype"/>
          <w:i/>
          <w:color w:val="000000" w:themeColor="text1"/>
          <w:sz w:val="18"/>
          <w:szCs w:val="18"/>
        </w:rPr>
        <w:t> </w:t>
      </w:r>
      <w:r w:rsidRPr="000A4115">
        <w:rPr>
          <w:rFonts w:ascii="Palatino Linotype" w:hAnsi="Palatino Linotype"/>
          <w:color w:val="000000" w:themeColor="text1"/>
          <w:sz w:val="18"/>
          <w:szCs w:val="18"/>
        </w:rPr>
        <w:t xml:space="preserve">? », dans </w:t>
      </w:r>
      <w:r w:rsidRPr="000A4115">
        <w:rPr>
          <w:rFonts w:ascii="Palatino Linotype" w:hAnsi="Palatino Linotype"/>
          <w:i/>
          <w:color w:val="000000" w:themeColor="text1"/>
          <w:sz w:val="18"/>
          <w:szCs w:val="18"/>
        </w:rPr>
        <w:t>Nouvelle revue théologique</w:t>
      </w:r>
      <w:r w:rsidRPr="000A4115">
        <w:rPr>
          <w:rFonts w:ascii="Palatino Linotype" w:hAnsi="Palatino Linotype"/>
          <w:color w:val="000000" w:themeColor="text1"/>
          <w:sz w:val="18"/>
          <w:szCs w:val="18"/>
        </w:rPr>
        <w:t xml:space="preserve"> 128, 2006/1, p. 48. </w:t>
      </w:r>
    </w:p>
  </w:footnote>
  <w:footnote w:id="9">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Paul </w:t>
      </w:r>
      <w:r w:rsidRPr="000A4115">
        <w:rPr>
          <w:rFonts w:ascii="Palatino Linotype" w:hAnsi="Palatino Linotype"/>
          <w:smallCaps/>
          <w:color w:val="000000" w:themeColor="text1"/>
          <w:sz w:val="18"/>
          <w:szCs w:val="18"/>
        </w:rPr>
        <w:t>Tillich</w:t>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Documents biographiques</w:t>
      </w:r>
      <w:r w:rsidRPr="000A4115">
        <w:rPr>
          <w:rFonts w:ascii="Palatino Linotype" w:hAnsi="Palatino Linotype"/>
          <w:color w:val="000000" w:themeColor="text1"/>
          <w:sz w:val="18"/>
          <w:szCs w:val="18"/>
        </w:rPr>
        <w:t xml:space="preserve">, Paris / Genève / Québec, Le Cerf / Labor et Fides / Les Presses Universitaires de Laval, 2002, p. 149. </w:t>
      </w:r>
    </w:p>
  </w:footnote>
  <w:footnote w:id="10">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Paul </w:t>
      </w:r>
      <w:r w:rsidRPr="000A4115">
        <w:rPr>
          <w:rFonts w:ascii="Palatino Linotype" w:hAnsi="Palatino Linotype"/>
          <w:smallCaps/>
          <w:color w:val="000000" w:themeColor="text1"/>
          <w:sz w:val="18"/>
          <w:szCs w:val="18"/>
        </w:rPr>
        <w:t>Tillich</w:t>
      </w:r>
      <w:r w:rsidRPr="000A4115">
        <w:rPr>
          <w:rFonts w:ascii="Palatino Linotype" w:hAnsi="Palatino Linotype"/>
          <w:color w:val="000000" w:themeColor="text1"/>
          <w:sz w:val="18"/>
          <w:szCs w:val="18"/>
        </w:rPr>
        <w:t xml:space="preserve">, « Le socialisme religieux I », dans </w:t>
      </w:r>
      <w:r w:rsidRPr="000A4115">
        <w:rPr>
          <w:rFonts w:ascii="Palatino Linotype" w:hAnsi="Palatino Linotype"/>
          <w:smallCaps/>
          <w:color w:val="000000" w:themeColor="text1"/>
          <w:sz w:val="18"/>
          <w:szCs w:val="18"/>
        </w:rPr>
        <w:t>Idem</w:t>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 xml:space="preserve">Christianisme et socialisme. Écrits socialistes allemands (1919-1931), </w:t>
      </w:r>
      <w:r w:rsidRPr="000A4115">
        <w:rPr>
          <w:rFonts w:ascii="Palatino Linotype" w:hAnsi="Palatino Linotype"/>
          <w:color w:val="000000" w:themeColor="text1"/>
          <w:sz w:val="18"/>
          <w:szCs w:val="18"/>
        </w:rPr>
        <w:t xml:space="preserve">Paris / Genève / Québec, Le Cerf / Labor et Fides / Les Presses Universitaires de Laval, 1992 : « Mais l’espérance chrétienne originelle en l’au-delà […] est espérance en la venue du Royaume de Dieu sur la terre, elle est espérance en la transformation du monde, de l’humanité, des peuples. Et elle réclame que l’on travaille à cette transformation, d’abord dans la communauté, puis aussi à l’extérieur. » (p. 360) </w:t>
      </w:r>
    </w:p>
  </w:footnote>
  <w:footnote w:id="11">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Ibidem</w:t>
      </w:r>
      <w:r w:rsidRPr="000A4115">
        <w:rPr>
          <w:rFonts w:ascii="Palatino Linotype" w:hAnsi="Palatino Linotype"/>
          <w:color w:val="000000" w:themeColor="text1"/>
          <w:sz w:val="18"/>
          <w:szCs w:val="18"/>
        </w:rPr>
        <w:t>, p. 360.</w:t>
      </w:r>
    </w:p>
  </w:footnote>
  <w:footnote w:id="12">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Ibidem</w:t>
      </w:r>
      <w:r w:rsidRPr="000A4115">
        <w:rPr>
          <w:rFonts w:ascii="Palatino Linotype" w:hAnsi="Palatino Linotype"/>
          <w:color w:val="000000" w:themeColor="text1"/>
          <w:sz w:val="18"/>
          <w:szCs w:val="18"/>
        </w:rPr>
        <w:t>, p. 362 : « La tâche qui nous incombe, à nous et à notre temps : créer une nouvelle société remplie de sens, où chaque groupe et chaque individu puisse trouver le sens de sa vie. »</w:t>
      </w:r>
    </w:p>
  </w:footnote>
  <w:footnote w:id="13">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P. </w:t>
      </w:r>
      <w:r w:rsidRPr="000A4115">
        <w:rPr>
          <w:rFonts w:ascii="Palatino Linotype" w:hAnsi="Palatino Linotype"/>
          <w:smallCaps/>
          <w:color w:val="000000" w:themeColor="text1"/>
          <w:sz w:val="18"/>
          <w:szCs w:val="18"/>
        </w:rPr>
        <w:t>Tillich</w:t>
      </w:r>
      <w:r w:rsidRPr="000A4115">
        <w:rPr>
          <w:rFonts w:ascii="Palatino Linotype" w:hAnsi="Palatino Linotype"/>
          <w:color w:val="000000" w:themeColor="text1"/>
          <w:sz w:val="18"/>
          <w:szCs w:val="18"/>
        </w:rPr>
        <w:t xml:space="preserve">, « La situation religieuse du temps présent », </w:t>
      </w:r>
      <w:r w:rsidRPr="000A4115">
        <w:rPr>
          <w:rFonts w:ascii="Palatino Linotype" w:hAnsi="Palatino Linotype"/>
          <w:i/>
          <w:color w:val="000000" w:themeColor="text1"/>
          <w:sz w:val="18"/>
          <w:szCs w:val="18"/>
        </w:rPr>
        <w:t>ibidem</w:t>
      </w:r>
      <w:r w:rsidRPr="000A4115">
        <w:rPr>
          <w:rFonts w:ascii="Palatino Linotype" w:hAnsi="Palatino Linotype"/>
          <w:color w:val="000000" w:themeColor="text1"/>
          <w:sz w:val="18"/>
          <w:szCs w:val="18"/>
        </w:rPr>
        <w:t xml:space="preserve">, p. 228. </w:t>
      </w:r>
    </w:p>
  </w:footnote>
  <w:footnote w:id="14">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P. </w:t>
      </w:r>
      <w:r w:rsidRPr="000A4115">
        <w:rPr>
          <w:rFonts w:ascii="Palatino Linotype" w:hAnsi="Palatino Linotype"/>
          <w:smallCaps/>
          <w:color w:val="000000" w:themeColor="text1"/>
          <w:sz w:val="18"/>
          <w:szCs w:val="18"/>
        </w:rPr>
        <w:t>Tillich</w:t>
      </w:r>
      <w:r w:rsidRPr="000A4115">
        <w:rPr>
          <w:rFonts w:ascii="Palatino Linotype" w:hAnsi="Palatino Linotype"/>
          <w:color w:val="000000" w:themeColor="text1"/>
          <w:sz w:val="18"/>
          <w:szCs w:val="18"/>
        </w:rPr>
        <w:t xml:space="preserve">, « Le socialisme religieux II », </w:t>
      </w:r>
      <w:r w:rsidRPr="000A4115">
        <w:rPr>
          <w:rFonts w:ascii="Palatino Linotype" w:hAnsi="Palatino Linotype"/>
          <w:i/>
          <w:color w:val="000000" w:themeColor="text1"/>
          <w:sz w:val="18"/>
          <w:szCs w:val="18"/>
        </w:rPr>
        <w:t>ibidem</w:t>
      </w:r>
      <w:r w:rsidRPr="000A4115">
        <w:rPr>
          <w:rFonts w:ascii="Palatino Linotype" w:hAnsi="Palatino Linotype"/>
          <w:color w:val="000000" w:themeColor="text1"/>
          <w:sz w:val="18"/>
          <w:szCs w:val="18"/>
        </w:rPr>
        <w:t>,</w:t>
      </w:r>
      <w:r w:rsidRPr="000A4115">
        <w:rPr>
          <w:rFonts w:ascii="Palatino Linotype" w:hAnsi="Palatino Linotype"/>
          <w:i/>
          <w:color w:val="000000" w:themeColor="text1"/>
          <w:sz w:val="18"/>
          <w:szCs w:val="18"/>
        </w:rPr>
        <w:t xml:space="preserve"> </w:t>
      </w:r>
      <w:r w:rsidRPr="000A4115">
        <w:rPr>
          <w:rFonts w:ascii="Palatino Linotype" w:hAnsi="Palatino Linotype"/>
          <w:color w:val="000000" w:themeColor="text1"/>
          <w:sz w:val="18"/>
          <w:szCs w:val="18"/>
        </w:rPr>
        <w:t xml:space="preserve">p. 463. </w:t>
      </w:r>
    </w:p>
  </w:footnote>
  <w:footnote w:id="15">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P. </w:t>
      </w:r>
      <w:r w:rsidRPr="000A4115">
        <w:rPr>
          <w:rFonts w:ascii="Palatino Linotype" w:hAnsi="Palatino Linotype"/>
          <w:smallCaps/>
          <w:color w:val="000000" w:themeColor="text1"/>
          <w:sz w:val="18"/>
          <w:szCs w:val="18"/>
        </w:rPr>
        <w:t>Tillich</w:t>
      </w:r>
      <w:r w:rsidRPr="000A4115">
        <w:rPr>
          <w:rFonts w:ascii="Palatino Linotype" w:hAnsi="Palatino Linotype"/>
          <w:color w:val="000000" w:themeColor="text1"/>
          <w:sz w:val="18"/>
          <w:szCs w:val="18"/>
        </w:rPr>
        <w:t xml:space="preserve">, « Kairos I », </w:t>
      </w:r>
      <w:r w:rsidRPr="000A4115">
        <w:rPr>
          <w:rFonts w:ascii="Palatino Linotype" w:hAnsi="Palatino Linotype"/>
          <w:i/>
          <w:color w:val="000000" w:themeColor="text1"/>
          <w:sz w:val="18"/>
          <w:szCs w:val="18"/>
        </w:rPr>
        <w:t>ibidem</w:t>
      </w:r>
      <w:r w:rsidRPr="000A4115">
        <w:rPr>
          <w:rFonts w:ascii="Palatino Linotype" w:hAnsi="Palatino Linotype"/>
          <w:color w:val="000000" w:themeColor="text1"/>
          <w:sz w:val="18"/>
          <w:szCs w:val="18"/>
        </w:rPr>
        <w:t xml:space="preserve">, p. 160 : « Le socialisme religieux ne doit être le mouvement politique ni d’une Église ni d’un parti ». </w:t>
      </w:r>
    </w:p>
  </w:footnote>
  <w:footnote w:id="16">
    <w:p w:rsidR="0085141E" w:rsidRPr="000A4115" w:rsidRDefault="0085141E" w:rsidP="0085141E">
      <w:pPr>
        <w:pStyle w:val="Notedebasdepage"/>
        <w:spacing w:line="240" w:lineRule="auto"/>
        <w:rPr>
          <w:rFonts w:ascii="Palatino Linotype" w:hAnsi="Palatino Linotype"/>
          <w:color w:val="000000" w:themeColor="text1"/>
          <w:sz w:val="18"/>
          <w:szCs w:val="18"/>
          <w:lang w:val="de-CH"/>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lang w:val="de-CH"/>
        </w:rPr>
        <w:t xml:space="preserve"> </w:t>
      </w:r>
      <w:r w:rsidRPr="000A4115">
        <w:rPr>
          <w:rFonts w:ascii="Palatino Linotype" w:hAnsi="Palatino Linotype"/>
          <w:i/>
          <w:color w:val="000000" w:themeColor="text1"/>
          <w:sz w:val="18"/>
          <w:szCs w:val="18"/>
          <w:lang w:val="de-CH"/>
        </w:rPr>
        <w:t>Ibidem</w:t>
      </w:r>
      <w:r w:rsidRPr="000A4115">
        <w:rPr>
          <w:rFonts w:ascii="Palatino Linotype" w:hAnsi="Palatino Linotype"/>
          <w:color w:val="000000" w:themeColor="text1"/>
          <w:sz w:val="18"/>
          <w:szCs w:val="18"/>
          <w:lang w:val="de-CH"/>
        </w:rPr>
        <w:t>, p. 113-161.</w:t>
      </w:r>
    </w:p>
  </w:footnote>
  <w:footnote w:id="17">
    <w:p w:rsidR="0085141E" w:rsidRPr="000A4115" w:rsidRDefault="0085141E" w:rsidP="0085141E">
      <w:pPr>
        <w:pStyle w:val="Notedebasdepage"/>
        <w:spacing w:line="240" w:lineRule="auto"/>
        <w:rPr>
          <w:rFonts w:ascii="Palatino Linotype" w:hAnsi="Palatino Linotype"/>
          <w:color w:val="000000" w:themeColor="text1"/>
          <w:sz w:val="18"/>
          <w:szCs w:val="18"/>
          <w:lang w:val="de-CH"/>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lang w:val="de-CH"/>
        </w:rPr>
        <w:t xml:space="preserve"> </w:t>
      </w:r>
      <w:r w:rsidRPr="000A4115">
        <w:rPr>
          <w:rFonts w:ascii="Palatino Linotype" w:hAnsi="Palatino Linotype"/>
          <w:i/>
          <w:color w:val="000000" w:themeColor="text1"/>
          <w:sz w:val="18"/>
          <w:szCs w:val="18"/>
          <w:lang w:val="de-CH"/>
        </w:rPr>
        <w:t>Ibidem</w:t>
      </w:r>
      <w:r w:rsidRPr="000A4115">
        <w:rPr>
          <w:rFonts w:ascii="Palatino Linotype" w:hAnsi="Palatino Linotype"/>
          <w:color w:val="000000" w:themeColor="text1"/>
          <w:sz w:val="18"/>
          <w:szCs w:val="18"/>
          <w:lang w:val="de-CH"/>
        </w:rPr>
        <w:t xml:space="preserve">, p. 115. </w:t>
      </w:r>
    </w:p>
  </w:footnote>
  <w:footnote w:id="18">
    <w:p w:rsidR="0085141E" w:rsidRPr="000A4115" w:rsidRDefault="0085141E" w:rsidP="0085141E">
      <w:pPr>
        <w:pStyle w:val="Notedebasdepage"/>
        <w:spacing w:line="240" w:lineRule="auto"/>
        <w:rPr>
          <w:rFonts w:ascii="Palatino Linotype" w:hAnsi="Palatino Linotype"/>
          <w:color w:val="000000" w:themeColor="text1"/>
          <w:sz w:val="18"/>
          <w:szCs w:val="18"/>
          <w:lang w:val="de-CH"/>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lang w:val="de-CH"/>
        </w:rPr>
        <w:t xml:space="preserve"> </w:t>
      </w:r>
      <w:r w:rsidRPr="000A4115">
        <w:rPr>
          <w:rFonts w:ascii="Palatino Linotype" w:hAnsi="Palatino Linotype"/>
          <w:i/>
          <w:color w:val="000000" w:themeColor="text1"/>
          <w:sz w:val="18"/>
          <w:szCs w:val="18"/>
          <w:lang w:val="de-CH"/>
        </w:rPr>
        <w:t>Ibidem</w:t>
      </w:r>
      <w:r w:rsidRPr="000A4115">
        <w:rPr>
          <w:rFonts w:ascii="Palatino Linotype" w:hAnsi="Palatino Linotype"/>
          <w:color w:val="000000" w:themeColor="text1"/>
          <w:sz w:val="18"/>
          <w:szCs w:val="18"/>
          <w:lang w:val="de-CH"/>
        </w:rPr>
        <w:t xml:space="preserve">. </w:t>
      </w:r>
    </w:p>
  </w:footnote>
  <w:footnote w:id="19">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P. </w:t>
      </w:r>
      <w:r w:rsidRPr="000A4115">
        <w:rPr>
          <w:rFonts w:ascii="Palatino Linotype" w:hAnsi="Palatino Linotype"/>
          <w:smallCaps/>
          <w:color w:val="000000" w:themeColor="text1"/>
          <w:sz w:val="18"/>
          <w:szCs w:val="18"/>
        </w:rPr>
        <w:t>Tillich</w:t>
      </w:r>
      <w:r w:rsidRPr="000A4115">
        <w:rPr>
          <w:rFonts w:ascii="Palatino Linotype" w:hAnsi="Palatino Linotype"/>
          <w:color w:val="000000" w:themeColor="text1"/>
          <w:sz w:val="18"/>
          <w:szCs w:val="18"/>
        </w:rPr>
        <w:t xml:space="preserve">, « Les principes fondamentaux du socialisme religieux », </w:t>
      </w:r>
      <w:r w:rsidRPr="000A4115">
        <w:rPr>
          <w:rFonts w:ascii="Palatino Linotype" w:hAnsi="Palatino Linotype"/>
          <w:i/>
          <w:color w:val="000000" w:themeColor="text1"/>
          <w:sz w:val="18"/>
          <w:szCs w:val="18"/>
        </w:rPr>
        <w:t>ibidem</w:t>
      </w:r>
      <w:r w:rsidRPr="000A4115">
        <w:rPr>
          <w:rFonts w:ascii="Palatino Linotype" w:hAnsi="Palatino Linotype"/>
          <w:color w:val="000000" w:themeColor="text1"/>
          <w:sz w:val="18"/>
          <w:szCs w:val="18"/>
        </w:rPr>
        <w:t xml:space="preserve">, p. 174. </w:t>
      </w:r>
    </w:p>
  </w:footnote>
  <w:footnote w:id="20">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Jean </w:t>
      </w:r>
      <w:r w:rsidRPr="000A4115">
        <w:rPr>
          <w:rFonts w:ascii="Palatino Linotype" w:hAnsi="Palatino Linotype"/>
          <w:smallCaps/>
          <w:color w:val="000000" w:themeColor="text1"/>
          <w:sz w:val="18"/>
          <w:szCs w:val="18"/>
        </w:rPr>
        <w:t>Richard</w:t>
      </w:r>
      <w:r w:rsidRPr="000A4115">
        <w:rPr>
          <w:rFonts w:ascii="Palatino Linotype" w:hAnsi="Palatino Linotype"/>
          <w:color w:val="000000" w:themeColor="text1"/>
          <w:sz w:val="18"/>
          <w:szCs w:val="18"/>
        </w:rPr>
        <w:t xml:space="preserve">, « Introduction au Tillich socialiste », </w:t>
      </w:r>
      <w:r w:rsidRPr="000A4115">
        <w:rPr>
          <w:rFonts w:ascii="Palatino Linotype" w:hAnsi="Palatino Linotype"/>
          <w:i/>
          <w:color w:val="000000" w:themeColor="text1"/>
          <w:sz w:val="18"/>
          <w:szCs w:val="18"/>
        </w:rPr>
        <w:t>ibidem</w:t>
      </w:r>
      <w:r w:rsidRPr="000A4115">
        <w:rPr>
          <w:rFonts w:ascii="Palatino Linotype" w:hAnsi="Palatino Linotype"/>
          <w:color w:val="000000" w:themeColor="text1"/>
          <w:sz w:val="18"/>
          <w:szCs w:val="18"/>
        </w:rPr>
        <w:t xml:space="preserve">, p. LXV. </w:t>
      </w:r>
    </w:p>
  </w:footnote>
  <w:footnote w:id="21">
    <w:p w:rsidR="0085141E" w:rsidRPr="000A4115" w:rsidRDefault="0085141E" w:rsidP="0085141E">
      <w:pPr>
        <w:pStyle w:val="Notedebasdepage"/>
        <w:spacing w:line="240" w:lineRule="auto"/>
        <w:rPr>
          <w:rFonts w:ascii="Palatino Linotype" w:hAnsi="Palatino Linotype"/>
          <w:color w:val="000000" w:themeColor="text1"/>
          <w:sz w:val="18"/>
          <w:szCs w:val="18"/>
          <w:lang w:val="en-US"/>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lang w:val="en-US"/>
        </w:rPr>
        <w:t xml:space="preserve"> P. </w:t>
      </w:r>
      <w:r w:rsidRPr="000A4115">
        <w:rPr>
          <w:rFonts w:ascii="Palatino Linotype" w:hAnsi="Palatino Linotype"/>
          <w:smallCaps/>
          <w:color w:val="000000" w:themeColor="text1"/>
          <w:sz w:val="18"/>
          <w:szCs w:val="18"/>
          <w:lang w:val="en-US"/>
        </w:rPr>
        <w:t>Tillich</w:t>
      </w:r>
      <w:r w:rsidRPr="000A4115">
        <w:rPr>
          <w:rFonts w:ascii="Palatino Linotype" w:hAnsi="Palatino Linotype"/>
          <w:color w:val="000000" w:themeColor="text1"/>
          <w:sz w:val="18"/>
          <w:szCs w:val="18"/>
          <w:lang w:val="en-US"/>
        </w:rPr>
        <w:t>, « Kairos I », p. 116.</w:t>
      </w:r>
    </w:p>
  </w:footnote>
  <w:footnote w:id="22">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Allusion à : </w:t>
      </w:r>
      <w:r w:rsidRPr="000A4115">
        <w:rPr>
          <w:rFonts w:ascii="Palatino Linotype" w:hAnsi="Palatino Linotype"/>
          <w:i/>
          <w:color w:val="000000" w:themeColor="text1"/>
          <w:sz w:val="18"/>
          <w:szCs w:val="18"/>
        </w:rPr>
        <w:t>« Quand vint la plénitude du temps, Dieu envoya son Fils »</w:t>
      </w:r>
      <w:r w:rsidRPr="000A4115">
        <w:rPr>
          <w:rFonts w:ascii="Palatino Linotype" w:hAnsi="Palatino Linotype"/>
          <w:color w:val="000000" w:themeColor="text1"/>
          <w:sz w:val="18"/>
          <w:szCs w:val="18"/>
        </w:rPr>
        <w:t xml:space="preserve"> (Ga 4, 4). </w:t>
      </w:r>
    </w:p>
  </w:footnote>
  <w:footnote w:id="23">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Paul </w:t>
      </w:r>
      <w:r w:rsidRPr="000A4115">
        <w:rPr>
          <w:rFonts w:ascii="Palatino Linotype" w:hAnsi="Palatino Linotype"/>
          <w:smallCaps/>
          <w:color w:val="000000" w:themeColor="text1"/>
          <w:sz w:val="18"/>
          <w:szCs w:val="18"/>
        </w:rPr>
        <w:t>Tillich</w:t>
      </w:r>
      <w:r w:rsidRPr="000A4115">
        <w:rPr>
          <w:rFonts w:ascii="Palatino Linotype" w:hAnsi="Palatino Linotype"/>
          <w:color w:val="000000" w:themeColor="text1"/>
          <w:sz w:val="18"/>
          <w:szCs w:val="18"/>
        </w:rPr>
        <w:t xml:space="preserve">, « Introduction de l'auteur », dans </w:t>
      </w:r>
      <w:r w:rsidRPr="000A4115">
        <w:rPr>
          <w:rFonts w:ascii="Palatino Linotype" w:hAnsi="Palatino Linotype"/>
          <w:smallCaps/>
          <w:color w:val="000000" w:themeColor="text1"/>
          <w:sz w:val="18"/>
          <w:szCs w:val="18"/>
        </w:rPr>
        <w:t>Idem</w:t>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Substance catholique et principe protestant</w:t>
      </w:r>
      <w:r w:rsidRPr="000A4115">
        <w:rPr>
          <w:rFonts w:ascii="Palatino Linotype" w:hAnsi="Palatino Linotype"/>
          <w:color w:val="000000" w:themeColor="text1"/>
          <w:sz w:val="18"/>
          <w:szCs w:val="18"/>
        </w:rPr>
        <w:t xml:space="preserve">, Paris / Genève / Québec, Cerf / Labor et Fides / Presses de l'Université Laval, p. 234. </w:t>
      </w:r>
    </w:p>
  </w:footnote>
  <w:footnote w:id="24">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André </w:t>
      </w:r>
      <w:r w:rsidRPr="000A4115">
        <w:rPr>
          <w:rFonts w:ascii="Palatino Linotype" w:hAnsi="Palatino Linotype"/>
          <w:smallCaps/>
          <w:color w:val="000000" w:themeColor="text1"/>
          <w:sz w:val="18"/>
          <w:szCs w:val="18"/>
        </w:rPr>
        <w:t>Gounelle</w:t>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Paul Tillich.</w:t>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Une foi réfléchie</w:t>
      </w:r>
      <w:r w:rsidRPr="000A4115">
        <w:rPr>
          <w:rFonts w:ascii="Palatino Linotype" w:hAnsi="Palatino Linotype"/>
          <w:color w:val="000000" w:themeColor="text1"/>
          <w:sz w:val="18"/>
          <w:szCs w:val="18"/>
        </w:rPr>
        <w:t xml:space="preserve">, coll. </w:t>
      </w:r>
      <w:r w:rsidRPr="000A4115">
        <w:rPr>
          <w:rFonts w:ascii="Palatino Linotype" w:hAnsi="Palatino Linotype"/>
          <w:i/>
          <w:color w:val="000000" w:themeColor="text1"/>
          <w:sz w:val="18"/>
          <w:szCs w:val="18"/>
        </w:rPr>
        <w:t>Figures Protestantes</w:t>
      </w:r>
      <w:r w:rsidRPr="000A4115">
        <w:rPr>
          <w:rFonts w:ascii="Palatino Linotype" w:hAnsi="Palatino Linotype"/>
          <w:color w:val="000000" w:themeColor="text1"/>
          <w:sz w:val="18"/>
          <w:szCs w:val="18"/>
        </w:rPr>
        <w:t xml:space="preserve">, Lyon, </w:t>
      </w:r>
      <w:proofErr w:type="spellStart"/>
      <w:r w:rsidRPr="000A4115">
        <w:rPr>
          <w:rFonts w:ascii="Palatino Linotype" w:hAnsi="Palatino Linotype"/>
          <w:color w:val="000000" w:themeColor="text1"/>
          <w:sz w:val="18"/>
          <w:szCs w:val="18"/>
        </w:rPr>
        <w:t>Olivétan</w:t>
      </w:r>
      <w:proofErr w:type="spellEnd"/>
      <w:r w:rsidRPr="000A4115">
        <w:rPr>
          <w:rFonts w:ascii="Palatino Linotype" w:hAnsi="Palatino Linotype"/>
          <w:color w:val="000000" w:themeColor="text1"/>
          <w:sz w:val="18"/>
          <w:szCs w:val="18"/>
        </w:rPr>
        <w:t>, 2013, p. 106.</w:t>
      </w:r>
    </w:p>
  </w:footnote>
  <w:footnote w:id="25">
    <w:p w:rsidR="0085141E" w:rsidRPr="000A4115" w:rsidRDefault="0085141E" w:rsidP="0085141E">
      <w:pPr>
        <w:pStyle w:val="Notedebasdepage"/>
        <w:spacing w:line="240" w:lineRule="auto"/>
        <w:rPr>
          <w:rFonts w:ascii="Palatino Linotype" w:hAnsi="Palatino Linotype"/>
          <w:color w:val="000000" w:themeColor="text1"/>
          <w:sz w:val="18"/>
          <w:szCs w:val="18"/>
          <w:lang w:val="en-US"/>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lang w:val="en-US"/>
        </w:rPr>
        <w:t xml:space="preserve"> P. </w:t>
      </w:r>
      <w:r w:rsidRPr="000A4115">
        <w:rPr>
          <w:rFonts w:ascii="Palatino Linotype" w:hAnsi="Palatino Linotype"/>
          <w:smallCaps/>
          <w:color w:val="000000" w:themeColor="text1"/>
          <w:sz w:val="18"/>
          <w:szCs w:val="18"/>
          <w:lang w:val="en-US"/>
        </w:rPr>
        <w:t>Tillich</w:t>
      </w:r>
      <w:r w:rsidRPr="000A4115">
        <w:rPr>
          <w:rFonts w:ascii="Palatino Linotype" w:hAnsi="Palatino Linotype"/>
          <w:color w:val="000000" w:themeColor="text1"/>
          <w:sz w:val="18"/>
          <w:szCs w:val="18"/>
          <w:lang w:val="en-US"/>
        </w:rPr>
        <w:t>, « Kairos I », p. 116.</w:t>
      </w:r>
    </w:p>
  </w:footnote>
  <w:footnote w:id="26">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A. </w:t>
      </w:r>
      <w:r w:rsidRPr="000A4115">
        <w:rPr>
          <w:rFonts w:ascii="Palatino Linotype" w:hAnsi="Palatino Linotype"/>
          <w:smallCaps/>
          <w:color w:val="000000" w:themeColor="text1"/>
          <w:sz w:val="18"/>
          <w:szCs w:val="18"/>
        </w:rPr>
        <w:t>Gounelle</w:t>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Paul Tillich.</w:t>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Une foi réfléchie</w:t>
      </w:r>
      <w:r w:rsidRPr="000A4115">
        <w:rPr>
          <w:rFonts w:ascii="Palatino Linotype" w:hAnsi="Palatino Linotype"/>
          <w:color w:val="000000" w:themeColor="text1"/>
          <w:sz w:val="18"/>
          <w:szCs w:val="18"/>
        </w:rPr>
        <w:t>, p. 107-108.</w:t>
      </w:r>
    </w:p>
  </w:footnote>
  <w:footnote w:id="27">
    <w:p w:rsidR="0085141E" w:rsidRPr="000A4115" w:rsidRDefault="0085141E" w:rsidP="0085141E">
      <w:pPr>
        <w:pStyle w:val="Notedebasdepage"/>
        <w:spacing w:line="240" w:lineRule="auto"/>
        <w:rPr>
          <w:rFonts w:ascii="Palatino Linotype" w:hAnsi="Palatino Linotype"/>
          <w:color w:val="000000" w:themeColor="text1"/>
          <w:sz w:val="18"/>
          <w:szCs w:val="18"/>
          <w:lang w:val="en-US"/>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lang w:val="en-US"/>
        </w:rPr>
        <w:t xml:space="preserve"> P. </w:t>
      </w:r>
      <w:r w:rsidRPr="000A4115">
        <w:rPr>
          <w:rFonts w:ascii="Palatino Linotype" w:hAnsi="Palatino Linotype"/>
          <w:smallCaps/>
          <w:color w:val="000000" w:themeColor="text1"/>
          <w:sz w:val="18"/>
          <w:szCs w:val="18"/>
          <w:lang w:val="en-US"/>
        </w:rPr>
        <w:t>Tillich</w:t>
      </w:r>
      <w:r w:rsidRPr="000A4115">
        <w:rPr>
          <w:rFonts w:ascii="Palatino Linotype" w:hAnsi="Palatino Linotype"/>
          <w:color w:val="000000" w:themeColor="text1"/>
          <w:sz w:val="18"/>
          <w:szCs w:val="18"/>
          <w:lang w:val="en-US"/>
        </w:rPr>
        <w:t>, « Kairos I », p. 150.</w:t>
      </w:r>
    </w:p>
  </w:footnote>
  <w:footnote w:id="28">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Cf. : </w:t>
      </w:r>
      <w:r w:rsidRPr="000A4115">
        <w:rPr>
          <w:rFonts w:ascii="Palatino Linotype" w:hAnsi="Palatino Linotype"/>
          <w:i/>
          <w:color w:val="000000" w:themeColor="text1"/>
          <w:sz w:val="18"/>
          <w:szCs w:val="18"/>
        </w:rPr>
        <w:t>« Le temps [kairos] est accompli, le Royaume de Dieu s’approche, convertissez-vous »</w:t>
      </w:r>
      <w:r w:rsidRPr="000A4115">
        <w:rPr>
          <w:rFonts w:ascii="Palatino Linotype" w:hAnsi="Palatino Linotype"/>
          <w:color w:val="000000" w:themeColor="text1"/>
          <w:sz w:val="18"/>
          <w:szCs w:val="18"/>
        </w:rPr>
        <w:t xml:space="preserve"> (Mc 1, 15). </w:t>
      </w:r>
    </w:p>
  </w:footnote>
  <w:footnote w:id="29">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Tillich cite la Grèce antique, les Lumières, la fin de l’Antiquité, etc. : chacun de ces événements constitue « un moment saillant dans le processus temporel, un moment où l’éternel fait irruption dans le temporel, l’ébranle et le transforme, et amène une crise jusque dans les profondeurs de l’existence humaine » (Paul </w:t>
      </w:r>
      <w:r w:rsidRPr="000A4115">
        <w:rPr>
          <w:rFonts w:ascii="Palatino Linotype" w:hAnsi="Palatino Linotype"/>
          <w:smallCaps/>
          <w:color w:val="000000" w:themeColor="text1"/>
          <w:sz w:val="18"/>
          <w:szCs w:val="18"/>
        </w:rPr>
        <w:t>Tillich</w:t>
      </w:r>
      <w:r w:rsidRPr="000A4115">
        <w:rPr>
          <w:rFonts w:ascii="Palatino Linotype" w:hAnsi="Palatino Linotype"/>
          <w:color w:val="000000" w:themeColor="text1"/>
          <w:sz w:val="18"/>
          <w:szCs w:val="18"/>
        </w:rPr>
        <w:t>, « Kairos I », p. 146).</w:t>
      </w:r>
    </w:p>
  </w:footnote>
  <w:footnote w:id="30">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Ibidem</w:t>
      </w:r>
      <w:r w:rsidRPr="000A4115">
        <w:rPr>
          <w:rFonts w:ascii="Palatino Linotype" w:hAnsi="Palatino Linotype"/>
          <w:color w:val="000000" w:themeColor="text1"/>
          <w:sz w:val="18"/>
          <w:szCs w:val="18"/>
        </w:rPr>
        <w:t>, p. 150-151.</w:t>
      </w:r>
    </w:p>
  </w:footnote>
  <w:footnote w:id="31">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w:t>
      </w:r>
      <w:proofErr w:type="spellStart"/>
      <w:r w:rsidRPr="000A4115">
        <w:rPr>
          <w:rFonts w:ascii="Palatino Linotype" w:hAnsi="Palatino Linotype"/>
          <w:color w:val="000000" w:themeColor="text1"/>
          <w:sz w:val="18"/>
          <w:szCs w:val="18"/>
        </w:rPr>
        <w:t>P.</w:t>
      </w:r>
      <w:r w:rsidRPr="000A4115">
        <w:rPr>
          <w:rFonts w:ascii="Palatino Linotype" w:hAnsi="Palatino Linotype"/>
          <w:smallCaps/>
          <w:color w:val="000000" w:themeColor="text1"/>
          <w:sz w:val="18"/>
          <w:szCs w:val="18"/>
        </w:rPr>
        <w:t>Tillich</w:t>
      </w:r>
      <w:proofErr w:type="spellEnd"/>
      <w:r w:rsidRPr="000A4115">
        <w:rPr>
          <w:rFonts w:ascii="Palatino Linotype" w:hAnsi="Palatino Linotype"/>
          <w:color w:val="000000" w:themeColor="text1"/>
          <w:sz w:val="18"/>
          <w:szCs w:val="18"/>
        </w:rPr>
        <w:t xml:space="preserve">, « Les principes fondamentaux du socialisme religieux », p. 175. </w:t>
      </w:r>
    </w:p>
  </w:footnote>
  <w:footnote w:id="32">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A. </w:t>
      </w:r>
      <w:r w:rsidRPr="000A4115">
        <w:rPr>
          <w:rFonts w:ascii="Palatino Linotype" w:hAnsi="Palatino Linotype"/>
          <w:smallCaps/>
          <w:color w:val="000000" w:themeColor="text1"/>
          <w:sz w:val="18"/>
          <w:szCs w:val="18"/>
        </w:rPr>
        <w:t>Gounelle</w:t>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Paul Tillich. Une foi réfléchie</w:t>
      </w:r>
      <w:r w:rsidRPr="000A4115">
        <w:rPr>
          <w:rFonts w:ascii="Palatino Linotype" w:hAnsi="Palatino Linotype"/>
          <w:color w:val="000000" w:themeColor="text1"/>
          <w:sz w:val="18"/>
          <w:szCs w:val="18"/>
        </w:rPr>
        <w:t xml:space="preserve">, p. 116. </w:t>
      </w:r>
    </w:p>
  </w:footnote>
  <w:footnote w:id="33">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A. </w:t>
      </w:r>
      <w:r w:rsidRPr="000A4115">
        <w:rPr>
          <w:rFonts w:ascii="Palatino Linotype" w:hAnsi="Palatino Linotype"/>
          <w:smallCaps/>
          <w:color w:val="000000" w:themeColor="text1"/>
          <w:sz w:val="18"/>
          <w:szCs w:val="18"/>
        </w:rPr>
        <w:t>Gounelle</w:t>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Paul Tillich. Une foi réfléchie</w:t>
      </w:r>
      <w:r w:rsidRPr="000A4115">
        <w:rPr>
          <w:rFonts w:ascii="Palatino Linotype" w:hAnsi="Palatino Linotype"/>
          <w:color w:val="000000" w:themeColor="text1"/>
          <w:sz w:val="18"/>
          <w:szCs w:val="18"/>
        </w:rPr>
        <w:t>, p. 113.</w:t>
      </w:r>
    </w:p>
  </w:footnote>
  <w:footnote w:id="34">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Paul </w:t>
      </w:r>
      <w:r w:rsidRPr="000A4115">
        <w:rPr>
          <w:rFonts w:ascii="Palatino Linotype" w:hAnsi="Palatino Linotype"/>
          <w:smallCaps/>
          <w:color w:val="000000" w:themeColor="text1"/>
          <w:sz w:val="18"/>
          <w:szCs w:val="18"/>
        </w:rPr>
        <w:t>Tillich</w:t>
      </w:r>
      <w:r w:rsidRPr="000A4115">
        <w:rPr>
          <w:rFonts w:ascii="Palatino Linotype" w:hAnsi="Palatino Linotype"/>
          <w:color w:val="000000" w:themeColor="text1"/>
          <w:sz w:val="18"/>
          <w:szCs w:val="18"/>
        </w:rPr>
        <w:t xml:space="preserve">, « Kairos II », dans </w:t>
      </w:r>
      <w:r w:rsidRPr="000A4115">
        <w:rPr>
          <w:rFonts w:ascii="Palatino Linotype" w:hAnsi="Palatino Linotype"/>
          <w:smallCaps/>
          <w:color w:val="000000" w:themeColor="text1"/>
          <w:sz w:val="18"/>
          <w:szCs w:val="18"/>
        </w:rPr>
        <w:t>Idem</w:t>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 xml:space="preserve">Christianisme et socialisme. Écrits socialistes allemands (1919-1931), </w:t>
      </w:r>
      <w:r w:rsidRPr="000A4115">
        <w:rPr>
          <w:rFonts w:ascii="Palatino Linotype" w:hAnsi="Palatino Linotype"/>
          <w:color w:val="000000" w:themeColor="text1"/>
          <w:sz w:val="18"/>
          <w:szCs w:val="18"/>
        </w:rPr>
        <w:t>p. 259.</w:t>
      </w:r>
    </w:p>
  </w:footnote>
  <w:footnote w:id="35">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Paul </w:t>
      </w:r>
      <w:r w:rsidRPr="000A4115">
        <w:rPr>
          <w:rFonts w:ascii="Palatino Linotype" w:hAnsi="Palatino Linotype"/>
          <w:smallCaps/>
          <w:color w:val="000000" w:themeColor="text1"/>
          <w:sz w:val="18"/>
          <w:szCs w:val="18"/>
        </w:rPr>
        <w:t>Tillich</w:t>
      </w:r>
      <w:r w:rsidRPr="000A4115">
        <w:rPr>
          <w:rFonts w:ascii="Palatino Linotype" w:hAnsi="Palatino Linotype"/>
          <w:color w:val="000000" w:themeColor="text1"/>
          <w:sz w:val="18"/>
          <w:szCs w:val="18"/>
        </w:rPr>
        <w:t xml:space="preserve">, « Lettre ouverte à Emanuel </w:t>
      </w:r>
      <w:proofErr w:type="spellStart"/>
      <w:r w:rsidRPr="000A4115">
        <w:rPr>
          <w:rFonts w:ascii="Palatino Linotype" w:hAnsi="Palatino Linotype"/>
          <w:color w:val="000000" w:themeColor="text1"/>
          <w:sz w:val="18"/>
          <w:szCs w:val="18"/>
        </w:rPr>
        <w:t>Hirsch</w:t>
      </w:r>
      <w:proofErr w:type="spellEnd"/>
      <w:r w:rsidRPr="000A4115">
        <w:rPr>
          <w:rFonts w:ascii="Palatino Linotype" w:hAnsi="Palatino Linotype"/>
          <w:color w:val="000000" w:themeColor="text1"/>
          <w:sz w:val="18"/>
          <w:szCs w:val="18"/>
        </w:rPr>
        <w:t xml:space="preserve"> », dans </w:t>
      </w:r>
      <w:r w:rsidRPr="000A4115">
        <w:rPr>
          <w:rFonts w:ascii="Palatino Linotype" w:hAnsi="Palatino Linotype"/>
          <w:smallCaps/>
          <w:color w:val="000000" w:themeColor="text1"/>
          <w:sz w:val="18"/>
          <w:szCs w:val="18"/>
        </w:rPr>
        <w:t>Idem</w:t>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Écrits contre les nazis (1932-1935)</w:t>
      </w:r>
      <w:r w:rsidRPr="000A4115">
        <w:rPr>
          <w:rFonts w:ascii="Palatino Linotype" w:hAnsi="Palatino Linotype"/>
          <w:color w:val="000000" w:themeColor="text1"/>
          <w:sz w:val="18"/>
          <w:szCs w:val="18"/>
        </w:rPr>
        <w:t>, Paris / Genève / Québec, Cerf / Labor et Fides / Presses Universitaires de Laval, 1994, p. 229.</w:t>
      </w:r>
    </w:p>
  </w:footnote>
  <w:footnote w:id="36">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A. </w:t>
      </w:r>
      <w:r w:rsidRPr="000A4115">
        <w:rPr>
          <w:rFonts w:ascii="Palatino Linotype" w:hAnsi="Palatino Linotype"/>
          <w:smallCaps/>
          <w:color w:val="000000" w:themeColor="text1"/>
          <w:sz w:val="18"/>
          <w:szCs w:val="18"/>
        </w:rPr>
        <w:t>Gounelle</w:t>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Paul Tillich. Une foi réfléchie</w:t>
      </w:r>
      <w:r w:rsidRPr="000A4115">
        <w:rPr>
          <w:rFonts w:ascii="Palatino Linotype" w:hAnsi="Palatino Linotype"/>
          <w:color w:val="000000" w:themeColor="text1"/>
          <w:sz w:val="18"/>
          <w:szCs w:val="18"/>
        </w:rPr>
        <w:t xml:space="preserve">, p. 115. </w:t>
      </w:r>
    </w:p>
  </w:footnote>
  <w:footnote w:id="37">
    <w:p w:rsidR="0085141E" w:rsidRPr="000A4115" w:rsidRDefault="0085141E" w:rsidP="0085141E">
      <w:pPr>
        <w:pStyle w:val="Notedebasdepage"/>
        <w:spacing w:line="240" w:lineRule="auto"/>
        <w:rPr>
          <w:rFonts w:ascii="Palatino Linotype" w:hAnsi="Palatino Linotype"/>
          <w:color w:val="000000" w:themeColor="text1"/>
          <w:sz w:val="18"/>
          <w:szCs w:val="18"/>
          <w:lang w:val="de-CH"/>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lang w:val="de-CH"/>
        </w:rPr>
        <w:t xml:space="preserve"> </w:t>
      </w:r>
      <w:r w:rsidRPr="000A4115">
        <w:rPr>
          <w:rFonts w:ascii="Palatino Linotype" w:hAnsi="Palatino Linotype"/>
          <w:i/>
          <w:color w:val="000000" w:themeColor="text1"/>
          <w:sz w:val="18"/>
          <w:szCs w:val="18"/>
          <w:lang w:val="de-CH"/>
        </w:rPr>
        <w:t>Ibidem</w:t>
      </w:r>
      <w:r w:rsidRPr="000A4115">
        <w:rPr>
          <w:rFonts w:ascii="Palatino Linotype" w:hAnsi="Palatino Linotype"/>
          <w:color w:val="000000" w:themeColor="text1"/>
          <w:sz w:val="18"/>
          <w:szCs w:val="18"/>
          <w:lang w:val="de-CH"/>
        </w:rPr>
        <w:t>.</w:t>
      </w:r>
    </w:p>
  </w:footnote>
  <w:footnote w:id="38">
    <w:p w:rsidR="0085141E" w:rsidRPr="000A4115" w:rsidRDefault="0085141E" w:rsidP="0085141E">
      <w:pPr>
        <w:pStyle w:val="Notedebasdepage"/>
        <w:spacing w:line="240" w:lineRule="auto"/>
        <w:rPr>
          <w:rFonts w:ascii="Palatino Linotype" w:hAnsi="Palatino Linotype"/>
          <w:color w:val="000000" w:themeColor="text1"/>
          <w:sz w:val="18"/>
          <w:szCs w:val="18"/>
          <w:lang w:val="de-CH"/>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lang w:val="de-CH"/>
        </w:rPr>
        <w:t xml:space="preserve"> P. </w:t>
      </w:r>
      <w:r w:rsidRPr="000A4115">
        <w:rPr>
          <w:rFonts w:ascii="Palatino Linotype" w:hAnsi="Palatino Linotype"/>
          <w:smallCaps/>
          <w:color w:val="000000" w:themeColor="text1"/>
          <w:sz w:val="18"/>
          <w:szCs w:val="18"/>
          <w:lang w:val="de-CH"/>
        </w:rPr>
        <w:t>Tillich</w:t>
      </w:r>
      <w:r w:rsidRPr="000A4115">
        <w:rPr>
          <w:rFonts w:ascii="Palatino Linotype" w:hAnsi="Palatino Linotype"/>
          <w:color w:val="000000" w:themeColor="text1"/>
          <w:sz w:val="18"/>
          <w:szCs w:val="18"/>
          <w:lang w:val="de-CH"/>
        </w:rPr>
        <w:t>, « Kairos I », p. 152.</w:t>
      </w:r>
    </w:p>
  </w:footnote>
  <w:footnote w:id="39">
    <w:p w:rsidR="0085141E" w:rsidRPr="000A4115" w:rsidRDefault="0085141E" w:rsidP="0085141E">
      <w:pPr>
        <w:pStyle w:val="Notedebasdepage"/>
        <w:spacing w:line="240" w:lineRule="auto"/>
        <w:rPr>
          <w:rFonts w:ascii="Palatino Linotype" w:hAnsi="Palatino Linotype"/>
          <w:color w:val="000000" w:themeColor="text1"/>
          <w:sz w:val="18"/>
          <w:szCs w:val="18"/>
          <w:lang w:val="de-CH"/>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lang w:val="de-CH"/>
        </w:rPr>
        <w:t xml:space="preserve"> Paul </w:t>
      </w:r>
      <w:r w:rsidRPr="000A4115">
        <w:rPr>
          <w:rFonts w:ascii="Palatino Linotype" w:hAnsi="Palatino Linotype"/>
          <w:smallCaps/>
          <w:color w:val="000000" w:themeColor="text1"/>
          <w:sz w:val="18"/>
          <w:szCs w:val="18"/>
          <w:lang w:val="de-CH"/>
        </w:rPr>
        <w:t>Tillich</w:t>
      </w:r>
      <w:r w:rsidRPr="000A4115">
        <w:rPr>
          <w:rFonts w:ascii="Palatino Linotype" w:hAnsi="Palatino Linotype"/>
          <w:color w:val="000000" w:themeColor="text1"/>
          <w:sz w:val="18"/>
          <w:szCs w:val="18"/>
          <w:lang w:val="de-CH"/>
        </w:rPr>
        <w:t xml:space="preserve">, </w:t>
      </w:r>
      <w:r w:rsidRPr="000A4115">
        <w:rPr>
          <w:rFonts w:ascii="Palatino Linotype" w:hAnsi="Palatino Linotype"/>
          <w:color w:val="000000" w:themeColor="text1"/>
          <w:sz w:val="18"/>
          <w:szCs w:val="18"/>
        </w:rPr>
        <w:t>« </w:t>
      </w:r>
      <w:proofErr w:type="spellStart"/>
      <w:r w:rsidRPr="000A4115">
        <w:rPr>
          <w:rFonts w:ascii="Palatino Linotype" w:hAnsi="Palatino Linotype"/>
          <w:color w:val="000000" w:themeColor="text1"/>
          <w:sz w:val="18"/>
          <w:szCs w:val="18"/>
          <w:lang w:val="de-CH"/>
        </w:rPr>
        <w:t>Déclin</w:t>
      </w:r>
      <w:proofErr w:type="spellEnd"/>
      <w:r w:rsidRPr="000A4115">
        <w:rPr>
          <w:rFonts w:ascii="Palatino Linotype" w:hAnsi="Palatino Linotype"/>
          <w:color w:val="000000" w:themeColor="text1"/>
          <w:sz w:val="18"/>
          <w:szCs w:val="18"/>
          <w:lang w:val="de-CH"/>
        </w:rPr>
        <w:t xml:space="preserve"> et </w:t>
      </w:r>
      <w:proofErr w:type="spellStart"/>
      <w:r w:rsidRPr="000A4115">
        <w:rPr>
          <w:rFonts w:ascii="Palatino Linotype" w:hAnsi="Palatino Linotype"/>
          <w:color w:val="000000" w:themeColor="text1"/>
          <w:sz w:val="18"/>
          <w:szCs w:val="18"/>
          <w:lang w:val="de-CH"/>
        </w:rPr>
        <w:t>valeur</w:t>
      </w:r>
      <w:proofErr w:type="spellEnd"/>
      <w:r w:rsidRPr="000A4115">
        <w:rPr>
          <w:rFonts w:ascii="Palatino Linotype" w:hAnsi="Palatino Linotype"/>
          <w:color w:val="000000" w:themeColor="text1"/>
          <w:sz w:val="18"/>
          <w:szCs w:val="18"/>
          <w:lang w:val="de-CH"/>
        </w:rPr>
        <w:t xml:space="preserve"> de </w:t>
      </w:r>
      <w:proofErr w:type="spellStart"/>
      <w:r w:rsidRPr="000A4115">
        <w:rPr>
          <w:rFonts w:ascii="Palatino Linotype" w:hAnsi="Palatino Linotype"/>
          <w:color w:val="000000" w:themeColor="text1"/>
          <w:sz w:val="18"/>
          <w:szCs w:val="18"/>
          <w:lang w:val="de-CH"/>
        </w:rPr>
        <w:t>l’idée</w:t>
      </w:r>
      <w:proofErr w:type="spellEnd"/>
      <w:r w:rsidRPr="000A4115">
        <w:rPr>
          <w:rFonts w:ascii="Palatino Linotype" w:hAnsi="Palatino Linotype"/>
          <w:color w:val="000000" w:themeColor="text1"/>
          <w:sz w:val="18"/>
          <w:szCs w:val="18"/>
          <w:lang w:val="de-CH"/>
        </w:rPr>
        <w:t xml:space="preserve"> de </w:t>
      </w:r>
      <w:proofErr w:type="spellStart"/>
      <w:r w:rsidRPr="000A4115">
        <w:rPr>
          <w:rFonts w:ascii="Palatino Linotype" w:hAnsi="Palatino Linotype"/>
          <w:color w:val="000000" w:themeColor="text1"/>
          <w:sz w:val="18"/>
          <w:szCs w:val="18"/>
          <w:lang w:val="de-CH"/>
        </w:rPr>
        <w:t>progrès</w:t>
      </w:r>
      <w:proofErr w:type="spellEnd"/>
      <w:r w:rsidRPr="000A4115">
        <w:rPr>
          <w:rFonts w:ascii="Palatino Linotype" w:hAnsi="Palatino Linotype"/>
          <w:color w:val="000000" w:themeColor="text1"/>
          <w:sz w:val="18"/>
          <w:szCs w:val="18"/>
          <w:lang w:val="de-CH"/>
        </w:rPr>
        <w:t xml:space="preserve"> </w:t>
      </w:r>
      <w:r w:rsidRPr="000A4115">
        <w:rPr>
          <w:rFonts w:ascii="Palatino Linotype" w:hAnsi="Palatino Linotype"/>
          <w:color w:val="000000" w:themeColor="text1"/>
          <w:sz w:val="18"/>
          <w:szCs w:val="18"/>
        </w:rPr>
        <w:t>»</w:t>
      </w:r>
      <w:r w:rsidRPr="000A4115">
        <w:rPr>
          <w:rFonts w:ascii="Palatino Linotype" w:hAnsi="Palatino Linotype"/>
          <w:color w:val="000000" w:themeColor="text1"/>
          <w:sz w:val="18"/>
          <w:szCs w:val="18"/>
          <w:lang w:val="de-CH"/>
        </w:rPr>
        <w:t xml:space="preserve">, </w:t>
      </w:r>
      <w:proofErr w:type="spellStart"/>
      <w:r w:rsidRPr="000A4115">
        <w:rPr>
          <w:rFonts w:ascii="Palatino Linotype" w:hAnsi="Palatino Linotype"/>
          <w:color w:val="000000" w:themeColor="text1"/>
          <w:sz w:val="18"/>
          <w:szCs w:val="18"/>
          <w:lang w:val="de-CH"/>
        </w:rPr>
        <w:t>dans</w:t>
      </w:r>
      <w:proofErr w:type="spellEnd"/>
      <w:r w:rsidRPr="000A4115">
        <w:rPr>
          <w:rFonts w:ascii="Palatino Linotype" w:hAnsi="Palatino Linotype"/>
          <w:color w:val="000000" w:themeColor="text1"/>
          <w:sz w:val="18"/>
          <w:szCs w:val="18"/>
          <w:lang w:val="de-CH"/>
        </w:rPr>
        <w:t xml:space="preserve"> </w:t>
      </w:r>
      <w:r w:rsidRPr="000A4115">
        <w:rPr>
          <w:rFonts w:ascii="Palatino Linotype" w:hAnsi="Palatino Linotype"/>
          <w:smallCaps/>
          <w:color w:val="000000" w:themeColor="text1"/>
          <w:sz w:val="18"/>
          <w:szCs w:val="18"/>
          <w:lang w:val="de-CH"/>
        </w:rPr>
        <w:t>Idem</w:t>
      </w:r>
      <w:r w:rsidRPr="000A4115">
        <w:rPr>
          <w:rFonts w:ascii="Palatino Linotype" w:hAnsi="Palatino Linotype"/>
          <w:color w:val="000000" w:themeColor="text1"/>
          <w:sz w:val="18"/>
          <w:szCs w:val="18"/>
          <w:lang w:val="de-CH"/>
        </w:rPr>
        <w:t xml:space="preserve">, </w:t>
      </w:r>
      <w:proofErr w:type="spellStart"/>
      <w:r w:rsidRPr="000A4115">
        <w:rPr>
          <w:rFonts w:ascii="Palatino Linotype" w:hAnsi="Palatino Linotype"/>
          <w:i/>
          <w:iCs/>
          <w:color w:val="000000" w:themeColor="text1"/>
          <w:sz w:val="18"/>
          <w:szCs w:val="18"/>
          <w:lang w:val="de-CH"/>
        </w:rPr>
        <w:t>Aux</w:t>
      </w:r>
      <w:proofErr w:type="spellEnd"/>
      <w:r w:rsidRPr="000A4115">
        <w:rPr>
          <w:rFonts w:ascii="Palatino Linotype" w:hAnsi="Palatino Linotype"/>
          <w:i/>
          <w:iCs/>
          <w:color w:val="000000" w:themeColor="text1"/>
          <w:sz w:val="18"/>
          <w:szCs w:val="18"/>
          <w:lang w:val="de-CH"/>
        </w:rPr>
        <w:t xml:space="preserve"> </w:t>
      </w:r>
      <w:proofErr w:type="spellStart"/>
      <w:r w:rsidRPr="000A4115">
        <w:rPr>
          <w:rFonts w:ascii="Palatino Linotype" w:hAnsi="Palatino Linotype"/>
          <w:i/>
          <w:iCs/>
          <w:color w:val="000000" w:themeColor="text1"/>
          <w:sz w:val="18"/>
          <w:szCs w:val="18"/>
          <w:lang w:val="de-CH"/>
        </w:rPr>
        <w:t>frontières</w:t>
      </w:r>
      <w:proofErr w:type="spellEnd"/>
      <w:r w:rsidRPr="000A4115">
        <w:rPr>
          <w:rFonts w:ascii="Palatino Linotype" w:hAnsi="Palatino Linotype"/>
          <w:i/>
          <w:iCs/>
          <w:color w:val="000000" w:themeColor="text1"/>
          <w:sz w:val="18"/>
          <w:szCs w:val="18"/>
          <w:lang w:val="de-CH"/>
        </w:rPr>
        <w:t xml:space="preserve"> de la </w:t>
      </w:r>
      <w:proofErr w:type="spellStart"/>
      <w:r w:rsidRPr="000A4115">
        <w:rPr>
          <w:rFonts w:ascii="Palatino Linotype" w:hAnsi="Palatino Linotype"/>
          <w:i/>
          <w:iCs/>
          <w:color w:val="000000" w:themeColor="text1"/>
          <w:sz w:val="18"/>
          <w:szCs w:val="18"/>
          <w:lang w:val="de-CH"/>
        </w:rPr>
        <w:t>religion</w:t>
      </w:r>
      <w:proofErr w:type="spellEnd"/>
      <w:r w:rsidRPr="000A4115">
        <w:rPr>
          <w:rFonts w:ascii="Palatino Linotype" w:hAnsi="Palatino Linotype"/>
          <w:i/>
          <w:iCs/>
          <w:color w:val="000000" w:themeColor="text1"/>
          <w:sz w:val="18"/>
          <w:szCs w:val="18"/>
          <w:lang w:val="de-CH"/>
        </w:rPr>
        <w:t xml:space="preserve"> et de la </w:t>
      </w:r>
      <w:proofErr w:type="spellStart"/>
      <w:r w:rsidRPr="000A4115">
        <w:rPr>
          <w:rFonts w:ascii="Palatino Linotype" w:hAnsi="Palatino Linotype"/>
          <w:i/>
          <w:iCs/>
          <w:color w:val="000000" w:themeColor="text1"/>
          <w:sz w:val="18"/>
          <w:szCs w:val="18"/>
          <w:lang w:val="de-CH"/>
        </w:rPr>
        <w:t>science</w:t>
      </w:r>
      <w:proofErr w:type="spellEnd"/>
      <w:r w:rsidRPr="000A4115">
        <w:rPr>
          <w:rFonts w:ascii="Palatino Linotype" w:hAnsi="Palatino Linotype"/>
          <w:color w:val="000000" w:themeColor="text1"/>
          <w:sz w:val="18"/>
          <w:szCs w:val="18"/>
          <w:lang w:val="de-CH"/>
        </w:rPr>
        <w:t xml:space="preserve">, Paris / Neuchâtel, Le </w:t>
      </w:r>
      <w:proofErr w:type="spellStart"/>
      <w:r w:rsidRPr="000A4115">
        <w:rPr>
          <w:rFonts w:ascii="Palatino Linotype" w:hAnsi="Palatino Linotype"/>
          <w:color w:val="000000" w:themeColor="text1"/>
          <w:sz w:val="18"/>
          <w:szCs w:val="18"/>
          <w:lang w:val="de-CH"/>
        </w:rPr>
        <w:t>Centurion</w:t>
      </w:r>
      <w:proofErr w:type="spellEnd"/>
      <w:r w:rsidRPr="000A4115">
        <w:rPr>
          <w:rFonts w:ascii="Palatino Linotype" w:hAnsi="Palatino Linotype"/>
          <w:color w:val="000000" w:themeColor="text1"/>
          <w:sz w:val="18"/>
          <w:szCs w:val="18"/>
          <w:lang w:val="de-CH"/>
        </w:rPr>
        <w:t xml:space="preserve"> / </w:t>
      </w:r>
      <w:proofErr w:type="spellStart"/>
      <w:r w:rsidRPr="000A4115">
        <w:rPr>
          <w:rFonts w:ascii="Palatino Linotype" w:hAnsi="Palatino Linotype"/>
          <w:color w:val="000000" w:themeColor="text1"/>
          <w:sz w:val="18"/>
          <w:szCs w:val="18"/>
          <w:lang w:val="de-CH"/>
        </w:rPr>
        <w:t>Delachaux</w:t>
      </w:r>
      <w:proofErr w:type="spellEnd"/>
      <w:r w:rsidRPr="000A4115">
        <w:rPr>
          <w:rFonts w:ascii="Palatino Linotype" w:hAnsi="Palatino Linotype"/>
          <w:color w:val="000000" w:themeColor="text1"/>
          <w:sz w:val="18"/>
          <w:szCs w:val="18"/>
          <w:lang w:val="de-CH"/>
        </w:rPr>
        <w:t xml:space="preserve"> et </w:t>
      </w:r>
      <w:proofErr w:type="spellStart"/>
      <w:r w:rsidRPr="000A4115">
        <w:rPr>
          <w:rFonts w:ascii="Palatino Linotype" w:hAnsi="Palatino Linotype"/>
          <w:color w:val="000000" w:themeColor="text1"/>
          <w:sz w:val="18"/>
          <w:szCs w:val="18"/>
          <w:lang w:val="de-CH"/>
        </w:rPr>
        <w:t>Niestlé</w:t>
      </w:r>
      <w:proofErr w:type="spellEnd"/>
      <w:r w:rsidRPr="000A4115">
        <w:rPr>
          <w:rFonts w:ascii="Palatino Linotype" w:hAnsi="Palatino Linotype"/>
          <w:color w:val="000000" w:themeColor="text1"/>
          <w:sz w:val="18"/>
          <w:szCs w:val="18"/>
          <w:lang w:val="de-CH"/>
        </w:rPr>
        <w:t>, 1970, p. 71.</w:t>
      </w:r>
    </w:p>
  </w:footnote>
  <w:footnote w:id="40">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A. </w:t>
      </w:r>
      <w:r w:rsidRPr="000A4115">
        <w:rPr>
          <w:rFonts w:ascii="Palatino Linotype" w:hAnsi="Palatino Linotype"/>
          <w:smallCaps/>
          <w:color w:val="000000" w:themeColor="text1"/>
          <w:sz w:val="18"/>
          <w:szCs w:val="18"/>
        </w:rPr>
        <w:t>Gounelle</w:t>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Paul Tillich. Une foi réfléchie</w:t>
      </w:r>
      <w:r w:rsidRPr="000A4115">
        <w:rPr>
          <w:rFonts w:ascii="Palatino Linotype" w:hAnsi="Palatino Linotype"/>
          <w:color w:val="000000" w:themeColor="text1"/>
          <w:sz w:val="18"/>
          <w:szCs w:val="18"/>
        </w:rPr>
        <w:t xml:space="preserve">, p. 118. </w:t>
      </w:r>
    </w:p>
  </w:footnote>
  <w:footnote w:id="41">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P. </w:t>
      </w:r>
      <w:r w:rsidRPr="000A4115">
        <w:rPr>
          <w:rFonts w:ascii="Palatino Linotype" w:hAnsi="Palatino Linotype"/>
          <w:smallCaps/>
          <w:color w:val="000000" w:themeColor="text1"/>
          <w:sz w:val="18"/>
          <w:szCs w:val="18"/>
        </w:rPr>
        <w:t>Tillich</w:t>
      </w:r>
      <w:r w:rsidRPr="000A4115">
        <w:rPr>
          <w:rFonts w:ascii="Palatino Linotype" w:hAnsi="Palatino Linotype"/>
          <w:color w:val="000000" w:themeColor="text1"/>
          <w:sz w:val="18"/>
          <w:szCs w:val="18"/>
        </w:rPr>
        <w:t xml:space="preserve">, « Le socialisme religieux II », p. 452. </w:t>
      </w:r>
    </w:p>
  </w:footnote>
  <w:footnote w:id="42">
    <w:p w:rsidR="0085141E" w:rsidRPr="000A4115" w:rsidRDefault="0085141E" w:rsidP="0085141E">
      <w:pPr>
        <w:pStyle w:val="Notedebasdepage"/>
        <w:spacing w:line="240" w:lineRule="auto"/>
        <w:rPr>
          <w:rFonts w:ascii="Palatino Linotype" w:hAnsi="Palatino Linotype"/>
          <w:color w:val="000000" w:themeColor="text1"/>
          <w:sz w:val="18"/>
          <w:szCs w:val="18"/>
          <w:lang w:val="en-US"/>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lang w:val="en-US"/>
        </w:rPr>
        <w:t xml:space="preserve"> P. </w:t>
      </w:r>
      <w:r w:rsidRPr="000A4115">
        <w:rPr>
          <w:rFonts w:ascii="Palatino Linotype" w:hAnsi="Palatino Linotype"/>
          <w:smallCaps/>
          <w:color w:val="000000" w:themeColor="text1"/>
          <w:sz w:val="18"/>
          <w:szCs w:val="18"/>
          <w:lang w:val="en-US"/>
        </w:rPr>
        <w:t>Tillich</w:t>
      </w:r>
      <w:r w:rsidRPr="000A4115">
        <w:rPr>
          <w:rFonts w:ascii="Palatino Linotype" w:hAnsi="Palatino Linotype"/>
          <w:color w:val="000000" w:themeColor="text1"/>
          <w:sz w:val="18"/>
          <w:szCs w:val="18"/>
          <w:lang w:val="en-US"/>
        </w:rPr>
        <w:t xml:space="preserve">, « Kairos I », p. 153. </w:t>
      </w:r>
    </w:p>
  </w:footnote>
  <w:footnote w:id="43">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André </w:t>
      </w:r>
      <w:r w:rsidRPr="000A4115">
        <w:rPr>
          <w:rFonts w:ascii="Palatino Linotype" w:hAnsi="Palatino Linotype"/>
          <w:smallCaps/>
          <w:color w:val="000000" w:themeColor="text1"/>
          <w:sz w:val="18"/>
          <w:szCs w:val="18"/>
        </w:rPr>
        <w:t>Gounelle</w:t>
      </w:r>
      <w:r w:rsidRPr="000A4115">
        <w:rPr>
          <w:rFonts w:ascii="Palatino Linotype" w:hAnsi="Palatino Linotype"/>
          <w:color w:val="000000" w:themeColor="text1"/>
          <w:sz w:val="18"/>
          <w:szCs w:val="18"/>
        </w:rPr>
        <w:t xml:space="preserve">, « Une éthique sociale pour aujourd’hui », dans Marc </w:t>
      </w:r>
      <w:r w:rsidRPr="000A4115">
        <w:rPr>
          <w:rFonts w:ascii="Palatino Linotype" w:hAnsi="Palatino Linotype"/>
          <w:smallCaps/>
          <w:color w:val="000000" w:themeColor="text1"/>
          <w:sz w:val="18"/>
          <w:szCs w:val="18"/>
        </w:rPr>
        <w:t xml:space="preserve">Boss, </w:t>
      </w:r>
      <w:r w:rsidRPr="000A4115">
        <w:rPr>
          <w:rFonts w:ascii="Palatino Linotype" w:hAnsi="Palatino Linotype"/>
          <w:color w:val="000000" w:themeColor="text1"/>
          <w:sz w:val="18"/>
          <w:szCs w:val="18"/>
        </w:rPr>
        <w:t xml:space="preserve">Doris </w:t>
      </w:r>
      <w:proofErr w:type="spellStart"/>
      <w:r w:rsidRPr="000A4115">
        <w:rPr>
          <w:rFonts w:ascii="Palatino Linotype" w:hAnsi="Palatino Linotype"/>
          <w:smallCaps/>
          <w:color w:val="000000" w:themeColor="text1"/>
          <w:sz w:val="18"/>
          <w:szCs w:val="18"/>
        </w:rPr>
        <w:t>Lax</w:t>
      </w:r>
      <w:proofErr w:type="spellEnd"/>
      <w:r w:rsidRPr="000A4115">
        <w:rPr>
          <w:rFonts w:ascii="Palatino Linotype" w:hAnsi="Palatino Linotype"/>
          <w:color w:val="000000" w:themeColor="text1"/>
          <w:sz w:val="18"/>
          <w:szCs w:val="18"/>
        </w:rPr>
        <w:t xml:space="preserve"> et Jean </w:t>
      </w:r>
      <w:r w:rsidRPr="000A4115">
        <w:rPr>
          <w:rFonts w:ascii="Palatino Linotype" w:hAnsi="Palatino Linotype"/>
          <w:smallCaps/>
          <w:color w:val="000000" w:themeColor="text1"/>
          <w:sz w:val="18"/>
          <w:szCs w:val="18"/>
        </w:rPr>
        <w:t>Richard</w:t>
      </w:r>
      <w:r w:rsidRPr="000A4115">
        <w:rPr>
          <w:rFonts w:ascii="Palatino Linotype" w:hAnsi="Palatino Linotype"/>
          <w:color w:val="000000" w:themeColor="text1"/>
          <w:sz w:val="18"/>
          <w:szCs w:val="18"/>
        </w:rPr>
        <w:t xml:space="preserve"> (</w:t>
      </w:r>
      <w:proofErr w:type="spellStart"/>
      <w:r w:rsidRPr="000A4115">
        <w:rPr>
          <w:rFonts w:ascii="Palatino Linotype" w:hAnsi="Palatino Linotype"/>
          <w:color w:val="000000" w:themeColor="text1"/>
          <w:sz w:val="18"/>
          <w:szCs w:val="18"/>
        </w:rPr>
        <w:t>dir</w:t>
      </w:r>
      <w:proofErr w:type="spellEnd"/>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Éthique sociale et socialisme religieux. Actes du XVe Colloque International Paul Tillich, Toulouse, 2003</w:t>
      </w:r>
      <w:r w:rsidRPr="000A4115">
        <w:rPr>
          <w:rFonts w:ascii="Palatino Linotype" w:hAnsi="Palatino Linotype"/>
          <w:color w:val="000000" w:themeColor="text1"/>
          <w:sz w:val="18"/>
          <w:szCs w:val="18"/>
        </w:rPr>
        <w:t xml:space="preserve">, Münster, LIT </w:t>
      </w:r>
      <w:proofErr w:type="spellStart"/>
      <w:r w:rsidRPr="000A4115">
        <w:rPr>
          <w:rFonts w:ascii="Palatino Linotype" w:hAnsi="Palatino Linotype"/>
          <w:color w:val="000000" w:themeColor="text1"/>
          <w:sz w:val="18"/>
          <w:szCs w:val="18"/>
        </w:rPr>
        <w:t>Verlag</w:t>
      </w:r>
      <w:proofErr w:type="spellEnd"/>
      <w:r w:rsidRPr="000A4115">
        <w:rPr>
          <w:rFonts w:ascii="Palatino Linotype" w:hAnsi="Palatino Linotype"/>
          <w:color w:val="000000" w:themeColor="text1"/>
          <w:sz w:val="18"/>
          <w:szCs w:val="18"/>
        </w:rPr>
        <w:t xml:space="preserve">, 2005, p.159. </w:t>
      </w:r>
    </w:p>
  </w:footnote>
  <w:footnote w:id="44">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Paul </w:t>
      </w:r>
      <w:r w:rsidRPr="000A4115">
        <w:rPr>
          <w:rFonts w:ascii="Palatino Linotype" w:hAnsi="Palatino Linotype"/>
          <w:smallCaps/>
          <w:color w:val="000000" w:themeColor="text1"/>
          <w:sz w:val="18"/>
          <w:szCs w:val="18"/>
        </w:rPr>
        <w:t>Tillich</w:t>
      </w:r>
      <w:r w:rsidRPr="000A4115">
        <w:rPr>
          <w:rFonts w:ascii="Palatino Linotype" w:hAnsi="Palatino Linotype"/>
          <w:color w:val="000000" w:themeColor="text1"/>
          <w:sz w:val="18"/>
          <w:szCs w:val="18"/>
        </w:rPr>
        <w:t>, « L’éthique dans un monde qui change »,</w:t>
      </w:r>
      <w:r w:rsidRPr="000A4115">
        <w:rPr>
          <w:rFonts w:ascii="Palatino Linotype" w:hAnsi="Palatino Linotype"/>
          <w:i/>
          <w:color w:val="000000" w:themeColor="text1"/>
          <w:sz w:val="18"/>
          <w:szCs w:val="18"/>
        </w:rPr>
        <w:t xml:space="preserve"> </w:t>
      </w:r>
      <w:r w:rsidRPr="000A4115">
        <w:rPr>
          <w:rFonts w:ascii="Palatino Linotype" w:hAnsi="Palatino Linotype"/>
          <w:color w:val="000000" w:themeColor="text1"/>
          <w:sz w:val="18"/>
          <w:szCs w:val="18"/>
        </w:rPr>
        <w:t xml:space="preserve">dans </w:t>
      </w:r>
      <w:r w:rsidRPr="000A4115">
        <w:rPr>
          <w:rFonts w:ascii="Palatino Linotype" w:hAnsi="Palatino Linotype"/>
          <w:smallCaps/>
          <w:color w:val="000000" w:themeColor="text1"/>
          <w:sz w:val="18"/>
          <w:szCs w:val="18"/>
        </w:rPr>
        <w:t>Idem</w:t>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Le fondement religieux de la morale</w:t>
      </w:r>
      <w:r w:rsidRPr="000A4115">
        <w:rPr>
          <w:rFonts w:ascii="Palatino Linotype" w:hAnsi="Palatino Linotype"/>
          <w:color w:val="000000" w:themeColor="text1"/>
          <w:sz w:val="18"/>
          <w:szCs w:val="18"/>
        </w:rPr>
        <w:t xml:space="preserve">, Paris / Neuchâtel, Centurion / </w:t>
      </w:r>
      <w:proofErr w:type="spellStart"/>
      <w:r w:rsidRPr="000A4115">
        <w:rPr>
          <w:rFonts w:ascii="Palatino Linotype" w:hAnsi="Palatino Linotype"/>
          <w:color w:val="000000" w:themeColor="text1"/>
          <w:sz w:val="18"/>
          <w:szCs w:val="18"/>
        </w:rPr>
        <w:t>Delachaux</w:t>
      </w:r>
      <w:proofErr w:type="spellEnd"/>
      <w:r w:rsidRPr="000A4115">
        <w:rPr>
          <w:rFonts w:ascii="Palatino Linotype" w:hAnsi="Palatino Linotype"/>
          <w:color w:val="000000" w:themeColor="text1"/>
          <w:sz w:val="18"/>
          <w:szCs w:val="18"/>
        </w:rPr>
        <w:t xml:space="preserve"> &amp; </w:t>
      </w:r>
      <w:proofErr w:type="spellStart"/>
      <w:r w:rsidRPr="000A4115">
        <w:rPr>
          <w:rFonts w:ascii="Palatino Linotype" w:hAnsi="Palatino Linotype"/>
          <w:color w:val="000000" w:themeColor="text1"/>
          <w:sz w:val="18"/>
          <w:szCs w:val="18"/>
        </w:rPr>
        <w:t>Niestlé</w:t>
      </w:r>
      <w:proofErr w:type="spellEnd"/>
      <w:r w:rsidRPr="000A4115">
        <w:rPr>
          <w:rFonts w:ascii="Palatino Linotype" w:hAnsi="Palatino Linotype"/>
          <w:color w:val="000000" w:themeColor="text1"/>
          <w:sz w:val="18"/>
          <w:szCs w:val="18"/>
        </w:rPr>
        <w:t xml:space="preserve">, 1971, p. 112. </w:t>
      </w:r>
    </w:p>
  </w:footnote>
  <w:footnote w:id="45">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Ibidem</w:t>
      </w:r>
      <w:r w:rsidRPr="000A4115">
        <w:rPr>
          <w:rFonts w:ascii="Palatino Linotype" w:hAnsi="Palatino Linotype"/>
          <w:color w:val="000000" w:themeColor="text1"/>
          <w:sz w:val="18"/>
          <w:szCs w:val="18"/>
        </w:rPr>
        <w:t xml:space="preserve">, p. 114. </w:t>
      </w:r>
    </w:p>
  </w:footnote>
  <w:footnote w:id="46">
    <w:p w:rsidR="0085141E" w:rsidRPr="000A4115" w:rsidRDefault="0085141E" w:rsidP="0085141E">
      <w:pPr>
        <w:pStyle w:val="Notedebasdepage"/>
        <w:spacing w:line="240" w:lineRule="auto"/>
        <w:rPr>
          <w:rFonts w:ascii="Palatino Linotype" w:hAnsi="Palatino Linotype"/>
          <w:color w:val="000000" w:themeColor="text1"/>
          <w:sz w:val="18"/>
          <w:szCs w:val="18"/>
        </w:rPr>
      </w:pPr>
      <w:r w:rsidRPr="000A4115">
        <w:rPr>
          <w:rStyle w:val="Appelnotedebasdep"/>
          <w:rFonts w:ascii="Palatino Linotype" w:hAnsi="Palatino Linotype"/>
          <w:color w:val="000000" w:themeColor="text1"/>
          <w:sz w:val="18"/>
          <w:szCs w:val="18"/>
        </w:rPr>
        <w:footnoteRef/>
      </w:r>
      <w:r w:rsidRPr="000A4115">
        <w:rPr>
          <w:rFonts w:ascii="Palatino Linotype" w:hAnsi="Palatino Linotype"/>
          <w:color w:val="000000" w:themeColor="text1"/>
          <w:sz w:val="18"/>
          <w:szCs w:val="18"/>
        </w:rPr>
        <w:t xml:space="preserve"> Paul </w:t>
      </w:r>
      <w:r w:rsidRPr="000A4115">
        <w:rPr>
          <w:rFonts w:ascii="Palatino Linotype" w:hAnsi="Palatino Linotype"/>
          <w:smallCaps/>
          <w:color w:val="000000" w:themeColor="text1"/>
          <w:sz w:val="18"/>
          <w:szCs w:val="18"/>
        </w:rPr>
        <w:t>Tillich</w:t>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Amour, pouvoir, justice</w:t>
      </w:r>
      <w:r w:rsidRPr="000A4115">
        <w:rPr>
          <w:rFonts w:ascii="Palatino Linotype" w:hAnsi="Palatino Linotype"/>
          <w:color w:val="000000" w:themeColor="text1"/>
          <w:sz w:val="18"/>
          <w:szCs w:val="18"/>
        </w:rPr>
        <w:t xml:space="preserve">, Paris, PUF, 1964, p. 21. </w:t>
      </w:r>
    </w:p>
  </w:footnote>
  <w:footnote w:id="47">
    <w:p w:rsidR="0085141E" w:rsidRPr="000A4115" w:rsidRDefault="0085141E" w:rsidP="0085141E">
      <w:pPr>
        <w:pStyle w:val="Notedebasdepage"/>
        <w:spacing w:line="240" w:lineRule="auto"/>
        <w:jc w:val="left"/>
        <w:rPr>
          <w:rFonts w:ascii="Palatino Linotype" w:hAnsi="Palatino Linotype"/>
          <w:sz w:val="18"/>
          <w:szCs w:val="18"/>
        </w:rPr>
      </w:pPr>
      <w:r w:rsidRPr="000A4115">
        <w:rPr>
          <w:rStyle w:val="Appelnotedebasdep"/>
          <w:rFonts w:ascii="Palatino Linotype" w:hAnsi="Palatino Linotype"/>
          <w:sz w:val="18"/>
          <w:szCs w:val="18"/>
        </w:rPr>
        <w:footnoteRef/>
      </w:r>
      <w:r w:rsidRPr="000A4115">
        <w:rPr>
          <w:rFonts w:ascii="Palatino Linotype" w:hAnsi="Palatino Linotype"/>
          <w:sz w:val="18"/>
          <w:szCs w:val="18"/>
        </w:rPr>
        <w:t xml:space="preserve"> </w:t>
      </w:r>
      <w:proofErr w:type="spellStart"/>
      <w:r w:rsidRPr="000A4115">
        <w:rPr>
          <w:rFonts w:ascii="Palatino Linotype" w:hAnsi="Palatino Linotype"/>
          <w:sz w:val="18"/>
          <w:szCs w:val="18"/>
        </w:rPr>
        <w:t>SeGEC</w:t>
      </w:r>
      <w:proofErr w:type="spellEnd"/>
      <w:r w:rsidRPr="000A4115">
        <w:rPr>
          <w:rFonts w:ascii="Palatino Linotype" w:hAnsi="Palatino Linotype"/>
          <w:sz w:val="18"/>
          <w:szCs w:val="18"/>
        </w:rPr>
        <w:t xml:space="preserve">, </w:t>
      </w:r>
      <w:r w:rsidRPr="000A4115">
        <w:rPr>
          <w:rFonts w:ascii="Palatino Linotype" w:hAnsi="Palatino Linotype"/>
          <w:i/>
          <w:sz w:val="18"/>
          <w:szCs w:val="18"/>
        </w:rPr>
        <w:t>Mission de l’école chrétienne. Projet éducatif de l’enseignement catholique</w:t>
      </w:r>
      <w:r w:rsidRPr="000A4115">
        <w:rPr>
          <w:rFonts w:ascii="Palatino Linotype" w:hAnsi="Palatino Linotype"/>
          <w:sz w:val="18"/>
          <w:szCs w:val="18"/>
        </w:rPr>
        <w:t>, 3</w:t>
      </w:r>
      <w:r w:rsidRPr="000A4115">
        <w:rPr>
          <w:rFonts w:ascii="Palatino Linotype" w:hAnsi="Palatino Linotype"/>
          <w:sz w:val="18"/>
          <w:szCs w:val="18"/>
          <w:vertAlign w:val="superscript"/>
        </w:rPr>
        <w:t>e</w:t>
      </w:r>
      <w:r w:rsidRPr="000A4115">
        <w:rPr>
          <w:rFonts w:ascii="Palatino Linotype" w:hAnsi="Palatino Linotype"/>
          <w:sz w:val="18"/>
          <w:szCs w:val="18"/>
        </w:rPr>
        <w:t xml:space="preserve"> éd., Bruxelles, </w:t>
      </w:r>
      <w:proofErr w:type="spellStart"/>
      <w:proofErr w:type="gramStart"/>
      <w:r w:rsidRPr="000A4115">
        <w:rPr>
          <w:rFonts w:ascii="Palatino Linotype" w:hAnsi="Palatino Linotype"/>
          <w:sz w:val="18"/>
          <w:szCs w:val="18"/>
        </w:rPr>
        <w:t>s.n</w:t>
      </w:r>
      <w:proofErr w:type="spellEnd"/>
      <w:r w:rsidRPr="000A4115">
        <w:rPr>
          <w:rFonts w:ascii="Palatino Linotype" w:hAnsi="Palatino Linotype"/>
          <w:sz w:val="18"/>
          <w:szCs w:val="18"/>
        </w:rPr>
        <w:t>.,</w:t>
      </w:r>
      <w:proofErr w:type="gramEnd"/>
      <w:r w:rsidRPr="000A4115">
        <w:rPr>
          <w:rFonts w:ascii="Palatino Linotype" w:hAnsi="Palatino Linotype"/>
          <w:sz w:val="18"/>
          <w:szCs w:val="18"/>
        </w:rPr>
        <w:t xml:space="preserve"> 2014, p. 16. En ligne : </w:t>
      </w:r>
      <w:hyperlink r:id="rId1" w:history="1">
        <w:r w:rsidRPr="000A4115">
          <w:rPr>
            <w:rStyle w:val="Lienhypertexte"/>
            <w:rFonts w:ascii="Palatino Linotype" w:hAnsi="Palatino Linotype"/>
            <w:sz w:val="18"/>
            <w:szCs w:val="18"/>
          </w:rPr>
          <w:t>http://enseignement.catholique.be/segec/fileadmin/DocsFede/SeGEC/mission_EC_web_01.pdf</w:t>
        </w:r>
      </w:hyperlink>
    </w:p>
  </w:footnote>
  <w:footnote w:id="48">
    <w:p w:rsidR="0085141E" w:rsidRPr="000A4115" w:rsidRDefault="0085141E" w:rsidP="0085141E">
      <w:pPr>
        <w:pStyle w:val="Notedebasdepage"/>
        <w:spacing w:line="240" w:lineRule="auto"/>
        <w:rPr>
          <w:rFonts w:ascii="Palatino Linotype" w:hAnsi="Palatino Linotype"/>
          <w:sz w:val="18"/>
          <w:szCs w:val="18"/>
          <w:lang w:val="fr-BE"/>
        </w:rPr>
      </w:pPr>
      <w:r w:rsidRPr="000A4115">
        <w:rPr>
          <w:rStyle w:val="Appelnotedebasdep"/>
          <w:rFonts w:ascii="Palatino Linotype" w:hAnsi="Palatino Linotype"/>
          <w:sz w:val="18"/>
          <w:szCs w:val="18"/>
        </w:rPr>
        <w:footnoteRef/>
      </w:r>
      <w:r w:rsidRPr="000A4115">
        <w:rPr>
          <w:rFonts w:ascii="Palatino Linotype" w:hAnsi="Palatino Linotype"/>
          <w:sz w:val="18"/>
          <w:szCs w:val="18"/>
          <w:lang w:val="fr-BE"/>
        </w:rPr>
        <w:t xml:space="preserve"> Si l’évaluation qui sera faite sera </w:t>
      </w:r>
      <w:r w:rsidRPr="000A4115">
        <w:rPr>
          <w:rFonts w:ascii="Palatino Linotype" w:hAnsi="Palatino Linotype"/>
          <w:sz w:val="18"/>
          <w:szCs w:val="18"/>
        </w:rPr>
        <w:t>« </w:t>
      </w:r>
      <w:r w:rsidRPr="000A4115">
        <w:rPr>
          <w:rFonts w:ascii="Palatino Linotype" w:hAnsi="Palatino Linotype"/>
          <w:sz w:val="18"/>
          <w:szCs w:val="18"/>
          <w:lang w:val="fr-BE"/>
        </w:rPr>
        <w:t>toujours</w:t>
      </w:r>
      <w:r w:rsidRPr="000A4115">
        <w:rPr>
          <w:rFonts w:ascii="Palatino Linotype" w:hAnsi="Palatino Linotype"/>
          <w:sz w:val="18"/>
          <w:szCs w:val="18"/>
        </w:rPr>
        <w:t xml:space="preserve"> erroné[e] » et « jamais erroné[e] » (cf. P. </w:t>
      </w:r>
      <w:r w:rsidRPr="000A4115">
        <w:rPr>
          <w:rFonts w:ascii="Palatino Linotype" w:hAnsi="Palatino Linotype"/>
          <w:smallCaps/>
          <w:sz w:val="18"/>
          <w:szCs w:val="18"/>
        </w:rPr>
        <w:t>Tillich</w:t>
      </w:r>
      <w:r w:rsidRPr="000A4115">
        <w:rPr>
          <w:rFonts w:ascii="Palatino Linotype" w:hAnsi="Palatino Linotype"/>
          <w:sz w:val="18"/>
          <w:szCs w:val="18"/>
        </w:rPr>
        <w:t xml:space="preserve">, « Kairos I », p. 161), scruter les </w:t>
      </w:r>
      <w:r w:rsidRPr="000A4115">
        <w:rPr>
          <w:rFonts w:ascii="Palatino Linotype" w:hAnsi="Palatino Linotype"/>
          <w:i/>
          <w:sz w:val="18"/>
          <w:szCs w:val="18"/>
        </w:rPr>
        <w:t>kairoi</w:t>
      </w:r>
      <w:r w:rsidRPr="000A4115">
        <w:rPr>
          <w:rFonts w:ascii="Palatino Linotype" w:hAnsi="Palatino Linotype"/>
          <w:sz w:val="18"/>
          <w:szCs w:val="18"/>
        </w:rPr>
        <w:t xml:space="preserve"> pour notre temps représente toutefois de nombreux avantages : « dans des moments privilégiés, les </w:t>
      </w:r>
      <w:r w:rsidRPr="000A4115">
        <w:rPr>
          <w:rFonts w:ascii="Palatino Linotype" w:hAnsi="Palatino Linotype"/>
          <w:i/>
          <w:sz w:val="18"/>
          <w:szCs w:val="18"/>
        </w:rPr>
        <w:t>kairoi</w:t>
      </w:r>
      <w:r w:rsidRPr="000A4115">
        <w:rPr>
          <w:rFonts w:ascii="Palatino Linotype" w:hAnsi="Palatino Linotype"/>
          <w:sz w:val="18"/>
          <w:szCs w:val="18"/>
        </w:rPr>
        <w:t xml:space="preserve">, le Royaume de Dieu se manifeste dans l’histoire concrète des hommes. Il inspire et critique l’action […] ; il lui donne un sens spirituel et la soumet à une norme transcendante. Les </w:t>
      </w:r>
      <w:r w:rsidRPr="000A4115">
        <w:rPr>
          <w:rFonts w:ascii="Palatino Linotype" w:hAnsi="Palatino Linotype"/>
          <w:i/>
          <w:sz w:val="18"/>
          <w:szCs w:val="18"/>
        </w:rPr>
        <w:t>kairoi</w:t>
      </w:r>
      <w:r w:rsidRPr="000A4115">
        <w:rPr>
          <w:rFonts w:ascii="Palatino Linotype" w:hAnsi="Palatino Linotype"/>
          <w:sz w:val="18"/>
          <w:szCs w:val="18"/>
        </w:rPr>
        <w:t xml:space="preserve"> particuliers sont des concrétisations du </w:t>
      </w:r>
      <w:r w:rsidRPr="000A4115">
        <w:rPr>
          <w:rFonts w:ascii="Palatino Linotype" w:hAnsi="Palatino Linotype"/>
          <w:i/>
          <w:sz w:val="18"/>
          <w:szCs w:val="18"/>
        </w:rPr>
        <w:t>kairos</w:t>
      </w:r>
      <w:r w:rsidRPr="000A4115">
        <w:rPr>
          <w:rFonts w:ascii="Palatino Linotype" w:hAnsi="Palatino Linotype"/>
          <w:sz w:val="18"/>
          <w:szCs w:val="18"/>
        </w:rPr>
        <w:t xml:space="preserve"> central ; ils lui donnent un visage effectif et précis ; ils reçoivent de lui leur puissance. Toutefois, le </w:t>
      </w:r>
      <w:r w:rsidRPr="000A4115">
        <w:rPr>
          <w:rFonts w:ascii="Palatino Linotype" w:hAnsi="Palatino Linotype"/>
          <w:i/>
          <w:sz w:val="18"/>
          <w:szCs w:val="18"/>
        </w:rPr>
        <w:t>kairos</w:t>
      </w:r>
      <w:r w:rsidRPr="000A4115">
        <w:rPr>
          <w:rFonts w:ascii="Palatino Linotype" w:hAnsi="Palatino Linotype"/>
          <w:sz w:val="18"/>
          <w:szCs w:val="18"/>
        </w:rPr>
        <w:t xml:space="preserve"> central transcende tous les </w:t>
      </w:r>
      <w:r w:rsidRPr="000A4115">
        <w:rPr>
          <w:rFonts w:ascii="Palatino Linotype" w:hAnsi="Palatino Linotype"/>
          <w:i/>
          <w:sz w:val="18"/>
          <w:szCs w:val="18"/>
        </w:rPr>
        <w:t>kairoi</w:t>
      </w:r>
      <w:r w:rsidRPr="000A4115">
        <w:rPr>
          <w:rFonts w:ascii="Palatino Linotype" w:hAnsi="Palatino Linotype"/>
          <w:sz w:val="18"/>
          <w:szCs w:val="18"/>
        </w:rPr>
        <w:t xml:space="preserve"> particuliers, il ne s’épuise pas en eux, il appelle à les dépasser, il fournit un critère qui les juge et interdit de les absolutiser sans, pour autant, diminuer l’exigence d’engagement dont ils sont les porteurs ». (André </w:t>
      </w:r>
      <w:r w:rsidRPr="000A4115">
        <w:rPr>
          <w:rFonts w:ascii="Palatino Linotype" w:hAnsi="Palatino Linotype"/>
          <w:smallCaps/>
          <w:sz w:val="18"/>
          <w:szCs w:val="18"/>
        </w:rPr>
        <w:t>Gounelle</w:t>
      </w:r>
      <w:r w:rsidRPr="000A4115">
        <w:rPr>
          <w:rFonts w:ascii="Palatino Linotype" w:hAnsi="Palatino Linotype"/>
          <w:sz w:val="18"/>
          <w:szCs w:val="18"/>
        </w:rPr>
        <w:t xml:space="preserve">, « Le kairos chez Tillich » </w:t>
      </w:r>
      <w:r w:rsidRPr="000A4115">
        <w:rPr>
          <w:rFonts w:ascii="Palatino Linotype" w:hAnsi="Palatino Linotype"/>
          <w:color w:val="000000" w:themeColor="text1"/>
          <w:sz w:val="18"/>
          <w:szCs w:val="18"/>
        </w:rPr>
        <w:t xml:space="preserve">dans Marc </w:t>
      </w:r>
      <w:r w:rsidRPr="000A4115">
        <w:rPr>
          <w:rFonts w:ascii="Palatino Linotype" w:hAnsi="Palatino Linotype"/>
          <w:smallCaps/>
          <w:color w:val="000000" w:themeColor="text1"/>
          <w:sz w:val="18"/>
          <w:szCs w:val="18"/>
        </w:rPr>
        <w:t xml:space="preserve">Dumas, </w:t>
      </w:r>
      <w:r w:rsidRPr="000A4115">
        <w:rPr>
          <w:rFonts w:ascii="Palatino Linotype" w:hAnsi="Palatino Linotype"/>
          <w:color w:val="000000" w:themeColor="text1"/>
          <w:sz w:val="18"/>
          <w:szCs w:val="18"/>
        </w:rPr>
        <w:t xml:space="preserve">Martin </w:t>
      </w:r>
      <w:proofErr w:type="spellStart"/>
      <w:r w:rsidRPr="000A4115">
        <w:rPr>
          <w:rFonts w:ascii="Palatino Linotype" w:hAnsi="Palatino Linotype"/>
          <w:smallCaps/>
          <w:color w:val="000000" w:themeColor="text1"/>
          <w:sz w:val="18"/>
          <w:szCs w:val="18"/>
        </w:rPr>
        <w:t>Leiner</w:t>
      </w:r>
      <w:proofErr w:type="spellEnd"/>
      <w:r w:rsidRPr="000A4115">
        <w:rPr>
          <w:rFonts w:ascii="Palatino Linotype" w:hAnsi="Palatino Linotype"/>
          <w:color w:val="000000" w:themeColor="text1"/>
          <w:sz w:val="18"/>
          <w:szCs w:val="18"/>
        </w:rPr>
        <w:t xml:space="preserve"> et Jean </w:t>
      </w:r>
      <w:r w:rsidRPr="000A4115">
        <w:rPr>
          <w:rFonts w:ascii="Palatino Linotype" w:hAnsi="Palatino Linotype"/>
          <w:smallCaps/>
          <w:color w:val="000000" w:themeColor="text1"/>
          <w:sz w:val="18"/>
          <w:szCs w:val="18"/>
        </w:rPr>
        <w:t>Richard</w:t>
      </w:r>
      <w:r w:rsidRPr="000A4115">
        <w:rPr>
          <w:rFonts w:ascii="Palatino Linotype" w:hAnsi="Palatino Linotype"/>
          <w:color w:val="000000" w:themeColor="text1"/>
          <w:sz w:val="18"/>
          <w:szCs w:val="18"/>
        </w:rPr>
        <w:t xml:space="preserve"> (</w:t>
      </w:r>
      <w:proofErr w:type="spellStart"/>
      <w:r w:rsidRPr="000A4115">
        <w:rPr>
          <w:rFonts w:ascii="Palatino Linotype" w:hAnsi="Palatino Linotype"/>
          <w:color w:val="000000" w:themeColor="text1"/>
          <w:sz w:val="18"/>
          <w:szCs w:val="18"/>
        </w:rPr>
        <w:t>dir</w:t>
      </w:r>
      <w:proofErr w:type="spellEnd"/>
      <w:r w:rsidRPr="000A4115">
        <w:rPr>
          <w:rFonts w:ascii="Palatino Linotype" w:hAnsi="Palatino Linotype"/>
          <w:color w:val="000000" w:themeColor="text1"/>
          <w:sz w:val="18"/>
          <w:szCs w:val="18"/>
        </w:rPr>
        <w:t>.),</w:t>
      </w:r>
      <w:r w:rsidRPr="000A4115">
        <w:rPr>
          <w:rFonts w:ascii="Palatino Linotype" w:hAnsi="Palatino Linotype"/>
          <w:i/>
          <w:color w:val="000000" w:themeColor="text1"/>
          <w:sz w:val="18"/>
          <w:szCs w:val="18"/>
        </w:rPr>
        <w:t xml:space="preserve"> Paul Tillich - interprète de l’histoire. Actes du XIXe Colloque International Paul Tillich, Bruxelles, 2011</w:t>
      </w:r>
      <w:r w:rsidRPr="000A4115">
        <w:rPr>
          <w:rFonts w:ascii="Palatino Linotype" w:hAnsi="Palatino Linotype"/>
          <w:color w:val="000000" w:themeColor="text1"/>
          <w:sz w:val="18"/>
          <w:szCs w:val="18"/>
        </w:rPr>
        <w:t xml:space="preserve">, Münster, LIT </w:t>
      </w:r>
      <w:proofErr w:type="spellStart"/>
      <w:r w:rsidRPr="000A4115">
        <w:rPr>
          <w:rFonts w:ascii="Palatino Linotype" w:hAnsi="Palatino Linotype"/>
          <w:color w:val="000000" w:themeColor="text1"/>
          <w:sz w:val="18"/>
          <w:szCs w:val="18"/>
        </w:rPr>
        <w:t>Verlag</w:t>
      </w:r>
      <w:proofErr w:type="spellEnd"/>
      <w:r w:rsidRPr="000A4115">
        <w:rPr>
          <w:rFonts w:ascii="Palatino Linotype" w:hAnsi="Palatino Linotype"/>
          <w:color w:val="000000" w:themeColor="text1"/>
          <w:sz w:val="18"/>
          <w:szCs w:val="18"/>
        </w:rPr>
        <w:t>, 2013, p. 60).</w:t>
      </w:r>
    </w:p>
  </w:footnote>
  <w:footnote w:id="49">
    <w:p w:rsidR="0085141E" w:rsidRPr="000A4115" w:rsidRDefault="0085141E" w:rsidP="0085141E">
      <w:pPr>
        <w:pStyle w:val="Notedebasdepage"/>
        <w:spacing w:line="240" w:lineRule="auto"/>
        <w:rPr>
          <w:rFonts w:ascii="Palatino Linotype" w:hAnsi="Palatino Linotype"/>
          <w:sz w:val="18"/>
          <w:szCs w:val="18"/>
          <w:lang w:val="nl-BE"/>
        </w:rPr>
      </w:pPr>
      <w:r w:rsidRPr="000A4115">
        <w:rPr>
          <w:rStyle w:val="Appelnotedebasdep"/>
          <w:rFonts w:ascii="Palatino Linotype" w:hAnsi="Palatino Linotype"/>
          <w:sz w:val="18"/>
          <w:szCs w:val="18"/>
        </w:rPr>
        <w:footnoteRef/>
      </w:r>
      <w:r w:rsidRPr="000A4115">
        <w:rPr>
          <w:rFonts w:ascii="Palatino Linotype" w:hAnsi="Palatino Linotype"/>
          <w:sz w:val="18"/>
          <w:szCs w:val="18"/>
          <w:lang w:val="nl-BE"/>
        </w:rPr>
        <w:t xml:space="preserve"> </w:t>
      </w:r>
      <w:r w:rsidRPr="000A4115">
        <w:rPr>
          <w:rFonts w:ascii="Palatino Linotype" w:hAnsi="Palatino Linotype"/>
          <w:color w:val="000000" w:themeColor="text1"/>
          <w:sz w:val="18"/>
          <w:szCs w:val="18"/>
          <w:lang w:val="de-CH"/>
        </w:rPr>
        <w:t xml:space="preserve">P. </w:t>
      </w:r>
      <w:r w:rsidRPr="000A4115">
        <w:rPr>
          <w:rFonts w:ascii="Palatino Linotype" w:hAnsi="Palatino Linotype"/>
          <w:smallCaps/>
          <w:color w:val="000000" w:themeColor="text1"/>
          <w:sz w:val="18"/>
          <w:szCs w:val="18"/>
          <w:lang w:val="de-CH"/>
        </w:rPr>
        <w:t>Tillich</w:t>
      </w:r>
      <w:r w:rsidRPr="000A4115">
        <w:rPr>
          <w:rFonts w:ascii="Palatino Linotype" w:hAnsi="Palatino Linotype"/>
          <w:color w:val="000000" w:themeColor="text1"/>
          <w:sz w:val="18"/>
          <w:szCs w:val="18"/>
          <w:lang w:val="de-CH"/>
        </w:rPr>
        <w:t>, « Kairos II », p. 259.</w:t>
      </w:r>
    </w:p>
  </w:footnote>
  <w:footnote w:id="50">
    <w:p w:rsidR="0085141E" w:rsidRPr="000A4115" w:rsidRDefault="0085141E" w:rsidP="0085141E">
      <w:pPr>
        <w:pStyle w:val="Notedebasdepage"/>
        <w:spacing w:line="240" w:lineRule="auto"/>
        <w:rPr>
          <w:rFonts w:ascii="Palatino Linotype" w:hAnsi="Palatino Linotype"/>
          <w:sz w:val="18"/>
          <w:szCs w:val="18"/>
        </w:rPr>
      </w:pPr>
      <w:r w:rsidRPr="000A4115">
        <w:rPr>
          <w:rStyle w:val="Appelnotedebasdep"/>
          <w:rFonts w:ascii="Palatino Linotype" w:hAnsi="Palatino Linotype"/>
          <w:sz w:val="18"/>
          <w:szCs w:val="18"/>
        </w:rPr>
        <w:footnoteRef/>
      </w:r>
      <w:r w:rsidRPr="000A4115">
        <w:rPr>
          <w:rFonts w:ascii="Palatino Linotype" w:hAnsi="Palatino Linotype"/>
          <w:sz w:val="18"/>
          <w:szCs w:val="18"/>
        </w:rPr>
        <w:t xml:space="preserve"> Guy </w:t>
      </w:r>
      <w:proofErr w:type="spellStart"/>
      <w:r w:rsidRPr="000A4115">
        <w:rPr>
          <w:rFonts w:ascii="Palatino Linotype" w:hAnsi="Palatino Linotype"/>
          <w:smallCaps/>
          <w:sz w:val="18"/>
          <w:szCs w:val="18"/>
        </w:rPr>
        <w:t>Selderslagh</w:t>
      </w:r>
      <w:proofErr w:type="spellEnd"/>
      <w:r w:rsidRPr="000A4115">
        <w:rPr>
          <w:rFonts w:ascii="Palatino Linotype" w:hAnsi="Palatino Linotype"/>
          <w:sz w:val="18"/>
          <w:szCs w:val="18"/>
        </w:rPr>
        <w:t xml:space="preserve">, « La dimension sociale de l’enseignement catholique en Europe » dans </w:t>
      </w:r>
      <w:r w:rsidRPr="000A4115">
        <w:rPr>
          <w:rFonts w:ascii="Palatino Linotype" w:hAnsi="Palatino Linotype"/>
          <w:i/>
          <w:sz w:val="18"/>
          <w:szCs w:val="18"/>
        </w:rPr>
        <w:t>Lumen Vitae</w:t>
      </w:r>
      <w:r w:rsidRPr="000A4115">
        <w:rPr>
          <w:rFonts w:ascii="Palatino Linotype" w:hAnsi="Palatino Linotype"/>
          <w:sz w:val="18"/>
          <w:szCs w:val="18"/>
        </w:rPr>
        <w:t xml:space="preserve"> 70, 2015/3, p. 267-280.</w:t>
      </w:r>
    </w:p>
  </w:footnote>
  <w:footnote w:id="51">
    <w:p w:rsidR="0085141E" w:rsidRPr="000A4115" w:rsidRDefault="0085141E" w:rsidP="0085141E">
      <w:pPr>
        <w:pStyle w:val="Notedebasdepage"/>
        <w:spacing w:line="240" w:lineRule="auto"/>
        <w:rPr>
          <w:rFonts w:ascii="Palatino Linotype" w:hAnsi="Palatino Linotype"/>
          <w:sz w:val="18"/>
          <w:szCs w:val="18"/>
        </w:rPr>
      </w:pPr>
      <w:r w:rsidRPr="000A4115">
        <w:rPr>
          <w:rStyle w:val="Appelnotedebasdep"/>
          <w:rFonts w:ascii="Palatino Linotype" w:hAnsi="Palatino Linotype"/>
          <w:sz w:val="18"/>
          <w:szCs w:val="18"/>
        </w:rPr>
        <w:footnoteRef/>
      </w:r>
      <w:r w:rsidRPr="000A4115">
        <w:rPr>
          <w:rFonts w:ascii="Palatino Linotype" w:hAnsi="Palatino Linotype"/>
          <w:sz w:val="18"/>
          <w:szCs w:val="18"/>
        </w:rPr>
        <w:t xml:space="preserve"> Cf. </w:t>
      </w:r>
      <w:proofErr w:type="spellStart"/>
      <w:r w:rsidRPr="000A4115">
        <w:rPr>
          <w:rFonts w:ascii="Palatino Linotype" w:hAnsi="Palatino Linotype"/>
          <w:i/>
          <w:sz w:val="18"/>
          <w:szCs w:val="18"/>
        </w:rPr>
        <w:t>Gravissimum</w:t>
      </w:r>
      <w:proofErr w:type="spellEnd"/>
      <w:r w:rsidRPr="000A4115">
        <w:rPr>
          <w:rFonts w:ascii="Palatino Linotype" w:hAnsi="Palatino Linotype"/>
          <w:i/>
          <w:sz w:val="18"/>
          <w:szCs w:val="18"/>
        </w:rPr>
        <w:t xml:space="preserve"> </w:t>
      </w:r>
      <w:proofErr w:type="spellStart"/>
      <w:r w:rsidRPr="000A4115">
        <w:rPr>
          <w:rFonts w:ascii="Palatino Linotype" w:hAnsi="Palatino Linotype"/>
          <w:i/>
          <w:sz w:val="18"/>
          <w:szCs w:val="18"/>
        </w:rPr>
        <w:t>Educationis</w:t>
      </w:r>
      <w:proofErr w:type="spellEnd"/>
      <w:r w:rsidRPr="000A4115">
        <w:rPr>
          <w:rFonts w:ascii="Palatino Linotype" w:hAnsi="Palatino Linotype"/>
          <w:sz w:val="18"/>
          <w:szCs w:val="18"/>
        </w:rPr>
        <w:t xml:space="preserve">, § 9 et </w:t>
      </w:r>
      <w:proofErr w:type="spellStart"/>
      <w:r w:rsidRPr="000A4115">
        <w:rPr>
          <w:rFonts w:ascii="Palatino Linotype" w:hAnsi="Palatino Linotype"/>
          <w:sz w:val="18"/>
          <w:szCs w:val="18"/>
        </w:rPr>
        <w:t>SeGEC</w:t>
      </w:r>
      <w:proofErr w:type="spellEnd"/>
      <w:r w:rsidRPr="000A4115">
        <w:rPr>
          <w:rFonts w:ascii="Palatino Linotype" w:hAnsi="Palatino Linotype"/>
          <w:sz w:val="18"/>
          <w:szCs w:val="18"/>
        </w:rPr>
        <w:t xml:space="preserve">, </w:t>
      </w:r>
      <w:r w:rsidRPr="000A4115">
        <w:rPr>
          <w:rFonts w:ascii="Palatino Linotype" w:hAnsi="Palatino Linotype"/>
          <w:i/>
          <w:sz w:val="18"/>
          <w:szCs w:val="18"/>
        </w:rPr>
        <w:t>Mission de l’école chrétienne</w:t>
      </w:r>
      <w:r w:rsidRPr="000A4115">
        <w:rPr>
          <w:rFonts w:ascii="Palatino Linotype" w:hAnsi="Palatino Linotype"/>
          <w:sz w:val="18"/>
          <w:szCs w:val="18"/>
        </w:rPr>
        <w:t>, 3</w:t>
      </w:r>
      <w:r w:rsidRPr="000A4115">
        <w:rPr>
          <w:rFonts w:ascii="Palatino Linotype" w:hAnsi="Palatino Linotype"/>
          <w:sz w:val="18"/>
          <w:szCs w:val="18"/>
          <w:vertAlign w:val="superscript"/>
        </w:rPr>
        <w:t>e</w:t>
      </w:r>
      <w:r w:rsidRPr="000A4115">
        <w:rPr>
          <w:rFonts w:ascii="Palatino Linotype" w:hAnsi="Palatino Linotype"/>
          <w:sz w:val="18"/>
          <w:szCs w:val="18"/>
        </w:rPr>
        <w:t xml:space="preserve"> éd., p. 2. </w:t>
      </w:r>
    </w:p>
  </w:footnote>
  <w:footnote w:id="52">
    <w:p w:rsidR="0085141E" w:rsidRPr="000A4115" w:rsidRDefault="0085141E" w:rsidP="0085141E">
      <w:pPr>
        <w:pStyle w:val="Notedebasdepage"/>
        <w:spacing w:line="240" w:lineRule="auto"/>
        <w:rPr>
          <w:rFonts w:ascii="Palatino Linotype" w:hAnsi="Palatino Linotype"/>
          <w:sz w:val="18"/>
          <w:szCs w:val="18"/>
          <w:highlight w:val="yellow"/>
        </w:rPr>
      </w:pPr>
      <w:r w:rsidRPr="000A4115">
        <w:rPr>
          <w:rStyle w:val="Appelnotedebasdep"/>
          <w:rFonts w:ascii="Palatino Linotype" w:hAnsi="Palatino Linotype"/>
          <w:sz w:val="18"/>
          <w:szCs w:val="18"/>
        </w:rPr>
        <w:footnoteRef/>
      </w:r>
      <w:r w:rsidRPr="000A4115">
        <w:rPr>
          <w:rFonts w:ascii="Palatino Linotype" w:hAnsi="Palatino Linotype"/>
          <w:sz w:val="18"/>
          <w:szCs w:val="18"/>
        </w:rPr>
        <w:t xml:space="preserve"> Pape </w:t>
      </w:r>
      <w:r w:rsidRPr="000A4115">
        <w:rPr>
          <w:rFonts w:ascii="Palatino Linotype" w:hAnsi="Palatino Linotype"/>
          <w:smallCaps/>
          <w:sz w:val="18"/>
          <w:szCs w:val="18"/>
        </w:rPr>
        <w:t>François</w:t>
      </w:r>
      <w:r w:rsidRPr="000A4115">
        <w:rPr>
          <w:rFonts w:ascii="Palatino Linotype" w:hAnsi="Palatino Linotype"/>
          <w:sz w:val="18"/>
          <w:szCs w:val="18"/>
        </w:rPr>
        <w:t xml:space="preserve">, </w:t>
      </w:r>
      <w:proofErr w:type="spellStart"/>
      <w:r w:rsidRPr="000A4115">
        <w:rPr>
          <w:rFonts w:ascii="Palatino Linotype" w:hAnsi="Palatino Linotype"/>
          <w:i/>
          <w:sz w:val="18"/>
          <w:szCs w:val="18"/>
        </w:rPr>
        <w:t>Evangelii</w:t>
      </w:r>
      <w:proofErr w:type="spellEnd"/>
      <w:r w:rsidRPr="000A4115">
        <w:rPr>
          <w:rFonts w:ascii="Palatino Linotype" w:hAnsi="Palatino Linotype"/>
          <w:i/>
          <w:sz w:val="18"/>
          <w:szCs w:val="18"/>
        </w:rPr>
        <w:t xml:space="preserve"> </w:t>
      </w:r>
      <w:proofErr w:type="spellStart"/>
      <w:r w:rsidRPr="000A4115">
        <w:rPr>
          <w:rFonts w:ascii="Palatino Linotype" w:hAnsi="Palatino Linotype"/>
          <w:i/>
          <w:sz w:val="18"/>
          <w:szCs w:val="18"/>
        </w:rPr>
        <w:t>Gaudium</w:t>
      </w:r>
      <w:proofErr w:type="spellEnd"/>
      <w:r w:rsidRPr="000A4115">
        <w:rPr>
          <w:rFonts w:ascii="Palatino Linotype" w:hAnsi="Palatino Linotype"/>
          <w:sz w:val="18"/>
          <w:szCs w:val="18"/>
        </w:rPr>
        <w:t>, 197 qui cite </w:t>
      </w:r>
      <w:proofErr w:type="spellStart"/>
      <w:r w:rsidRPr="000A4115">
        <w:rPr>
          <w:rFonts w:ascii="Palatino Linotype" w:hAnsi="Palatino Linotype"/>
          <w:sz w:val="18"/>
          <w:szCs w:val="18"/>
        </w:rPr>
        <w:t>Lc</w:t>
      </w:r>
      <w:proofErr w:type="spellEnd"/>
      <w:r w:rsidRPr="000A4115">
        <w:rPr>
          <w:rFonts w:ascii="Palatino Linotype" w:hAnsi="Palatino Linotype"/>
          <w:sz w:val="18"/>
          <w:szCs w:val="18"/>
        </w:rPr>
        <w:t xml:space="preserve"> 6, 20 : « Heureux les pauvres, le Royaume de Dieu est à vous ». </w:t>
      </w:r>
    </w:p>
  </w:footnote>
  <w:footnote w:id="53">
    <w:p w:rsidR="0085141E" w:rsidRPr="000A4115" w:rsidRDefault="0085141E" w:rsidP="0085141E">
      <w:pPr>
        <w:pStyle w:val="Notedebasdepage"/>
        <w:spacing w:line="240" w:lineRule="auto"/>
        <w:rPr>
          <w:rFonts w:ascii="Palatino Linotype" w:hAnsi="Palatino Linotype"/>
          <w:sz w:val="18"/>
          <w:szCs w:val="18"/>
        </w:rPr>
      </w:pPr>
      <w:r w:rsidRPr="000A4115">
        <w:rPr>
          <w:rStyle w:val="Appelnotedebasdep"/>
          <w:rFonts w:ascii="Palatino Linotype" w:hAnsi="Palatino Linotype"/>
          <w:sz w:val="18"/>
          <w:szCs w:val="18"/>
        </w:rPr>
        <w:footnoteRef/>
      </w:r>
      <w:r w:rsidRPr="000A4115">
        <w:rPr>
          <w:rFonts w:ascii="Palatino Linotype" w:hAnsi="Palatino Linotype"/>
          <w:sz w:val="18"/>
          <w:szCs w:val="18"/>
        </w:rPr>
        <w:t xml:space="preserve"> Pape </w:t>
      </w:r>
      <w:r w:rsidRPr="000A4115">
        <w:rPr>
          <w:rFonts w:ascii="Palatino Linotype" w:hAnsi="Palatino Linotype"/>
          <w:smallCaps/>
          <w:sz w:val="18"/>
          <w:szCs w:val="18"/>
        </w:rPr>
        <w:t>François</w:t>
      </w:r>
      <w:r w:rsidRPr="000A4115">
        <w:rPr>
          <w:rFonts w:ascii="Palatino Linotype" w:hAnsi="Palatino Linotype"/>
          <w:sz w:val="18"/>
          <w:szCs w:val="18"/>
        </w:rPr>
        <w:t xml:space="preserve">, </w:t>
      </w:r>
      <w:proofErr w:type="spellStart"/>
      <w:r w:rsidRPr="000A4115">
        <w:rPr>
          <w:rFonts w:ascii="Palatino Linotype" w:hAnsi="Palatino Linotype"/>
          <w:i/>
          <w:sz w:val="18"/>
          <w:szCs w:val="18"/>
        </w:rPr>
        <w:t>Laudato</w:t>
      </w:r>
      <w:proofErr w:type="spellEnd"/>
      <w:r w:rsidRPr="000A4115">
        <w:rPr>
          <w:rFonts w:ascii="Palatino Linotype" w:hAnsi="Palatino Linotype"/>
          <w:i/>
          <w:sz w:val="18"/>
          <w:szCs w:val="18"/>
        </w:rPr>
        <w:t xml:space="preserve"> Si’</w:t>
      </w:r>
      <w:r w:rsidRPr="000A4115">
        <w:rPr>
          <w:rFonts w:ascii="Palatino Linotype" w:hAnsi="Palatino Linotype"/>
          <w:sz w:val="18"/>
          <w:szCs w:val="18"/>
        </w:rPr>
        <w:t>, 70, 91, 92, 117, 120, 138, 142, 240, etc.</w:t>
      </w:r>
    </w:p>
  </w:footnote>
  <w:footnote w:id="54">
    <w:p w:rsidR="0085141E" w:rsidRPr="000A4115" w:rsidRDefault="0085141E" w:rsidP="0085141E">
      <w:pPr>
        <w:pStyle w:val="Notedebasdepage"/>
        <w:spacing w:line="240" w:lineRule="auto"/>
        <w:rPr>
          <w:rFonts w:ascii="Palatino Linotype" w:hAnsi="Palatino Linotype"/>
          <w:sz w:val="18"/>
          <w:szCs w:val="18"/>
          <w:highlight w:val="yellow"/>
        </w:rPr>
      </w:pPr>
      <w:r w:rsidRPr="000A4115">
        <w:rPr>
          <w:rStyle w:val="Appelnotedebasdep"/>
          <w:rFonts w:ascii="Palatino Linotype" w:hAnsi="Palatino Linotype"/>
          <w:sz w:val="18"/>
          <w:szCs w:val="18"/>
        </w:rPr>
        <w:footnoteRef/>
      </w:r>
      <w:r w:rsidRPr="000A4115">
        <w:rPr>
          <w:rFonts w:ascii="Palatino Linotype" w:hAnsi="Palatino Linotype"/>
          <w:sz w:val="18"/>
          <w:szCs w:val="18"/>
        </w:rPr>
        <w:t xml:space="preserve"> </w:t>
      </w:r>
      <w:r w:rsidRPr="000A4115">
        <w:rPr>
          <w:rFonts w:ascii="Palatino Linotype" w:hAnsi="Palatino Linotype"/>
          <w:color w:val="000000" w:themeColor="text1"/>
          <w:sz w:val="18"/>
          <w:szCs w:val="18"/>
        </w:rPr>
        <w:t xml:space="preserve">Paul </w:t>
      </w:r>
      <w:r w:rsidRPr="000A4115">
        <w:rPr>
          <w:rFonts w:ascii="Palatino Linotype" w:hAnsi="Palatino Linotype"/>
          <w:smallCaps/>
          <w:color w:val="000000" w:themeColor="text1"/>
          <w:sz w:val="18"/>
          <w:szCs w:val="18"/>
        </w:rPr>
        <w:t>Tillich</w:t>
      </w:r>
      <w:r w:rsidRPr="000A4115">
        <w:rPr>
          <w:rFonts w:ascii="Palatino Linotype" w:hAnsi="Palatino Linotype"/>
          <w:color w:val="000000" w:themeColor="text1"/>
          <w:sz w:val="18"/>
          <w:szCs w:val="18"/>
        </w:rPr>
        <w:t xml:space="preserve">, </w:t>
      </w:r>
      <w:r w:rsidRPr="000A4115">
        <w:rPr>
          <w:rFonts w:ascii="Palatino Linotype" w:hAnsi="Palatino Linotype"/>
          <w:i/>
          <w:color w:val="000000" w:themeColor="text1"/>
          <w:sz w:val="18"/>
          <w:szCs w:val="18"/>
        </w:rPr>
        <w:t>Le courage d’être</w:t>
      </w:r>
      <w:r w:rsidRPr="000A4115">
        <w:rPr>
          <w:rFonts w:ascii="Palatino Linotype" w:hAnsi="Palatino Linotype"/>
          <w:color w:val="000000" w:themeColor="text1"/>
          <w:sz w:val="18"/>
          <w:szCs w:val="18"/>
        </w:rPr>
        <w:t>, Genève, Labor et Fides, 2014, p. 213.</w:t>
      </w:r>
    </w:p>
  </w:footnote>
  <w:footnote w:id="55">
    <w:p w:rsidR="0085141E" w:rsidRPr="000A4115" w:rsidRDefault="0085141E" w:rsidP="0085141E">
      <w:pPr>
        <w:pStyle w:val="Notedebasdepage"/>
        <w:spacing w:line="240" w:lineRule="auto"/>
        <w:rPr>
          <w:rFonts w:ascii="Palatino Linotype" w:hAnsi="Palatino Linotype"/>
          <w:sz w:val="18"/>
          <w:szCs w:val="18"/>
        </w:rPr>
      </w:pPr>
      <w:r w:rsidRPr="000A4115">
        <w:rPr>
          <w:rStyle w:val="Appelnotedebasdep"/>
          <w:rFonts w:ascii="Palatino Linotype" w:hAnsi="Palatino Linotype"/>
          <w:sz w:val="18"/>
          <w:szCs w:val="18"/>
        </w:rPr>
        <w:footnoteRef/>
      </w:r>
      <w:r w:rsidRPr="000A4115">
        <w:rPr>
          <w:rFonts w:ascii="Palatino Linotype" w:hAnsi="Palatino Linotype"/>
          <w:sz w:val="18"/>
          <w:szCs w:val="18"/>
        </w:rPr>
        <w:t xml:space="preserve"> </w:t>
      </w:r>
      <w:r w:rsidRPr="000A4115">
        <w:rPr>
          <w:rFonts w:ascii="Palatino Linotype" w:hAnsi="Palatino Linotype"/>
          <w:i/>
          <w:sz w:val="18"/>
          <w:szCs w:val="18"/>
        </w:rPr>
        <w:t>Éduquer au dialogue interculturel à l’école catholique</w:t>
      </w:r>
      <w:r w:rsidRPr="000A4115">
        <w:rPr>
          <w:rFonts w:ascii="Palatino Linotype" w:hAnsi="Palatino Linotype"/>
          <w:sz w:val="18"/>
          <w:szCs w:val="18"/>
        </w:rPr>
        <w:t xml:space="preserve">, § 57-58 et </w:t>
      </w:r>
      <w:r w:rsidRPr="000A4115">
        <w:rPr>
          <w:rFonts w:ascii="Palatino Linotype" w:hAnsi="Palatino Linotype"/>
          <w:i/>
          <w:sz w:val="18"/>
          <w:szCs w:val="18"/>
        </w:rPr>
        <w:t>Éduquer à l’humanisme solidaire</w:t>
      </w:r>
      <w:r w:rsidRPr="000A4115">
        <w:rPr>
          <w:rFonts w:ascii="Palatino Linotype" w:hAnsi="Palatino Linotype"/>
          <w:sz w:val="18"/>
          <w:szCs w:val="18"/>
        </w:rPr>
        <w:t xml:space="preserve">, § 12. </w:t>
      </w:r>
    </w:p>
  </w:footnote>
  <w:footnote w:id="56">
    <w:p w:rsidR="0085141E" w:rsidRPr="000A4115" w:rsidRDefault="0085141E" w:rsidP="0085141E">
      <w:pPr>
        <w:pStyle w:val="Notedebasdepage"/>
        <w:spacing w:line="240" w:lineRule="auto"/>
        <w:rPr>
          <w:rFonts w:ascii="Palatino Linotype" w:hAnsi="Palatino Linotype"/>
          <w:sz w:val="18"/>
          <w:szCs w:val="18"/>
        </w:rPr>
      </w:pPr>
      <w:r w:rsidRPr="000A4115">
        <w:rPr>
          <w:rStyle w:val="Appelnotedebasdep"/>
          <w:rFonts w:ascii="Palatino Linotype" w:hAnsi="Palatino Linotype"/>
          <w:sz w:val="18"/>
          <w:szCs w:val="18"/>
        </w:rPr>
        <w:footnoteRef/>
      </w:r>
      <w:r w:rsidRPr="000A4115">
        <w:rPr>
          <w:rFonts w:ascii="Palatino Linotype" w:hAnsi="Palatino Linotype"/>
          <w:sz w:val="18"/>
          <w:szCs w:val="18"/>
        </w:rPr>
        <w:t xml:space="preserve"> Voir notamment l’article de Christian </w:t>
      </w:r>
      <w:proofErr w:type="spellStart"/>
      <w:r w:rsidRPr="000A4115">
        <w:rPr>
          <w:rFonts w:ascii="Palatino Linotype" w:hAnsi="Palatino Linotype"/>
          <w:smallCaps/>
          <w:sz w:val="18"/>
          <w:szCs w:val="18"/>
        </w:rPr>
        <w:t>Salenson</w:t>
      </w:r>
      <w:proofErr w:type="spellEnd"/>
      <w:r w:rsidRPr="000A4115">
        <w:rPr>
          <w:rFonts w:ascii="Palatino Linotype" w:hAnsi="Palatino Linotype"/>
          <w:smallCaps/>
          <w:sz w:val="18"/>
          <w:szCs w:val="18"/>
        </w:rPr>
        <w:t xml:space="preserve">, </w:t>
      </w:r>
      <w:r w:rsidRPr="000A4115">
        <w:rPr>
          <w:rFonts w:ascii="Palatino Linotype" w:hAnsi="Palatino Linotype"/>
          <w:sz w:val="18"/>
          <w:szCs w:val="18"/>
        </w:rPr>
        <w:t xml:space="preserve">« Le dialogue du salut » dans </w:t>
      </w:r>
      <w:r w:rsidRPr="000A4115">
        <w:rPr>
          <w:rFonts w:ascii="Palatino Linotype" w:hAnsi="Palatino Linotype"/>
          <w:i/>
          <w:sz w:val="18"/>
          <w:szCs w:val="18"/>
        </w:rPr>
        <w:t>Chemins de dialogue</w:t>
      </w:r>
      <w:r w:rsidRPr="000A4115">
        <w:rPr>
          <w:rFonts w:ascii="Palatino Linotype" w:hAnsi="Palatino Linotype"/>
          <w:sz w:val="18"/>
          <w:szCs w:val="18"/>
        </w:rPr>
        <w:t xml:space="preserve"> 52, 2018, p. 13-35. </w:t>
      </w:r>
    </w:p>
  </w:footnote>
  <w:footnote w:id="57">
    <w:p w:rsidR="0085141E" w:rsidRPr="000A4115" w:rsidRDefault="0085141E" w:rsidP="0085141E">
      <w:pPr>
        <w:pStyle w:val="Notedebasdepage"/>
        <w:spacing w:line="240" w:lineRule="auto"/>
        <w:rPr>
          <w:rFonts w:ascii="Palatino Linotype" w:hAnsi="Palatino Linotype"/>
          <w:sz w:val="18"/>
          <w:szCs w:val="18"/>
        </w:rPr>
      </w:pPr>
      <w:r w:rsidRPr="000A4115">
        <w:rPr>
          <w:rStyle w:val="Appelnotedebasdep"/>
          <w:rFonts w:ascii="Palatino Linotype" w:hAnsi="Palatino Linotype"/>
          <w:sz w:val="18"/>
          <w:szCs w:val="18"/>
        </w:rPr>
        <w:footnoteRef/>
      </w:r>
      <w:r w:rsidRPr="000A4115">
        <w:rPr>
          <w:rFonts w:ascii="Palatino Linotype" w:hAnsi="Palatino Linotype"/>
          <w:sz w:val="18"/>
          <w:szCs w:val="18"/>
        </w:rPr>
        <w:t xml:space="preserve"> Cf. les travaux de </w:t>
      </w:r>
      <w:proofErr w:type="spellStart"/>
      <w:r w:rsidRPr="000A4115">
        <w:rPr>
          <w:rFonts w:ascii="Palatino Linotype" w:hAnsi="Palatino Linotype"/>
          <w:sz w:val="18"/>
          <w:szCs w:val="18"/>
        </w:rPr>
        <w:t>Lieven</w:t>
      </w:r>
      <w:proofErr w:type="spellEnd"/>
      <w:r w:rsidRPr="000A4115">
        <w:rPr>
          <w:rFonts w:ascii="Palatino Linotype" w:hAnsi="Palatino Linotype"/>
          <w:sz w:val="18"/>
          <w:szCs w:val="18"/>
        </w:rPr>
        <w:t xml:space="preserve"> </w:t>
      </w:r>
      <w:proofErr w:type="spellStart"/>
      <w:r w:rsidRPr="000A4115">
        <w:rPr>
          <w:rFonts w:ascii="Palatino Linotype" w:hAnsi="Palatino Linotype"/>
          <w:sz w:val="18"/>
          <w:szCs w:val="18"/>
        </w:rPr>
        <w:t>Boeve</w:t>
      </w:r>
      <w:proofErr w:type="spellEnd"/>
      <w:r w:rsidRPr="000A4115">
        <w:rPr>
          <w:rFonts w:ascii="Palatino Linotype" w:hAnsi="Palatino Linotype"/>
          <w:sz w:val="18"/>
          <w:szCs w:val="18"/>
        </w:rPr>
        <w:t xml:space="preserve"> et de la </w:t>
      </w:r>
      <w:proofErr w:type="spellStart"/>
      <w:r w:rsidRPr="000A4115">
        <w:rPr>
          <w:rFonts w:ascii="Palatino Linotype" w:hAnsi="Palatino Linotype"/>
          <w:i/>
          <w:sz w:val="18"/>
          <w:szCs w:val="18"/>
        </w:rPr>
        <w:t>katholieke</w:t>
      </w:r>
      <w:proofErr w:type="spellEnd"/>
      <w:r w:rsidRPr="000A4115">
        <w:rPr>
          <w:rFonts w:ascii="Palatino Linotype" w:hAnsi="Palatino Linotype"/>
          <w:i/>
          <w:sz w:val="18"/>
          <w:szCs w:val="18"/>
        </w:rPr>
        <w:t xml:space="preserve"> </w:t>
      </w:r>
      <w:proofErr w:type="spellStart"/>
      <w:r w:rsidRPr="000A4115">
        <w:rPr>
          <w:rFonts w:ascii="Palatino Linotype" w:hAnsi="Palatino Linotype"/>
          <w:i/>
          <w:sz w:val="18"/>
          <w:szCs w:val="18"/>
        </w:rPr>
        <w:t>dialoogschool</w:t>
      </w:r>
      <w:proofErr w:type="spellEnd"/>
      <w:r w:rsidRPr="000A4115">
        <w:rPr>
          <w:rFonts w:ascii="Palatino Linotype" w:hAnsi="Palatino Linotype"/>
          <w:sz w:val="18"/>
          <w:szCs w:val="18"/>
        </w:rPr>
        <w:t xml:space="preserve"> de l’autre côté de la frontière linguistique.</w:t>
      </w:r>
    </w:p>
  </w:footnote>
  <w:footnote w:id="58">
    <w:p w:rsidR="0085141E" w:rsidRPr="00F6145F" w:rsidRDefault="0085141E" w:rsidP="0085141E">
      <w:pPr>
        <w:pStyle w:val="Notedebasdepage"/>
        <w:spacing w:line="240" w:lineRule="auto"/>
      </w:pPr>
      <w:r w:rsidRPr="000A4115">
        <w:rPr>
          <w:rStyle w:val="Appelnotedebasdep"/>
          <w:rFonts w:ascii="Palatino Linotype" w:hAnsi="Palatino Linotype"/>
          <w:sz w:val="18"/>
          <w:szCs w:val="18"/>
        </w:rPr>
        <w:footnoteRef/>
      </w:r>
      <w:r w:rsidRPr="000A4115">
        <w:rPr>
          <w:rFonts w:ascii="Palatino Linotype" w:hAnsi="Palatino Linotype"/>
          <w:sz w:val="18"/>
          <w:szCs w:val="18"/>
        </w:rPr>
        <w:t xml:space="preserve"> Paul </w:t>
      </w:r>
      <w:r w:rsidRPr="000A4115">
        <w:rPr>
          <w:rFonts w:ascii="Palatino Linotype" w:hAnsi="Palatino Linotype"/>
          <w:smallCaps/>
          <w:sz w:val="18"/>
          <w:szCs w:val="18"/>
        </w:rPr>
        <w:t>Tillich</w:t>
      </w:r>
      <w:r w:rsidRPr="000A4115">
        <w:rPr>
          <w:rFonts w:ascii="Palatino Linotype" w:hAnsi="Palatino Linotype"/>
          <w:sz w:val="18"/>
          <w:szCs w:val="18"/>
        </w:rPr>
        <w:t xml:space="preserve">, </w:t>
      </w:r>
      <w:r w:rsidRPr="000A4115">
        <w:rPr>
          <w:rFonts w:ascii="Palatino Linotype" w:hAnsi="Palatino Linotype"/>
          <w:i/>
          <w:sz w:val="18"/>
          <w:szCs w:val="18"/>
        </w:rPr>
        <w:t>Théologie systématique IV. La vie et l’Esprit</w:t>
      </w:r>
      <w:r w:rsidRPr="000A4115">
        <w:rPr>
          <w:rFonts w:ascii="Palatino Linotype" w:hAnsi="Palatino Linotype"/>
          <w:sz w:val="18"/>
          <w:szCs w:val="18"/>
        </w:rPr>
        <w:t xml:space="preserve">, traduit de l’anglais par Jean-Marc Saint, Genève, Labor et Fides, 1991, p. 277 : « La théonomie ne s’oppose jamais à la connaissance acquise de façon autonome, par contre elle s’oppose à la connaissance prétendant être autonome alors qu’elle n’est qu’un résultat de la distorsion de la théonomie » et Paul </w:t>
      </w:r>
      <w:r w:rsidRPr="000A4115">
        <w:rPr>
          <w:rFonts w:ascii="Palatino Linotype" w:hAnsi="Palatino Linotype"/>
          <w:smallCaps/>
          <w:sz w:val="18"/>
          <w:szCs w:val="18"/>
        </w:rPr>
        <w:t>Ricœur</w:t>
      </w:r>
      <w:r w:rsidRPr="000A4115">
        <w:rPr>
          <w:rFonts w:ascii="Palatino Linotype" w:hAnsi="Palatino Linotype"/>
          <w:sz w:val="18"/>
          <w:szCs w:val="18"/>
        </w:rPr>
        <w:t xml:space="preserve">, « Théonomie et/ou autonomie », dans M.-M. Olivetti (éd.), </w:t>
      </w:r>
      <w:proofErr w:type="spellStart"/>
      <w:r w:rsidRPr="000A4115">
        <w:rPr>
          <w:rFonts w:ascii="Palatino Linotype" w:hAnsi="Palatino Linotype"/>
          <w:i/>
          <w:sz w:val="18"/>
          <w:szCs w:val="18"/>
        </w:rPr>
        <w:t>Filosofia</w:t>
      </w:r>
      <w:proofErr w:type="spellEnd"/>
      <w:r w:rsidRPr="000A4115">
        <w:rPr>
          <w:rFonts w:ascii="Palatino Linotype" w:hAnsi="Palatino Linotype"/>
          <w:i/>
          <w:sz w:val="18"/>
          <w:szCs w:val="18"/>
        </w:rPr>
        <w:t xml:space="preserve"> </w:t>
      </w:r>
      <w:proofErr w:type="spellStart"/>
      <w:r w:rsidRPr="000A4115">
        <w:rPr>
          <w:rFonts w:ascii="Palatino Linotype" w:hAnsi="Palatino Linotype"/>
          <w:i/>
          <w:sz w:val="18"/>
          <w:szCs w:val="18"/>
        </w:rPr>
        <w:t>della</w:t>
      </w:r>
      <w:proofErr w:type="spellEnd"/>
      <w:r w:rsidRPr="000A4115">
        <w:rPr>
          <w:rFonts w:ascii="Palatino Linotype" w:hAnsi="Palatino Linotype"/>
          <w:i/>
          <w:sz w:val="18"/>
          <w:szCs w:val="18"/>
        </w:rPr>
        <w:t xml:space="preserve"> </w:t>
      </w:r>
      <w:proofErr w:type="spellStart"/>
      <w:r w:rsidRPr="000A4115">
        <w:rPr>
          <w:rFonts w:ascii="Palatino Linotype" w:hAnsi="Palatino Linotype"/>
          <w:i/>
          <w:sz w:val="18"/>
          <w:szCs w:val="18"/>
        </w:rPr>
        <w:t>Rivelazione</w:t>
      </w:r>
      <w:proofErr w:type="spellEnd"/>
      <w:r w:rsidRPr="000A4115">
        <w:rPr>
          <w:rFonts w:ascii="Palatino Linotype" w:hAnsi="Palatino Linotype"/>
          <w:sz w:val="18"/>
          <w:szCs w:val="18"/>
        </w:rPr>
        <w:t xml:space="preserve">, Padoue, </w:t>
      </w:r>
      <w:proofErr w:type="spellStart"/>
      <w:r w:rsidRPr="000A4115">
        <w:rPr>
          <w:rFonts w:ascii="Palatino Linotype" w:hAnsi="Palatino Linotype"/>
          <w:sz w:val="18"/>
          <w:szCs w:val="18"/>
        </w:rPr>
        <w:t>Ceram</w:t>
      </w:r>
      <w:proofErr w:type="spellEnd"/>
      <w:r w:rsidRPr="000A4115">
        <w:rPr>
          <w:rFonts w:ascii="Palatino Linotype" w:hAnsi="Palatino Linotype"/>
          <w:sz w:val="18"/>
          <w:szCs w:val="18"/>
        </w:rPr>
        <w:t xml:space="preserve">, 1994, p. 26 : « Loin de s’opposer à une morale de l’autonomie, la théonomie, entendue au sens d’une obéissance aimante, aide la première à </w:t>
      </w:r>
      <w:r w:rsidRPr="000A4115">
        <w:rPr>
          <w:rFonts w:ascii="Palatino Linotype" w:hAnsi="Palatino Linotype"/>
          <w:i/>
          <w:sz w:val="18"/>
          <w:szCs w:val="18"/>
        </w:rPr>
        <w:t>aller jusqu’au bout d’elle-même</w:t>
      </w:r>
      <w:r w:rsidRPr="000A4115">
        <w:rPr>
          <w:rFonts w:ascii="Palatino Linotype" w:hAnsi="Palatino Linotype"/>
          <w:sz w:val="18"/>
          <w:szCs w:val="18"/>
        </w:rPr>
        <w:t xml:space="preserve"> ; mais en revanche, pour s’accorder à l’obéissance aimante, l’autonomie doit dissocier son destin de </w:t>
      </w:r>
      <w:r w:rsidRPr="000A4115">
        <w:rPr>
          <w:rFonts w:ascii="Palatino Linotype" w:hAnsi="Palatino Linotype"/>
          <w:i/>
          <w:sz w:val="18"/>
          <w:szCs w:val="18"/>
        </w:rPr>
        <w:t>l’autosuffisance</w:t>
      </w:r>
      <w:r w:rsidRPr="000A4115">
        <w:rPr>
          <w:rFonts w:ascii="Palatino Linotype" w:hAnsi="Palatino Linotype"/>
          <w:sz w:val="18"/>
          <w:szCs w:val="18"/>
        </w:rPr>
        <w:t xml:space="preserve"> ». Ces références proviennent d’une communication </w:t>
      </w:r>
      <w:proofErr w:type="spellStart"/>
      <w:r w:rsidRPr="000A4115">
        <w:rPr>
          <w:rFonts w:ascii="Palatino Linotype" w:hAnsi="Palatino Linotype"/>
          <w:sz w:val="18"/>
          <w:szCs w:val="18"/>
        </w:rPr>
        <w:t>d’Eric</w:t>
      </w:r>
      <w:proofErr w:type="spellEnd"/>
      <w:r w:rsidRPr="000A4115">
        <w:rPr>
          <w:rFonts w:ascii="Palatino Linotype" w:hAnsi="Palatino Linotype"/>
          <w:sz w:val="18"/>
          <w:szCs w:val="18"/>
        </w:rPr>
        <w:t xml:space="preserve"> </w:t>
      </w:r>
      <w:proofErr w:type="spellStart"/>
      <w:r w:rsidRPr="000A4115">
        <w:rPr>
          <w:rFonts w:ascii="Palatino Linotype" w:hAnsi="Palatino Linotype"/>
          <w:smallCaps/>
          <w:sz w:val="18"/>
          <w:szCs w:val="18"/>
        </w:rPr>
        <w:t>Gaziaux</w:t>
      </w:r>
      <w:proofErr w:type="spellEnd"/>
      <w:r w:rsidRPr="000A4115">
        <w:rPr>
          <w:rFonts w:ascii="Palatino Linotype" w:hAnsi="Palatino Linotype"/>
          <w:smallCaps/>
          <w:sz w:val="18"/>
          <w:szCs w:val="18"/>
        </w:rPr>
        <w:t xml:space="preserve">, </w:t>
      </w:r>
      <w:r w:rsidRPr="000A4115">
        <w:rPr>
          <w:rFonts w:ascii="Palatino Linotype" w:hAnsi="Palatino Linotype"/>
          <w:sz w:val="18"/>
          <w:szCs w:val="18"/>
        </w:rPr>
        <w:t xml:space="preserve">« Autonomie et théonomie, deux concepts clés pour une pratique de l’éthique ? » lors du colloque « À quoi l’homme est-il lié ? Liberté, autonomie et autodétermination. Approches éthiques, </w:t>
      </w:r>
      <w:bookmarkStart w:id="0" w:name="_GoBack"/>
      <w:bookmarkEnd w:id="0"/>
      <w:r w:rsidRPr="000A4115">
        <w:rPr>
          <w:rFonts w:ascii="Palatino Linotype" w:hAnsi="Palatino Linotype"/>
          <w:sz w:val="18"/>
          <w:szCs w:val="18"/>
        </w:rPr>
        <w:t xml:space="preserve">théologiques et psychologiques » (Bruxelles, 12 mars 2016).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B817F72"/>
    <w:multiLevelType w:val="multilevel"/>
    <w:tmpl w:val="C558522C"/>
    <w:lvl w:ilvl="0">
      <w:start w:val="1"/>
      <w:numFmt w:val="decimal"/>
      <w:lvlText w:val="%1."/>
      <w:lvlJc w:val="left"/>
      <w:pPr>
        <w:ind w:left="567" w:hanging="567"/>
      </w:pPr>
      <w:rPr>
        <w:rFonts w:ascii="Arial" w:hAnsi="Arial" w:cs="Arial" w:hint="default"/>
        <w:sz w:val="22"/>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141E"/>
    <w:rsid w:val="00310FE8"/>
    <w:rsid w:val="007171FD"/>
    <w:rsid w:val="0085141E"/>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141E"/>
    <w:pPr>
      <w:spacing w:after="0" w:line="240" w:lineRule="auto"/>
    </w:pPr>
    <w:rPr>
      <w:rFonts w:ascii="Times" w:eastAsia="Times New Roman" w:hAnsi="Times" w:cs="Times New Roman"/>
      <w:sz w:val="24"/>
      <w:szCs w:val="20"/>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semiHidden/>
    <w:rsid w:val="0085141E"/>
    <w:rPr>
      <w:color w:val="0000FF"/>
      <w:u w:val="single"/>
    </w:rPr>
  </w:style>
  <w:style w:type="paragraph" w:styleId="Notedebasdepage">
    <w:name w:val="footnote text"/>
    <w:basedOn w:val="Normal"/>
    <w:link w:val="NotedebasdepageCar"/>
    <w:uiPriority w:val="99"/>
    <w:unhideWhenUsed/>
    <w:qFormat/>
    <w:rsid w:val="0085141E"/>
    <w:pPr>
      <w:spacing w:line="276" w:lineRule="auto"/>
      <w:jc w:val="both"/>
    </w:pPr>
    <w:rPr>
      <w:rFonts w:ascii="Arial" w:eastAsiaTheme="minorHAnsi" w:hAnsi="Arial" w:cs="Arial"/>
      <w:sz w:val="20"/>
      <w:lang w:val="fr-CH" w:eastAsia="en-US"/>
    </w:rPr>
  </w:style>
  <w:style w:type="character" w:customStyle="1" w:styleId="NotedebasdepageCar">
    <w:name w:val="Note de bas de page Car"/>
    <w:basedOn w:val="Policepardfaut"/>
    <w:link w:val="Notedebasdepage"/>
    <w:uiPriority w:val="99"/>
    <w:rsid w:val="0085141E"/>
    <w:rPr>
      <w:rFonts w:ascii="Arial" w:hAnsi="Arial" w:cs="Arial"/>
      <w:sz w:val="20"/>
      <w:szCs w:val="20"/>
      <w:lang w:val="fr-CH"/>
    </w:rPr>
  </w:style>
  <w:style w:type="character" w:styleId="Appelnotedebasdep">
    <w:name w:val="footnote reference"/>
    <w:aliases w:val="voetnoottekst"/>
    <w:basedOn w:val="Policepardfaut"/>
    <w:uiPriority w:val="99"/>
    <w:unhideWhenUsed/>
    <w:rsid w:val="0085141E"/>
    <w:rPr>
      <w:vertAlign w:val="superscript"/>
    </w:rPr>
  </w:style>
  <w:style w:type="paragraph" w:styleId="Paragraphedeliste">
    <w:name w:val="List Paragraph"/>
    <w:basedOn w:val="Normal"/>
    <w:uiPriority w:val="34"/>
    <w:qFormat/>
    <w:rsid w:val="0085141E"/>
    <w:pPr>
      <w:ind w:left="720"/>
      <w:contextualSpacing/>
    </w:pPr>
    <w:rPr>
      <w:rFonts w:asciiTheme="minorHAnsi" w:eastAsiaTheme="minorHAnsi" w:hAnsiTheme="minorHAnsi" w:cstheme="minorBidi"/>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141E"/>
    <w:pPr>
      <w:spacing w:after="0" w:line="240" w:lineRule="auto"/>
    </w:pPr>
    <w:rPr>
      <w:rFonts w:ascii="Times" w:eastAsia="Times New Roman" w:hAnsi="Times" w:cs="Times New Roman"/>
      <w:sz w:val="24"/>
      <w:szCs w:val="20"/>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semiHidden/>
    <w:rsid w:val="0085141E"/>
    <w:rPr>
      <w:color w:val="0000FF"/>
      <w:u w:val="single"/>
    </w:rPr>
  </w:style>
  <w:style w:type="paragraph" w:styleId="Notedebasdepage">
    <w:name w:val="footnote text"/>
    <w:basedOn w:val="Normal"/>
    <w:link w:val="NotedebasdepageCar"/>
    <w:uiPriority w:val="99"/>
    <w:unhideWhenUsed/>
    <w:qFormat/>
    <w:rsid w:val="0085141E"/>
    <w:pPr>
      <w:spacing w:line="276" w:lineRule="auto"/>
      <w:jc w:val="both"/>
    </w:pPr>
    <w:rPr>
      <w:rFonts w:ascii="Arial" w:eastAsiaTheme="minorHAnsi" w:hAnsi="Arial" w:cs="Arial"/>
      <w:sz w:val="20"/>
      <w:lang w:val="fr-CH" w:eastAsia="en-US"/>
    </w:rPr>
  </w:style>
  <w:style w:type="character" w:customStyle="1" w:styleId="NotedebasdepageCar">
    <w:name w:val="Note de bas de page Car"/>
    <w:basedOn w:val="Policepardfaut"/>
    <w:link w:val="Notedebasdepage"/>
    <w:uiPriority w:val="99"/>
    <w:rsid w:val="0085141E"/>
    <w:rPr>
      <w:rFonts w:ascii="Arial" w:hAnsi="Arial" w:cs="Arial"/>
      <w:sz w:val="20"/>
      <w:szCs w:val="20"/>
      <w:lang w:val="fr-CH"/>
    </w:rPr>
  </w:style>
  <w:style w:type="character" w:styleId="Appelnotedebasdep">
    <w:name w:val="footnote reference"/>
    <w:aliases w:val="voetnoottekst"/>
    <w:basedOn w:val="Policepardfaut"/>
    <w:uiPriority w:val="99"/>
    <w:unhideWhenUsed/>
    <w:rsid w:val="0085141E"/>
    <w:rPr>
      <w:vertAlign w:val="superscript"/>
    </w:rPr>
  </w:style>
  <w:style w:type="paragraph" w:styleId="Paragraphedeliste">
    <w:name w:val="List Paragraph"/>
    <w:basedOn w:val="Normal"/>
    <w:uiPriority w:val="34"/>
    <w:qFormat/>
    <w:rsid w:val="0085141E"/>
    <w:pPr>
      <w:ind w:left="720"/>
      <w:contextualSpacing/>
    </w:pPr>
    <w:rPr>
      <w:rFonts w:asciiTheme="minorHAnsi" w:eastAsiaTheme="minorHAnsi" w:hAnsiTheme="minorHAnsi" w:cstheme="minorBidi"/>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enseignement.catholique.be/segec/fileadmin/DocsFede/SeGEC/mission_EC_web_01.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4032</Words>
  <Characters>22178</Characters>
  <Application>Microsoft Office Word</Application>
  <DocSecurity>0</DocSecurity>
  <Lines>184</Lines>
  <Paragraphs>52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26158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Geoffrey Legrand</dc:creator>
  <cp:lastModifiedBy>Geoffrey Legrand</cp:lastModifiedBy>
  <cp:revision>1</cp:revision>
  <dcterms:created xsi:type="dcterms:W3CDTF">2020-06-12T16:06:00Z</dcterms:created>
  <dcterms:modified xsi:type="dcterms:W3CDTF">2020-06-12T16:07:00Z</dcterms:modified>
</cp:coreProperties>
</file>