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0C36" w:rsidRPr="002C0C36" w:rsidRDefault="002C0C36" w:rsidP="002C0C36">
      <w:pPr>
        <w:spacing w:line="360" w:lineRule="auto"/>
        <w:jc w:val="both"/>
        <w:rPr>
          <w:sz w:val="40"/>
          <w:szCs w:val="40"/>
        </w:rPr>
      </w:pPr>
      <w:r w:rsidRPr="002C0C36">
        <w:rPr>
          <w:sz w:val="40"/>
          <w:szCs w:val="40"/>
        </w:rPr>
        <w:t>La médiatisation paradoxale des violences à l’égard des femmes dans la presse quotidienne belge francophone</w:t>
      </w:r>
    </w:p>
    <w:p w:rsidR="002C0C36" w:rsidRDefault="002C0C36" w:rsidP="002C0C36">
      <w:pPr>
        <w:spacing w:line="360" w:lineRule="auto"/>
        <w:jc w:val="both"/>
      </w:pPr>
    </w:p>
    <w:p w:rsidR="00024439" w:rsidRDefault="00024439" w:rsidP="002C0C36">
      <w:pPr>
        <w:spacing w:line="360" w:lineRule="auto"/>
        <w:jc w:val="both"/>
      </w:pPr>
      <w:r w:rsidRPr="00B77AFE">
        <w:rPr>
          <w:highlight w:val="green"/>
        </w:rPr>
        <w:t>Résumé (français-anglais)</w:t>
      </w:r>
    </w:p>
    <w:p w:rsidR="00024439" w:rsidRPr="00F72611" w:rsidRDefault="00024439" w:rsidP="002C0C36">
      <w:pPr>
        <w:spacing w:line="360" w:lineRule="auto"/>
        <w:jc w:val="both"/>
      </w:pPr>
      <w:r w:rsidRPr="00F72611">
        <w:t xml:space="preserve">Une étude de l’Agence des droits fondamentaux de l’Union européenne (2014) constate qu’une femme sur trois a subi une forme de violence physique et/ou sexuelle depuis l’âge de 15 ans. Les autorités placent les médias au cœur des dispositifs </w:t>
      </w:r>
      <w:r w:rsidR="0088319C" w:rsidRPr="00F72611">
        <w:t xml:space="preserve">de lutte </w:t>
      </w:r>
      <w:r w:rsidRPr="00F72611">
        <w:t>pour deux raisons</w:t>
      </w:r>
      <w:r w:rsidR="0088319C" w:rsidRPr="00F72611">
        <w:t xml:space="preserve"> : </w:t>
      </w:r>
      <w:r w:rsidRPr="00F72611">
        <w:t>parce que la presse participe aux processus de violences en traitant mal ces sujets</w:t>
      </w:r>
      <w:r w:rsidR="0088319C" w:rsidRPr="00F72611">
        <w:t xml:space="preserve"> et</w:t>
      </w:r>
      <w:r w:rsidRPr="00F72611">
        <w:t xml:space="preserve"> parce que les médias constituent un outil dans les changements des mentalités. </w:t>
      </w:r>
      <w:r w:rsidR="0088319C" w:rsidRPr="00F72611">
        <w:t>L</w:t>
      </w:r>
      <w:r w:rsidRPr="00F72611">
        <w:t>’article examine comment la presse francophone belge couv</w:t>
      </w:r>
      <w:r w:rsidR="0088319C" w:rsidRPr="00F72611">
        <w:t>r</w:t>
      </w:r>
      <w:r w:rsidRPr="00F72611">
        <w:t xml:space="preserve">e </w:t>
      </w:r>
      <w:r w:rsidR="0088319C" w:rsidRPr="00F72611">
        <w:t>ces faits</w:t>
      </w:r>
      <w:r w:rsidRPr="00F72611">
        <w:t xml:space="preserve">. Les résultats </w:t>
      </w:r>
      <w:r w:rsidR="0088319C" w:rsidRPr="00F72611">
        <w:t>montrent que l</w:t>
      </w:r>
      <w:r w:rsidRPr="00F72611">
        <w:t xml:space="preserve">a </w:t>
      </w:r>
      <w:r w:rsidR="00FC12E9">
        <w:t>médiatisation</w:t>
      </w:r>
      <w:r w:rsidRPr="00F72611">
        <w:t xml:space="preserve"> est paradoxale : </w:t>
      </w:r>
      <w:r w:rsidR="0088319C" w:rsidRPr="00F72611">
        <w:t>beaucoup</w:t>
      </w:r>
      <w:r w:rsidRPr="00F72611">
        <w:t xml:space="preserve"> d’articles </w:t>
      </w:r>
      <w:r w:rsidR="0088319C" w:rsidRPr="00F72611">
        <w:t>sont</w:t>
      </w:r>
      <w:r w:rsidRPr="00F72611">
        <w:t xml:space="preserve"> publié</w:t>
      </w:r>
      <w:r w:rsidR="0088319C" w:rsidRPr="00F72611">
        <w:t>s</w:t>
      </w:r>
      <w:r w:rsidRPr="00F72611">
        <w:t>, mais peu de place est offerte à l’analyse, les femmes sont absentes, les faits extraordinaires empêchent d’aborder une violence plus ordinaire et l’expertise des associations de femmes n’est que rarement sollicitée.</w:t>
      </w:r>
    </w:p>
    <w:p w:rsidR="00024439" w:rsidRPr="00F72611" w:rsidRDefault="00024439" w:rsidP="00024439">
      <w:pPr>
        <w:spacing w:line="360" w:lineRule="auto"/>
        <w:jc w:val="both"/>
      </w:pPr>
      <w:r w:rsidRPr="00F72611">
        <w:t>Presse écrite, violences, femmes, médiatisation, occultation</w:t>
      </w:r>
    </w:p>
    <w:p w:rsidR="00024439" w:rsidRPr="00F72611" w:rsidRDefault="00024439" w:rsidP="002C0C36">
      <w:pPr>
        <w:spacing w:line="360" w:lineRule="auto"/>
        <w:jc w:val="both"/>
      </w:pPr>
    </w:p>
    <w:p w:rsidR="00024439" w:rsidRPr="00F72611" w:rsidRDefault="00024439" w:rsidP="00024439">
      <w:pPr>
        <w:spacing w:line="360" w:lineRule="auto"/>
        <w:jc w:val="both"/>
        <w:rPr>
          <w:lang w:val="en-US"/>
        </w:rPr>
      </w:pPr>
      <w:r w:rsidRPr="00F72611">
        <w:rPr>
          <w:lang w:val="en-US"/>
        </w:rPr>
        <w:t xml:space="preserve">A study of the European Union Agency for Fundamental Rights (2014) notes that a woman on three underwent a form of physical and/or sexual violence since the 15 years age. The authorities place the media in the middle of the means of actions for two </w:t>
      </w:r>
      <w:proofErr w:type="gramStart"/>
      <w:r w:rsidRPr="00F72611">
        <w:rPr>
          <w:lang w:val="en-US"/>
        </w:rPr>
        <w:t>reasons</w:t>
      </w:r>
      <w:r w:rsidR="0088319C" w:rsidRPr="00F72611">
        <w:rPr>
          <w:lang w:val="en-US"/>
        </w:rPr>
        <w:t xml:space="preserve"> :</w:t>
      </w:r>
      <w:proofErr w:type="gramEnd"/>
      <w:r w:rsidRPr="00F72611">
        <w:rPr>
          <w:lang w:val="en-US"/>
        </w:rPr>
        <w:t xml:space="preserve"> because the press takes part in the processes of violence by covering these issues badly</w:t>
      </w:r>
      <w:r w:rsidR="0088319C" w:rsidRPr="00F72611">
        <w:rPr>
          <w:lang w:val="en-US"/>
        </w:rPr>
        <w:t xml:space="preserve"> and</w:t>
      </w:r>
      <w:r w:rsidRPr="00F72611">
        <w:rPr>
          <w:lang w:val="en-US"/>
        </w:rPr>
        <w:t xml:space="preserve"> because the media constitute an important tool in change of attitudes. The paper examines how the French speaking Belgian press cover</w:t>
      </w:r>
      <w:r w:rsidR="0088319C" w:rsidRPr="00F72611">
        <w:rPr>
          <w:lang w:val="en-US"/>
        </w:rPr>
        <w:t>s these facts</w:t>
      </w:r>
      <w:r w:rsidRPr="00F72611">
        <w:rPr>
          <w:lang w:val="en-US"/>
        </w:rPr>
        <w:t xml:space="preserve">. The results </w:t>
      </w:r>
      <w:r w:rsidR="0088319C" w:rsidRPr="00F72611">
        <w:rPr>
          <w:lang w:val="en-US"/>
        </w:rPr>
        <w:t xml:space="preserve">shows </w:t>
      </w:r>
      <w:r w:rsidRPr="00F72611">
        <w:rPr>
          <w:lang w:val="en-US"/>
        </w:rPr>
        <w:t xml:space="preserve">that the cover is </w:t>
      </w:r>
      <w:proofErr w:type="gramStart"/>
      <w:r w:rsidRPr="00F72611">
        <w:rPr>
          <w:lang w:val="en-US"/>
        </w:rPr>
        <w:t>paradoxical :</w:t>
      </w:r>
      <w:proofErr w:type="gramEnd"/>
      <w:r w:rsidRPr="00F72611">
        <w:rPr>
          <w:lang w:val="en-US"/>
        </w:rPr>
        <w:t xml:space="preserve"> a significant number of articles are published, but very little place is offered to the analysis, </w:t>
      </w:r>
      <w:r w:rsidR="0088319C" w:rsidRPr="00F72611">
        <w:rPr>
          <w:lang w:val="en-US"/>
        </w:rPr>
        <w:t>w</w:t>
      </w:r>
      <w:r w:rsidRPr="00F72611">
        <w:rPr>
          <w:lang w:val="en-US"/>
        </w:rPr>
        <w:t>omen are absent, the extraordinary facts prevent from approaching a more ordinary violence and the expertise of women associations is seldom requested.</w:t>
      </w:r>
    </w:p>
    <w:p w:rsidR="00024439" w:rsidRPr="00F703C5" w:rsidRDefault="00024439" w:rsidP="00024439">
      <w:pPr>
        <w:spacing w:line="360" w:lineRule="auto"/>
        <w:jc w:val="both"/>
        <w:rPr>
          <w:lang w:val="en-GB"/>
        </w:rPr>
      </w:pPr>
      <w:r w:rsidRPr="00F72611">
        <w:rPr>
          <w:lang w:val="en-GB"/>
        </w:rPr>
        <w:t>Print press, violence, women, media coverage, occultation</w:t>
      </w:r>
    </w:p>
    <w:p w:rsidR="00F703C5" w:rsidRDefault="00F703C5" w:rsidP="002C0C36">
      <w:pPr>
        <w:spacing w:line="360" w:lineRule="auto"/>
        <w:jc w:val="both"/>
        <w:rPr>
          <w:shd w:val="clear" w:color="auto" w:fill="B9E7FD"/>
          <w:lang w:val="en-GB"/>
        </w:rPr>
      </w:pPr>
    </w:p>
    <w:p w:rsidR="00B77AFE" w:rsidRPr="00024439" w:rsidRDefault="00B77AFE" w:rsidP="002C0C36">
      <w:pPr>
        <w:spacing w:line="360" w:lineRule="auto"/>
        <w:jc w:val="both"/>
        <w:rPr>
          <w:shd w:val="clear" w:color="auto" w:fill="B9E7FD"/>
          <w:lang w:val="en-GB"/>
        </w:rPr>
      </w:pPr>
    </w:p>
    <w:p w:rsidR="00024439" w:rsidRPr="008861A8" w:rsidRDefault="00024439" w:rsidP="002C0C36">
      <w:pPr>
        <w:spacing w:line="360" w:lineRule="auto"/>
        <w:jc w:val="both"/>
      </w:pPr>
      <w:r w:rsidRPr="008861A8">
        <w:rPr>
          <w:highlight w:val="green"/>
        </w:rPr>
        <w:t>Article</w:t>
      </w:r>
    </w:p>
    <w:p w:rsidR="004D7DA6" w:rsidRPr="008861A8" w:rsidRDefault="004D7DA6" w:rsidP="002C0C36">
      <w:pPr>
        <w:spacing w:line="360" w:lineRule="auto"/>
        <w:jc w:val="both"/>
      </w:pPr>
    </w:p>
    <w:p w:rsidR="000C7A95" w:rsidRPr="00F72611" w:rsidRDefault="000C7A95" w:rsidP="002C0C36">
      <w:pPr>
        <w:spacing w:line="360" w:lineRule="auto"/>
        <w:jc w:val="both"/>
      </w:pPr>
      <w:r w:rsidRPr="00F72611">
        <w:t xml:space="preserve">Cet article s’intéresse à la manière dont les quotidiennes francophones belges ont couvert les faits de violences masculines en 2017. Il s’agit d’une analyse de contenu menée sur douze jours et six titres de presse. Les hypothèses qui sous-tendent la recherche sont que ces thématiques </w:t>
      </w:r>
      <w:r w:rsidRPr="00F72611">
        <w:lastRenderedPageBreak/>
        <w:t>ne surviennent qu’à l’occasion des journées internationales, que les femmes sont l’objet de représentations ambiguës et que l’expertise de terrain (majoritairement féminine) n’est pas sollicitée. La méthodologie et les résultats seront présentés et discutés en deuxième partie de texte, après une contextualisation du phénomène des violences faites aux femmes, de l’importance donnée aux médias par les autorités dans les dispositifs de lutte et un premier cadrage de la place accordée aux femmes dans la presse.</w:t>
      </w:r>
    </w:p>
    <w:p w:rsidR="000C7A95" w:rsidRPr="00F72611" w:rsidRDefault="000C7A95" w:rsidP="002C0C36">
      <w:pPr>
        <w:spacing w:line="360" w:lineRule="auto"/>
        <w:jc w:val="both"/>
      </w:pPr>
    </w:p>
    <w:p w:rsidR="00CD37E2" w:rsidRPr="00F56687" w:rsidRDefault="00AB3814" w:rsidP="002C0C36">
      <w:pPr>
        <w:spacing w:line="360" w:lineRule="auto"/>
        <w:jc w:val="both"/>
      </w:pPr>
      <w:r w:rsidRPr="00F72611">
        <w:t xml:space="preserve">La quatrième </w:t>
      </w:r>
      <w:r w:rsidRPr="00F72611">
        <w:rPr>
          <w:i/>
        </w:rPr>
        <w:t>Conférence mondiale sur les femmes</w:t>
      </w:r>
      <w:r w:rsidRPr="00F72611">
        <w:rPr>
          <w:rStyle w:val="Appelnotedebasdep"/>
        </w:rPr>
        <w:footnoteReference w:id="1"/>
      </w:r>
      <w:r w:rsidRPr="00F72611">
        <w:t xml:space="preserve"> organisée à Pékin en 1995 a marqué un tournant important pour l’égalité des sexes. Le programme d’action adopté par 189 pays fixe des objectifs pour la promotion des femmes et la réalisation de l’égalité des sexes. Une meilleure représentation des femmes dans les médias </w:t>
      </w:r>
      <w:r w:rsidR="000644E4" w:rsidRPr="00F72611">
        <w:t>est inclus</w:t>
      </w:r>
      <w:r w:rsidR="00F56687" w:rsidRPr="00F72611">
        <w:t>e</w:t>
      </w:r>
      <w:r w:rsidRPr="00F72611">
        <w:t xml:space="preserve"> </w:t>
      </w:r>
      <w:r w:rsidR="00F56687" w:rsidRPr="00F72611">
        <w:t>dans les mesures</w:t>
      </w:r>
      <w:r w:rsidRPr="00F72611">
        <w:t xml:space="preserve"> </w:t>
      </w:r>
      <w:r w:rsidR="00F56687" w:rsidRPr="00F72611">
        <w:t>préconisées</w:t>
      </w:r>
      <w:r w:rsidRPr="00F72611">
        <w:t xml:space="preserve">. C’est dans ce cadre que le </w:t>
      </w:r>
      <w:r w:rsidRPr="00F72611">
        <w:rPr>
          <w:i/>
        </w:rPr>
        <w:t>Global Media Monitoring Project</w:t>
      </w:r>
      <w:r w:rsidRPr="00F72611">
        <w:t xml:space="preserve"> (GMMP) a été lancé.</w:t>
      </w:r>
      <w:r w:rsidR="000C7A95" w:rsidRPr="00F72611">
        <w:t xml:space="preserve"> </w:t>
      </w:r>
      <w:r w:rsidRPr="00F72611">
        <w:t xml:space="preserve">Le respect du principe d’égalité de traitement entre les femmes et les hommes est </w:t>
      </w:r>
      <w:r w:rsidR="000C7A95" w:rsidRPr="00F72611">
        <w:t xml:space="preserve">également </w:t>
      </w:r>
      <w:r w:rsidRPr="00F72611">
        <w:t>garanti par</w:t>
      </w:r>
      <w:r w:rsidRPr="00F56687">
        <w:t xml:space="preserve"> l’Union européenne depuis 1957 et une douzaine de directives précisent les obligations des états membres afin d’atteindre cet objectif</w:t>
      </w:r>
      <w:r w:rsidRPr="00F56687">
        <w:rPr>
          <w:rStyle w:val="Appelnotedebasdep"/>
        </w:rPr>
        <w:footnoteReference w:id="2"/>
      </w:r>
      <w:r w:rsidRPr="00F56687">
        <w:t xml:space="preserve">. </w:t>
      </w:r>
      <w:r w:rsidR="00F56687">
        <w:t>À ce</w:t>
      </w:r>
      <w:r w:rsidRPr="00F56687">
        <w:t xml:space="preserve"> niveau </w:t>
      </w:r>
      <w:r w:rsidR="000C7A95">
        <w:t>aussi</w:t>
      </w:r>
      <w:r w:rsidRPr="00F56687">
        <w:t>, un axe prioritaire concerne les médias</w:t>
      </w:r>
      <w:r w:rsidRPr="00F56687">
        <w:rPr>
          <w:rStyle w:val="Appelnotedebasdep"/>
        </w:rPr>
        <w:footnoteReference w:id="3"/>
      </w:r>
      <w:r w:rsidR="00355BD9" w:rsidRPr="00F56687">
        <w:t>.</w:t>
      </w:r>
      <w:r w:rsidRPr="00F56687">
        <w:t xml:space="preserve"> </w:t>
      </w:r>
      <w:r w:rsidR="00355BD9" w:rsidRPr="00F56687">
        <w:t>Dans la recommandation sur l’égalité entre les femmes et les hommes et les médias</w:t>
      </w:r>
      <w:r w:rsidR="006D0BF2">
        <w:t xml:space="preserve"> </w:t>
      </w:r>
      <w:r w:rsidR="006D0BF2" w:rsidRPr="006D0BF2">
        <w:t>(</w:t>
      </w:r>
      <w:r w:rsidR="006D0BF2" w:rsidRPr="006D0BF2">
        <w:rPr>
          <w:rStyle w:val="SarahnotesCar"/>
          <w:rFonts w:ascii="Times New Roman" w:hAnsi="Times New Roman"/>
          <w:i/>
          <w:sz w:val="24"/>
          <w:szCs w:val="24"/>
        </w:rPr>
        <w:t>Recommandation CM/</w:t>
      </w:r>
      <w:proofErr w:type="spellStart"/>
      <w:r w:rsidR="006D0BF2" w:rsidRPr="006D0BF2">
        <w:rPr>
          <w:rStyle w:val="SarahnotesCar"/>
          <w:rFonts w:ascii="Times New Roman" w:hAnsi="Times New Roman"/>
          <w:i/>
          <w:sz w:val="24"/>
          <w:szCs w:val="24"/>
        </w:rPr>
        <w:t>Rec</w:t>
      </w:r>
      <w:proofErr w:type="spellEnd"/>
      <w:r w:rsidR="006D0BF2" w:rsidRPr="006D0BF2">
        <w:rPr>
          <w:rStyle w:val="SarahnotesCar"/>
          <w:rFonts w:ascii="Times New Roman" w:hAnsi="Times New Roman"/>
          <w:i/>
          <w:sz w:val="24"/>
          <w:szCs w:val="24"/>
        </w:rPr>
        <w:t>(2013)1</w:t>
      </w:r>
      <w:r w:rsidR="006D0BF2" w:rsidRPr="006D0BF2">
        <w:rPr>
          <w:rStyle w:val="SarahnotesCar"/>
          <w:rFonts w:ascii="Times New Roman" w:hAnsi="Times New Roman"/>
          <w:sz w:val="24"/>
          <w:szCs w:val="24"/>
        </w:rPr>
        <w:t>)</w:t>
      </w:r>
      <w:r w:rsidR="00355BD9" w:rsidRPr="00F56687">
        <w:t>, les autorités européennes établissent un lien direct entre la démocratie, les droits de l’h</w:t>
      </w:r>
      <w:r w:rsidR="000C7A95">
        <w:t>umain</w:t>
      </w:r>
      <w:r w:rsidR="00355BD9" w:rsidRPr="00F56687">
        <w:t>, le pluralisme des médias</w:t>
      </w:r>
      <w:r w:rsidR="000C7A95">
        <w:t>,</w:t>
      </w:r>
      <w:r w:rsidR="00355BD9" w:rsidRPr="00F56687">
        <w:t xml:space="preserve"> la diversité de leurs contenus et l’égalité entre </w:t>
      </w:r>
      <w:r w:rsidR="00AB4A9C">
        <w:t>les femmes et les hommes (2015,</w:t>
      </w:r>
      <w:r w:rsidR="00355BD9" w:rsidRPr="00F56687">
        <w:t xml:space="preserve"> </w:t>
      </w:r>
      <w:r w:rsidR="00DE0D6E">
        <w:t xml:space="preserve">p. </w:t>
      </w:r>
      <w:r w:rsidR="00355BD9" w:rsidRPr="00F56687">
        <w:t>50-51)</w:t>
      </w:r>
      <w:r w:rsidR="000C7A95">
        <w:t xml:space="preserve"> puisque</w:t>
      </w:r>
      <w:r w:rsidR="00355BD9" w:rsidRPr="00F56687">
        <w:t xml:space="preserve"> </w:t>
      </w:r>
      <w:r w:rsidR="000C7A95">
        <w:t>t</w:t>
      </w:r>
      <w:r w:rsidR="00355BD9" w:rsidRPr="00F56687">
        <w:t xml:space="preserve">ous ces phénomènes sont </w:t>
      </w:r>
      <w:r w:rsidR="000C7A95">
        <w:t xml:space="preserve">reconnus comme </w:t>
      </w:r>
      <w:r w:rsidR="00355BD9" w:rsidRPr="00F56687">
        <w:t>interdépendants. Le Comité des Ministres soutient qu’« atteindre l’égalité entre les femmes et les hommes est une condition préalable pour réaliser la justice sociale » et qu’il « ne s’agit pas de l’intérêt seul des femmes, mais de celui de la société tout entière » (2015</w:t>
      </w:r>
      <w:r w:rsidR="00AB4A9C">
        <w:t>,</w:t>
      </w:r>
      <w:r w:rsidR="00355BD9" w:rsidRPr="00F56687">
        <w:t xml:space="preserve"> </w:t>
      </w:r>
      <w:r w:rsidR="00DE0D6E">
        <w:t xml:space="preserve">p. </w:t>
      </w:r>
      <w:r w:rsidR="00355BD9" w:rsidRPr="00F56687">
        <w:t>50). Les médias sont un acteur crucial dans la formation des « perceptions, des idées, des attitudes et des comportements de la société. Ils devraient refléter la réalité des femmes et des hommes dans toute leur diversité » (2015</w:t>
      </w:r>
      <w:r w:rsidR="00AB4A9C">
        <w:t>,</w:t>
      </w:r>
      <w:r w:rsidR="00355BD9" w:rsidRPr="00F56687">
        <w:t xml:space="preserve"> </w:t>
      </w:r>
      <w:r w:rsidR="00DE0D6E">
        <w:t xml:space="preserve">p. </w:t>
      </w:r>
      <w:r w:rsidR="00355BD9" w:rsidRPr="00F56687">
        <w:t xml:space="preserve">51). Ils peuvent soit freiner soit accélérer les changements en matière d’égalité. </w:t>
      </w:r>
    </w:p>
    <w:p w:rsidR="001C0E9D" w:rsidRPr="00F56687" w:rsidRDefault="00AB3814" w:rsidP="002C0C36">
      <w:pPr>
        <w:spacing w:line="360" w:lineRule="auto"/>
        <w:jc w:val="both"/>
      </w:pPr>
      <w:r w:rsidRPr="00F56687">
        <w:t>La lutte contre les violences à l’égard</w:t>
      </w:r>
      <w:r w:rsidR="000C7A95">
        <w:t xml:space="preserve"> des</w:t>
      </w:r>
      <w:r w:rsidRPr="00F56687">
        <w:t xml:space="preserve"> femmes est également inscrite dans les </w:t>
      </w:r>
      <w:r w:rsidR="00521988" w:rsidRPr="00F56687">
        <w:t xml:space="preserve">textes internationaux. C’est </w:t>
      </w:r>
      <w:r w:rsidR="000C7A95">
        <w:t xml:space="preserve">d’ailleurs </w:t>
      </w:r>
      <w:r w:rsidR="00521988" w:rsidRPr="00F56687">
        <w:t>l’un des domaines stratégiques définis par la Conférence de Pékin. Au niveau européen</w:t>
      </w:r>
      <w:r w:rsidR="00C34432" w:rsidRPr="00F56687">
        <w:t xml:space="preserve">, la </w:t>
      </w:r>
      <w:r w:rsidR="00521988" w:rsidRPr="00F56687">
        <w:t>Convention du Conseil de l’Europe sur la prévention et la lutte contre la violence à l’égard des femmes et la violence domestique</w:t>
      </w:r>
      <w:r w:rsidR="00521988" w:rsidRPr="00F56687">
        <w:rPr>
          <w:rStyle w:val="Appelnotedebasdep"/>
        </w:rPr>
        <w:footnoteReference w:id="4"/>
      </w:r>
      <w:r w:rsidR="00521988" w:rsidRPr="00F56687">
        <w:t xml:space="preserve"> (dite d’Istanbul)</w:t>
      </w:r>
      <w:r w:rsidR="00C34432" w:rsidRPr="00F56687">
        <w:t xml:space="preserve"> est le texte </w:t>
      </w:r>
      <w:r w:rsidR="00C34432" w:rsidRPr="00F56687">
        <w:lastRenderedPageBreak/>
        <w:t xml:space="preserve">de référence. </w:t>
      </w:r>
      <w:r w:rsidR="0098108A" w:rsidRPr="00F56687">
        <w:t>Cette Convention</w:t>
      </w:r>
      <w:r w:rsidR="00521988" w:rsidRPr="00F56687">
        <w:t xml:space="preserve"> a pour but de « protéger les femmes contre toutes les formes de violence, et de prévenir, poursuivre et éliminer la violence à l’égard des femmes et la violence domestique ».</w:t>
      </w:r>
      <w:r w:rsidR="0098108A" w:rsidRPr="00F56687">
        <w:t xml:space="preserve"> </w:t>
      </w:r>
      <w:r w:rsidR="001C0E9D" w:rsidRPr="00F56687">
        <w:t>Les autorités européennes visent une « tolérance zéro » pour toutes les formes de violences à l’égard des femmes : « le harcèlement, et notamment le harcèlement sexuel, les mariages forcés, les mutilations génitales féminines, l’avortement et la stérilisation forcés, et la violence domestique sous toutes ses formes (physique, sexuelle, psychologique ou économique) » (2016</w:t>
      </w:r>
      <w:r w:rsidR="00163863">
        <w:t>,</w:t>
      </w:r>
      <w:r w:rsidR="001C0E9D" w:rsidRPr="00F56687">
        <w:t xml:space="preserve"> </w:t>
      </w:r>
      <w:r w:rsidR="00DE0D6E">
        <w:t xml:space="preserve">p. </w:t>
      </w:r>
      <w:r w:rsidR="001C0E9D" w:rsidRPr="00F56687">
        <w:t>10).</w:t>
      </w:r>
    </w:p>
    <w:p w:rsidR="0098108A" w:rsidRPr="00F56687" w:rsidRDefault="0098108A" w:rsidP="002C0C36">
      <w:pPr>
        <w:spacing w:line="360" w:lineRule="auto"/>
        <w:jc w:val="both"/>
      </w:pPr>
      <w:r w:rsidRPr="00F56687">
        <w:t>Dans l’article 17, le texte demande aux États signataires qu’ils encouragent les médias à contribuer à la prévention.</w:t>
      </w:r>
      <w:r w:rsidR="001C0E9D" w:rsidRPr="00F56687">
        <w:t xml:space="preserve"> </w:t>
      </w:r>
      <w:r w:rsidR="00DE355D" w:rsidRPr="00F56687">
        <w:t>Dans le livret</w:t>
      </w:r>
      <w:r w:rsidR="00B95A3D" w:rsidRPr="00F56687">
        <w:t xml:space="preserve"> qui accompagne et commente cet article, il est stipulé que les médias doivent développer des mécanismes d’autorégulation et s’engage</w:t>
      </w:r>
      <w:r w:rsidR="000C7A95">
        <w:t>r</w:t>
      </w:r>
      <w:r w:rsidR="00B95A3D" w:rsidRPr="00F56687">
        <w:t xml:space="preserve"> à « promouvoir l’égalité entre les femmes et les hommes, à combattre les stéréotypes de genre, à éviter la publicité, le langage et les contenus sexistes, et à ne pas utiliser d’images dégradantes des femmes associant violence et sexe » (</w:t>
      </w:r>
      <w:r w:rsidR="00126F54">
        <w:t>2016</w:t>
      </w:r>
      <w:r w:rsidR="00163863">
        <w:t>,</w:t>
      </w:r>
      <w:r w:rsidR="00B95A3D" w:rsidRPr="00F56687">
        <w:t xml:space="preserve"> </w:t>
      </w:r>
      <w:r w:rsidR="00DE0D6E">
        <w:t xml:space="preserve">p. </w:t>
      </w:r>
      <w:r w:rsidR="00B95A3D" w:rsidRPr="00F56687">
        <w:t>8). Les médias sont de nouveau</w:t>
      </w:r>
      <w:r w:rsidR="000C7A95">
        <w:t xml:space="preserve"> considérés</w:t>
      </w:r>
      <w:r w:rsidR="00B95A3D" w:rsidRPr="00F56687">
        <w:t xml:space="preserve"> à la fois</w:t>
      </w:r>
      <w:r w:rsidR="000C7A95">
        <w:t xml:space="preserve"> comme</w:t>
      </w:r>
      <w:r w:rsidR="00B95A3D" w:rsidRPr="00F56687">
        <w:t xml:space="preserve"> un outil de changement des mentalités et </w:t>
      </w:r>
      <w:r w:rsidR="000C7A95">
        <w:t xml:space="preserve">comme </w:t>
      </w:r>
      <w:r w:rsidR="00B95A3D" w:rsidRPr="00F56687">
        <w:t>un terrain à surveiller. En effet, « une couverture médiatique inappropriée de la violence à l’égard des femmes, sortie de son contexte et qui privilégie le sensationnel, peut renforcer les stéréotypes de genre et perpétuer cette violence » (</w:t>
      </w:r>
      <w:r w:rsidR="00126F54">
        <w:t>2016</w:t>
      </w:r>
      <w:r w:rsidR="00163863">
        <w:t>,</w:t>
      </w:r>
      <w:r w:rsidR="00B95A3D" w:rsidRPr="00F56687">
        <w:t xml:space="preserve"> </w:t>
      </w:r>
      <w:r w:rsidR="00DE0D6E">
        <w:t xml:space="preserve">p. </w:t>
      </w:r>
      <w:r w:rsidR="00B95A3D" w:rsidRPr="00F56687">
        <w:t>11).</w:t>
      </w:r>
    </w:p>
    <w:p w:rsidR="00D37E11" w:rsidRPr="00F56687" w:rsidRDefault="001C0E9D" w:rsidP="002C0C36">
      <w:pPr>
        <w:spacing w:line="360" w:lineRule="auto"/>
        <w:jc w:val="both"/>
      </w:pPr>
      <w:r w:rsidRPr="00F56687">
        <w:t>Dans ce document d’accompagnement, une analyse des médias permet de souligner quelques faiblesses dans la couverture de ce type de faits. Il est indiqué que la recherche d’audience occasionne des reportages stéréotyp</w:t>
      </w:r>
      <w:r w:rsidR="00D37E11" w:rsidRPr="00F56687">
        <w:t>é</w:t>
      </w:r>
      <w:r w:rsidRPr="00F56687">
        <w:t>s où les « aspects sensationnels » sont mis en avant</w:t>
      </w:r>
      <w:r w:rsidR="00D37E11" w:rsidRPr="00F56687">
        <w:t xml:space="preserve"> ce qui « risque d’entrainer une normalisation de la violence dans la société</w:t>
      </w:r>
      <w:r w:rsidR="006D0BF2">
        <w:t> »</w:t>
      </w:r>
      <w:r w:rsidR="00D37E11" w:rsidRPr="00F56687">
        <w:t xml:space="preserve"> (2016</w:t>
      </w:r>
      <w:r w:rsidR="00163863">
        <w:t>,</w:t>
      </w:r>
      <w:r w:rsidR="006D0BF2">
        <w:t xml:space="preserve"> </w:t>
      </w:r>
      <w:r w:rsidR="00DE0D6E">
        <w:t xml:space="preserve">p. </w:t>
      </w:r>
      <w:r w:rsidR="00D37E11" w:rsidRPr="00F56687">
        <w:t>33). Par ailleurs, les articles de presse se contentent trop souvent de causes superficielles renvoyant aux cas individuels et ne permettant pas de concevoir cette violence comme un fait global explicable par le sexisme encore à l’œuvre</w:t>
      </w:r>
      <w:r w:rsidR="000C7A95">
        <w:t>,</w:t>
      </w:r>
      <w:r w:rsidR="00D37E11" w:rsidRPr="00F56687">
        <w:t xml:space="preserve"> « un phénomène ordinaire et fréquent concernant chacun et chacune dans la société. » (2016</w:t>
      </w:r>
      <w:r w:rsidR="00163863">
        <w:t>,</w:t>
      </w:r>
      <w:r w:rsidR="00D37E11" w:rsidRPr="00F56687">
        <w:t xml:space="preserve"> </w:t>
      </w:r>
      <w:r w:rsidR="00DE0D6E">
        <w:t xml:space="preserve">p. </w:t>
      </w:r>
      <w:r w:rsidR="00D37E11" w:rsidRPr="00F56687">
        <w:t>34).</w:t>
      </w:r>
      <w:r w:rsidR="00134149" w:rsidRPr="00F56687">
        <w:t xml:space="preserve"> Les médias ont également tendance à ne présenter que la violence issue des milieux sociaux et économiques peu favorisés alors que les statistiques montrent que les violences affectent les femmes de toutes les couches sociales (2016</w:t>
      </w:r>
      <w:r w:rsidR="00163863">
        <w:t>,</w:t>
      </w:r>
      <w:r w:rsidR="00134149" w:rsidRPr="00F56687">
        <w:t xml:space="preserve"> </w:t>
      </w:r>
      <w:r w:rsidR="00DE0D6E">
        <w:t xml:space="preserve">p. </w:t>
      </w:r>
      <w:r w:rsidR="00134149" w:rsidRPr="00F56687">
        <w:t xml:space="preserve">34). Enfin, les reportages se concentrent sur les femmes en tant que victime et non sur les hommes auteurs de ces violences, ce qui </w:t>
      </w:r>
      <w:proofErr w:type="spellStart"/>
      <w:r w:rsidR="00134149" w:rsidRPr="00F56687">
        <w:t>invisibilise</w:t>
      </w:r>
      <w:proofErr w:type="spellEnd"/>
      <w:r w:rsidR="00134149" w:rsidRPr="00F56687">
        <w:t xml:space="preserve"> la pièce maitresse du puzzle tout en les dédouanant puisque les textes sont imprécis ou minimisent les actions des auteurs en renvoyant</w:t>
      </w:r>
      <w:r w:rsidR="00FD3BF4">
        <w:t xml:space="preserve"> la responsabilité sur les victi</w:t>
      </w:r>
      <w:r w:rsidR="00134149" w:rsidRPr="00F56687">
        <w:t>mes notamment (2016</w:t>
      </w:r>
      <w:r w:rsidR="00163863">
        <w:t>,</w:t>
      </w:r>
      <w:r w:rsidR="00DE0D6E">
        <w:t xml:space="preserve"> p. </w:t>
      </w:r>
      <w:r w:rsidR="00134149" w:rsidRPr="00F56687">
        <w:t>35).</w:t>
      </w:r>
    </w:p>
    <w:p w:rsidR="0088392F" w:rsidRDefault="0088392F" w:rsidP="002C0C36">
      <w:pPr>
        <w:spacing w:line="360" w:lineRule="auto"/>
        <w:jc w:val="both"/>
      </w:pPr>
    </w:p>
    <w:p w:rsidR="00A35BCF" w:rsidRPr="002C0C36" w:rsidRDefault="00A35BCF" w:rsidP="002C0C36">
      <w:pPr>
        <w:spacing w:line="360" w:lineRule="auto"/>
        <w:jc w:val="both"/>
        <w:rPr>
          <w:sz w:val="36"/>
          <w:szCs w:val="36"/>
        </w:rPr>
      </w:pPr>
      <w:r w:rsidRPr="002C0C36">
        <w:rPr>
          <w:sz w:val="36"/>
          <w:szCs w:val="36"/>
        </w:rPr>
        <w:t>Une violence omniprésente</w:t>
      </w:r>
    </w:p>
    <w:p w:rsidR="00A35BCF" w:rsidRPr="00F56687" w:rsidRDefault="00A35BCF" w:rsidP="002C0C36">
      <w:pPr>
        <w:spacing w:line="360" w:lineRule="auto"/>
        <w:jc w:val="both"/>
      </w:pPr>
    </w:p>
    <w:p w:rsidR="006B13A8" w:rsidRDefault="00F56687" w:rsidP="002C0C36">
      <w:pPr>
        <w:spacing w:line="360" w:lineRule="auto"/>
        <w:jc w:val="both"/>
      </w:pPr>
      <w:r>
        <w:t xml:space="preserve">Si les </w:t>
      </w:r>
      <w:r w:rsidR="00FD3BF4">
        <w:t xml:space="preserve">autorités supranationales et nationales </w:t>
      </w:r>
      <w:r w:rsidR="003C7814">
        <w:t xml:space="preserve">agissent contre les violences faites aux femmes, c’est parce qu’il s’agit d’un problème majeur dans nos sociétés. Une étude européenne de l’Agence des droits fondamentaux de l’Union européenne </w:t>
      </w:r>
      <w:r w:rsidR="00764C8E">
        <w:t xml:space="preserve">(2014) </w:t>
      </w:r>
      <w:r w:rsidR="003C7814">
        <w:t>constate qu’une femme sur trois a subi au moins une forme de violence physique et/ou sexuelle depuis l’âge de 15 ans. Une femme sur dix a subi une forme de violence sexuelle et une femme sur vingt a été violée. La violence entre partenaires est très répandue puisque 22</w:t>
      </w:r>
      <w:r w:rsidR="00173448">
        <w:t> </w:t>
      </w:r>
      <w:r w:rsidR="003C7814">
        <w:t>% des femmes l’ont connue</w:t>
      </w:r>
      <w:r w:rsidR="00B155DA">
        <w:t xml:space="preserve"> et 43</w:t>
      </w:r>
      <w:r w:rsidR="00173448">
        <w:t> </w:t>
      </w:r>
      <w:r w:rsidR="00B155DA">
        <w:t>% rela</w:t>
      </w:r>
      <w:r w:rsidR="00764C8E">
        <w:t>te</w:t>
      </w:r>
      <w:r w:rsidR="000C7A95">
        <w:t>nt</w:t>
      </w:r>
      <w:r w:rsidR="00764C8E">
        <w:t xml:space="preserve"> une forme de violence psychologique (humiliation, menace, séquestration). Une femme sur cinq a subi une forme de harcèlement sexuel (attouchements, étreinte ou baiser non consenti) et, pour 32</w:t>
      </w:r>
      <w:r w:rsidR="00173448">
        <w:t> </w:t>
      </w:r>
      <w:r w:rsidR="00764C8E">
        <w:t>% d’entre elles, ces faits se sont déroulés sur le lieu du travail. Plus d’une femme sur dix a subi des violences avant 15 ans.</w:t>
      </w:r>
    </w:p>
    <w:p w:rsidR="006B13A8" w:rsidRPr="00173448" w:rsidRDefault="00B155DA" w:rsidP="00173448">
      <w:pPr>
        <w:pStyle w:val="Sarahtexte"/>
        <w:spacing w:line="360" w:lineRule="auto"/>
        <w:rPr>
          <w:rFonts w:ascii="Times New Roman" w:hAnsi="Times New Roman"/>
          <w:sz w:val="24"/>
        </w:rPr>
      </w:pPr>
      <w:r>
        <w:rPr>
          <w:rFonts w:ascii="Times New Roman" w:hAnsi="Times New Roman"/>
          <w:sz w:val="24"/>
        </w:rPr>
        <w:t>La même recherche européenne constate qu’e</w:t>
      </w:r>
      <w:r w:rsidR="006B13A8" w:rsidRPr="006B13A8">
        <w:rPr>
          <w:rFonts w:ascii="Times New Roman" w:hAnsi="Times New Roman"/>
          <w:sz w:val="24"/>
        </w:rPr>
        <w:t>n Belgique, pays dont la presse écrite est étudiée dans cet artic</w:t>
      </w:r>
      <w:r w:rsidR="009F1E29">
        <w:rPr>
          <w:rFonts w:ascii="Times New Roman" w:hAnsi="Times New Roman"/>
          <w:sz w:val="24"/>
        </w:rPr>
        <w:t>le, plus d’une femme sur trois a</w:t>
      </w:r>
      <w:r w:rsidR="006B13A8" w:rsidRPr="006B13A8">
        <w:rPr>
          <w:rFonts w:ascii="Times New Roman" w:hAnsi="Times New Roman"/>
          <w:sz w:val="24"/>
        </w:rPr>
        <w:t xml:space="preserve"> subi des violences physiques et/ou sexuelles depuis l’âge de 15 ans. Une femme sur </w:t>
      </w:r>
      <w:r w:rsidR="000C7A95">
        <w:rPr>
          <w:rFonts w:ascii="Times New Roman" w:hAnsi="Times New Roman"/>
          <w:sz w:val="24"/>
        </w:rPr>
        <w:t>quatre</w:t>
      </w:r>
      <w:r w:rsidR="006B13A8" w:rsidRPr="006B13A8">
        <w:rPr>
          <w:rFonts w:ascii="Times New Roman" w:hAnsi="Times New Roman"/>
          <w:sz w:val="24"/>
        </w:rPr>
        <w:t xml:space="preserve"> a subi des violences de la part de sa/son (ex-)partenaire. Près de la moitié des personnes connaissent des victimes de violences conjugales. En 2016, l’Institut wallon de l’évaluation, de la prospective et de la statistique (IWEPS) a publié quelques chiffres « qui font mal ». En 2015, 16 029 plaintes ont été enregistrées pour violence dans le couple (44 plaintes par jour). Parmi ces plaintes, la moitié concerne des faits de violence physique. Les auteurs sont majoritairement des hommes (84 %). Cette même année, la police a reçu 1 032 plaintes pour viol (3 plaintes par jour) dont la moitié émane de mineurs d’âge. Ce</w:t>
      </w:r>
      <w:r w:rsidR="000C7A95">
        <w:rPr>
          <w:rFonts w:ascii="Times New Roman" w:hAnsi="Times New Roman"/>
          <w:sz w:val="24"/>
        </w:rPr>
        <w:t>s chiffres sont ce</w:t>
      </w:r>
      <w:r w:rsidR="006B13A8" w:rsidRPr="006B13A8">
        <w:rPr>
          <w:rFonts w:ascii="Times New Roman" w:hAnsi="Times New Roman"/>
          <w:sz w:val="24"/>
        </w:rPr>
        <w:t>pendant</w:t>
      </w:r>
      <w:r w:rsidR="000C7A95">
        <w:rPr>
          <w:rFonts w:ascii="Times New Roman" w:hAnsi="Times New Roman"/>
          <w:sz w:val="24"/>
        </w:rPr>
        <w:t xml:space="preserve"> probablement largement peu représentatifs puisque</w:t>
      </w:r>
      <w:r w:rsidR="006B13A8" w:rsidRPr="006B13A8">
        <w:rPr>
          <w:rFonts w:ascii="Times New Roman" w:hAnsi="Times New Roman"/>
          <w:sz w:val="24"/>
        </w:rPr>
        <w:t>, selon une étude menée par Amnesty et SOS viol en 2014, seulement 16 % des  victimes s’adressent à la police.</w:t>
      </w:r>
    </w:p>
    <w:p w:rsidR="003C7814" w:rsidRDefault="003C7814" w:rsidP="002C0C36">
      <w:pPr>
        <w:pStyle w:val="Sarahtexte"/>
        <w:spacing w:line="360" w:lineRule="auto"/>
        <w:rPr>
          <w:rFonts w:ascii="Times New Roman" w:hAnsi="Times New Roman"/>
          <w:sz w:val="24"/>
        </w:rPr>
      </w:pPr>
      <w:r w:rsidRPr="006B13A8">
        <w:rPr>
          <w:rFonts w:ascii="Times New Roman" w:hAnsi="Times New Roman"/>
          <w:sz w:val="24"/>
        </w:rPr>
        <w:t xml:space="preserve">Une recherche menée par Jérôme Pieters, Patrick Italiano, Anne-Marie </w:t>
      </w:r>
      <w:proofErr w:type="spellStart"/>
      <w:r w:rsidRPr="006B13A8">
        <w:rPr>
          <w:rFonts w:ascii="Times New Roman" w:hAnsi="Times New Roman"/>
          <w:sz w:val="24"/>
        </w:rPr>
        <w:t>Offermans</w:t>
      </w:r>
      <w:proofErr w:type="spellEnd"/>
      <w:r w:rsidRPr="006B13A8">
        <w:rPr>
          <w:rFonts w:ascii="Times New Roman" w:hAnsi="Times New Roman"/>
          <w:sz w:val="24"/>
        </w:rPr>
        <w:t xml:space="preserve">, Sabine Hellemans en 2010 </w:t>
      </w:r>
      <w:r w:rsidR="006B13A8" w:rsidRPr="006B13A8">
        <w:rPr>
          <w:rFonts w:ascii="Times New Roman" w:hAnsi="Times New Roman"/>
          <w:sz w:val="24"/>
        </w:rPr>
        <w:t xml:space="preserve">pour l’Institut pour l’égalité des femmes et des hommes </w:t>
      </w:r>
      <w:r w:rsidRPr="006B13A8">
        <w:rPr>
          <w:rFonts w:ascii="Times New Roman" w:hAnsi="Times New Roman"/>
          <w:sz w:val="24"/>
        </w:rPr>
        <w:t xml:space="preserve">constatait : </w:t>
      </w:r>
    </w:p>
    <w:p w:rsidR="00173448" w:rsidRPr="006B13A8" w:rsidRDefault="00173448" w:rsidP="002C0C36">
      <w:pPr>
        <w:pStyle w:val="Sarahtexte"/>
        <w:spacing w:line="360" w:lineRule="auto"/>
        <w:rPr>
          <w:rFonts w:ascii="Times New Roman" w:hAnsi="Times New Roman"/>
          <w:sz w:val="24"/>
        </w:rPr>
      </w:pPr>
    </w:p>
    <w:p w:rsidR="003C7814" w:rsidRPr="00DE0D6E" w:rsidRDefault="00173448" w:rsidP="00173448">
      <w:pPr>
        <w:pStyle w:val="Sarahcitation"/>
        <w:spacing w:line="360" w:lineRule="auto"/>
        <w:ind w:left="0" w:right="0"/>
        <w:rPr>
          <w:rFonts w:ascii="Times New Roman" w:hAnsi="Times New Roman"/>
          <w:i w:val="0"/>
          <w:sz w:val="24"/>
        </w:rPr>
      </w:pPr>
      <w:r w:rsidRPr="00DE0D6E">
        <w:rPr>
          <w:rFonts w:ascii="Times New Roman" w:hAnsi="Times New Roman"/>
          <w:i w:val="0"/>
          <w:sz w:val="24"/>
        </w:rPr>
        <w:t>« </w:t>
      </w:r>
      <w:r w:rsidR="003C7814" w:rsidRPr="00DE0D6E">
        <w:rPr>
          <w:rFonts w:ascii="Times New Roman" w:hAnsi="Times New Roman"/>
          <w:i w:val="0"/>
          <w:sz w:val="24"/>
        </w:rPr>
        <w:t xml:space="preserve">La violence verbale est de loin la plus fréquente (41,5 %), suivie par les intimidations (22 %), et ensuite les coups (15 %). Les violences sexuelles touchent surtout les femmes (5,6 % contre 0,8 % d’hommes), et ce sont également elles qui sont le plus enfermées ou mises à la porte (5,9 %, contre 2,7 % pour les hommes). Les hommes sont un peu plus souvent victimes de violence verbale et de coups que les femmes et sont plus ou moins autant confrontés à des intimidations. Parmi les victimes féminines, on observe cependant plus souvent des violences entre partenaires et des situations violentes, tandis que les victimes masculines sont plus </w:t>
      </w:r>
      <w:r w:rsidR="003C7814" w:rsidRPr="00DE0D6E">
        <w:rPr>
          <w:rFonts w:ascii="Times New Roman" w:hAnsi="Times New Roman"/>
          <w:i w:val="0"/>
          <w:sz w:val="24"/>
        </w:rPr>
        <w:lastRenderedPageBreak/>
        <w:t>couramment témoins d’événements ponctuels commis par un auteur inconnu.</w:t>
      </w:r>
      <w:r w:rsidRPr="00DE0D6E">
        <w:rPr>
          <w:rFonts w:ascii="Times New Roman" w:hAnsi="Times New Roman"/>
          <w:i w:val="0"/>
          <w:sz w:val="24"/>
        </w:rPr>
        <w:t> »</w:t>
      </w:r>
      <w:r w:rsidR="007A2DA9" w:rsidRPr="00DE0D6E">
        <w:rPr>
          <w:rFonts w:ascii="Times New Roman" w:hAnsi="Times New Roman"/>
          <w:i w:val="0"/>
          <w:sz w:val="24"/>
        </w:rPr>
        <w:t xml:space="preserve"> (Pieters et al., 2010</w:t>
      </w:r>
      <w:r w:rsidR="00163863" w:rsidRPr="00DE0D6E">
        <w:rPr>
          <w:rFonts w:ascii="Times New Roman" w:hAnsi="Times New Roman"/>
          <w:i w:val="0"/>
          <w:sz w:val="24"/>
        </w:rPr>
        <w:t>,</w:t>
      </w:r>
      <w:r w:rsidR="007A2DA9" w:rsidRPr="00DE0D6E">
        <w:rPr>
          <w:rFonts w:ascii="Times New Roman" w:hAnsi="Times New Roman"/>
          <w:i w:val="0"/>
          <w:sz w:val="24"/>
        </w:rPr>
        <w:t xml:space="preserve"> </w:t>
      </w:r>
      <w:r w:rsidR="00DE0D6E" w:rsidRPr="00DE0D6E">
        <w:rPr>
          <w:rFonts w:ascii="Times New Roman" w:hAnsi="Times New Roman"/>
          <w:i w:val="0"/>
          <w:sz w:val="24"/>
        </w:rPr>
        <w:t xml:space="preserve">p. </w:t>
      </w:r>
      <w:r w:rsidR="007A2DA9" w:rsidRPr="00DE0D6E">
        <w:rPr>
          <w:rFonts w:ascii="Times New Roman" w:hAnsi="Times New Roman"/>
          <w:i w:val="0"/>
          <w:sz w:val="24"/>
        </w:rPr>
        <w:t>168-169)</w:t>
      </w:r>
    </w:p>
    <w:p w:rsidR="006B13A8" w:rsidRDefault="006B13A8" w:rsidP="002C0C36">
      <w:pPr>
        <w:pStyle w:val="Sarahcitation"/>
        <w:spacing w:line="360" w:lineRule="auto"/>
        <w:ind w:left="0" w:right="0"/>
        <w:rPr>
          <w:rFonts w:ascii="Times New Roman" w:hAnsi="Times New Roman"/>
          <w:i w:val="0"/>
          <w:sz w:val="24"/>
        </w:rPr>
      </w:pPr>
    </w:p>
    <w:p w:rsidR="003C7814" w:rsidRPr="00173448" w:rsidRDefault="006B13A8" w:rsidP="00173448">
      <w:pPr>
        <w:pStyle w:val="Sarahcitation"/>
        <w:spacing w:line="360" w:lineRule="auto"/>
        <w:ind w:left="0" w:right="0"/>
        <w:rPr>
          <w:rFonts w:ascii="Times New Roman" w:hAnsi="Times New Roman"/>
          <w:i w:val="0"/>
          <w:sz w:val="24"/>
        </w:rPr>
      </w:pPr>
      <w:r>
        <w:rPr>
          <w:rFonts w:ascii="Times New Roman" w:hAnsi="Times New Roman"/>
          <w:i w:val="0"/>
          <w:sz w:val="24"/>
        </w:rPr>
        <w:t>Par ailleurs, les auteu</w:t>
      </w:r>
      <w:r w:rsidR="007A2DA9">
        <w:rPr>
          <w:rFonts w:ascii="Times New Roman" w:hAnsi="Times New Roman"/>
          <w:i w:val="0"/>
          <w:sz w:val="24"/>
        </w:rPr>
        <w:t xml:space="preserve">rs notent que peu de victimes portent plainte : </w:t>
      </w:r>
      <w:r>
        <w:rPr>
          <w:rFonts w:ascii="Times New Roman" w:hAnsi="Times New Roman"/>
          <w:i w:val="0"/>
          <w:sz w:val="24"/>
        </w:rPr>
        <w:t>seulement 13,9</w:t>
      </w:r>
      <w:r w:rsidR="00173448">
        <w:rPr>
          <w:rFonts w:ascii="Times New Roman" w:hAnsi="Times New Roman"/>
          <w:i w:val="0"/>
          <w:sz w:val="24"/>
        </w:rPr>
        <w:t> </w:t>
      </w:r>
      <w:r>
        <w:rPr>
          <w:rFonts w:ascii="Times New Roman" w:hAnsi="Times New Roman"/>
          <w:i w:val="0"/>
          <w:sz w:val="24"/>
        </w:rPr>
        <w:t>% des victimes féminines</w:t>
      </w:r>
      <w:r w:rsidR="007A2DA9">
        <w:rPr>
          <w:rFonts w:ascii="Times New Roman" w:hAnsi="Times New Roman"/>
          <w:i w:val="0"/>
          <w:sz w:val="24"/>
        </w:rPr>
        <w:t>, ce chiffre descendant à 6,2</w:t>
      </w:r>
      <w:r w:rsidR="00173448">
        <w:rPr>
          <w:rFonts w:ascii="Times New Roman" w:hAnsi="Times New Roman"/>
          <w:i w:val="0"/>
          <w:sz w:val="24"/>
        </w:rPr>
        <w:t> </w:t>
      </w:r>
      <w:r w:rsidR="007A2DA9">
        <w:rPr>
          <w:rFonts w:ascii="Times New Roman" w:hAnsi="Times New Roman"/>
          <w:i w:val="0"/>
          <w:sz w:val="24"/>
        </w:rPr>
        <w:t xml:space="preserve">% si l’auteur de la violence est un parent. Selon leur enquête, les femmes sont plus souvent victimes de formes plus graves, plus fréquentes et différentes de violence entre partenaires et que les faits s’aggravent en cas de rupture </w:t>
      </w:r>
      <w:r w:rsidR="007A2DA9" w:rsidRPr="007A2DA9">
        <w:rPr>
          <w:rFonts w:ascii="Times New Roman" w:hAnsi="Times New Roman"/>
          <w:i w:val="0"/>
          <w:sz w:val="24"/>
        </w:rPr>
        <w:t xml:space="preserve">(Pieters </w:t>
      </w:r>
      <w:r w:rsidR="007A2DA9" w:rsidRPr="00163863">
        <w:rPr>
          <w:rFonts w:ascii="Times New Roman" w:hAnsi="Times New Roman"/>
          <w:sz w:val="24"/>
        </w:rPr>
        <w:t>et al.</w:t>
      </w:r>
      <w:r w:rsidR="007A2DA9" w:rsidRPr="007A2DA9">
        <w:rPr>
          <w:rFonts w:ascii="Times New Roman" w:hAnsi="Times New Roman"/>
          <w:i w:val="0"/>
          <w:sz w:val="24"/>
        </w:rPr>
        <w:t xml:space="preserve">, </w:t>
      </w:r>
      <w:r w:rsidR="007A2DA9" w:rsidRPr="00DE0D6E">
        <w:rPr>
          <w:rFonts w:ascii="Times New Roman" w:hAnsi="Times New Roman"/>
          <w:i w:val="0"/>
          <w:sz w:val="24"/>
        </w:rPr>
        <w:t>2010</w:t>
      </w:r>
      <w:r w:rsidR="00163863" w:rsidRPr="00DE0D6E">
        <w:rPr>
          <w:rFonts w:ascii="Times New Roman" w:hAnsi="Times New Roman"/>
          <w:i w:val="0"/>
          <w:sz w:val="24"/>
        </w:rPr>
        <w:t>,</w:t>
      </w:r>
      <w:r w:rsidR="00DE0D6E" w:rsidRPr="00DE0D6E">
        <w:rPr>
          <w:rFonts w:ascii="Times New Roman" w:hAnsi="Times New Roman"/>
          <w:i w:val="0"/>
          <w:sz w:val="24"/>
        </w:rPr>
        <w:t xml:space="preserve"> p. </w:t>
      </w:r>
      <w:r w:rsidR="007A2DA9" w:rsidRPr="00DE0D6E">
        <w:rPr>
          <w:rFonts w:ascii="Times New Roman" w:hAnsi="Times New Roman"/>
          <w:i w:val="0"/>
          <w:sz w:val="24"/>
        </w:rPr>
        <w:t>168-</w:t>
      </w:r>
      <w:r w:rsidR="007A2DA9" w:rsidRPr="007A2DA9">
        <w:rPr>
          <w:rFonts w:ascii="Times New Roman" w:hAnsi="Times New Roman"/>
          <w:i w:val="0"/>
          <w:sz w:val="24"/>
        </w:rPr>
        <w:t>169)</w:t>
      </w:r>
      <w:r w:rsidR="007A2DA9">
        <w:rPr>
          <w:rFonts w:ascii="Times New Roman" w:hAnsi="Times New Roman"/>
          <w:i w:val="0"/>
          <w:sz w:val="24"/>
        </w:rPr>
        <w:t>.</w:t>
      </w:r>
    </w:p>
    <w:p w:rsidR="00173448" w:rsidRDefault="00A35BCF" w:rsidP="002C0C36">
      <w:pPr>
        <w:spacing w:line="360" w:lineRule="auto"/>
        <w:jc w:val="both"/>
      </w:pPr>
      <w:r>
        <w:t xml:space="preserve">Les auteurs citent le Conseil de l’Europe </w:t>
      </w:r>
      <w:r w:rsidR="00C4397A" w:rsidRPr="00F56687">
        <w:t>qui définit la violence comme « tout acte ou omission commis par une personne (ou un groupe) s’il porte atteinte à la vie, à l’intégrité corporelle ou psychique ou à la liberté d’une personne (ou d’un groupe) ou compromet gravement le développement de sa personnalité et/ou nuit sa sécurité financière » (2010</w:t>
      </w:r>
      <w:r w:rsidR="00163863">
        <w:t>,</w:t>
      </w:r>
      <w:r w:rsidR="00C4397A" w:rsidRPr="00F56687">
        <w:t xml:space="preserve"> </w:t>
      </w:r>
      <w:r w:rsidR="00DE0D6E">
        <w:t xml:space="preserve">p. </w:t>
      </w:r>
      <w:r w:rsidR="00C4397A" w:rsidRPr="00F56687">
        <w:t xml:space="preserve">13). Maryse </w:t>
      </w:r>
      <w:proofErr w:type="spellStart"/>
      <w:r w:rsidR="00C4397A" w:rsidRPr="00F56687">
        <w:t>Jaspard</w:t>
      </w:r>
      <w:proofErr w:type="spellEnd"/>
      <w:r w:rsidR="00C4397A" w:rsidRPr="00F56687">
        <w:t xml:space="preserve"> utilise la définition de la Déclaration sur l’élimination de la violence à l’égard des femmes : </w:t>
      </w:r>
    </w:p>
    <w:p w:rsidR="00173448" w:rsidRDefault="00173448" w:rsidP="002C0C36">
      <w:pPr>
        <w:spacing w:line="360" w:lineRule="auto"/>
        <w:jc w:val="both"/>
      </w:pPr>
    </w:p>
    <w:p w:rsidR="00173448" w:rsidRDefault="00C4397A" w:rsidP="002C0C36">
      <w:pPr>
        <w:spacing w:line="360" w:lineRule="auto"/>
        <w:jc w:val="both"/>
      </w:pPr>
      <w:r w:rsidRPr="00F56687">
        <w:t>« Tous actes de violence dirigés contre le sexe féminin, et causant ou pouvant causer aux femmes un préjudice ou des souffrances physiques, sexuelles ou psychologiques, y compris la menace de tels actes, la contrainte ou la privation arbitraire de liberté, que ce soit dans la vie publique ou dans la vie privée (article 2-ONU, 1993) » (2005</w:t>
      </w:r>
      <w:r w:rsidR="00163863">
        <w:t>,</w:t>
      </w:r>
      <w:r w:rsidRPr="00F56687">
        <w:t xml:space="preserve"> </w:t>
      </w:r>
      <w:r w:rsidR="00DE0D6E">
        <w:t xml:space="preserve">p. </w:t>
      </w:r>
      <w:r w:rsidRPr="00F56687">
        <w:t>8).</w:t>
      </w:r>
    </w:p>
    <w:p w:rsidR="00173448" w:rsidRDefault="00173448" w:rsidP="002C0C36">
      <w:pPr>
        <w:spacing w:line="360" w:lineRule="auto"/>
        <w:jc w:val="both"/>
      </w:pPr>
    </w:p>
    <w:p w:rsidR="00C4397A" w:rsidRPr="00F56687" w:rsidRDefault="00C4397A" w:rsidP="002C0C36">
      <w:pPr>
        <w:spacing w:line="360" w:lineRule="auto"/>
        <w:jc w:val="both"/>
      </w:pPr>
      <w:r w:rsidRPr="00F56687">
        <w:t>Cette déclaration de l’ONU (1993) précise que la violence à l’égard des femmes englobe, sans y être limitée :</w:t>
      </w:r>
    </w:p>
    <w:p w:rsidR="00A35BCF" w:rsidRDefault="00A35BCF" w:rsidP="002C0C36">
      <w:pPr>
        <w:pStyle w:val="Sarahcitation"/>
        <w:spacing w:line="360" w:lineRule="auto"/>
        <w:rPr>
          <w:rFonts w:ascii="Times New Roman" w:hAnsi="Times New Roman"/>
          <w:sz w:val="24"/>
        </w:rPr>
      </w:pPr>
    </w:p>
    <w:p w:rsidR="00C4397A" w:rsidRPr="00173448" w:rsidRDefault="00173448" w:rsidP="00173448">
      <w:pPr>
        <w:pStyle w:val="Sarahcitation"/>
        <w:spacing w:line="360" w:lineRule="auto"/>
        <w:ind w:left="0" w:right="0"/>
        <w:rPr>
          <w:rFonts w:ascii="Times New Roman" w:hAnsi="Times New Roman"/>
          <w:i w:val="0"/>
          <w:sz w:val="24"/>
        </w:rPr>
      </w:pPr>
      <w:r>
        <w:rPr>
          <w:rFonts w:ascii="Times New Roman" w:hAnsi="Times New Roman"/>
          <w:i w:val="0"/>
          <w:sz w:val="24"/>
        </w:rPr>
        <w:t>« </w:t>
      </w:r>
      <w:r w:rsidR="00C4397A" w:rsidRPr="00173448">
        <w:rPr>
          <w:rFonts w:ascii="Times New Roman" w:hAnsi="Times New Roman"/>
          <w:i w:val="0"/>
          <w:sz w:val="24"/>
        </w:rPr>
        <w:t>a) la violence physique, sexuelle et psychologique exercée au sein de la famille, y compris les coups, les sévices sexuels infligés aux enfants de sexe féminin au foyer, les violences liées à la dot, le viol conjugal, les mutilations génitales et autres pratiques traditionnelles préjudiciables à la femme, la violence non conjugale, et la violence liée à l’exploitation ;</w:t>
      </w:r>
    </w:p>
    <w:p w:rsidR="00C4397A" w:rsidRPr="00173448" w:rsidRDefault="00C4397A" w:rsidP="00173448">
      <w:pPr>
        <w:pStyle w:val="Sarahcitation"/>
        <w:spacing w:line="360" w:lineRule="auto"/>
        <w:ind w:left="0" w:right="0"/>
        <w:rPr>
          <w:rFonts w:ascii="Times New Roman" w:hAnsi="Times New Roman"/>
          <w:i w:val="0"/>
          <w:sz w:val="24"/>
        </w:rPr>
      </w:pPr>
      <w:r w:rsidRPr="00173448">
        <w:rPr>
          <w:rFonts w:ascii="Times New Roman" w:hAnsi="Times New Roman"/>
          <w:i w:val="0"/>
          <w:sz w:val="24"/>
        </w:rPr>
        <w:t>b) la violence physique, sexuelle et psychologique exercée au sein de la collectivité, y compris le viol, les sévices sexuels, le harcèlement sexuel et l’intimidation au travail, dans les établissements d’enseignement et ailleurs, le proxénétisme et la prostitution forcée ;</w:t>
      </w:r>
    </w:p>
    <w:p w:rsidR="00C4397A" w:rsidRPr="00173448" w:rsidRDefault="00C4397A" w:rsidP="00173448">
      <w:pPr>
        <w:pStyle w:val="Sarahcitation"/>
        <w:spacing w:line="360" w:lineRule="auto"/>
        <w:ind w:left="0" w:right="0"/>
        <w:rPr>
          <w:rFonts w:ascii="Times New Roman" w:hAnsi="Times New Roman"/>
          <w:i w:val="0"/>
          <w:sz w:val="24"/>
        </w:rPr>
      </w:pPr>
      <w:r w:rsidRPr="00173448">
        <w:rPr>
          <w:rFonts w:ascii="Times New Roman" w:hAnsi="Times New Roman"/>
          <w:i w:val="0"/>
          <w:sz w:val="24"/>
        </w:rPr>
        <w:t>c) la violence physique, sexuelle et psychologique perpétrée ou tolérée par l’</w:t>
      </w:r>
      <w:proofErr w:type="spellStart"/>
      <w:r w:rsidRPr="00173448">
        <w:rPr>
          <w:rFonts w:ascii="Times New Roman" w:hAnsi="Times New Roman"/>
          <w:i w:val="0"/>
          <w:sz w:val="24"/>
        </w:rPr>
        <w:t>Etat</w:t>
      </w:r>
      <w:proofErr w:type="spellEnd"/>
      <w:r w:rsidRPr="00173448">
        <w:rPr>
          <w:rFonts w:ascii="Times New Roman" w:hAnsi="Times New Roman"/>
          <w:i w:val="0"/>
          <w:sz w:val="24"/>
        </w:rPr>
        <w:t>, où qu’elle s’exerce.</w:t>
      </w:r>
      <w:r w:rsidR="00173448">
        <w:rPr>
          <w:rFonts w:ascii="Times New Roman" w:hAnsi="Times New Roman"/>
          <w:i w:val="0"/>
          <w:sz w:val="24"/>
        </w:rPr>
        <w:t> »</w:t>
      </w:r>
      <w:r w:rsidRPr="00173448">
        <w:rPr>
          <w:rFonts w:ascii="Times New Roman" w:hAnsi="Times New Roman"/>
          <w:i w:val="0"/>
          <w:sz w:val="24"/>
        </w:rPr>
        <w:t xml:space="preserve"> (</w:t>
      </w:r>
      <w:proofErr w:type="spellStart"/>
      <w:r w:rsidRPr="00173448">
        <w:rPr>
          <w:rFonts w:ascii="Times New Roman" w:hAnsi="Times New Roman"/>
          <w:i w:val="0"/>
          <w:sz w:val="24"/>
        </w:rPr>
        <w:t>Jaspard</w:t>
      </w:r>
      <w:proofErr w:type="spellEnd"/>
      <w:r w:rsidRPr="00173448">
        <w:rPr>
          <w:rFonts w:ascii="Times New Roman" w:hAnsi="Times New Roman"/>
          <w:i w:val="0"/>
          <w:sz w:val="24"/>
        </w:rPr>
        <w:t>, 2005</w:t>
      </w:r>
      <w:r w:rsidR="00163863" w:rsidRPr="006850F7">
        <w:rPr>
          <w:rFonts w:ascii="Times New Roman" w:hAnsi="Times New Roman"/>
          <w:i w:val="0"/>
          <w:sz w:val="24"/>
        </w:rPr>
        <w:t>,</w:t>
      </w:r>
      <w:r w:rsidRPr="006850F7">
        <w:rPr>
          <w:rFonts w:ascii="Times New Roman" w:hAnsi="Times New Roman"/>
          <w:i w:val="0"/>
          <w:sz w:val="24"/>
        </w:rPr>
        <w:t xml:space="preserve"> </w:t>
      </w:r>
      <w:r w:rsidR="00DE0D6E" w:rsidRPr="006850F7">
        <w:rPr>
          <w:rFonts w:ascii="Times New Roman" w:hAnsi="Times New Roman"/>
          <w:i w:val="0"/>
          <w:sz w:val="24"/>
        </w:rPr>
        <w:t xml:space="preserve">p. </w:t>
      </w:r>
      <w:r w:rsidRPr="006850F7">
        <w:rPr>
          <w:rFonts w:ascii="Times New Roman" w:hAnsi="Times New Roman"/>
          <w:i w:val="0"/>
          <w:sz w:val="24"/>
        </w:rPr>
        <w:t>9)</w:t>
      </w:r>
    </w:p>
    <w:p w:rsidR="00C4397A" w:rsidRPr="00F56687" w:rsidRDefault="00C4397A" w:rsidP="002C0C36">
      <w:pPr>
        <w:pStyle w:val="Sarahtexte"/>
        <w:spacing w:line="360" w:lineRule="auto"/>
        <w:rPr>
          <w:rFonts w:ascii="Times New Roman" w:hAnsi="Times New Roman"/>
          <w:sz w:val="24"/>
        </w:rPr>
      </w:pPr>
    </w:p>
    <w:p w:rsidR="00C4397A" w:rsidRPr="00F56687" w:rsidRDefault="00C4397A" w:rsidP="002C0C36">
      <w:pPr>
        <w:pStyle w:val="Sarahtexte"/>
        <w:spacing w:line="360" w:lineRule="auto"/>
        <w:rPr>
          <w:rFonts w:ascii="Times New Roman" w:hAnsi="Times New Roman"/>
          <w:sz w:val="24"/>
        </w:rPr>
      </w:pPr>
      <w:r w:rsidRPr="00F56687">
        <w:rPr>
          <w:rFonts w:ascii="Times New Roman" w:hAnsi="Times New Roman"/>
          <w:sz w:val="24"/>
        </w:rPr>
        <w:lastRenderedPageBreak/>
        <w:t xml:space="preserve">Maryse </w:t>
      </w:r>
      <w:proofErr w:type="spellStart"/>
      <w:r w:rsidRPr="00F56687">
        <w:rPr>
          <w:rFonts w:ascii="Times New Roman" w:hAnsi="Times New Roman"/>
          <w:sz w:val="24"/>
        </w:rPr>
        <w:t>Jaspard</w:t>
      </w:r>
      <w:proofErr w:type="spellEnd"/>
      <w:r w:rsidRPr="00F56687">
        <w:rPr>
          <w:rFonts w:ascii="Times New Roman" w:hAnsi="Times New Roman"/>
          <w:sz w:val="24"/>
        </w:rPr>
        <w:t xml:space="preserve"> souligne cependant, dans la conclusion de son ouvrage, que la violence est « une réalité multiforme, non réductible à un seul modèle interprétatif ». Le concept est très </w:t>
      </w:r>
      <w:r w:rsidRPr="00024ED6">
        <w:rPr>
          <w:rFonts w:ascii="Times New Roman" w:hAnsi="Times New Roman"/>
          <w:sz w:val="24"/>
        </w:rPr>
        <w:t>large</w:t>
      </w:r>
      <w:r w:rsidR="000C7A95">
        <w:rPr>
          <w:rFonts w:ascii="Times New Roman" w:hAnsi="Times New Roman"/>
          <w:sz w:val="24"/>
        </w:rPr>
        <w:t xml:space="preserve"> et désigne</w:t>
      </w:r>
      <w:r w:rsidRPr="00024ED6">
        <w:rPr>
          <w:rFonts w:ascii="Times New Roman" w:hAnsi="Times New Roman"/>
          <w:sz w:val="24"/>
        </w:rPr>
        <w:t xml:space="preserve"> « sous un même vocable des situations aussi diverses que les incivilités,</w:t>
      </w:r>
      <w:r w:rsidRPr="00F56687">
        <w:rPr>
          <w:rFonts w:ascii="Times New Roman" w:hAnsi="Times New Roman"/>
          <w:sz w:val="24"/>
        </w:rPr>
        <w:t xml:space="preserve"> massacres, viols, agressions verbales ou inégalités criantes est une forme d’am</w:t>
      </w:r>
      <w:r w:rsidR="00173448">
        <w:rPr>
          <w:rFonts w:ascii="Times New Roman" w:hAnsi="Times New Roman"/>
          <w:sz w:val="24"/>
        </w:rPr>
        <w:t>algame courante » (2005</w:t>
      </w:r>
      <w:r w:rsidR="00163863" w:rsidRPr="006850F7">
        <w:rPr>
          <w:rFonts w:ascii="Times New Roman" w:hAnsi="Times New Roman"/>
          <w:sz w:val="24"/>
        </w:rPr>
        <w:t>,</w:t>
      </w:r>
      <w:r w:rsidR="00173448" w:rsidRPr="006850F7">
        <w:rPr>
          <w:rFonts w:ascii="Times New Roman" w:hAnsi="Times New Roman"/>
          <w:sz w:val="24"/>
        </w:rPr>
        <w:t xml:space="preserve"> </w:t>
      </w:r>
      <w:r w:rsidR="00DE0D6E" w:rsidRPr="006850F7">
        <w:rPr>
          <w:rFonts w:ascii="Times New Roman" w:hAnsi="Times New Roman"/>
          <w:sz w:val="24"/>
        </w:rPr>
        <w:t>p.</w:t>
      </w:r>
      <w:r w:rsidR="00DE0D6E">
        <w:t xml:space="preserve"> </w:t>
      </w:r>
      <w:r w:rsidR="00173448">
        <w:rPr>
          <w:rFonts w:ascii="Times New Roman" w:hAnsi="Times New Roman"/>
          <w:sz w:val="24"/>
        </w:rPr>
        <w:t>110).</w:t>
      </w:r>
    </w:p>
    <w:p w:rsidR="0088392F" w:rsidRPr="00F56687" w:rsidRDefault="0088392F" w:rsidP="002C0C36">
      <w:pPr>
        <w:spacing w:line="360" w:lineRule="auto"/>
        <w:jc w:val="both"/>
      </w:pPr>
    </w:p>
    <w:p w:rsidR="001B575E" w:rsidRPr="002C0C36" w:rsidRDefault="00A35BCF" w:rsidP="002C0C36">
      <w:pPr>
        <w:spacing w:line="360" w:lineRule="auto"/>
        <w:jc w:val="both"/>
        <w:rPr>
          <w:sz w:val="36"/>
          <w:szCs w:val="36"/>
        </w:rPr>
      </w:pPr>
      <w:r w:rsidRPr="002C0C36">
        <w:rPr>
          <w:sz w:val="36"/>
          <w:szCs w:val="36"/>
        </w:rPr>
        <w:t xml:space="preserve">La recherche </w:t>
      </w:r>
      <w:r w:rsidR="00022E0A" w:rsidRPr="002C0C36">
        <w:rPr>
          <w:sz w:val="36"/>
          <w:szCs w:val="36"/>
        </w:rPr>
        <w:t xml:space="preserve">sur la presse écrite quotidienne </w:t>
      </w:r>
      <w:r w:rsidRPr="002C0C36">
        <w:rPr>
          <w:sz w:val="36"/>
          <w:szCs w:val="36"/>
        </w:rPr>
        <w:t>belge francophone</w:t>
      </w:r>
    </w:p>
    <w:p w:rsidR="001B575E" w:rsidRDefault="001B575E" w:rsidP="002C0C36">
      <w:pPr>
        <w:spacing w:line="360" w:lineRule="auto"/>
        <w:jc w:val="both"/>
      </w:pPr>
    </w:p>
    <w:p w:rsidR="00430031" w:rsidRPr="00C9242A" w:rsidRDefault="00430031" w:rsidP="002C0C36">
      <w:pPr>
        <w:spacing w:line="360" w:lineRule="auto"/>
        <w:jc w:val="both"/>
      </w:pPr>
      <w:r>
        <w:t xml:space="preserve">Le 14 mars 2016, la Belgique a ratifié </w:t>
      </w:r>
      <w:r w:rsidR="00A0775C">
        <w:t xml:space="preserve">la </w:t>
      </w:r>
      <w:r>
        <w:t>Convention d’Istanbul</w:t>
      </w:r>
      <w:r w:rsidR="00C9242A">
        <w:rPr>
          <w:rStyle w:val="Appelnotedebasdep"/>
        </w:rPr>
        <w:footnoteReference w:id="5"/>
      </w:r>
      <w:r w:rsidR="00A0775C">
        <w:t xml:space="preserve"> et</w:t>
      </w:r>
      <w:r>
        <w:t xml:space="preserve"> </w:t>
      </w:r>
      <w:r w:rsidR="00A0775C">
        <w:t xml:space="preserve">ce texte est devenu la référence du </w:t>
      </w:r>
      <w:r>
        <w:t>cinquième plan d’action national de lutte contre la violence basée sur le genre</w:t>
      </w:r>
      <w:r w:rsidR="00A0775C">
        <w:rPr>
          <w:rStyle w:val="Appelnotedebasdep"/>
        </w:rPr>
        <w:footnoteReference w:id="6"/>
      </w:r>
      <w:r>
        <w:t xml:space="preserve"> </w:t>
      </w:r>
      <w:r w:rsidR="00C9242A">
        <w:t xml:space="preserve">qui couvre les année 2015-2019. Cependant, aucune </w:t>
      </w:r>
      <w:r w:rsidR="003F1D31">
        <w:t>étude</w:t>
      </w:r>
      <w:r w:rsidR="00C9242A">
        <w:t xml:space="preserve"> scientifique ne s’était penchée sur la manière dont la presse couvre ces faits.</w:t>
      </w:r>
      <w:r w:rsidR="003F1D31">
        <w:t xml:space="preserve"> </w:t>
      </w:r>
      <w:r w:rsidR="00080272">
        <w:t>La recherche a été menée dans le cadre des travaux d’Alter Égales</w:t>
      </w:r>
      <w:r w:rsidR="003F1D31">
        <w:rPr>
          <w:rStyle w:val="Appelnotedebasdep"/>
        </w:rPr>
        <w:footnoteReference w:id="7"/>
      </w:r>
      <w:r w:rsidR="00080272">
        <w:t>, l’assemblée participative pour les Droits des femmes rassemblant les organisations féminines et féministes de terrain et le monde p</w:t>
      </w:r>
      <w:r w:rsidR="00B5165B">
        <w:t xml:space="preserve">olitique sous l’égide de la Ministre des Droits des femmes, Isabelle </w:t>
      </w:r>
      <w:proofErr w:type="spellStart"/>
      <w:r w:rsidR="00B5165B">
        <w:t>Simonis</w:t>
      </w:r>
      <w:proofErr w:type="spellEnd"/>
      <w:r w:rsidR="00080272">
        <w:t xml:space="preserve">. En 2017, le thème choisi était le </w:t>
      </w:r>
      <w:r w:rsidR="0079331C">
        <w:t>droit à l’intégrité physique et psychique et l’une des sous-comm</w:t>
      </w:r>
      <w:r w:rsidR="00B5165B">
        <w:t>i</w:t>
      </w:r>
      <w:r w:rsidR="0079331C">
        <w:t>s</w:t>
      </w:r>
      <w:r w:rsidR="00BF1989">
        <w:t>sions</w:t>
      </w:r>
      <w:r w:rsidR="00B5165B">
        <w:t xml:space="preserve"> était consacrée au traitement médiatique des violences contre les femmes.</w:t>
      </w:r>
      <w:r>
        <w:t xml:space="preserve"> L’étude</w:t>
      </w:r>
      <w:r w:rsidR="00A0775C">
        <w:t xml:space="preserve"> était</w:t>
      </w:r>
      <w:r>
        <w:t xml:space="preserve"> pilotée par l’Association des journalistes professionnels </w:t>
      </w:r>
      <w:r w:rsidR="00C9242A">
        <w:t xml:space="preserve">(AJP) </w:t>
      </w:r>
      <w:r>
        <w:t xml:space="preserve">et </w:t>
      </w:r>
      <w:r w:rsidR="00C9242A">
        <w:t>encadrée</w:t>
      </w:r>
      <w:r>
        <w:t xml:space="preserve"> par</w:t>
      </w:r>
      <w:r w:rsidR="00C9242A">
        <w:t xml:space="preserve"> un comité scientifique rassemblant le cabinet de l’Égalité des chances, l’AJP et</w:t>
      </w:r>
      <w:r>
        <w:t xml:space="preserve"> trois associations de terrain</w:t>
      </w:r>
      <w:r w:rsidR="00C9242A">
        <w:t xml:space="preserve"> : </w:t>
      </w:r>
      <w:r w:rsidR="00C9242A" w:rsidRPr="00C9242A">
        <w:t>SOS Viol, le Collectif des femmes (Louvain-la-Neuve), et Solidarité femmes (La Louvière</w:t>
      </w:r>
      <w:r w:rsidR="00C9242A">
        <w:t>).</w:t>
      </w:r>
    </w:p>
    <w:p w:rsidR="003C2650" w:rsidRPr="00995D01" w:rsidRDefault="003C2650" w:rsidP="002C0C36">
      <w:pPr>
        <w:spacing w:line="360" w:lineRule="auto"/>
        <w:jc w:val="both"/>
      </w:pPr>
      <w:r>
        <w:t xml:space="preserve">Six titres de </w:t>
      </w:r>
      <w:r w:rsidR="00995D01">
        <w:t xml:space="preserve">la </w:t>
      </w:r>
      <w:r>
        <w:t xml:space="preserve">presse quotidienne </w:t>
      </w:r>
      <w:r w:rsidR="00995D01">
        <w:t xml:space="preserve">francophone </w:t>
      </w:r>
      <w:r>
        <w:t>ont été examinés </w:t>
      </w:r>
      <w:r w:rsidRPr="003C2650">
        <w:t xml:space="preserve">: </w:t>
      </w:r>
      <w:r w:rsidRPr="003C2650">
        <w:rPr>
          <w:i/>
        </w:rPr>
        <w:t>La Dernière Heure</w:t>
      </w:r>
      <w:r w:rsidRPr="003C2650">
        <w:t xml:space="preserve">, </w:t>
      </w:r>
      <w:r w:rsidRPr="003C2650">
        <w:rPr>
          <w:i/>
        </w:rPr>
        <w:t>La Libre Belgique</w:t>
      </w:r>
      <w:r w:rsidRPr="003C2650">
        <w:t xml:space="preserve">, </w:t>
      </w:r>
      <w:r w:rsidRPr="003C2650">
        <w:rPr>
          <w:i/>
        </w:rPr>
        <w:t>Le Soir</w:t>
      </w:r>
      <w:r w:rsidRPr="003C2650">
        <w:t xml:space="preserve">, </w:t>
      </w:r>
      <w:r w:rsidRPr="003C2650">
        <w:rPr>
          <w:i/>
        </w:rPr>
        <w:t>Métro</w:t>
      </w:r>
      <w:r w:rsidRPr="003C2650">
        <w:t xml:space="preserve"> et le </w:t>
      </w:r>
      <w:r w:rsidR="0088392F">
        <w:rPr>
          <w:i/>
        </w:rPr>
        <w:t>Nord É</w:t>
      </w:r>
      <w:r w:rsidRPr="003C2650">
        <w:rPr>
          <w:i/>
        </w:rPr>
        <w:t xml:space="preserve">clair </w:t>
      </w:r>
      <w:r>
        <w:t>(</w:t>
      </w:r>
      <w:proofErr w:type="spellStart"/>
      <w:r w:rsidRPr="003C2650">
        <w:t>Sudpresse</w:t>
      </w:r>
      <w:proofErr w:type="spellEnd"/>
      <w:r>
        <w:t>)</w:t>
      </w:r>
      <w:r w:rsidRPr="003C2650">
        <w:rPr>
          <w:i/>
        </w:rPr>
        <w:t xml:space="preserve"> </w:t>
      </w:r>
      <w:r w:rsidRPr="003C2650">
        <w:t>et</w:t>
      </w:r>
      <w:r>
        <w:t>, pour la partie qualitative,</w:t>
      </w:r>
      <w:r w:rsidRPr="003C2650">
        <w:rPr>
          <w:i/>
        </w:rPr>
        <w:t xml:space="preserve"> Le Courrier de l’Escaut</w:t>
      </w:r>
      <w:r w:rsidRPr="003C2650">
        <w:t xml:space="preserve"> </w:t>
      </w:r>
      <w:r>
        <w:t>(</w:t>
      </w:r>
      <w:r w:rsidRPr="003C2650">
        <w:t>l</w:t>
      </w:r>
      <w:r>
        <w:t>es éditions de L’Avenir</w:t>
      </w:r>
      <w:r w:rsidRPr="003C2650">
        <w:t>).</w:t>
      </w:r>
      <w:r w:rsidR="00995D01">
        <w:t xml:space="preserve"> </w:t>
      </w:r>
      <w:r w:rsidRPr="00995D01">
        <w:t>Douze jours ont été sélectionnés selon deux techniques différentes.</w:t>
      </w:r>
      <w:r w:rsidR="00995D01">
        <w:t xml:space="preserve"> </w:t>
      </w:r>
      <w:r w:rsidRPr="00995D01">
        <w:t>Un premier échantillonnage aléatoire permet de vérifier le discours ordinaire des médias. Cet échantillon est composé des lundi 3 octobre 2016, mercredi 21 décembre 2016, vendredi 3 février 2017, mardi 9 mai 2017, jeudi 27 juillet 2017, samedi et dimanche 16 et 17 septembre (édition du week-end).</w:t>
      </w:r>
      <w:r w:rsidR="00995D01">
        <w:t xml:space="preserve"> </w:t>
      </w:r>
      <w:r w:rsidRPr="00995D01">
        <w:t xml:space="preserve">Un second échantillonnage raisonné se concentre sur des jours où le thème risque particulièrement d’être abordé. Cet échantillon est composé des jours </w:t>
      </w:r>
      <w:r w:rsidRPr="00995D01">
        <w:lastRenderedPageBreak/>
        <w:t>qui préparent le 8 mars 2017 (Journée internationale des Droits des femmes), le 11 novembre 2017 (Journée nationale belge de la Femme) et le 25 novembre 2017 (Journée internationale pour l’élimination de la violence à l’égard des femmes). Ont été sélectionné les lundi 6, mardi 7 et mercredi 8 mars 2017, l’édition du week-end</w:t>
      </w:r>
      <w:r w:rsidRPr="00995D01">
        <w:rPr>
          <w:rStyle w:val="Appelnotedebasdep"/>
        </w:rPr>
        <w:footnoteReference w:id="8"/>
      </w:r>
      <w:r w:rsidRPr="00995D01">
        <w:t xml:space="preserve"> des 10-11-12 novembre 2017, le vendredi 24 novembre et l’édition du week-end des 25-26 novembre 2017.</w:t>
      </w:r>
    </w:p>
    <w:p w:rsidR="0069631E" w:rsidRPr="00F72611" w:rsidRDefault="0069631E" w:rsidP="002C0C36">
      <w:pPr>
        <w:pStyle w:val="Sarahtexte"/>
        <w:spacing w:line="360" w:lineRule="auto"/>
        <w:rPr>
          <w:rFonts w:ascii="Times New Roman" w:hAnsi="Times New Roman"/>
          <w:sz w:val="24"/>
        </w:rPr>
      </w:pPr>
      <w:r w:rsidRPr="00F0730D">
        <w:rPr>
          <w:rFonts w:ascii="Times New Roman" w:hAnsi="Times New Roman"/>
          <w:sz w:val="24"/>
        </w:rPr>
        <w:t xml:space="preserve">Le corpus est exploré au moyen de deux </w:t>
      </w:r>
      <w:r w:rsidR="00720FA7">
        <w:rPr>
          <w:rFonts w:ascii="Times New Roman" w:hAnsi="Times New Roman"/>
          <w:sz w:val="24"/>
        </w:rPr>
        <w:t>méthodes</w:t>
      </w:r>
      <w:r w:rsidRPr="00F0730D">
        <w:rPr>
          <w:rFonts w:ascii="Times New Roman" w:hAnsi="Times New Roman"/>
          <w:sz w:val="24"/>
        </w:rPr>
        <w:t xml:space="preserve"> différentes</w:t>
      </w:r>
      <w:r w:rsidR="00CC0747" w:rsidRPr="00F0730D">
        <w:rPr>
          <w:rFonts w:ascii="Times New Roman" w:hAnsi="Times New Roman"/>
          <w:sz w:val="24"/>
        </w:rPr>
        <w:t>. L</w:t>
      </w:r>
      <w:r w:rsidRPr="00F0730D">
        <w:rPr>
          <w:rFonts w:ascii="Times New Roman" w:hAnsi="Times New Roman"/>
          <w:sz w:val="24"/>
        </w:rPr>
        <w:t xml:space="preserve">’encodage systématique que l’analyse quantitative suppose permet de produire des données fines et rigoureuses sur le corpus. La grille </w:t>
      </w:r>
      <w:r w:rsidR="00720FA7">
        <w:rPr>
          <w:rFonts w:ascii="Times New Roman" w:hAnsi="Times New Roman"/>
          <w:sz w:val="24"/>
        </w:rPr>
        <w:t>de codage</w:t>
      </w:r>
      <w:r w:rsidRPr="00F0730D">
        <w:rPr>
          <w:rFonts w:ascii="Times New Roman" w:hAnsi="Times New Roman"/>
          <w:sz w:val="24"/>
        </w:rPr>
        <w:t xml:space="preserve"> utilisée pour cette partie est inspirée de celle utilisée par l’AJP pour son </w:t>
      </w:r>
      <w:proofErr w:type="spellStart"/>
      <w:r w:rsidRPr="00F0730D">
        <w:rPr>
          <w:rFonts w:ascii="Times New Roman" w:hAnsi="Times New Roman"/>
          <w:i/>
          <w:sz w:val="24"/>
        </w:rPr>
        <w:t>Etude</w:t>
      </w:r>
      <w:proofErr w:type="spellEnd"/>
      <w:r w:rsidRPr="00F0730D">
        <w:rPr>
          <w:rFonts w:ascii="Times New Roman" w:hAnsi="Times New Roman"/>
          <w:i/>
          <w:sz w:val="24"/>
        </w:rPr>
        <w:t xml:space="preserve"> de l’image et de la représentation des jeunes dans la presse quotidienne belge francophone</w:t>
      </w:r>
      <w:r w:rsidRPr="00F0730D">
        <w:rPr>
          <w:rFonts w:ascii="Times New Roman" w:hAnsi="Times New Roman"/>
          <w:sz w:val="24"/>
        </w:rPr>
        <w:t xml:space="preserve"> (2015). Outre les métadonnées liées aux journaux et aux articles, nous avons vérifié le placement des textes, le type de titraille, la présence de photographie, les genres et les thèmes journalistiques, la localisation des informations, le type de violences présentées, les sphères sociales mobilisées, les mobiles annoncés, les acteurs intervenant dans les articles selon plusieurs indicateurs sociodémographiques et narratifs. L’analyse qualitative est un travail moins systématique sur les textes. Cependant le positionnement plus surplombant permet de saisir les grandes tendances des discours tenus et donc de comprendre plus globalement les représentations offertes. Nous avons choisi une approche inductive du corpus. Après une phase exploratoire, quatre catégorisations successives ont été appliquées aux articles. Une première a </w:t>
      </w:r>
      <w:r w:rsidRPr="00F72611">
        <w:rPr>
          <w:rFonts w:ascii="Times New Roman" w:hAnsi="Times New Roman"/>
          <w:sz w:val="24"/>
        </w:rPr>
        <w:t xml:space="preserve">permis de classer les textes dans des rubriques liées aux genres journalistiques généraux. Une seconde s’est concentrée sur le type de cadrage qu’offraient les articles. Les deux dernières se sont attardées sur les victimes et les auteurs. </w:t>
      </w:r>
      <w:r w:rsidR="00A0775C" w:rsidRPr="00F72611">
        <w:rPr>
          <w:rFonts w:ascii="Times New Roman" w:hAnsi="Times New Roman"/>
          <w:sz w:val="24"/>
        </w:rPr>
        <w:t>Le descriptif complet de la méthodologie est décrit dans le rapport de la recherche</w:t>
      </w:r>
      <w:r w:rsidR="00A0775C" w:rsidRPr="00F72611">
        <w:rPr>
          <w:rStyle w:val="Appelnotedebasdep"/>
        </w:rPr>
        <w:footnoteReference w:id="9"/>
      </w:r>
      <w:r w:rsidR="00A0775C" w:rsidRPr="00F72611">
        <w:rPr>
          <w:rFonts w:ascii="Times New Roman" w:hAnsi="Times New Roman"/>
          <w:sz w:val="24"/>
        </w:rPr>
        <w:t>.</w:t>
      </w:r>
    </w:p>
    <w:p w:rsidR="0088319C" w:rsidRPr="00F72611" w:rsidRDefault="0088319C" w:rsidP="002C0C36">
      <w:pPr>
        <w:spacing w:line="360" w:lineRule="auto"/>
        <w:jc w:val="both"/>
      </w:pPr>
      <w:r w:rsidRPr="00F72611">
        <w:t xml:space="preserve">L’étude se glisse dans les pas des travaux en analyse de contenu (de </w:t>
      </w:r>
      <w:proofErr w:type="spellStart"/>
      <w:r w:rsidRPr="00F72611">
        <w:t>Bonville</w:t>
      </w:r>
      <w:proofErr w:type="spellEnd"/>
      <w:r w:rsidRPr="00F72611">
        <w:t xml:space="preserve">, 2006, </w:t>
      </w:r>
      <w:proofErr w:type="spellStart"/>
      <w:r w:rsidRPr="00F72611">
        <w:t>Mucchielli</w:t>
      </w:r>
      <w:proofErr w:type="spellEnd"/>
      <w:r w:rsidRPr="00F72611">
        <w:t xml:space="preserve">, 2006) et des </w:t>
      </w:r>
      <w:r w:rsidR="0005007E" w:rsidRPr="00F72611">
        <w:t>recherches</w:t>
      </w:r>
      <w:r w:rsidRPr="00F72611">
        <w:t xml:space="preserve"> observant comme les médias racontent le monde. Les </w:t>
      </w:r>
      <w:r w:rsidR="0005007E" w:rsidRPr="00F72611">
        <w:t>publ</w:t>
      </w:r>
      <w:r w:rsidR="00FC12E9">
        <w:t>i</w:t>
      </w:r>
      <w:r w:rsidR="0005007E" w:rsidRPr="00F72611">
        <w:t>cations</w:t>
      </w:r>
      <w:r w:rsidRPr="00F72611">
        <w:t xml:space="preserve"> des psychologues sociaux montr</w:t>
      </w:r>
      <w:r w:rsidR="0005007E" w:rsidRPr="00F72611">
        <w:t>ent</w:t>
      </w:r>
      <w:r w:rsidRPr="00F72611">
        <w:t xml:space="preserve"> que les représentations sociales sont élaborées simultanément par un ensemble d’acteurs sociaux (Mosc</w:t>
      </w:r>
      <w:r w:rsidR="00B77AFE" w:rsidRPr="00F72611">
        <w:t>o</w:t>
      </w:r>
      <w:r w:rsidRPr="00F72611">
        <w:t>vici,</w:t>
      </w:r>
      <w:r w:rsidR="00B77AFE" w:rsidRPr="00F72611">
        <w:t xml:space="preserve"> 1989, p. 83,</w:t>
      </w:r>
      <w:r w:rsidRPr="00F72611">
        <w:t xml:space="preserve"> </w:t>
      </w:r>
      <w:proofErr w:type="spellStart"/>
      <w:r w:rsidRPr="00F72611">
        <w:t>Jodelet</w:t>
      </w:r>
      <w:proofErr w:type="spellEnd"/>
      <w:r w:rsidR="00B77AFE" w:rsidRPr="00F72611">
        <w:t>, 2003, p. 366-367</w:t>
      </w:r>
      <w:r w:rsidRPr="00F72611">
        <w:t>) dont les médias (Boyer</w:t>
      </w:r>
      <w:r w:rsidR="00B77AFE" w:rsidRPr="00F72611">
        <w:t>, 2008, § 10</w:t>
      </w:r>
      <w:r w:rsidRPr="00F72611">
        <w:t xml:space="preserve">). </w:t>
      </w:r>
      <w:r w:rsidR="0005007E" w:rsidRPr="00F72611">
        <w:t>C</w:t>
      </w:r>
      <w:r w:rsidRPr="00F72611">
        <w:t xml:space="preserve">es </w:t>
      </w:r>
      <w:r w:rsidR="0005007E" w:rsidRPr="00F72611">
        <w:t>derniers</w:t>
      </w:r>
      <w:r w:rsidRPr="00F72611">
        <w:t xml:space="preserve"> ont ainsi la possibilité de mettre à l’agenda des sujets (</w:t>
      </w:r>
      <w:proofErr w:type="spellStart"/>
      <w:r w:rsidRPr="00F72611">
        <w:t>Wolton</w:t>
      </w:r>
      <w:proofErr w:type="spellEnd"/>
      <w:r w:rsidRPr="00F72611">
        <w:t xml:space="preserve">, </w:t>
      </w:r>
      <w:r w:rsidR="00B77AFE" w:rsidRPr="00F72611">
        <w:t xml:space="preserve">1997, </w:t>
      </w:r>
      <w:r w:rsidRPr="00F72611">
        <w:t>Brune, 1997), des personnes, des problèmes publics (Neveu</w:t>
      </w:r>
      <w:r w:rsidR="00B77AFE" w:rsidRPr="00F72611">
        <w:t>, 2015</w:t>
      </w:r>
      <w:r w:rsidRPr="00F72611">
        <w:t xml:space="preserve">), d’orienter la manière dont la réalité est perçue. Concernant les violences faites aux femmes, les recherches </w:t>
      </w:r>
      <w:r w:rsidRPr="00F72611">
        <w:lastRenderedPageBreak/>
        <w:t>ont déjà démontré que le tableau n’est pas exact</w:t>
      </w:r>
      <w:r w:rsidR="00B77AFE" w:rsidRPr="00F72611">
        <w:t xml:space="preserve"> (</w:t>
      </w:r>
      <w:proofErr w:type="spellStart"/>
      <w:r w:rsidR="007810D5" w:rsidRPr="00F72611">
        <w:t>Guérard</w:t>
      </w:r>
      <w:proofErr w:type="spellEnd"/>
      <w:r w:rsidR="007810D5" w:rsidRPr="00F72611">
        <w:t xml:space="preserve"> et </w:t>
      </w:r>
      <w:proofErr w:type="spellStart"/>
      <w:r w:rsidR="007810D5" w:rsidRPr="00F72611">
        <w:t>Lavender</w:t>
      </w:r>
      <w:proofErr w:type="spellEnd"/>
      <w:r w:rsidR="007810D5" w:rsidRPr="00F72611">
        <w:t xml:space="preserve">, 1999, </w:t>
      </w:r>
      <w:proofErr w:type="spellStart"/>
      <w:r w:rsidR="00B77AFE" w:rsidRPr="00F72611">
        <w:t>Debras</w:t>
      </w:r>
      <w:proofErr w:type="spellEnd"/>
      <w:r w:rsidR="00B77AFE" w:rsidRPr="00F72611">
        <w:t xml:space="preserve">, 2003, </w:t>
      </w:r>
      <w:proofErr w:type="spellStart"/>
      <w:r w:rsidR="00B77AFE" w:rsidRPr="00F72611">
        <w:t>Romito</w:t>
      </w:r>
      <w:proofErr w:type="spellEnd"/>
      <w:r w:rsidR="00B77AFE" w:rsidRPr="00F72611">
        <w:t xml:space="preserve">, 2006, Herrera et </w:t>
      </w:r>
      <w:proofErr w:type="spellStart"/>
      <w:r w:rsidR="00B77AFE" w:rsidRPr="00F72611">
        <w:t>Esposito</w:t>
      </w:r>
      <w:proofErr w:type="spellEnd"/>
      <w:r w:rsidR="00B77AFE" w:rsidRPr="00F72611">
        <w:t>, 2009)</w:t>
      </w:r>
      <w:r w:rsidRPr="00F72611">
        <w:t>, les médias ont même créé le mythe du crime passionnel (</w:t>
      </w:r>
      <w:proofErr w:type="spellStart"/>
      <w:r w:rsidRPr="00F72611">
        <w:t>Hou</w:t>
      </w:r>
      <w:r w:rsidR="00B77AFE" w:rsidRPr="00F72611">
        <w:t>e</w:t>
      </w:r>
      <w:r w:rsidRPr="00F72611">
        <w:t>l</w:t>
      </w:r>
      <w:proofErr w:type="spellEnd"/>
      <w:r w:rsidR="00B77AFE" w:rsidRPr="00F72611">
        <w:t xml:space="preserve">, </w:t>
      </w:r>
      <w:proofErr w:type="spellStart"/>
      <w:r w:rsidR="00B77AFE" w:rsidRPr="00F72611">
        <w:t>Mercarder</w:t>
      </w:r>
      <w:proofErr w:type="spellEnd"/>
      <w:r w:rsidR="00B77AFE" w:rsidRPr="00F72611">
        <w:t xml:space="preserve">, </w:t>
      </w:r>
      <w:proofErr w:type="spellStart"/>
      <w:r w:rsidR="00B77AFE" w:rsidRPr="00F72611">
        <w:t>Sobota</w:t>
      </w:r>
      <w:proofErr w:type="spellEnd"/>
      <w:r w:rsidR="00B77AFE" w:rsidRPr="00F72611">
        <w:t xml:space="preserve">, 2003, p. 16) </w:t>
      </w:r>
      <w:r w:rsidRPr="00F72611">
        <w:t>qui influence non seulement les mentalités mais aussi la manière (indulgente) dont les auteurs sont jugés</w:t>
      </w:r>
      <w:r w:rsidR="00B77AFE" w:rsidRPr="00F72611">
        <w:t xml:space="preserve"> (</w:t>
      </w:r>
      <w:proofErr w:type="spellStart"/>
      <w:r w:rsidR="00B77AFE" w:rsidRPr="00F72611">
        <w:t>Houel</w:t>
      </w:r>
      <w:proofErr w:type="spellEnd"/>
      <w:r w:rsidR="00B77AFE" w:rsidRPr="00F72611">
        <w:t xml:space="preserve"> et al., 2003, p. </w:t>
      </w:r>
      <w:r w:rsidR="007810D5" w:rsidRPr="00F72611">
        <w:t>42-</w:t>
      </w:r>
      <w:r w:rsidR="00B77AFE" w:rsidRPr="00F72611">
        <w:t>49)</w:t>
      </w:r>
      <w:r w:rsidRPr="00F72611">
        <w:t>.</w:t>
      </w:r>
    </w:p>
    <w:p w:rsidR="006E4B01" w:rsidRDefault="007E6FDC" w:rsidP="002C0C36">
      <w:pPr>
        <w:spacing w:line="360" w:lineRule="auto"/>
        <w:jc w:val="both"/>
      </w:pPr>
      <w:r w:rsidRPr="00F72611">
        <w:t xml:space="preserve">Les résultats de la recherche ne seront pas systématiquement décrits, nous ne retiendrons pour cet article que les éléments permettant de répondre à </w:t>
      </w:r>
      <w:r w:rsidR="008865EE" w:rsidRPr="00F72611">
        <w:t>la thématique du d</w:t>
      </w:r>
      <w:r w:rsidR="006A1D83" w:rsidRPr="00F72611">
        <w:t>ossier axée sur les formes de visibilité et d’invisibilité des femmes dans les médias d’information.</w:t>
      </w:r>
      <w:r w:rsidR="00A0775C" w:rsidRPr="00F72611">
        <w:t xml:space="preserve"> Faute d’espace, il sera également impossible de reproduire l’entièreté de la démonstration</w:t>
      </w:r>
      <w:r w:rsidR="00A0775C" w:rsidRPr="00F72611">
        <w:rPr>
          <w:rStyle w:val="Appelnotedebasdep"/>
        </w:rPr>
        <w:footnoteReference w:id="10"/>
      </w:r>
      <w:r w:rsidR="00A0775C" w:rsidRPr="00F72611">
        <w:t>. Nous nous contenterons de certains résultats particuliers appuyés par l’un ou l’autre exemple. Dans ce texte, i</w:t>
      </w:r>
      <w:r w:rsidR="006A1D83" w:rsidRPr="00F72611">
        <w:t>l s’agira d</w:t>
      </w:r>
      <w:r w:rsidR="006E4B01" w:rsidRPr="00F72611">
        <w:t>’</w:t>
      </w:r>
      <w:r w:rsidR="006A1D83" w:rsidRPr="00F72611">
        <w:t>e</w:t>
      </w:r>
      <w:r w:rsidR="006E4B01" w:rsidRPr="00F72611">
        <w:t>xaminer</w:t>
      </w:r>
      <w:r w:rsidR="006A1D83" w:rsidRPr="00F72611">
        <w:t xml:space="preserve"> si le sujet des violences à l’égard des femmes est présent dans la presse et comment ; la manière dont les articles parlent des femmes, principalement victimes dans ces affaires. Enfin, </w:t>
      </w:r>
      <w:r w:rsidR="006E4B01" w:rsidRPr="00F72611">
        <w:t xml:space="preserve">le corpus a été une nouvelle fois </w:t>
      </w:r>
      <w:r w:rsidR="00C70438" w:rsidRPr="00F72611">
        <w:t xml:space="preserve">analysé </w:t>
      </w:r>
      <w:r w:rsidR="006E4B01" w:rsidRPr="00F72611">
        <w:t>afin de vérifier quelles étaient les sources des discours médiatiques.</w:t>
      </w:r>
      <w:r w:rsidR="00EF699C" w:rsidRPr="00F72611">
        <w:t xml:space="preserve"> </w:t>
      </w:r>
      <w:r w:rsidR="006A1D83" w:rsidRPr="00F72611">
        <w:t>Les hypothèses qui sous-tendent ce</w:t>
      </w:r>
      <w:r w:rsidR="00C70438" w:rsidRPr="00F72611">
        <w:t>t</w:t>
      </w:r>
      <w:r w:rsidR="006E4B01" w:rsidRPr="00F72611">
        <w:t xml:space="preserve"> </w:t>
      </w:r>
      <w:r w:rsidR="00A0775C" w:rsidRPr="00F72611">
        <w:t>article</w:t>
      </w:r>
      <w:r w:rsidR="006E4B01" w:rsidRPr="00F72611">
        <w:t xml:space="preserve"> sont que les violences faites aux femmes ne mobilisent pas les journalistes sauf aux moments particuliers que sont les journées internationales ; que les femmes quand elles sont présentées sont l’objet</w:t>
      </w:r>
      <w:r w:rsidR="006E4B01">
        <w:t xml:space="preserve"> de représentations ambiguës (par exemple double victimisation) et que les experts sollicités sont principalement issus des institutions traditionnelles peu sensibilisées au sujet ce qui ne permet pas de renouveler les </w:t>
      </w:r>
      <w:r w:rsidR="00EF699C">
        <w:t>discours.</w:t>
      </w:r>
    </w:p>
    <w:p w:rsidR="008C6983" w:rsidRPr="00F56687" w:rsidRDefault="008C6983" w:rsidP="002C0C36">
      <w:pPr>
        <w:spacing w:line="360" w:lineRule="auto"/>
        <w:jc w:val="both"/>
      </w:pPr>
    </w:p>
    <w:p w:rsidR="00225CB7" w:rsidRPr="002C0C36" w:rsidRDefault="00F2032C" w:rsidP="002C0C36">
      <w:pPr>
        <w:spacing w:line="360" w:lineRule="auto"/>
        <w:jc w:val="both"/>
        <w:rPr>
          <w:sz w:val="36"/>
          <w:szCs w:val="36"/>
        </w:rPr>
      </w:pPr>
      <w:r w:rsidRPr="002C0C36">
        <w:rPr>
          <w:sz w:val="36"/>
          <w:szCs w:val="36"/>
        </w:rPr>
        <w:t>Une présence</w:t>
      </w:r>
      <w:r w:rsidR="00610C5D" w:rsidRPr="002C0C36">
        <w:rPr>
          <w:sz w:val="36"/>
          <w:szCs w:val="36"/>
        </w:rPr>
        <w:t xml:space="preserve"> paradoxalement </w:t>
      </w:r>
      <w:proofErr w:type="spellStart"/>
      <w:r w:rsidR="00610C5D" w:rsidRPr="002C0C36">
        <w:rPr>
          <w:sz w:val="36"/>
          <w:szCs w:val="36"/>
        </w:rPr>
        <w:t>invisibilisante</w:t>
      </w:r>
      <w:proofErr w:type="spellEnd"/>
    </w:p>
    <w:p w:rsidR="00521988" w:rsidRPr="00F56687" w:rsidRDefault="00521988" w:rsidP="002C0C36">
      <w:pPr>
        <w:spacing w:line="360" w:lineRule="auto"/>
        <w:jc w:val="both"/>
      </w:pPr>
    </w:p>
    <w:p w:rsidR="00C7554A" w:rsidRPr="00F56687" w:rsidRDefault="00627668" w:rsidP="002C0C36">
      <w:pPr>
        <w:spacing w:line="360" w:lineRule="auto"/>
        <w:jc w:val="both"/>
      </w:pPr>
      <w:r w:rsidRPr="00F56687">
        <w:t xml:space="preserve">Les femmes sont sous-représentées dans la presse. Les recherches du </w:t>
      </w:r>
      <w:r w:rsidR="00501881">
        <w:t>GMMP</w:t>
      </w:r>
      <w:r w:rsidRPr="00F56687">
        <w:t xml:space="preserve"> le constatent depuis 1995. En Belgique francophone</w:t>
      </w:r>
      <w:r w:rsidR="007E6C29">
        <w:t xml:space="preserve"> (AJP, 2016)</w:t>
      </w:r>
      <w:r w:rsidRPr="00F56687">
        <w:t xml:space="preserve">, les femmes ne représentent en 2015 que 21% des </w:t>
      </w:r>
      <w:proofErr w:type="spellStart"/>
      <w:r w:rsidRPr="00F56687">
        <w:t>intervenant</w:t>
      </w:r>
      <w:r w:rsidR="00593431" w:rsidRPr="00F56687">
        <w:t>·e·</w:t>
      </w:r>
      <w:r w:rsidRPr="00F56687">
        <w:t>s</w:t>
      </w:r>
      <w:proofErr w:type="spellEnd"/>
      <w:r w:rsidRPr="00F56687">
        <w:t xml:space="preserve"> dans la presse, un chiffre en régression par rapport aux résultats de 2010 (28%)</w:t>
      </w:r>
      <w:r w:rsidR="007E6C29">
        <w:t xml:space="preserve"> (AJP, 2010)</w:t>
      </w:r>
      <w:r w:rsidRPr="00F56687">
        <w:t>. Une recherche similaire menée par l’A</w:t>
      </w:r>
      <w:r w:rsidR="0088392F">
        <w:t>JP</w:t>
      </w:r>
      <w:r w:rsidRPr="00F56687">
        <w:t xml:space="preserve"> sur la presse écrite</w:t>
      </w:r>
      <w:r w:rsidR="00ED4DF7" w:rsidRPr="00F56687">
        <w:t xml:space="preserve"> en </w:t>
      </w:r>
      <w:r w:rsidR="00AD2205" w:rsidRPr="00F56687">
        <w:t xml:space="preserve">2015 </w:t>
      </w:r>
      <w:r w:rsidR="007E6C29">
        <w:t xml:space="preserve">(AJP, 2015) </w:t>
      </w:r>
      <w:r w:rsidR="00AD2205" w:rsidRPr="00F56687">
        <w:t>montrait que seulement 17,</w:t>
      </w:r>
      <w:r w:rsidR="00ED4DF7" w:rsidRPr="00F56687">
        <w:t>3</w:t>
      </w:r>
      <w:r w:rsidR="00AD2205" w:rsidRPr="00F56687">
        <w:t>1</w:t>
      </w:r>
      <w:r w:rsidR="00ED4DF7" w:rsidRPr="00F56687">
        <w:t>% des personnes apparaissant dans les pages étaient des femmes</w:t>
      </w:r>
      <w:r w:rsidR="00C7554A" w:rsidRPr="00F56687">
        <w:t xml:space="preserve"> (contre 17,83 en 2011)</w:t>
      </w:r>
      <w:r w:rsidR="00ED4DF7" w:rsidRPr="00F56687">
        <w:t xml:space="preserve">. Le Conseil </w:t>
      </w:r>
      <w:r w:rsidR="006A3768">
        <w:t>s</w:t>
      </w:r>
      <w:r w:rsidR="00ED4DF7" w:rsidRPr="00F56687">
        <w:t>upérieur de l’</w:t>
      </w:r>
      <w:r w:rsidR="006A3768">
        <w:t>a</w:t>
      </w:r>
      <w:r w:rsidR="00ED4DF7" w:rsidRPr="00F56687">
        <w:t xml:space="preserve">udiovisuel </w:t>
      </w:r>
      <w:r w:rsidR="006A3768">
        <w:t xml:space="preserve">(CSA) </w:t>
      </w:r>
      <w:r w:rsidR="00ED4DF7" w:rsidRPr="00F56687">
        <w:t xml:space="preserve">a publié entre 2011 et 2017 quatre </w:t>
      </w:r>
      <w:r w:rsidR="00C7554A" w:rsidRPr="00F56687">
        <w:t>b</w:t>
      </w:r>
      <w:r w:rsidR="00ED4DF7" w:rsidRPr="00F56687">
        <w:t>aromètre</w:t>
      </w:r>
      <w:r w:rsidR="006A3768">
        <w:t>s</w:t>
      </w:r>
      <w:r w:rsidR="00ED4DF7" w:rsidRPr="00F56687">
        <w:rPr>
          <w:i/>
        </w:rPr>
        <w:t xml:space="preserve"> Diversité et égalité</w:t>
      </w:r>
      <w:r w:rsidR="00ED4DF7" w:rsidRPr="00F56687">
        <w:t>, au mieux les femmes étaient 3</w:t>
      </w:r>
      <w:r w:rsidR="00AD2205" w:rsidRPr="00F56687">
        <w:t>6,88</w:t>
      </w:r>
      <w:r w:rsidR="00ED4DF7" w:rsidRPr="00F56687">
        <w:t xml:space="preserve">% </w:t>
      </w:r>
      <w:r w:rsidR="00AD2205" w:rsidRPr="00F56687">
        <w:t>(2013), mais le pourcentage a régressé à 34,33% en 2017.</w:t>
      </w:r>
    </w:p>
    <w:p w:rsidR="003B6521" w:rsidRPr="00F72611" w:rsidRDefault="0035725F" w:rsidP="002C0C36">
      <w:pPr>
        <w:spacing w:line="360" w:lineRule="auto"/>
        <w:jc w:val="both"/>
      </w:pPr>
      <w:r w:rsidRPr="00F56687">
        <w:t>Les recherches s’intéressant aux thèmes rapportés par la presse</w:t>
      </w:r>
      <w:r w:rsidR="007E6C29">
        <w:t xml:space="preserve"> (par exemple, AJP</w:t>
      </w:r>
      <w:r w:rsidR="0026606C">
        <w:t xml:space="preserve"> 2015)</w:t>
      </w:r>
      <w:r w:rsidRPr="00F56687">
        <w:t xml:space="preserve">, les classent en fonction des catégories classiques, comme “politique”, “économie/finance”, </w:t>
      </w:r>
      <w:r w:rsidRPr="00F72611">
        <w:lastRenderedPageBreak/>
        <w:t xml:space="preserve">“sport”, “culture”, “enseignement” sans s’intéresser à la perspective adoptée. Il est donc impossible de savoir combien de ces articles adoptent un angle “femme”. </w:t>
      </w:r>
      <w:r w:rsidR="00C70438" w:rsidRPr="00F72611">
        <w:t xml:space="preserve">Probablement peu. En effet, </w:t>
      </w:r>
      <w:r w:rsidR="003B6521" w:rsidRPr="00F72611">
        <w:t xml:space="preserve">Sylvie </w:t>
      </w:r>
      <w:proofErr w:type="spellStart"/>
      <w:r w:rsidR="003B6521" w:rsidRPr="00F72611">
        <w:t>Debras</w:t>
      </w:r>
      <w:proofErr w:type="spellEnd"/>
      <w:r w:rsidR="003B6521" w:rsidRPr="00F72611">
        <w:t xml:space="preserve"> montre que la presse quotidienne écrite marginalise les femmes, construisant « un espace public sans femmes, sans valeurs et préoccupations féminines, sans féminin, en un mot » (2003, p. 186). Selon elle, ni le type de contenu, ni la hiérarchie de l’information, ni l’écriture ne font place aux femmes.</w:t>
      </w:r>
    </w:p>
    <w:p w:rsidR="00D8467A" w:rsidRDefault="006A3768" w:rsidP="002C0C36">
      <w:pPr>
        <w:spacing w:line="360" w:lineRule="auto"/>
        <w:jc w:val="both"/>
      </w:pPr>
      <w:r w:rsidRPr="00F72611">
        <w:t>L’on aurait donc pu s’attendre à ce que l</w:t>
      </w:r>
      <w:r w:rsidR="00855EBC" w:rsidRPr="00F72611">
        <w:t>a violence à l’égard d</w:t>
      </w:r>
      <w:r w:rsidRPr="00F72611">
        <w:t>es femmes</w:t>
      </w:r>
      <w:r w:rsidR="00855EBC" w:rsidRPr="00F72611">
        <w:t xml:space="preserve"> ne so</w:t>
      </w:r>
      <w:r w:rsidR="00144485" w:rsidRPr="00F72611">
        <w:t>it pas abordée</w:t>
      </w:r>
      <w:r w:rsidR="00144485">
        <w:t xml:space="preserve"> dans la presse, or</w:t>
      </w:r>
      <w:r w:rsidR="00D826AB">
        <w:t xml:space="preserve"> l’analyse quantitative dévoile que</w:t>
      </w:r>
      <w:r w:rsidR="00144485">
        <w:t xml:space="preserve"> c’est loin d’être le cas. En effet, en moyenne les journaux publient 15 (corpus aléatoire) et 19 (corpus raisonné) articles par jour. Ce score relativement important de textes est atteint grâce aux faits divers</w:t>
      </w:r>
      <w:r w:rsidR="006F7F7E">
        <w:rPr>
          <w:rStyle w:val="Appelnotedebasdep"/>
        </w:rPr>
        <w:footnoteReference w:id="11"/>
      </w:r>
      <w:r w:rsidR="00D8467A">
        <w:t>, même si les deux sous-corpus présentent des profils très différents au niveau des genres d’articles. Au sein du corpus aléatoire, un article sur deux est un fait divers, un texte sur trois est un compte-rendu de justice et 9% sont des articles “société”.</w:t>
      </w:r>
      <w:r w:rsidR="00512F44">
        <w:t xml:space="preserve"> Dans le corpus raisonné, les trois premiers genres sont identiques, mais se classent </w:t>
      </w:r>
      <w:r w:rsidR="00DD01AB">
        <w:t>différemment puisqu’</w:t>
      </w:r>
      <w:r w:rsidR="00512F44">
        <w:t>un article sur deux relève du thème “société”, un sur t</w:t>
      </w:r>
      <w:r w:rsidR="00D826AB">
        <w:t>rois est un fait divers et 12%</w:t>
      </w:r>
      <w:r w:rsidR="00512F44">
        <w:t xml:space="preserve"> sont des </w:t>
      </w:r>
      <w:proofErr w:type="spellStart"/>
      <w:r w:rsidR="00512F44">
        <w:t>comptes-rendus</w:t>
      </w:r>
      <w:proofErr w:type="spellEnd"/>
      <w:r w:rsidR="00512F44">
        <w:t xml:space="preserve"> de justice.</w:t>
      </w:r>
      <w:r w:rsidR="00D826AB">
        <w:t xml:space="preserve"> Derrière ces divergences apparentes, l’élément commun est le fait divers</w:t>
      </w:r>
      <w:r w:rsidR="0026606C">
        <w:t>. Ils</w:t>
      </w:r>
      <w:r w:rsidR="004A60AE">
        <w:t xml:space="preserve"> sont au nombre de 21 dans les deux sous-corpus (même si beaucoup plus d’articles sont publiés durant les jours “marqués”, 76 contre 44).</w:t>
      </w:r>
    </w:p>
    <w:p w:rsidR="003B6521" w:rsidRDefault="00C70438" w:rsidP="002C0C36">
      <w:pPr>
        <w:spacing w:line="360" w:lineRule="auto"/>
        <w:jc w:val="both"/>
      </w:pPr>
      <w:r w:rsidRPr="00F72611">
        <w:t>L</w:t>
      </w:r>
      <w:r w:rsidR="004A60AE" w:rsidRPr="00F72611">
        <w:t xml:space="preserve">a violence à l’égard des femmes n’est </w:t>
      </w:r>
      <w:r w:rsidRPr="00F72611">
        <w:t xml:space="preserve">donc </w:t>
      </w:r>
      <w:r w:rsidR="004A60AE" w:rsidRPr="00F72611">
        <w:t>pas absente de la presse écrite belge, au contraire, ces faits sont relativement nombreux à accéder à la médiatisation.</w:t>
      </w:r>
      <w:r w:rsidR="009F38EF" w:rsidRPr="00F72611">
        <w:t xml:space="preserve"> </w:t>
      </w:r>
      <w:r w:rsidR="003B6521" w:rsidRPr="00F72611">
        <w:t>Cependant, nous allons le démontrer dans la suite de cet article, le travail d’information sur ces phénomènes reste lacunaire.</w:t>
      </w:r>
    </w:p>
    <w:p w:rsidR="004A60AE" w:rsidRDefault="004A60AE" w:rsidP="002C0C36">
      <w:pPr>
        <w:spacing w:line="360" w:lineRule="auto"/>
        <w:jc w:val="both"/>
      </w:pPr>
    </w:p>
    <w:p w:rsidR="00A95A37" w:rsidRPr="002C0C36" w:rsidRDefault="00012193" w:rsidP="002C0C36">
      <w:pPr>
        <w:spacing w:line="360" w:lineRule="auto"/>
        <w:jc w:val="both"/>
        <w:rPr>
          <w:sz w:val="32"/>
          <w:szCs w:val="32"/>
        </w:rPr>
      </w:pPr>
      <w:r w:rsidRPr="002C0C36">
        <w:rPr>
          <w:sz w:val="32"/>
          <w:szCs w:val="32"/>
        </w:rPr>
        <w:t xml:space="preserve">Les violences sont traitées comme des faits divers </w:t>
      </w:r>
    </w:p>
    <w:p w:rsidR="00F2032C" w:rsidRDefault="00F2032C" w:rsidP="002C0C36">
      <w:pPr>
        <w:spacing w:line="360" w:lineRule="auto"/>
        <w:jc w:val="both"/>
      </w:pPr>
    </w:p>
    <w:p w:rsidR="005D1BD8" w:rsidRPr="00F72611" w:rsidRDefault="005D1BD8" w:rsidP="002C0C36">
      <w:pPr>
        <w:spacing w:line="360" w:lineRule="auto"/>
        <w:jc w:val="both"/>
      </w:pPr>
      <w:r>
        <w:t xml:space="preserve">Deux types d’articles sont majoritaires dans le corpus : les faits divers et les articles de société. Les premiers </w:t>
      </w:r>
      <w:r w:rsidR="00C70438">
        <w:t xml:space="preserve">constituent le cœur de la médiatisation. En effet, ils </w:t>
      </w:r>
      <w:r w:rsidR="00CA73C8">
        <w:t>traverse</w:t>
      </w:r>
      <w:r w:rsidR="00C70438">
        <w:t>nt</w:t>
      </w:r>
      <w:r w:rsidR="00CA73C8">
        <w:t xml:space="preserve"> tous les jours du corpus. Si les articles de société sont plus nombreux dans le sous-corpus raisonné, ils ne remplacent pas les faits divers</w:t>
      </w:r>
      <w:r w:rsidR="00CB3923">
        <w:t>,</w:t>
      </w:r>
      <w:r w:rsidR="00CA73C8">
        <w:t xml:space="preserve"> mais s’y ajoutent. </w:t>
      </w:r>
      <w:r w:rsidR="00C70438">
        <w:t>Il</w:t>
      </w:r>
      <w:r w:rsidR="00CA73C8">
        <w:t xml:space="preserve"> faut </w:t>
      </w:r>
      <w:r w:rsidR="00C70438">
        <w:t xml:space="preserve">aussi garder à l’esprit </w:t>
      </w:r>
      <w:r w:rsidR="00CA73C8">
        <w:t xml:space="preserve">que le corpus </w:t>
      </w:r>
      <w:r w:rsidR="00CA73C8">
        <w:lastRenderedPageBreak/>
        <w:t>raisonné fausse un peu les chiffre</w:t>
      </w:r>
      <w:r w:rsidR="00CB3923">
        <w:t>s</w:t>
      </w:r>
      <w:r w:rsidR="00CA73C8">
        <w:t xml:space="preserve">. Ces jours ont été choisis parce que nous savions que la </w:t>
      </w:r>
      <w:r w:rsidR="00CA73C8" w:rsidRPr="00F72611">
        <w:t>thématique allait être abordée, nous savions aussi qu’elle le serait d</w:t>
      </w:r>
      <w:r w:rsidR="00CB3923" w:rsidRPr="00F72611">
        <w:t>’</w:t>
      </w:r>
      <w:r w:rsidR="00CA73C8" w:rsidRPr="00F72611">
        <w:t>une manière particulière. Les journées internationales et nationales pour les droits des femmes ou de lutte contre les violences faites aux femmes ne sont pas des jours ordinaires de presse.</w:t>
      </w:r>
      <w:r w:rsidR="00C70438" w:rsidRPr="00F72611">
        <w:t xml:space="preserve"> Ces éditions </w:t>
      </w:r>
      <w:r w:rsidR="00FC12E9">
        <w:t>s’intéressent</w:t>
      </w:r>
      <w:r w:rsidR="00C70438" w:rsidRPr="00F72611">
        <w:t xml:space="preserve"> particulièrement </w:t>
      </w:r>
      <w:r w:rsidR="00FC12E9">
        <w:t>aux</w:t>
      </w:r>
      <w:r w:rsidR="00C70438" w:rsidRPr="00F72611">
        <w:t xml:space="preserve"> informations féminines, les autres jours, « les femmes quittent </w:t>
      </w:r>
      <w:r w:rsidR="00FC12E9">
        <w:t>la scène médiatique</w:t>
      </w:r>
      <w:r w:rsidR="00C70438" w:rsidRPr="00F72611">
        <w:t> » (</w:t>
      </w:r>
      <w:proofErr w:type="spellStart"/>
      <w:r w:rsidR="00C70438" w:rsidRPr="00F72611">
        <w:t>Debras</w:t>
      </w:r>
      <w:proofErr w:type="spellEnd"/>
      <w:r w:rsidR="00C70438" w:rsidRPr="00F72611">
        <w:t>, 2003, p. </w:t>
      </w:r>
      <w:r w:rsidR="00FC12E9">
        <w:t>1</w:t>
      </w:r>
      <w:r w:rsidR="00C70438" w:rsidRPr="00F72611">
        <w:t>2). Le registre majeur par lequel les violences sont médiatisées est donc le fait divers.</w:t>
      </w:r>
    </w:p>
    <w:p w:rsidR="00E63BE5" w:rsidRPr="007D5E24" w:rsidRDefault="00FC12E9" w:rsidP="00173448">
      <w:pPr>
        <w:spacing w:line="360" w:lineRule="auto"/>
        <w:jc w:val="both"/>
      </w:pPr>
      <w:r>
        <w:t>L</w:t>
      </w:r>
      <w:r w:rsidR="00CB3923" w:rsidRPr="00F72611">
        <w:t xml:space="preserve">es deux genres </w:t>
      </w:r>
      <w:r w:rsidR="00E63BE5" w:rsidRPr="00F72611">
        <w:t>présentent des profils extrêmement différents. Les faits divers sont</w:t>
      </w:r>
      <w:r w:rsidR="00E63BE5">
        <w:t xml:space="preserve"> </w:t>
      </w:r>
      <w:r w:rsidR="00CB3923">
        <w:t>principalement d</w:t>
      </w:r>
      <w:r w:rsidR="00E63BE5">
        <w:t xml:space="preserve">es brèves et des </w:t>
      </w:r>
      <w:proofErr w:type="spellStart"/>
      <w:r w:rsidR="00E63BE5">
        <w:t>comptes-rendus</w:t>
      </w:r>
      <w:proofErr w:type="spellEnd"/>
      <w:r w:rsidR="00E63BE5">
        <w:t xml:space="preserve"> qui rapportent</w:t>
      </w:r>
      <w:r w:rsidR="00CB3923">
        <w:t xml:space="preserve"> </w:t>
      </w:r>
      <w:r w:rsidR="00E63BE5">
        <w:t>majoritairement des violences que l’on pourrait qualifier de “physiques”, apparaissant dans la sphère privée et “motivées” par des mobiles interpersonnels (dispute par exemple).</w:t>
      </w:r>
      <w:r w:rsidR="00E63BE5" w:rsidRPr="00E63BE5">
        <w:t xml:space="preserve"> </w:t>
      </w:r>
      <w:r w:rsidR="00E63BE5">
        <w:t xml:space="preserve">Les personnels judiciaire, policier et médical – en règle générale, les intervenants de terrain – sont plus présents dans ces articles. Qu’il s’agisse des victimes ou des auteurs de violences, </w:t>
      </w:r>
      <w:r w:rsidR="004A72D8">
        <w:t>ils sont caractérisés par l’indétermination puisqu’</w:t>
      </w:r>
      <w:r w:rsidR="00E63BE5">
        <w:t>on ne connait que peu d</w:t>
      </w:r>
      <w:r w:rsidR="00C70438">
        <w:t>’éléments</w:t>
      </w:r>
      <w:r w:rsidR="00E63BE5">
        <w:t xml:space="preserve"> les concernant.</w:t>
      </w:r>
      <w:r w:rsidR="00E63BE5" w:rsidRPr="00E63BE5">
        <w:t xml:space="preserve"> </w:t>
      </w:r>
      <w:r w:rsidR="00E63BE5" w:rsidRPr="00720658">
        <w:t>Ces faits divers sont majoritairement non contextualisés</w:t>
      </w:r>
      <w:r w:rsidR="00C70438">
        <w:t>, les articles exposent seulement les faits</w:t>
      </w:r>
      <w:r w:rsidR="00E63BE5" w:rsidRPr="00720658">
        <w:t xml:space="preserve">. </w:t>
      </w:r>
      <w:r w:rsidR="00C70438">
        <w:t>P</w:t>
      </w:r>
      <w:r w:rsidR="00E63BE5">
        <w:t xml:space="preserve">ar exemple, </w:t>
      </w:r>
      <w:r w:rsidR="00C70438">
        <w:t xml:space="preserve">on connaît </w:t>
      </w:r>
      <w:r w:rsidR="00E63BE5" w:rsidRPr="00720658">
        <w:t>le détail des événements qui ont émaillé</w:t>
      </w:r>
      <w:r w:rsidR="00E63BE5">
        <w:t xml:space="preserve"> </w:t>
      </w:r>
      <w:r w:rsidR="00C70438">
        <w:t>un</w:t>
      </w:r>
      <w:r w:rsidR="00E63BE5">
        <w:t xml:space="preserve"> conflit de voisinage qui dure depuis 17 ans, </w:t>
      </w:r>
      <w:r w:rsidR="00C70438">
        <w:t>le</w:t>
      </w:r>
      <w:r w:rsidR="00E63BE5">
        <w:t xml:space="preserve"> déroulement de la soirée où Johnny B. a tenté de tuer sa belle-mère ou le programme des jours où un adolescent </w:t>
      </w:r>
      <w:r w:rsidR="00E63BE5" w:rsidRPr="007D5E24">
        <w:t xml:space="preserve">a séquestré sa copine. Quand les journalistes dépassent le simple compte-rendu, c’est généralement pour donner la parole à l’un ou l’autre protagoniste. Quand ce sont les victimes qui s’expriment, il s’agit souvent de célébrités (Emma Watson ou Flavie </w:t>
      </w:r>
      <w:proofErr w:type="spellStart"/>
      <w:r w:rsidR="00E63BE5" w:rsidRPr="007D5E24">
        <w:t>Flament</w:t>
      </w:r>
      <w:proofErr w:type="spellEnd"/>
      <w:r w:rsidR="00C70438">
        <w:rPr>
          <w:rStyle w:val="Appelnotedebasdep"/>
        </w:rPr>
        <w:footnoteReference w:id="12"/>
      </w:r>
      <w:r w:rsidR="00E63BE5" w:rsidRPr="007D5E24">
        <w:t xml:space="preserve">). Quand les auteurs sont privilégiés, c’est souvent l’occasion de fournir des éléments “explicatifs”. Pour les faits divers, les analyses </w:t>
      </w:r>
      <w:r w:rsidR="00C70438">
        <w:t xml:space="preserve">plus globales des phénomènes de violence </w:t>
      </w:r>
      <w:r w:rsidR="00E63BE5" w:rsidRPr="007D5E24">
        <w:t xml:space="preserve">restent rares. </w:t>
      </w:r>
      <w:r w:rsidR="00C70438">
        <w:t xml:space="preserve">Les articles plus approfondis s’attardent surtout à expliquer les ressorts juridiques d’un verdict ou </w:t>
      </w:r>
      <w:r w:rsidR="00E63BE5" w:rsidRPr="007D5E24">
        <w:t>le contexte d’une affaire</w:t>
      </w:r>
      <w:r w:rsidR="00C70438">
        <w:t>. Cependant, on dépasse rarement le cadre particulier de l’affaire en cours.</w:t>
      </w:r>
      <w:r w:rsidR="00E63BE5" w:rsidRPr="007D5E24">
        <w:t xml:space="preserve"> Les portraits des victimes et des auteurs se contentent de quelques traits, quand ils ne sont pas inexistants. Les articles de faits divers sont donc peuplés de silhouettes et non de personnages. </w:t>
      </w:r>
    </w:p>
    <w:p w:rsidR="00022531" w:rsidRPr="007D5E24" w:rsidRDefault="00CB3923" w:rsidP="002C0C36">
      <w:pPr>
        <w:pStyle w:val="Sarahtexte"/>
        <w:spacing w:line="360" w:lineRule="auto"/>
        <w:rPr>
          <w:rFonts w:ascii="Times New Roman" w:hAnsi="Times New Roman"/>
          <w:sz w:val="24"/>
        </w:rPr>
      </w:pPr>
      <w:r w:rsidRPr="007D5E24">
        <w:rPr>
          <w:rFonts w:ascii="Times New Roman" w:hAnsi="Times New Roman"/>
          <w:sz w:val="24"/>
        </w:rPr>
        <w:t xml:space="preserve">Les articles “société” </w:t>
      </w:r>
      <w:r w:rsidR="004A72D8" w:rsidRPr="007D5E24">
        <w:rPr>
          <w:rFonts w:ascii="Times New Roman" w:hAnsi="Times New Roman"/>
          <w:sz w:val="24"/>
        </w:rPr>
        <w:t xml:space="preserve">sont aussi plutôt </w:t>
      </w:r>
      <w:r w:rsidR="00C70438">
        <w:rPr>
          <w:rFonts w:ascii="Times New Roman" w:hAnsi="Times New Roman"/>
          <w:sz w:val="24"/>
        </w:rPr>
        <w:t xml:space="preserve">de </w:t>
      </w:r>
      <w:r w:rsidR="004A72D8" w:rsidRPr="007D5E24">
        <w:rPr>
          <w:rFonts w:ascii="Times New Roman" w:hAnsi="Times New Roman"/>
          <w:sz w:val="24"/>
        </w:rPr>
        <w:t xml:space="preserve">brefs </w:t>
      </w:r>
      <w:proofErr w:type="spellStart"/>
      <w:r w:rsidR="004A72D8" w:rsidRPr="007D5E24">
        <w:rPr>
          <w:rFonts w:ascii="Times New Roman" w:hAnsi="Times New Roman"/>
          <w:sz w:val="24"/>
        </w:rPr>
        <w:t>comptes-rendus</w:t>
      </w:r>
      <w:proofErr w:type="spellEnd"/>
      <w:r w:rsidR="004A72D8" w:rsidRPr="007D5E24">
        <w:rPr>
          <w:rFonts w:ascii="Times New Roman" w:hAnsi="Times New Roman"/>
          <w:sz w:val="24"/>
        </w:rPr>
        <w:t xml:space="preserve">, mais </w:t>
      </w:r>
      <w:r w:rsidR="00C70438">
        <w:rPr>
          <w:rFonts w:ascii="Times New Roman" w:hAnsi="Times New Roman"/>
          <w:sz w:val="24"/>
        </w:rPr>
        <w:t>le spectre générique est plus var</w:t>
      </w:r>
      <w:r w:rsidR="0005007E">
        <w:rPr>
          <w:rFonts w:ascii="Times New Roman" w:hAnsi="Times New Roman"/>
          <w:sz w:val="24"/>
        </w:rPr>
        <w:t>i</w:t>
      </w:r>
      <w:r w:rsidR="00C70438">
        <w:rPr>
          <w:rFonts w:ascii="Times New Roman" w:hAnsi="Times New Roman"/>
          <w:sz w:val="24"/>
        </w:rPr>
        <w:t>é (</w:t>
      </w:r>
      <w:r w:rsidRPr="007D5E24">
        <w:rPr>
          <w:rFonts w:ascii="Times New Roman" w:hAnsi="Times New Roman"/>
          <w:sz w:val="24"/>
        </w:rPr>
        <w:t>enquêtes, interviews, analyses, reportage</w:t>
      </w:r>
      <w:r w:rsidR="00C70438">
        <w:rPr>
          <w:rFonts w:ascii="Times New Roman" w:hAnsi="Times New Roman"/>
          <w:sz w:val="24"/>
        </w:rPr>
        <w:t>s)</w:t>
      </w:r>
      <w:r w:rsidRPr="007D5E24">
        <w:rPr>
          <w:rFonts w:ascii="Times New Roman" w:hAnsi="Times New Roman"/>
          <w:sz w:val="24"/>
        </w:rPr>
        <w:t xml:space="preserve">. </w:t>
      </w:r>
      <w:r w:rsidR="004A72D8" w:rsidRPr="007D5E24">
        <w:rPr>
          <w:rFonts w:ascii="Times New Roman" w:hAnsi="Times New Roman"/>
          <w:sz w:val="24"/>
        </w:rPr>
        <w:t>C</w:t>
      </w:r>
      <w:r w:rsidRPr="007D5E24">
        <w:rPr>
          <w:rFonts w:ascii="Times New Roman" w:hAnsi="Times New Roman"/>
          <w:sz w:val="24"/>
        </w:rPr>
        <w:t>es</w:t>
      </w:r>
      <w:r w:rsidR="004A72D8" w:rsidRPr="007D5E24">
        <w:rPr>
          <w:rFonts w:ascii="Times New Roman" w:hAnsi="Times New Roman"/>
          <w:sz w:val="24"/>
        </w:rPr>
        <w:t xml:space="preserve"> textes</w:t>
      </w:r>
      <w:r w:rsidRPr="007D5E24">
        <w:rPr>
          <w:rFonts w:ascii="Times New Roman" w:hAnsi="Times New Roman"/>
          <w:sz w:val="24"/>
        </w:rPr>
        <w:t xml:space="preserve"> s’intéressent plutôt aux violences symboliques dépendant de la sphère sociétale et dont les mobiles sont plus abstraits. Les représentants symboliques</w:t>
      </w:r>
      <w:r w:rsidR="004A72D8" w:rsidRPr="007D5E24">
        <w:rPr>
          <w:rFonts w:ascii="Times New Roman" w:hAnsi="Times New Roman"/>
          <w:sz w:val="24"/>
        </w:rPr>
        <w:t xml:space="preserve"> </w:t>
      </w:r>
      <w:r w:rsidRPr="007D5E24">
        <w:rPr>
          <w:rFonts w:ascii="Times New Roman" w:hAnsi="Times New Roman"/>
          <w:sz w:val="24"/>
        </w:rPr>
        <w:t>sont plu</w:t>
      </w:r>
      <w:r w:rsidR="00022531" w:rsidRPr="007D5E24">
        <w:rPr>
          <w:rFonts w:ascii="Times New Roman" w:hAnsi="Times New Roman"/>
          <w:sz w:val="24"/>
        </w:rPr>
        <w:t>s massivement représentés dans c</w:t>
      </w:r>
      <w:r w:rsidRPr="007D5E24">
        <w:rPr>
          <w:rFonts w:ascii="Times New Roman" w:hAnsi="Times New Roman"/>
          <w:sz w:val="24"/>
        </w:rPr>
        <w:t xml:space="preserve">es </w:t>
      </w:r>
      <w:r w:rsidR="00022531" w:rsidRPr="007D5E24">
        <w:rPr>
          <w:rFonts w:ascii="Times New Roman" w:hAnsi="Times New Roman"/>
          <w:sz w:val="24"/>
        </w:rPr>
        <w:t>papiers.</w:t>
      </w:r>
      <w:r w:rsidRPr="007D5E24">
        <w:rPr>
          <w:rFonts w:ascii="Times New Roman" w:hAnsi="Times New Roman"/>
          <w:sz w:val="24"/>
        </w:rPr>
        <w:t xml:space="preserve"> </w:t>
      </w:r>
      <w:r w:rsidR="00C70438">
        <w:rPr>
          <w:rFonts w:ascii="Times New Roman" w:hAnsi="Times New Roman"/>
          <w:sz w:val="24"/>
        </w:rPr>
        <w:t xml:space="preserve">On parle </w:t>
      </w:r>
      <w:r w:rsidR="00C70438">
        <w:rPr>
          <w:rFonts w:ascii="Times New Roman" w:hAnsi="Times New Roman"/>
          <w:sz w:val="24"/>
        </w:rPr>
        <w:lastRenderedPageBreak/>
        <w:t xml:space="preserve">par exemple des femmes en général ou les intervenant parlent au </w:t>
      </w:r>
      <w:r w:rsidR="00022531" w:rsidRPr="007D5E24">
        <w:rPr>
          <w:rFonts w:ascii="Times New Roman" w:hAnsi="Times New Roman"/>
          <w:sz w:val="24"/>
        </w:rPr>
        <w:t xml:space="preserve">nom d’un groupe. On y trouve aussi beaucoup d’acteurs médiatiques et politiques. </w:t>
      </w:r>
      <w:r w:rsidRPr="007D5E24">
        <w:rPr>
          <w:rFonts w:ascii="Times New Roman" w:hAnsi="Times New Roman"/>
          <w:sz w:val="24"/>
        </w:rPr>
        <w:t xml:space="preserve">Les personnages qui habitent les articles “société” sont des institutions, des associations et des </w:t>
      </w:r>
      <w:r w:rsidR="00C70438">
        <w:rPr>
          <w:rFonts w:ascii="Times New Roman" w:hAnsi="Times New Roman"/>
          <w:sz w:val="24"/>
        </w:rPr>
        <w:t>référents</w:t>
      </w:r>
      <w:r w:rsidRPr="007D5E24">
        <w:rPr>
          <w:rFonts w:ascii="Times New Roman" w:hAnsi="Times New Roman"/>
          <w:sz w:val="24"/>
        </w:rPr>
        <w:t xml:space="preserve"> abstraits.</w:t>
      </w:r>
      <w:r w:rsidR="004106D6" w:rsidRPr="007D5E24">
        <w:rPr>
          <w:rFonts w:ascii="Times New Roman" w:hAnsi="Times New Roman"/>
          <w:sz w:val="24"/>
        </w:rPr>
        <w:t xml:space="preserve"> Les victimes sont collecti</w:t>
      </w:r>
      <w:r w:rsidR="00C70438">
        <w:rPr>
          <w:rFonts w:ascii="Times New Roman" w:hAnsi="Times New Roman"/>
          <w:sz w:val="24"/>
        </w:rPr>
        <w:t>ve</w:t>
      </w:r>
      <w:r w:rsidR="004106D6" w:rsidRPr="007D5E24">
        <w:rPr>
          <w:rFonts w:ascii="Times New Roman" w:hAnsi="Times New Roman"/>
          <w:sz w:val="24"/>
        </w:rPr>
        <w:t>s (les femmes ou les sans-abris de Rotterdam). Les auteurs des violences sont également des groupes : des entreprises, des gouvernements, la société, etc. Contrairement aux femmes (en général) qui sont victimes, les hommes (en général) ne sont jamais désignés comme auteurs des violences.</w:t>
      </w:r>
    </w:p>
    <w:p w:rsidR="00CB3923" w:rsidRDefault="004106D6" w:rsidP="002C0C36">
      <w:pPr>
        <w:pStyle w:val="Sarahtexte"/>
        <w:spacing w:line="360" w:lineRule="auto"/>
        <w:rPr>
          <w:rFonts w:ascii="Times New Roman" w:hAnsi="Times New Roman"/>
          <w:sz w:val="24"/>
        </w:rPr>
      </w:pPr>
      <w:r w:rsidRPr="007D5E24">
        <w:rPr>
          <w:rFonts w:ascii="Times New Roman" w:hAnsi="Times New Roman"/>
          <w:sz w:val="24"/>
        </w:rPr>
        <w:t xml:space="preserve">C’est donc un véritable fossé qui sépare ces deux types d’article. </w:t>
      </w:r>
      <w:r w:rsidR="00CB3923" w:rsidRPr="007D5E24">
        <w:rPr>
          <w:rFonts w:ascii="Times New Roman" w:hAnsi="Times New Roman"/>
          <w:sz w:val="24"/>
        </w:rPr>
        <w:t>Ce sont bien deux mondes différents qui coexistent dans les pages des journaux et qui ne dialoguent à aucun moment. Il n’y a manifestement pas de politique éditoriale globale concernant les violences faites aux femmes ou les quest</w:t>
      </w:r>
      <w:r w:rsidR="007D5E24" w:rsidRPr="007D5E24">
        <w:rPr>
          <w:rFonts w:ascii="Times New Roman" w:hAnsi="Times New Roman"/>
          <w:sz w:val="24"/>
        </w:rPr>
        <w:t>ions de genre</w:t>
      </w:r>
      <w:r w:rsidR="00CB3923" w:rsidRPr="007D5E24">
        <w:rPr>
          <w:rFonts w:ascii="Times New Roman" w:hAnsi="Times New Roman"/>
          <w:sz w:val="24"/>
        </w:rPr>
        <w:t>.</w:t>
      </w:r>
      <w:r w:rsidR="00FA0CCC">
        <w:rPr>
          <w:rFonts w:ascii="Times New Roman" w:hAnsi="Times New Roman"/>
          <w:sz w:val="24"/>
        </w:rPr>
        <w:t xml:space="preserve"> Cependant, ces deux types d’articles</w:t>
      </w:r>
      <w:r w:rsidR="00C467EA">
        <w:rPr>
          <w:rFonts w:ascii="Times New Roman" w:hAnsi="Times New Roman"/>
          <w:sz w:val="24"/>
        </w:rPr>
        <w:t xml:space="preserve"> ont un point commun : l’</w:t>
      </w:r>
      <w:proofErr w:type="spellStart"/>
      <w:r w:rsidR="00C467EA">
        <w:rPr>
          <w:rFonts w:ascii="Times New Roman" w:hAnsi="Times New Roman"/>
          <w:sz w:val="24"/>
        </w:rPr>
        <w:t>invisibilisation</w:t>
      </w:r>
      <w:proofErr w:type="spellEnd"/>
      <w:r w:rsidR="00C467EA">
        <w:rPr>
          <w:rFonts w:ascii="Times New Roman" w:hAnsi="Times New Roman"/>
          <w:sz w:val="24"/>
        </w:rPr>
        <w:t xml:space="preserve"> des femmes.</w:t>
      </w:r>
    </w:p>
    <w:p w:rsidR="003A6D01" w:rsidRDefault="003A6D01" w:rsidP="002C0C36">
      <w:pPr>
        <w:pStyle w:val="Sarahtexte"/>
        <w:spacing w:line="360" w:lineRule="auto"/>
        <w:rPr>
          <w:rFonts w:ascii="Times New Roman" w:hAnsi="Times New Roman"/>
          <w:sz w:val="24"/>
        </w:rPr>
      </w:pPr>
    </w:p>
    <w:p w:rsidR="00012193" w:rsidRPr="002C0C36" w:rsidRDefault="008F7AF5" w:rsidP="002C0C36">
      <w:pPr>
        <w:spacing w:line="360" w:lineRule="auto"/>
        <w:jc w:val="both"/>
        <w:rPr>
          <w:sz w:val="32"/>
          <w:szCs w:val="32"/>
        </w:rPr>
      </w:pPr>
      <w:proofErr w:type="spellStart"/>
      <w:r w:rsidRPr="002C0C36">
        <w:rPr>
          <w:sz w:val="32"/>
          <w:szCs w:val="32"/>
        </w:rPr>
        <w:t>Invis</w:t>
      </w:r>
      <w:r w:rsidR="0037373F" w:rsidRPr="002C0C36">
        <w:rPr>
          <w:sz w:val="32"/>
          <w:szCs w:val="32"/>
        </w:rPr>
        <w:t>i</w:t>
      </w:r>
      <w:r w:rsidRPr="002C0C36">
        <w:rPr>
          <w:sz w:val="32"/>
          <w:szCs w:val="32"/>
        </w:rPr>
        <w:t>bilisation</w:t>
      </w:r>
      <w:proofErr w:type="spellEnd"/>
      <w:r w:rsidRPr="002C0C36">
        <w:rPr>
          <w:sz w:val="32"/>
          <w:szCs w:val="32"/>
        </w:rPr>
        <w:t xml:space="preserve"> des femmes : s</w:t>
      </w:r>
      <w:r w:rsidR="00012193" w:rsidRPr="002C0C36">
        <w:rPr>
          <w:sz w:val="32"/>
          <w:szCs w:val="32"/>
        </w:rPr>
        <w:t>ilhouettes et institutions</w:t>
      </w:r>
    </w:p>
    <w:p w:rsidR="008C4CE5" w:rsidRPr="0026606C" w:rsidRDefault="00012193" w:rsidP="002C0C36">
      <w:pPr>
        <w:pStyle w:val="Sarahtexte"/>
        <w:spacing w:line="360" w:lineRule="auto"/>
        <w:rPr>
          <w:rFonts w:ascii="Times New Roman" w:hAnsi="Times New Roman"/>
          <w:sz w:val="24"/>
          <w:lang w:eastAsia="fr-BE"/>
        </w:rPr>
      </w:pPr>
      <w:r w:rsidRPr="0026606C">
        <w:rPr>
          <w:rFonts w:ascii="Times New Roman" w:hAnsi="Times New Roman"/>
          <w:sz w:val="24"/>
          <w:lang w:eastAsia="fr-BE"/>
        </w:rPr>
        <w:t>Les victimes représentent 20 % des personnage</w:t>
      </w:r>
      <w:r w:rsidR="007C2EC3" w:rsidRPr="0026606C">
        <w:rPr>
          <w:rFonts w:ascii="Times New Roman" w:hAnsi="Times New Roman"/>
          <w:sz w:val="24"/>
          <w:lang w:eastAsia="fr-BE"/>
        </w:rPr>
        <w:t>s</w:t>
      </w:r>
      <w:r w:rsidR="0026606C">
        <w:rPr>
          <w:rFonts w:ascii="Times New Roman" w:hAnsi="Times New Roman"/>
          <w:sz w:val="24"/>
          <w:lang w:eastAsia="fr-BE"/>
        </w:rPr>
        <w:t>, dans plus de 80 % des cas, ce sont des femmes</w:t>
      </w:r>
      <w:r w:rsidRPr="0026606C">
        <w:rPr>
          <w:rFonts w:ascii="Times New Roman" w:hAnsi="Times New Roman"/>
          <w:sz w:val="24"/>
          <w:lang w:eastAsia="fr-BE"/>
        </w:rPr>
        <w:t xml:space="preserve">. </w:t>
      </w:r>
      <w:r w:rsidR="008C4CE5" w:rsidRPr="0026606C">
        <w:rPr>
          <w:rFonts w:ascii="Times New Roman" w:hAnsi="Times New Roman"/>
          <w:sz w:val="24"/>
        </w:rPr>
        <w:t>Elles ne sont qu’un type d’acteurs dans le corpus</w:t>
      </w:r>
      <w:r w:rsidR="0074509B">
        <w:rPr>
          <w:rFonts w:ascii="Times New Roman" w:hAnsi="Times New Roman"/>
          <w:sz w:val="24"/>
        </w:rPr>
        <w:t>,</w:t>
      </w:r>
      <w:r w:rsidR="008C4CE5" w:rsidRPr="0026606C">
        <w:rPr>
          <w:rFonts w:ascii="Times New Roman" w:hAnsi="Times New Roman"/>
          <w:sz w:val="24"/>
        </w:rPr>
        <w:t xml:space="preserve"> entourées par les auteurs, les témoins, mais aussi les politiciens, les journalistes, les policiers, les juges, les associations de femmes, etc. Elles ne sont pas au centre des préoccupations. On distingue surtout deux profils de victimes, qui correspondent aux deux grands types de textes publiés.</w:t>
      </w:r>
    </w:p>
    <w:p w:rsidR="008C4CE5" w:rsidRPr="0026606C" w:rsidRDefault="008C4CE5" w:rsidP="002C0C36">
      <w:pPr>
        <w:pStyle w:val="Sarahtexte"/>
        <w:spacing w:line="360" w:lineRule="auto"/>
        <w:rPr>
          <w:rFonts w:ascii="Times New Roman" w:hAnsi="Times New Roman"/>
          <w:sz w:val="24"/>
        </w:rPr>
      </w:pPr>
      <w:r w:rsidRPr="0026606C">
        <w:rPr>
          <w:rFonts w:ascii="Times New Roman" w:hAnsi="Times New Roman"/>
          <w:sz w:val="24"/>
        </w:rPr>
        <w:t>Dans les faits divers, les victimes sont des individus. L’analyse quantitative montre qu’on ne connait presque rien à leur propos puisque l’âge, l’origine, l’orientation sexuelle et un éventuel handicap sont souvent non précisés. Quand ces informations sont livrées, on est face à des femmes anonymes, majeures, hétérosexuelles, blanches et valides. L’analyse qualitative permet de comprendre cette indétermination. Les victimes sont souvent désignées par des mots comme « une dame », « la mère », « le cadavre », « l’ex-compagne », « Hélène F. », « une infirmière ».</w:t>
      </w:r>
      <w:r w:rsidR="008861A8">
        <w:rPr>
          <w:rFonts w:ascii="Times New Roman" w:hAnsi="Times New Roman"/>
          <w:sz w:val="24"/>
        </w:rPr>
        <w:t xml:space="preserve"> Ces articles sont peuplés de silhouettes.</w:t>
      </w:r>
    </w:p>
    <w:p w:rsidR="00A760D1" w:rsidRPr="00F72611" w:rsidRDefault="008C4CE5" w:rsidP="00A760D1">
      <w:pPr>
        <w:pStyle w:val="Sarahtexte"/>
        <w:spacing w:line="360" w:lineRule="auto"/>
        <w:rPr>
          <w:rFonts w:ascii="Times New Roman" w:hAnsi="Times New Roman"/>
          <w:sz w:val="24"/>
        </w:rPr>
      </w:pPr>
      <w:r w:rsidRPr="00A760D1">
        <w:rPr>
          <w:rFonts w:ascii="Times New Roman" w:hAnsi="Times New Roman"/>
          <w:sz w:val="24"/>
        </w:rPr>
        <w:t>Seulement 11 victimes bénéficient d’un portrait un peu plus long</w:t>
      </w:r>
      <w:r w:rsidRPr="0026606C">
        <w:rPr>
          <w:rFonts w:ascii="Times New Roman" w:hAnsi="Times New Roman"/>
          <w:sz w:val="24"/>
        </w:rPr>
        <w:t xml:space="preserve">. </w:t>
      </w:r>
      <w:r w:rsidR="008861A8">
        <w:rPr>
          <w:rFonts w:ascii="Times New Roman" w:hAnsi="Times New Roman"/>
          <w:sz w:val="24"/>
        </w:rPr>
        <w:t>Par exemple, l</w:t>
      </w:r>
      <w:r w:rsidRPr="0026606C">
        <w:rPr>
          <w:rFonts w:ascii="Times New Roman" w:hAnsi="Times New Roman"/>
          <w:sz w:val="24"/>
        </w:rPr>
        <w:t xml:space="preserve">’adolescence (particulièrement le moment où elle est en relation avec son violeur), la carrière et l’environnement familial de Flavie </w:t>
      </w:r>
      <w:proofErr w:type="spellStart"/>
      <w:r w:rsidRPr="0026606C">
        <w:rPr>
          <w:rFonts w:ascii="Times New Roman" w:hAnsi="Times New Roman"/>
          <w:sz w:val="24"/>
        </w:rPr>
        <w:t>Flament</w:t>
      </w:r>
      <w:proofErr w:type="spellEnd"/>
      <w:r w:rsidRPr="0026606C">
        <w:rPr>
          <w:rFonts w:ascii="Times New Roman" w:hAnsi="Times New Roman"/>
          <w:sz w:val="24"/>
        </w:rPr>
        <w:t xml:space="preserve"> sont évoqués. </w:t>
      </w:r>
      <w:r w:rsidR="00A760D1" w:rsidRPr="0026606C">
        <w:rPr>
          <w:rFonts w:ascii="Times New Roman" w:hAnsi="Times New Roman"/>
          <w:sz w:val="24"/>
        </w:rPr>
        <w:t xml:space="preserve">Linda et </w:t>
      </w:r>
      <w:proofErr w:type="spellStart"/>
      <w:r w:rsidR="00A760D1" w:rsidRPr="0026606C">
        <w:rPr>
          <w:rFonts w:ascii="Times New Roman" w:hAnsi="Times New Roman"/>
          <w:sz w:val="24"/>
        </w:rPr>
        <w:t>Majde</w:t>
      </w:r>
      <w:proofErr w:type="spellEnd"/>
      <w:r w:rsidR="00A760D1" w:rsidRPr="0026606C">
        <w:rPr>
          <w:rFonts w:ascii="Times New Roman" w:hAnsi="Times New Roman"/>
          <w:sz w:val="24"/>
        </w:rPr>
        <w:t xml:space="preserve"> (deux prénoms d’emprunt) sont deux survivantes qui expliquent, à l’occasion du 25 novembre, comment elles sont sorties de la situation de violence dans laquelle elles vivaient. Nathalie </w:t>
      </w:r>
      <w:proofErr w:type="spellStart"/>
      <w:r w:rsidR="00A760D1" w:rsidRPr="0026606C">
        <w:rPr>
          <w:rFonts w:ascii="Times New Roman" w:hAnsi="Times New Roman"/>
          <w:sz w:val="24"/>
        </w:rPr>
        <w:t>Lahaye</w:t>
      </w:r>
      <w:proofErr w:type="spellEnd"/>
      <w:r w:rsidR="00A760D1" w:rsidRPr="0026606C">
        <w:rPr>
          <w:rFonts w:ascii="Times New Roman" w:hAnsi="Times New Roman"/>
          <w:sz w:val="24"/>
        </w:rPr>
        <w:t xml:space="preserve"> est </w:t>
      </w:r>
      <w:r w:rsidR="00A760D1" w:rsidRPr="0026606C">
        <w:rPr>
          <w:rFonts w:ascii="Times New Roman" w:hAnsi="Times New Roman"/>
          <w:sz w:val="24"/>
        </w:rPr>
        <w:lastRenderedPageBreak/>
        <w:t xml:space="preserve">retrouvée morte dans sa voiture à Walcourt. Elle est décrite à travers l’émotion de ses collègues </w:t>
      </w:r>
      <w:r w:rsidR="00A760D1" w:rsidRPr="00F72611">
        <w:rPr>
          <w:rFonts w:ascii="Times New Roman" w:hAnsi="Times New Roman"/>
          <w:sz w:val="24"/>
        </w:rPr>
        <w:t>et quelques témoignages de personnes qui la connaissaient.</w:t>
      </w:r>
    </w:p>
    <w:p w:rsidR="00A760D1" w:rsidRDefault="00A760D1" w:rsidP="00A760D1">
      <w:pPr>
        <w:pStyle w:val="Sarahtexte"/>
        <w:spacing w:line="360" w:lineRule="auto"/>
        <w:rPr>
          <w:rFonts w:ascii="Times New Roman" w:hAnsi="Times New Roman"/>
          <w:sz w:val="24"/>
        </w:rPr>
      </w:pPr>
      <w:r w:rsidRPr="00F72611">
        <w:rPr>
          <w:rFonts w:ascii="Times New Roman" w:hAnsi="Times New Roman"/>
          <w:sz w:val="24"/>
        </w:rPr>
        <w:t xml:space="preserve">Les mots utilisés pour décrire les victimes sont caractérisés par une </w:t>
      </w:r>
      <w:r w:rsidR="008861A8" w:rsidRPr="00F72611">
        <w:rPr>
          <w:rFonts w:ascii="Times New Roman" w:hAnsi="Times New Roman"/>
          <w:sz w:val="24"/>
        </w:rPr>
        <w:t>« </w:t>
      </w:r>
      <w:r w:rsidRPr="00F72611">
        <w:rPr>
          <w:rFonts w:ascii="Times New Roman" w:hAnsi="Times New Roman"/>
          <w:sz w:val="24"/>
        </w:rPr>
        <w:t>neutralité énonciative</w:t>
      </w:r>
      <w:r w:rsidR="008861A8" w:rsidRPr="00F72611">
        <w:rPr>
          <w:rFonts w:ascii="Times New Roman" w:hAnsi="Times New Roman"/>
          <w:sz w:val="24"/>
        </w:rPr>
        <w:t> »</w:t>
      </w:r>
      <w:r w:rsidRPr="00F72611">
        <w:rPr>
          <w:rFonts w:ascii="Times New Roman" w:hAnsi="Times New Roman"/>
          <w:sz w:val="24"/>
        </w:rPr>
        <w:t xml:space="preserve"> caractéristique de l’exigence d’objectivité qui pèse sur la presse (</w:t>
      </w:r>
      <w:proofErr w:type="spellStart"/>
      <w:r w:rsidRPr="00F72611">
        <w:rPr>
          <w:rFonts w:ascii="Times New Roman" w:hAnsi="Times New Roman"/>
          <w:sz w:val="24"/>
        </w:rPr>
        <w:t>Touboul</w:t>
      </w:r>
      <w:proofErr w:type="spellEnd"/>
      <w:r w:rsidRPr="00F72611">
        <w:rPr>
          <w:rFonts w:ascii="Times New Roman" w:hAnsi="Times New Roman"/>
          <w:sz w:val="24"/>
        </w:rPr>
        <w:t xml:space="preserve">, Damian-Gaillard et Marty, 2012, § 10). « Ce n’est pas à proprement parler de l’objectivité, mais c’est le jeu de l’objectivité par effacement énonciatif » précise Patrick </w:t>
      </w:r>
      <w:proofErr w:type="spellStart"/>
      <w:r w:rsidRPr="00F72611">
        <w:rPr>
          <w:rFonts w:ascii="Times New Roman" w:hAnsi="Times New Roman"/>
          <w:sz w:val="24"/>
        </w:rPr>
        <w:t>Charaudeau</w:t>
      </w:r>
      <w:proofErr w:type="spellEnd"/>
      <w:r w:rsidRPr="00F72611">
        <w:rPr>
          <w:rFonts w:ascii="Times New Roman" w:hAnsi="Times New Roman"/>
          <w:sz w:val="24"/>
        </w:rPr>
        <w:t xml:space="preserve"> (2006, §15). Quand les journalistes utilisent des termes connotés, ils sont d’autant plus signifiants. Pour les victimes (autant les mineures que les adultes), ces descriptions </w:t>
      </w:r>
      <w:r w:rsidR="008861A8" w:rsidRPr="00F72611">
        <w:rPr>
          <w:rFonts w:ascii="Times New Roman" w:hAnsi="Times New Roman"/>
          <w:sz w:val="24"/>
        </w:rPr>
        <w:t>sont</w:t>
      </w:r>
      <w:r w:rsidRPr="00F72611">
        <w:rPr>
          <w:rFonts w:ascii="Times New Roman" w:hAnsi="Times New Roman"/>
          <w:sz w:val="24"/>
        </w:rPr>
        <w:t xml:space="preserve"> négatives. Trois</w:t>
      </w:r>
      <w:r w:rsidRPr="0026606C">
        <w:rPr>
          <w:rFonts w:ascii="Times New Roman" w:hAnsi="Times New Roman"/>
          <w:sz w:val="24"/>
        </w:rPr>
        <w:t xml:space="preserve"> souffrent de problèmes psychiatriques. Plusieurs </w:t>
      </w:r>
      <w:r>
        <w:rPr>
          <w:rFonts w:ascii="Times New Roman" w:hAnsi="Times New Roman"/>
          <w:sz w:val="24"/>
        </w:rPr>
        <w:t>femmes</w:t>
      </w:r>
      <w:r w:rsidRPr="0026606C">
        <w:rPr>
          <w:rFonts w:ascii="Times New Roman" w:hAnsi="Times New Roman"/>
          <w:sz w:val="24"/>
        </w:rPr>
        <w:t xml:space="preserve"> sont stigmatisées par le milieu dans lequel elles vivent : leurs proches ou leurs parents sont maltraitants, peu éduqués, l</w:t>
      </w:r>
      <w:r w:rsidR="008861A8">
        <w:rPr>
          <w:rFonts w:ascii="Times New Roman" w:hAnsi="Times New Roman"/>
          <w:sz w:val="24"/>
        </w:rPr>
        <w:t>e</w:t>
      </w:r>
      <w:r w:rsidRPr="0026606C">
        <w:rPr>
          <w:rFonts w:ascii="Times New Roman" w:hAnsi="Times New Roman"/>
          <w:sz w:val="24"/>
        </w:rPr>
        <w:t>s</w:t>
      </w:r>
      <w:r w:rsidR="008861A8">
        <w:rPr>
          <w:rFonts w:ascii="Times New Roman" w:hAnsi="Times New Roman"/>
          <w:sz w:val="24"/>
        </w:rPr>
        <w:t xml:space="preserve"> </w:t>
      </w:r>
      <w:proofErr w:type="spellStart"/>
      <w:r w:rsidR="008861A8">
        <w:rPr>
          <w:rFonts w:ascii="Times New Roman" w:hAnsi="Times New Roman"/>
          <w:sz w:val="24"/>
        </w:rPr>
        <w:t>protgonistes</w:t>
      </w:r>
      <w:proofErr w:type="spellEnd"/>
      <w:r w:rsidRPr="0026606C">
        <w:rPr>
          <w:rFonts w:ascii="Times New Roman" w:hAnsi="Times New Roman"/>
          <w:sz w:val="24"/>
        </w:rPr>
        <w:t xml:space="preserve"> vivent dans des campings, etc. </w:t>
      </w:r>
      <w:r>
        <w:rPr>
          <w:rFonts w:ascii="Times New Roman" w:hAnsi="Times New Roman"/>
          <w:sz w:val="24"/>
        </w:rPr>
        <w:t xml:space="preserve">D’autres sont stigmatisées et endossent une certaine responsabilité dans leur propre agression. Kylie Jenner est victime de chantage en ligne, mais on rappelle qu’elle a un côté sombre </w:t>
      </w:r>
      <w:r w:rsidR="008861A8">
        <w:rPr>
          <w:rFonts w:ascii="Times New Roman" w:hAnsi="Times New Roman"/>
          <w:sz w:val="24"/>
        </w:rPr>
        <w:t xml:space="preserve">et </w:t>
      </w:r>
      <w:r>
        <w:rPr>
          <w:rFonts w:ascii="Times New Roman" w:hAnsi="Times New Roman"/>
          <w:sz w:val="24"/>
        </w:rPr>
        <w:t xml:space="preserve">qu’elle est poursuivie pour plagiat. Lolita Verdier </w:t>
      </w:r>
      <w:r w:rsidRPr="0026606C">
        <w:rPr>
          <w:rFonts w:ascii="Times New Roman" w:hAnsi="Times New Roman"/>
          <w:sz w:val="24"/>
        </w:rPr>
        <w:t>est dépeinte à travers son histoire (le décès de sa maman, ses mauvaises fréquentations)</w:t>
      </w:r>
      <w:r>
        <w:rPr>
          <w:rFonts w:ascii="Times New Roman" w:hAnsi="Times New Roman"/>
          <w:sz w:val="24"/>
        </w:rPr>
        <w:t xml:space="preserve"> et est droguée (ce que la famille conteste)</w:t>
      </w:r>
      <w:r w:rsidRPr="0026606C">
        <w:rPr>
          <w:rFonts w:ascii="Times New Roman" w:hAnsi="Times New Roman"/>
          <w:sz w:val="24"/>
        </w:rPr>
        <w:t>.</w:t>
      </w:r>
      <w:r>
        <w:rPr>
          <w:rFonts w:ascii="Times New Roman" w:hAnsi="Times New Roman"/>
          <w:sz w:val="24"/>
        </w:rPr>
        <w:t xml:space="preserve"> Véronique </w:t>
      </w:r>
      <w:proofErr w:type="spellStart"/>
      <w:r>
        <w:rPr>
          <w:rFonts w:ascii="Times New Roman" w:hAnsi="Times New Roman"/>
          <w:sz w:val="24"/>
        </w:rPr>
        <w:t>Pirotton</w:t>
      </w:r>
      <w:proofErr w:type="spellEnd"/>
      <w:r>
        <w:rPr>
          <w:rFonts w:ascii="Times New Roman" w:hAnsi="Times New Roman"/>
          <w:sz w:val="24"/>
        </w:rPr>
        <w:t xml:space="preserve"> a été tuée par son compagnon, un politicien belge. Les informations la concernant </w:t>
      </w:r>
      <w:r w:rsidRPr="0026606C">
        <w:rPr>
          <w:rFonts w:ascii="Times New Roman" w:hAnsi="Times New Roman"/>
          <w:sz w:val="24"/>
        </w:rPr>
        <w:t xml:space="preserve">émanent des personnes entendues </w:t>
      </w:r>
      <w:r>
        <w:rPr>
          <w:rFonts w:ascii="Times New Roman" w:hAnsi="Times New Roman"/>
          <w:sz w:val="24"/>
        </w:rPr>
        <w:t>lors</w:t>
      </w:r>
      <w:r w:rsidRPr="0026606C">
        <w:rPr>
          <w:rFonts w:ascii="Times New Roman" w:hAnsi="Times New Roman"/>
          <w:sz w:val="24"/>
        </w:rPr>
        <w:t xml:space="preserve"> du procès et presque tous les éléments se rapportent à son couple</w:t>
      </w:r>
      <w:r>
        <w:rPr>
          <w:rFonts w:ascii="Times New Roman" w:hAnsi="Times New Roman"/>
          <w:sz w:val="24"/>
        </w:rPr>
        <w:t xml:space="preserve"> « malsain »</w:t>
      </w:r>
      <w:r w:rsidRPr="0026606C">
        <w:rPr>
          <w:rFonts w:ascii="Times New Roman" w:hAnsi="Times New Roman"/>
          <w:sz w:val="24"/>
        </w:rPr>
        <w:t xml:space="preserve">, à sa personnalité </w:t>
      </w:r>
      <w:r>
        <w:rPr>
          <w:rFonts w:ascii="Times New Roman" w:hAnsi="Times New Roman"/>
          <w:sz w:val="24"/>
        </w:rPr>
        <w:t>« </w:t>
      </w:r>
      <w:r w:rsidRPr="0026606C">
        <w:rPr>
          <w:rFonts w:ascii="Times New Roman" w:hAnsi="Times New Roman"/>
          <w:sz w:val="24"/>
        </w:rPr>
        <w:t>fragile</w:t>
      </w:r>
      <w:r>
        <w:rPr>
          <w:rFonts w:ascii="Times New Roman" w:hAnsi="Times New Roman"/>
          <w:sz w:val="24"/>
        </w:rPr>
        <w:t> »</w:t>
      </w:r>
      <w:r w:rsidRPr="0026606C">
        <w:rPr>
          <w:rFonts w:ascii="Times New Roman" w:hAnsi="Times New Roman"/>
          <w:sz w:val="24"/>
        </w:rPr>
        <w:t xml:space="preserve"> et à sa vie sexuelle </w:t>
      </w:r>
      <w:r>
        <w:rPr>
          <w:rFonts w:ascii="Times New Roman" w:hAnsi="Times New Roman"/>
          <w:sz w:val="24"/>
        </w:rPr>
        <w:t>« </w:t>
      </w:r>
      <w:r w:rsidRPr="0026606C">
        <w:rPr>
          <w:rFonts w:ascii="Times New Roman" w:hAnsi="Times New Roman"/>
          <w:sz w:val="24"/>
        </w:rPr>
        <w:t>débridée</w:t>
      </w:r>
      <w:r>
        <w:rPr>
          <w:rFonts w:ascii="Times New Roman" w:hAnsi="Times New Roman"/>
          <w:sz w:val="24"/>
        </w:rPr>
        <w:t> »</w:t>
      </w:r>
      <w:r w:rsidRPr="0026606C">
        <w:rPr>
          <w:rFonts w:ascii="Times New Roman" w:hAnsi="Times New Roman"/>
          <w:sz w:val="24"/>
        </w:rPr>
        <w:t xml:space="preserve">. </w:t>
      </w:r>
    </w:p>
    <w:p w:rsidR="00A760D1" w:rsidRDefault="00A760D1" w:rsidP="00A760D1">
      <w:pPr>
        <w:pStyle w:val="Sarahtexte"/>
        <w:spacing w:line="360" w:lineRule="auto"/>
        <w:rPr>
          <w:rFonts w:ascii="Times New Roman" w:hAnsi="Times New Roman"/>
          <w:sz w:val="24"/>
        </w:rPr>
      </w:pPr>
      <w:r>
        <w:rPr>
          <w:rFonts w:ascii="Times New Roman" w:hAnsi="Times New Roman"/>
          <w:sz w:val="24"/>
        </w:rPr>
        <w:t xml:space="preserve">Les victimes sont </w:t>
      </w:r>
      <w:r w:rsidR="008861A8">
        <w:rPr>
          <w:rFonts w:ascii="Times New Roman" w:hAnsi="Times New Roman"/>
          <w:sz w:val="24"/>
        </w:rPr>
        <w:t xml:space="preserve">donc </w:t>
      </w:r>
      <w:r>
        <w:rPr>
          <w:rFonts w:ascii="Times New Roman" w:hAnsi="Times New Roman"/>
          <w:sz w:val="24"/>
        </w:rPr>
        <w:t xml:space="preserve">absentes des articles, soit parce qu’elle sont mortes, soit parce qu’elles n’ont pas droit à la parole, surtout parce qu’elles sont peu décrites. </w:t>
      </w:r>
      <w:r w:rsidRPr="0026606C">
        <w:rPr>
          <w:rFonts w:ascii="Times New Roman" w:hAnsi="Times New Roman"/>
          <w:sz w:val="24"/>
        </w:rPr>
        <w:t>Quand elles le sont, cela se retournent contre elles puisqu’on souligne leurs faiblesses, leurs comportements à risque, le milieu défavorisé dans lequel elles vivent.</w:t>
      </w:r>
      <w:r>
        <w:rPr>
          <w:rFonts w:ascii="Times New Roman" w:hAnsi="Times New Roman"/>
          <w:sz w:val="24"/>
        </w:rPr>
        <w:t xml:space="preserve"> C’est le retournement de la faute identifié par Albert Bandura (cité par </w:t>
      </w:r>
      <w:proofErr w:type="spellStart"/>
      <w:r>
        <w:rPr>
          <w:rFonts w:ascii="Times New Roman" w:hAnsi="Times New Roman"/>
          <w:sz w:val="24"/>
        </w:rPr>
        <w:t>Romito</w:t>
      </w:r>
      <w:proofErr w:type="spellEnd"/>
      <w:r>
        <w:rPr>
          <w:rFonts w:ascii="Times New Roman" w:hAnsi="Times New Roman"/>
          <w:sz w:val="24"/>
        </w:rPr>
        <w:t xml:space="preserve">, 2006, </w:t>
      </w:r>
      <w:r>
        <w:t xml:space="preserve">p. </w:t>
      </w:r>
      <w:r>
        <w:rPr>
          <w:rFonts w:ascii="Times New Roman" w:hAnsi="Times New Roman"/>
          <w:sz w:val="24"/>
        </w:rPr>
        <w:t>68-69) et régulièrement constaté dans les travaux (</w:t>
      </w:r>
      <w:proofErr w:type="spellStart"/>
      <w:r>
        <w:rPr>
          <w:rFonts w:ascii="Times New Roman" w:hAnsi="Times New Roman"/>
          <w:sz w:val="24"/>
        </w:rPr>
        <w:t>Debras</w:t>
      </w:r>
      <w:proofErr w:type="spellEnd"/>
      <w:r>
        <w:rPr>
          <w:rFonts w:ascii="Times New Roman" w:hAnsi="Times New Roman"/>
          <w:sz w:val="24"/>
        </w:rPr>
        <w:t xml:space="preserve">, 2003, </w:t>
      </w:r>
      <w:r w:rsidR="000E157E">
        <w:rPr>
          <w:rFonts w:ascii="Times New Roman" w:hAnsi="Times New Roman"/>
          <w:sz w:val="24"/>
        </w:rPr>
        <w:t xml:space="preserve">p. 158-164, </w:t>
      </w:r>
      <w:proofErr w:type="spellStart"/>
      <w:r>
        <w:rPr>
          <w:rFonts w:ascii="Times New Roman" w:hAnsi="Times New Roman"/>
          <w:sz w:val="24"/>
        </w:rPr>
        <w:t>Houel</w:t>
      </w:r>
      <w:proofErr w:type="spellEnd"/>
      <w:r>
        <w:rPr>
          <w:rFonts w:ascii="Times New Roman" w:hAnsi="Times New Roman"/>
          <w:sz w:val="24"/>
        </w:rPr>
        <w:t xml:space="preserve"> et al., 2003).</w:t>
      </w:r>
    </w:p>
    <w:p w:rsidR="00A760D1" w:rsidRDefault="008C4CE5" w:rsidP="002C0C36">
      <w:pPr>
        <w:pStyle w:val="Sarahtexte"/>
        <w:spacing w:line="360" w:lineRule="auto"/>
        <w:rPr>
          <w:rFonts w:ascii="Times New Roman" w:hAnsi="Times New Roman"/>
          <w:sz w:val="24"/>
        </w:rPr>
      </w:pPr>
      <w:r w:rsidRPr="0026606C">
        <w:rPr>
          <w:rFonts w:ascii="Times New Roman" w:hAnsi="Times New Roman"/>
          <w:sz w:val="24"/>
        </w:rPr>
        <w:t xml:space="preserve">Dans le corpus raisonné, des connotations positives apparaissent. Il s’agit surtout des survivantes. </w:t>
      </w:r>
      <w:r w:rsidR="0074509B">
        <w:rPr>
          <w:rFonts w:ascii="Times New Roman" w:hAnsi="Times New Roman"/>
          <w:sz w:val="24"/>
        </w:rPr>
        <w:t xml:space="preserve">L’actrice française </w:t>
      </w:r>
      <w:r w:rsidRPr="0026606C">
        <w:rPr>
          <w:rFonts w:ascii="Times New Roman" w:hAnsi="Times New Roman"/>
          <w:sz w:val="24"/>
        </w:rPr>
        <w:t xml:space="preserve">Marlène Jobert est fière de la manière dont sa fille, Eva Green, a géré l’agression subie par </w:t>
      </w:r>
      <w:proofErr w:type="spellStart"/>
      <w:r w:rsidRPr="0026606C">
        <w:rPr>
          <w:rFonts w:ascii="Times New Roman" w:hAnsi="Times New Roman"/>
          <w:sz w:val="24"/>
        </w:rPr>
        <w:t>Weinstein</w:t>
      </w:r>
      <w:proofErr w:type="spellEnd"/>
      <w:r w:rsidRPr="0026606C">
        <w:rPr>
          <w:rFonts w:ascii="Times New Roman" w:hAnsi="Times New Roman"/>
          <w:sz w:val="24"/>
        </w:rPr>
        <w:t xml:space="preserve">. Jane Fonda trouve l’amour malgré les agressions sexuelles et Emma Watson répond de manière assurée quand des féministes l’attaquent à propos de ses photos dénudées. </w:t>
      </w:r>
      <w:r w:rsidR="00A950E3" w:rsidRPr="0026606C">
        <w:rPr>
          <w:rFonts w:ascii="Times New Roman" w:hAnsi="Times New Roman"/>
          <w:sz w:val="24"/>
        </w:rPr>
        <w:t xml:space="preserve">On ne peut que constater que ces connotations positives apparaissent le 25 novembre, alors que l’affaire </w:t>
      </w:r>
      <w:proofErr w:type="spellStart"/>
      <w:r w:rsidR="00A950E3" w:rsidRPr="0026606C">
        <w:rPr>
          <w:rFonts w:ascii="Times New Roman" w:hAnsi="Times New Roman"/>
          <w:sz w:val="24"/>
        </w:rPr>
        <w:t>Weinstein</w:t>
      </w:r>
      <w:proofErr w:type="spellEnd"/>
      <w:r w:rsidR="00A950E3" w:rsidRPr="0026606C">
        <w:rPr>
          <w:rFonts w:ascii="Times New Roman" w:hAnsi="Times New Roman"/>
          <w:sz w:val="24"/>
        </w:rPr>
        <w:t xml:space="preserve"> a éclatée, et que les victimes ainsi décrites sont des célébrités… </w:t>
      </w:r>
    </w:p>
    <w:p w:rsidR="008C4CE5" w:rsidRDefault="008C4CE5" w:rsidP="002C0C36">
      <w:pPr>
        <w:pStyle w:val="Sarahtexte"/>
        <w:spacing w:line="360" w:lineRule="auto"/>
        <w:rPr>
          <w:rFonts w:ascii="Times New Roman" w:hAnsi="Times New Roman"/>
          <w:sz w:val="24"/>
        </w:rPr>
      </w:pPr>
      <w:r w:rsidRPr="0026606C">
        <w:rPr>
          <w:rFonts w:ascii="Times New Roman" w:hAnsi="Times New Roman"/>
          <w:sz w:val="24"/>
        </w:rPr>
        <w:t xml:space="preserve">Deux survivantes de violences conjugales, </w:t>
      </w:r>
      <w:proofErr w:type="spellStart"/>
      <w:r w:rsidRPr="0026606C">
        <w:rPr>
          <w:rFonts w:ascii="Times New Roman" w:hAnsi="Times New Roman"/>
          <w:sz w:val="24"/>
        </w:rPr>
        <w:t>Majde</w:t>
      </w:r>
      <w:proofErr w:type="spellEnd"/>
      <w:r w:rsidRPr="0026606C">
        <w:rPr>
          <w:rFonts w:ascii="Times New Roman" w:hAnsi="Times New Roman"/>
          <w:sz w:val="24"/>
        </w:rPr>
        <w:t xml:space="preserve"> et Linda, apparaissent comme des figures actives.</w:t>
      </w:r>
      <w:r w:rsidR="00A760D1">
        <w:rPr>
          <w:rFonts w:ascii="Times New Roman" w:hAnsi="Times New Roman"/>
          <w:sz w:val="24"/>
        </w:rPr>
        <w:t xml:space="preserve"> Cependant, m</w:t>
      </w:r>
      <w:r w:rsidRPr="0026606C">
        <w:rPr>
          <w:rFonts w:ascii="Times New Roman" w:hAnsi="Times New Roman"/>
          <w:sz w:val="24"/>
        </w:rPr>
        <w:t xml:space="preserve">ême dans </w:t>
      </w:r>
      <w:r w:rsidR="00A760D1">
        <w:rPr>
          <w:rFonts w:ascii="Times New Roman" w:hAnsi="Times New Roman"/>
          <w:sz w:val="24"/>
        </w:rPr>
        <w:t>ces</w:t>
      </w:r>
      <w:r w:rsidRPr="0026606C">
        <w:rPr>
          <w:rFonts w:ascii="Times New Roman" w:hAnsi="Times New Roman"/>
          <w:sz w:val="24"/>
        </w:rPr>
        <w:t xml:space="preserve"> cas, </w:t>
      </w:r>
      <w:r w:rsidR="00A760D1">
        <w:rPr>
          <w:rFonts w:ascii="Times New Roman" w:hAnsi="Times New Roman"/>
          <w:sz w:val="24"/>
        </w:rPr>
        <w:t xml:space="preserve">les éléments livrés ne permettent pas de comprendre </w:t>
      </w:r>
      <w:r w:rsidR="00A760D1">
        <w:rPr>
          <w:rFonts w:ascii="Times New Roman" w:hAnsi="Times New Roman"/>
          <w:sz w:val="24"/>
        </w:rPr>
        <w:lastRenderedPageBreak/>
        <w:t xml:space="preserve">réellement qui sont ces femmes, </w:t>
      </w:r>
      <w:r w:rsidR="00A760D1" w:rsidRPr="0026606C">
        <w:rPr>
          <w:rFonts w:ascii="Times New Roman" w:hAnsi="Times New Roman"/>
          <w:sz w:val="24"/>
        </w:rPr>
        <w:t xml:space="preserve">ce qu’elles ont vécu et comment elles l’ont traversé. </w:t>
      </w:r>
      <w:proofErr w:type="spellStart"/>
      <w:r w:rsidRPr="0026606C">
        <w:rPr>
          <w:rFonts w:ascii="Times New Roman" w:hAnsi="Times New Roman"/>
          <w:sz w:val="24"/>
        </w:rPr>
        <w:t>Majde</w:t>
      </w:r>
      <w:proofErr w:type="spellEnd"/>
      <w:r w:rsidRPr="0026606C">
        <w:rPr>
          <w:rFonts w:ascii="Times New Roman" w:hAnsi="Times New Roman"/>
          <w:sz w:val="24"/>
        </w:rPr>
        <w:t xml:space="preserve"> et Linda </w:t>
      </w:r>
      <w:r w:rsidR="0074509B">
        <w:rPr>
          <w:rFonts w:ascii="Times New Roman" w:hAnsi="Times New Roman"/>
          <w:sz w:val="24"/>
        </w:rPr>
        <w:t xml:space="preserve">semblent “simplement” avoir </w:t>
      </w:r>
      <w:r w:rsidRPr="0026606C">
        <w:rPr>
          <w:rFonts w:ascii="Times New Roman" w:hAnsi="Times New Roman"/>
          <w:sz w:val="24"/>
        </w:rPr>
        <w:t>rencontré des personnes ressources au bon moment. Pourtant, les recherches montrent que les victimes ne sont pas si simples à appréhender et que leurs parcours ne sont pas linéaires. L’Organisation Mondiale de la Santé (OMS) souligne que « la plupart des femmes maltraitées ne sont pas des victimes passives et, qu’en fait, elles adoptent des stratégies actives pour renforcer leur sécurité et celle de leurs enfants » (</w:t>
      </w:r>
      <w:proofErr w:type="spellStart"/>
      <w:r w:rsidRPr="0026606C">
        <w:rPr>
          <w:rFonts w:ascii="Times New Roman" w:hAnsi="Times New Roman"/>
          <w:sz w:val="24"/>
        </w:rPr>
        <w:t>Krug</w:t>
      </w:r>
      <w:proofErr w:type="spellEnd"/>
      <w:r w:rsidRPr="0026606C">
        <w:rPr>
          <w:rFonts w:ascii="Times New Roman" w:hAnsi="Times New Roman"/>
          <w:sz w:val="24"/>
        </w:rPr>
        <w:t xml:space="preserve">, </w:t>
      </w:r>
      <w:r w:rsidRPr="0074509B">
        <w:rPr>
          <w:rFonts w:ascii="Times New Roman" w:hAnsi="Times New Roman"/>
          <w:sz w:val="24"/>
        </w:rPr>
        <w:t>2002</w:t>
      </w:r>
      <w:r w:rsidR="00163863" w:rsidRPr="0074509B">
        <w:rPr>
          <w:rFonts w:ascii="Times New Roman" w:hAnsi="Times New Roman"/>
          <w:sz w:val="24"/>
        </w:rPr>
        <w:t>,</w:t>
      </w:r>
      <w:r w:rsidRPr="0074509B">
        <w:rPr>
          <w:rFonts w:ascii="Times New Roman" w:hAnsi="Times New Roman"/>
          <w:sz w:val="24"/>
        </w:rPr>
        <w:t xml:space="preserve"> </w:t>
      </w:r>
      <w:r w:rsidR="0074509B" w:rsidRPr="0074509B">
        <w:rPr>
          <w:rFonts w:ascii="Times New Roman" w:hAnsi="Times New Roman"/>
          <w:sz w:val="24"/>
        </w:rPr>
        <w:t>p</w:t>
      </w:r>
      <w:r w:rsidR="0074509B">
        <w:rPr>
          <w:rFonts w:ascii="Times New Roman" w:hAnsi="Times New Roman"/>
          <w:sz w:val="24"/>
        </w:rPr>
        <w:t>. </w:t>
      </w:r>
      <w:r w:rsidRPr="0074509B">
        <w:rPr>
          <w:rFonts w:ascii="Times New Roman" w:hAnsi="Times New Roman"/>
          <w:sz w:val="24"/>
        </w:rPr>
        <w:t>106</w:t>
      </w:r>
      <w:r w:rsidRPr="0026606C">
        <w:rPr>
          <w:rFonts w:ascii="Times New Roman" w:hAnsi="Times New Roman"/>
          <w:sz w:val="24"/>
        </w:rPr>
        <w:t>-107). Une recherche-action de Vie Féminine montre aussi que les sorties des situations ne sont pas aussi simples que cela. Les victimes peuvent par exemple faire des allers et retours au domicile, retirer leurs plaintes, développer des discours contradictoires. Pourtant, durant ces phases, « elles accumulent en fait des ressources, des contacts, de la confiance. Derrière ces ambivalences apparentes se trouvent des actes de résistance et des prises de consciences qui leur permettent de survivre dans un milieu violent et qui renforcent leur sécurité et celle de leur(s) enfant(s) » (Vie Féminine, 2010</w:t>
      </w:r>
      <w:r w:rsidR="0074509B">
        <w:rPr>
          <w:rFonts w:ascii="Times New Roman" w:hAnsi="Times New Roman"/>
          <w:sz w:val="24"/>
        </w:rPr>
        <w:t>, p. </w:t>
      </w:r>
      <w:r w:rsidRPr="0026606C">
        <w:rPr>
          <w:rFonts w:ascii="Times New Roman" w:hAnsi="Times New Roman"/>
          <w:sz w:val="24"/>
        </w:rPr>
        <w:t>4-5). Ces profils et parcours nuancés n’apparaissent jamais dans la presse.</w:t>
      </w:r>
    </w:p>
    <w:p w:rsidR="007C2EC3" w:rsidRPr="0026606C" w:rsidRDefault="007C2EC3" w:rsidP="002C0C36">
      <w:pPr>
        <w:pStyle w:val="Sarahtexte"/>
        <w:spacing w:line="360" w:lineRule="auto"/>
        <w:rPr>
          <w:rFonts w:ascii="Times New Roman" w:hAnsi="Times New Roman"/>
          <w:sz w:val="24"/>
        </w:rPr>
      </w:pPr>
      <w:r w:rsidRPr="0026606C">
        <w:rPr>
          <w:rFonts w:ascii="Times New Roman" w:hAnsi="Times New Roman"/>
          <w:sz w:val="24"/>
        </w:rPr>
        <w:t xml:space="preserve">Le deuxième type de victime présenté dans la presse apparaît dans les articles “société”, il s’agit des victimes collectives. Certains groupes sont précis (les </w:t>
      </w:r>
      <w:r w:rsidR="008861A8">
        <w:rPr>
          <w:rFonts w:ascii="Times New Roman" w:hAnsi="Times New Roman"/>
          <w:sz w:val="24"/>
        </w:rPr>
        <w:t>personnes</w:t>
      </w:r>
      <w:r w:rsidRPr="0026606C">
        <w:rPr>
          <w:rFonts w:ascii="Times New Roman" w:hAnsi="Times New Roman"/>
          <w:sz w:val="24"/>
        </w:rPr>
        <w:t xml:space="preserve"> exploitées par </w:t>
      </w:r>
      <w:r w:rsidR="0074509B">
        <w:rPr>
          <w:rFonts w:ascii="Times New Roman" w:hAnsi="Times New Roman"/>
          <w:sz w:val="24"/>
        </w:rPr>
        <w:t xml:space="preserve">le proxénète </w:t>
      </w:r>
      <w:r w:rsidRPr="0026606C">
        <w:rPr>
          <w:rFonts w:ascii="Times New Roman" w:hAnsi="Times New Roman"/>
          <w:sz w:val="24"/>
        </w:rPr>
        <w:t xml:space="preserve">Dominique </w:t>
      </w:r>
      <w:proofErr w:type="spellStart"/>
      <w:r w:rsidRPr="0026606C">
        <w:rPr>
          <w:rFonts w:ascii="Times New Roman" w:hAnsi="Times New Roman"/>
          <w:sz w:val="24"/>
        </w:rPr>
        <w:t>Alderweireld</w:t>
      </w:r>
      <w:proofErr w:type="spellEnd"/>
      <w:r w:rsidRPr="0026606C">
        <w:rPr>
          <w:rFonts w:ascii="Times New Roman" w:hAnsi="Times New Roman"/>
          <w:sz w:val="24"/>
        </w:rPr>
        <w:t> </w:t>
      </w:r>
      <w:r w:rsidR="008861A8">
        <w:rPr>
          <w:rFonts w:ascii="Times New Roman" w:hAnsi="Times New Roman"/>
          <w:sz w:val="24"/>
        </w:rPr>
        <w:t>,</w:t>
      </w:r>
      <w:r w:rsidRPr="0026606C">
        <w:rPr>
          <w:rFonts w:ascii="Times New Roman" w:hAnsi="Times New Roman"/>
          <w:sz w:val="24"/>
        </w:rPr>
        <w:t xml:space="preserve"> les </w:t>
      </w:r>
      <w:r w:rsidR="008861A8">
        <w:rPr>
          <w:rFonts w:ascii="Times New Roman" w:hAnsi="Times New Roman"/>
          <w:sz w:val="24"/>
        </w:rPr>
        <w:t>sans-abris</w:t>
      </w:r>
      <w:r w:rsidRPr="0026606C">
        <w:rPr>
          <w:rFonts w:ascii="Times New Roman" w:hAnsi="Times New Roman"/>
          <w:sz w:val="24"/>
        </w:rPr>
        <w:t xml:space="preserve"> auxquelles la ville de Rotterdam veut imposer la contraception</w:t>
      </w:r>
      <w:r w:rsidR="008861A8">
        <w:rPr>
          <w:rFonts w:ascii="Times New Roman" w:hAnsi="Times New Roman"/>
          <w:sz w:val="24"/>
        </w:rPr>
        <w:t>,</w:t>
      </w:r>
      <w:r w:rsidRPr="0026606C">
        <w:rPr>
          <w:rFonts w:ascii="Times New Roman" w:hAnsi="Times New Roman"/>
          <w:sz w:val="24"/>
        </w:rPr>
        <w:t xml:space="preserve"> les </w:t>
      </w:r>
      <w:r w:rsidR="008861A8">
        <w:rPr>
          <w:rFonts w:ascii="Times New Roman" w:hAnsi="Times New Roman"/>
          <w:sz w:val="24"/>
        </w:rPr>
        <w:t xml:space="preserve">esclaves opprimées par les </w:t>
      </w:r>
      <w:r w:rsidRPr="0026606C">
        <w:rPr>
          <w:rFonts w:ascii="Times New Roman" w:hAnsi="Times New Roman"/>
          <w:sz w:val="24"/>
        </w:rPr>
        <w:t>Saoudiennes de l’hôtel Conrad). D’autres articles,</w:t>
      </w:r>
      <w:r w:rsidR="0074509B">
        <w:rPr>
          <w:rFonts w:ascii="Times New Roman" w:hAnsi="Times New Roman"/>
          <w:sz w:val="24"/>
        </w:rPr>
        <w:t xml:space="preserve"> s’intéressant à des phénomènes plus globaux</w:t>
      </w:r>
      <w:r w:rsidRPr="0026606C">
        <w:rPr>
          <w:rFonts w:ascii="Times New Roman" w:hAnsi="Times New Roman"/>
          <w:sz w:val="24"/>
        </w:rPr>
        <w:t xml:space="preserve">, font référence aux femmes en général. </w:t>
      </w:r>
      <w:r w:rsidR="0074509B">
        <w:rPr>
          <w:rFonts w:ascii="Times New Roman" w:hAnsi="Times New Roman"/>
          <w:sz w:val="24"/>
        </w:rPr>
        <w:t xml:space="preserve">Par exemple, on lit que 98% des femmes ont déjà été harcelées ou que « les victimes de viol » ne devront plus se rendre au commissariat. </w:t>
      </w:r>
      <w:r w:rsidRPr="0026606C">
        <w:rPr>
          <w:rFonts w:ascii="Times New Roman" w:hAnsi="Times New Roman"/>
          <w:sz w:val="24"/>
        </w:rPr>
        <w:t>On constate donc un certain degré d’abstraction dans ces articles.</w:t>
      </w:r>
    </w:p>
    <w:p w:rsidR="007C2EC3" w:rsidRDefault="007C2EC3" w:rsidP="002C0C36">
      <w:pPr>
        <w:pStyle w:val="Sarahtexte"/>
        <w:spacing w:line="360" w:lineRule="auto"/>
        <w:rPr>
          <w:rFonts w:ascii="Times New Roman" w:hAnsi="Times New Roman"/>
          <w:sz w:val="24"/>
        </w:rPr>
      </w:pPr>
      <w:r w:rsidRPr="0026606C">
        <w:rPr>
          <w:rFonts w:ascii="Times New Roman" w:hAnsi="Times New Roman"/>
          <w:sz w:val="24"/>
        </w:rPr>
        <w:t xml:space="preserve">Roger </w:t>
      </w:r>
      <w:proofErr w:type="spellStart"/>
      <w:r w:rsidRPr="0026606C">
        <w:rPr>
          <w:rFonts w:ascii="Times New Roman" w:hAnsi="Times New Roman"/>
          <w:sz w:val="24"/>
        </w:rPr>
        <w:t>Herla</w:t>
      </w:r>
      <w:proofErr w:type="spellEnd"/>
      <w:r w:rsidRPr="0026606C">
        <w:rPr>
          <w:rFonts w:ascii="Times New Roman" w:hAnsi="Times New Roman"/>
          <w:sz w:val="24"/>
        </w:rPr>
        <w:t xml:space="preserve"> </w:t>
      </w:r>
      <w:r w:rsidR="0074509B">
        <w:rPr>
          <w:rFonts w:ascii="Times New Roman" w:hAnsi="Times New Roman"/>
          <w:sz w:val="24"/>
        </w:rPr>
        <w:t>s’intéresse à la manière dont les assistants sociaux catégorisent les personnes qui s’adressent à eux. Ce qu’il explique à propos de l’accompagnement des victimes peut s’appliquer à la presse. Selon lui, deux travers sont fréquents</w:t>
      </w:r>
      <w:r w:rsidRPr="0026606C">
        <w:rPr>
          <w:rFonts w:ascii="Times New Roman" w:hAnsi="Times New Roman"/>
          <w:sz w:val="24"/>
        </w:rPr>
        <w:t> : rester trop attaché au niveau individuel ou, au contraire, trop abstraire.</w:t>
      </w:r>
    </w:p>
    <w:p w:rsidR="00173448" w:rsidRPr="0026606C" w:rsidRDefault="00173448" w:rsidP="002C0C36">
      <w:pPr>
        <w:pStyle w:val="Sarahtexte"/>
        <w:spacing w:line="360" w:lineRule="auto"/>
        <w:rPr>
          <w:rFonts w:ascii="Times New Roman" w:hAnsi="Times New Roman"/>
          <w:sz w:val="24"/>
        </w:rPr>
      </w:pPr>
    </w:p>
    <w:p w:rsidR="007C2EC3" w:rsidRDefault="00173448" w:rsidP="00173448">
      <w:pPr>
        <w:pStyle w:val="Sarahcitation"/>
        <w:spacing w:line="360" w:lineRule="auto"/>
        <w:ind w:left="0" w:right="0"/>
        <w:rPr>
          <w:rFonts w:ascii="Times New Roman" w:hAnsi="Times New Roman"/>
          <w:i w:val="0"/>
          <w:sz w:val="24"/>
        </w:rPr>
      </w:pPr>
      <w:r>
        <w:rPr>
          <w:rFonts w:ascii="Times New Roman" w:hAnsi="Times New Roman"/>
          <w:i w:val="0"/>
          <w:sz w:val="24"/>
        </w:rPr>
        <w:t>« </w:t>
      </w:r>
      <w:r w:rsidR="007C2EC3" w:rsidRPr="00173448">
        <w:rPr>
          <w:rFonts w:ascii="Times New Roman" w:hAnsi="Times New Roman"/>
          <w:i w:val="0"/>
          <w:sz w:val="24"/>
        </w:rPr>
        <w:t xml:space="preserve">Quand on est noyé par la singularité, avec la culpabilité qui peut l’accompagner et les effets parfois contre-productifs d’une posture victimaire, cet équilibre passe par le rappel du contexte et de l’histoire des rapports sociaux de genre. Mais quand ce sont les récits politiques qui prennent le pas sur le récit personnel, il implique de ne jamais oublier qu’on a à faire à une femme unique, dont l’histoire individuelle et conjugale est à nulle autre pareille et mérite d’être entendue – sous peine de perdre le lien qui nous lie à elle ou simplement d’écraser son vécu </w:t>
      </w:r>
      <w:r w:rsidR="007C2EC3" w:rsidRPr="00173448">
        <w:rPr>
          <w:rFonts w:ascii="Times New Roman" w:hAnsi="Times New Roman"/>
          <w:i w:val="0"/>
          <w:sz w:val="24"/>
        </w:rPr>
        <w:lastRenderedPageBreak/>
        <w:t>propre sous l’histoire et les espoirs collectifs au détriment d’une position tout aussi indispensable : celle de l’empathie, de la reconnaissance, en une mot, celle du care.</w:t>
      </w:r>
      <w:r>
        <w:rPr>
          <w:rFonts w:ascii="Times New Roman" w:hAnsi="Times New Roman"/>
          <w:i w:val="0"/>
          <w:sz w:val="24"/>
        </w:rPr>
        <w:t> »</w:t>
      </w:r>
      <w:r w:rsidR="007C2EC3" w:rsidRPr="00173448">
        <w:rPr>
          <w:rFonts w:ascii="Times New Roman" w:hAnsi="Times New Roman"/>
          <w:i w:val="0"/>
          <w:sz w:val="24"/>
        </w:rPr>
        <w:t xml:space="preserve"> (</w:t>
      </w:r>
      <w:proofErr w:type="spellStart"/>
      <w:r w:rsidR="007C2EC3" w:rsidRPr="00173448">
        <w:rPr>
          <w:rFonts w:ascii="Times New Roman" w:hAnsi="Times New Roman"/>
          <w:i w:val="0"/>
          <w:sz w:val="24"/>
        </w:rPr>
        <w:t>Herla</w:t>
      </w:r>
      <w:proofErr w:type="spellEnd"/>
      <w:r w:rsidR="007C2EC3" w:rsidRPr="00173448">
        <w:rPr>
          <w:rFonts w:ascii="Times New Roman" w:hAnsi="Times New Roman"/>
          <w:i w:val="0"/>
          <w:sz w:val="24"/>
        </w:rPr>
        <w:t>, 2017</w:t>
      </w:r>
      <w:r w:rsidR="00163863">
        <w:rPr>
          <w:rFonts w:ascii="Times New Roman" w:hAnsi="Times New Roman"/>
          <w:i w:val="0"/>
          <w:sz w:val="24"/>
        </w:rPr>
        <w:t>,</w:t>
      </w:r>
      <w:r w:rsidR="007C2EC3" w:rsidRPr="00173448">
        <w:rPr>
          <w:rFonts w:ascii="Times New Roman" w:hAnsi="Times New Roman"/>
          <w:i w:val="0"/>
          <w:sz w:val="24"/>
        </w:rPr>
        <w:t xml:space="preserve"> </w:t>
      </w:r>
      <w:r w:rsidR="00087B6F" w:rsidRPr="006850F7">
        <w:rPr>
          <w:rFonts w:ascii="Times New Roman" w:hAnsi="Times New Roman"/>
          <w:i w:val="0"/>
          <w:sz w:val="24"/>
        </w:rPr>
        <w:t>p.</w:t>
      </w:r>
      <w:r w:rsidR="00087B6F">
        <w:t xml:space="preserve"> </w:t>
      </w:r>
      <w:r w:rsidR="007C2EC3" w:rsidRPr="00173448">
        <w:rPr>
          <w:rFonts w:ascii="Times New Roman" w:hAnsi="Times New Roman"/>
          <w:i w:val="0"/>
          <w:sz w:val="24"/>
        </w:rPr>
        <w:t>6-7)</w:t>
      </w:r>
    </w:p>
    <w:p w:rsidR="007C2EC3" w:rsidRPr="0026606C" w:rsidRDefault="007C2EC3" w:rsidP="002C0C36">
      <w:pPr>
        <w:pStyle w:val="Sarahtexte"/>
        <w:spacing w:line="360" w:lineRule="auto"/>
        <w:rPr>
          <w:rFonts w:ascii="Times New Roman" w:hAnsi="Times New Roman"/>
          <w:sz w:val="24"/>
        </w:rPr>
      </w:pPr>
    </w:p>
    <w:p w:rsidR="00240489" w:rsidRDefault="00240489" w:rsidP="00240489">
      <w:pPr>
        <w:pStyle w:val="Sarahbulletpoint"/>
        <w:numPr>
          <w:ilvl w:val="0"/>
          <w:numId w:val="0"/>
        </w:numPr>
        <w:spacing w:line="360" w:lineRule="auto"/>
        <w:rPr>
          <w:rFonts w:ascii="Times New Roman" w:hAnsi="Times New Roman"/>
          <w:sz w:val="24"/>
        </w:rPr>
      </w:pPr>
      <w:r>
        <w:rPr>
          <w:rFonts w:ascii="Times New Roman" w:hAnsi="Times New Roman"/>
          <w:sz w:val="24"/>
        </w:rPr>
        <w:t>L</w:t>
      </w:r>
      <w:r w:rsidR="007C2EC3" w:rsidRPr="0026606C">
        <w:rPr>
          <w:rFonts w:ascii="Times New Roman" w:hAnsi="Times New Roman"/>
          <w:sz w:val="24"/>
        </w:rPr>
        <w:t xml:space="preserve">es journalistes tombent dans </w:t>
      </w:r>
      <w:r>
        <w:rPr>
          <w:rFonts w:ascii="Times New Roman" w:hAnsi="Times New Roman"/>
          <w:sz w:val="24"/>
        </w:rPr>
        <w:t xml:space="preserve">les deux </w:t>
      </w:r>
      <w:r w:rsidR="007C2EC3" w:rsidRPr="0026606C">
        <w:rPr>
          <w:rFonts w:ascii="Times New Roman" w:hAnsi="Times New Roman"/>
          <w:sz w:val="24"/>
        </w:rPr>
        <w:t>piège</w:t>
      </w:r>
      <w:r>
        <w:rPr>
          <w:rFonts w:ascii="Times New Roman" w:hAnsi="Times New Roman"/>
          <w:sz w:val="24"/>
        </w:rPr>
        <w:t>s. Dans les faits divers, i</w:t>
      </w:r>
      <w:r w:rsidR="007C2EC3" w:rsidRPr="0026606C">
        <w:rPr>
          <w:rFonts w:ascii="Times New Roman" w:hAnsi="Times New Roman"/>
          <w:sz w:val="24"/>
        </w:rPr>
        <w:t xml:space="preserve">ls ne parviennent pas à </w:t>
      </w:r>
      <w:r>
        <w:rPr>
          <w:rFonts w:ascii="Times New Roman" w:hAnsi="Times New Roman"/>
          <w:sz w:val="24"/>
        </w:rPr>
        <w:t>dépasser la singularité des cas. Les explications ne valent que pour les personnes concernées et reste cantonnées à des interprétations individuelles, psychologiques (par exemple le mari n’a pas supporté la séparation, la victime était fragile) ou relationnel (le couple malsain). Au phénomène de responsabilisation des victimes que nous venons de décrire s’ajoute celui de la déresponsabilisation des auteurs</w:t>
      </w:r>
      <w:r>
        <w:rPr>
          <w:rStyle w:val="Appelnotedebasdep"/>
          <w:rFonts w:ascii="Times New Roman" w:hAnsi="Times New Roman"/>
          <w:sz w:val="24"/>
        </w:rPr>
        <w:footnoteReference w:id="13"/>
      </w:r>
      <w:r>
        <w:rPr>
          <w:rFonts w:ascii="Times New Roman" w:hAnsi="Times New Roman"/>
          <w:sz w:val="24"/>
        </w:rPr>
        <w:t>. L</w:t>
      </w:r>
      <w:r w:rsidRPr="006C1F13">
        <w:rPr>
          <w:rFonts w:ascii="Times New Roman" w:hAnsi="Times New Roman"/>
          <w:sz w:val="24"/>
        </w:rPr>
        <w:t xml:space="preserve">e fait </w:t>
      </w:r>
      <w:r>
        <w:rPr>
          <w:rFonts w:ascii="Times New Roman" w:hAnsi="Times New Roman"/>
          <w:sz w:val="24"/>
        </w:rPr>
        <w:t>d’analyser les situations en ter</w:t>
      </w:r>
      <w:r w:rsidRPr="006C1F13">
        <w:rPr>
          <w:rFonts w:ascii="Times New Roman" w:hAnsi="Times New Roman"/>
          <w:sz w:val="24"/>
        </w:rPr>
        <w:t>mes individuels a « pour effet de dépolitiser les conflits découlant des rapports sociaux de sexe et par conséquent de conforter la domination masculine » (</w:t>
      </w:r>
      <w:proofErr w:type="spellStart"/>
      <w:r w:rsidRPr="006C1F13">
        <w:rPr>
          <w:rFonts w:ascii="Times New Roman" w:hAnsi="Times New Roman"/>
          <w:sz w:val="24"/>
        </w:rPr>
        <w:t>Gillioz</w:t>
      </w:r>
      <w:proofErr w:type="spellEnd"/>
      <w:r w:rsidRPr="006C1F13">
        <w:rPr>
          <w:rFonts w:ascii="Times New Roman" w:hAnsi="Times New Roman"/>
          <w:sz w:val="24"/>
        </w:rPr>
        <w:t>, 2009</w:t>
      </w:r>
      <w:r>
        <w:rPr>
          <w:rFonts w:ascii="Times New Roman" w:hAnsi="Times New Roman"/>
          <w:sz w:val="24"/>
        </w:rPr>
        <w:t>/1, p. 122</w:t>
      </w:r>
      <w:r w:rsidRPr="006C1F13">
        <w:rPr>
          <w:rFonts w:ascii="Times New Roman" w:hAnsi="Times New Roman"/>
          <w:sz w:val="24"/>
        </w:rPr>
        <w:t>).</w:t>
      </w:r>
      <w:r>
        <w:rPr>
          <w:rFonts w:ascii="Times New Roman" w:hAnsi="Times New Roman"/>
          <w:sz w:val="24"/>
        </w:rPr>
        <w:t xml:space="preserve"> Dans les articles de société, les humains disparaissent au profit des institutions, des chiffres, des abstractions (c’est le marché de l’emploi qui est discriminant). Par ailleurs, nous l’avons déjà souligné, le fossé est tel entre les articles que ces phénomènes ne peuvent jamais être appréhendés comme des parties d’un tout. </w:t>
      </w:r>
      <w:r w:rsidRPr="000E40A1">
        <w:rPr>
          <w:rFonts w:ascii="Times New Roman" w:hAnsi="Times New Roman"/>
          <w:sz w:val="24"/>
        </w:rPr>
        <w:t xml:space="preserve">Patrizia </w:t>
      </w:r>
      <w:proofErr w:type="spellStart"/>
      <w:r w:rsidRPr="000E40A1">
        <w:rPr>
          <w:rFonts w:ascii="Times New Roman" w:hAnsi="Times New Roman"/>
          <w:sz w:val="24"/>
        </w:rPr>
        <w:t>Romito</w:t>
      </w:r>
      <w:proofErr w:type="spellEnd"/>
      <w:r w:rsidRPr="000E40A1">
        <w:rPr>
          <w:rFonts w:ascii="Times New Roman" w:hAnsi="Times New Roman"/>
          <w:sz w:val="24"/>
        </w:rPr>
        <w:t xml:space="preserve"> déplore que ces violences ne soit jamais replacées dans le </w:t>
      </w:r>
      <w:r w:rsidR="008861A8">
        <w:rPr>
          <w:rFonts w:ascii="Times New Roman" w:hAnsi="Times New Roman"/>
          <w:sz w:val="24"/>
        </w:rPr>
        <w:t>« </w:t>
      </w:r>
      <w:r w:rsidRPr="000E40A1">
        <w:rPr>
          <w:rFonts w:ascii="Times New Roman" w:hAnsi="Times New Roman"/>
          <w:sz w:val="24"/>
        </w:rPr>
        <w:t>continuum de violence</w:t>
      </w:r>
      <w:r w:rsidR="008861A8">
        <w:rPr>
          <w:rFonts w:ascii="Times New Roman" w:hAnsi="Times New Roman"/>
          <w:sz w:val="24"/>
        </w:rPr>
        <w:t> »</w:t>
      </w:r>
      <w:r>
        <w:rPr>
          <w:rFonts w:ascii="Times New Roman" w:hAnsi="Times New Roman"/>
          <w:sz w:val="24"/>
        </w:rPr>
        <w:t xml:space="preserve"> (Liz Kelly, citée par </w:t>
      </w:r>
      <w:proofErr w:type="spellStart"/>
      <w:r>
        <w:rPr>
          <w:rFonts w:ascii="Times New Roman" w:hAnsi="Times New Roman"/>
          <w:sz w:val="24"/>
        </w:rPr>
        <w:t>Romito</w:t>
      </w:r>
      <w:proofErr w:type="spellEnd"/>
      <w:r>
        <w:rPr>
          <w:rFonts w:ascii="Times New Roman" w:hAnsi="Times New Roman"/>
          <w:sz w:val="24"/>
        </w:rPr>
        <w:t>, 2006</w:t>
      </w:r>
      <w:r w:rsidR="0005007E">
        <w:rPr>
          <w:rFonts w:ascii="Times New Roman" w:hAnsi="Times New Roman"/>
          <w:sz w:val="24"/>
        </w:rPr>
        <w:t>, p. 151</w:t>
      </w:r>
      <w:r>
        <w:rPr>
          <w:rFonts w:ascii="Times New Roman" w:hAnsi="Times New Roman"/>
          <w:sz w:val="24"/>
        </w:rPr>
        <w:t>)</w:t>
      </w:r>
      <w:r w:rsidRPr="000E40A1">
        <w:rPr>
          <w:rFonts w:ascii="Times New Roman" w:hAnsi="Times New Roman"/>
          <w:sz w:val="24"/>
        </w:rPr>
        <w:t>.</w:t>
      </w:r>
      <w:r>
        <w:rPr>
          <w:rFonts w:ascii="Times New Roman" w:hAnsi="Times New Roman"/>
          <w:sz w:val="24"/>
        </w:rPr>
        <w:t xml:space="preserve"> </w:t>
      </w:r>
      <w:r w:rsidRPr="000E40A1">
        <w:rPr>
          <w:rFonts w:ascii="Times New Roman" w:hAnsi="Times New Roman"/>
          <w:sz w:val="24"/>
        </w:rPr>
        <w:t>« Une autre technique d’occultation est la séparation. En effet, si l’on nous présente diverses formes de la violence comme si elles étaient distinctes entre elles, et qu’on leur attribue de ce fait des appellations différentes, nous n’arrivons pas à les considérer dans leur continuité ni à réaliser qu’elles sont perpétrées dans une large mesure par la même catégorie d’individus. » (</w:t>
      </w:r>
      <w:proofErr w:type="spellStart"/>
      <w:r w:rsidRPr="000E40A1">
        <w:rPr>
          <w:rFonts w:ascii="Times New Roman" w:hAnsi="Times New Roman"/>
          <w:sz w:val="24"/>
        </w:rPr>
        <w:t>Romito</w:t>
      </w:r>
      <w:proofErr w:type="spellEnd"/>
      <w:r w:rsidRPr="000E40A1">
        <w:rPr>
          <w:rFonts w:ascii="Times New Roman" w:hAnsi="Times New Roman"/>
          <w:sz w:val="24"/>
        </w:rPr>
        <w:t>, 2006</w:t>
      </w:r>
      <w:r w:rsidR="0005007E">
        <w:rPr>
          <w:rFonts w:ascii="Times New Roman" w:hAnsi="Times New Roman"/>
          <w:sz w:val="24"/>
        </w:rPr>
        <w:t>, p.</w:t>
      </w:r>
      <w:r>
        <w:t xml:space="preserve"> </w:t>
      </w:r>
      <w:r w:rsidRPr="000E40A1">
        <w:rPr>
          <w:rFonts w:ascii="Times New Roman" w:hAnsi="Times New Roman"/>
          <w:sz w:val="24"/>
        </w:rPr>
        <w:t>147)</w:t>
      </w:r>
    </w:p>
    <w:p w:rsidR="008861A8" w:rsidRDefault="008861A8" w:rsidP="002C0C36">
      <w:pPr>
        <w:pStyle w:val="Sarahtexte"/>
        <w:spacing w:line="360" w:lineRule="auto"/>
        <w:rPr>
          <w:rFonts w:ascii="Times New Roman" w:hAnsi="Times New Roman"/>
          <w:sz w:val="24"/>
        </w:rPr>
      </w:pPr>
    </w:p>
    <w:p w:rsidR="00593431" w:rsidRPr="002C0C36" w:rsidRDefault="00F2032C" w:rsidP="002C0C36">
      <w:pPr>
        <w:spacing w:line="360" w:lineRule="auto"/>
        <w:jc w:val="both"/>
        <w:rPr>
          <w:sz w:val="36"/>
          <w:szCs w:val="36"/>
        </w:rPr>
      </w:pPr>
      <w:r w:rsidRPr="002C0C36">
        <w:rPr>
          <w:sz w:val="36"/>
          <w:szCs w:val="36"/>
        </w:rPr>
        <w:t>Mé</w:t>
      </w:r>
      <w:r w:rsidR="00610C5D" w:rsidRPr="002C0C36">
        <w:rPr>
          <w:sz w:val="36"/>
          <w:szCs w:val="36"/>
        </w:rPr>
        <w:t>d</w:t>
      </w:r>
      <w:r w:rsidRPr="002C0C36">
        <w:rPr>
          <w:sz w:val="36"/>
          <w:szCs w:val="36"/>
        </w:rPr>
        <w:t>iatisation contre-productive</w:t>
      </w:r>
    </w:p>
    <w:p w:rsidR="00000109" w:rsidRDefault="00000109" w:rsidP="002C0C36">
      <w:pPr>
        <w:spacing w:line="360" w:lineRule="auto"/>
        <w:jc w:val="both"/>
      </w:pPr>
    </w:p>
    <w:p w:rsidR="008B223E" w:rsidRDefault="008B223E" w:rsidP="002C0C36">
      <w:pPr>
        <w:spacing w:line="360" w:lineRule="auto"/>
        <w:jc w:val="both"/>
      </w:pPr>
      <w:r>
        <w:t>Les violences à l’égard des femmes sont donc bien présentes dans la presse écrite francophone belge. Cependant, l</w:t>
      </w:r>
      <w:r w:rsidR="001A0B73">
        <w:t>a couverture médiatique ne</w:t>
      </w:r>
      <w:r>
        <w:t xml:space="preserve"> permet</w:t>
      </w:r>
      <w:r w:rsidR="001A0B73">
        <w:t xml:space="preserve"> pas</w:t>
      </w:r>
      <w:r>
        <w:t xml:space="preserve"> de réellement prendre la mesure du problème puisque les faits sont peu expliqués, peu remis en contexte, </w:t>
      </w:r>
      <w:r w:rsidR="001A0B73">
        <w:t xml:space="preserve">et que les explications </w:t>
      </w:r>
      <w:r w:rsidR="001A0B73">
        <w:lastRenderedPageBreak/>
        <w:t xml:space="preserve">restent individuelles. Quand on </w:t>
      </w:r>
      <w:r>
        <w:t>examin</w:t>
      </w:r>
      <w:r w:rsidR="001A0B73">
        <w:t>e</w:t>
      </w:r>
      <w:r>
        <w:t xml:space="preserve"> le type de faits relatés, les intervenants qui ont la parole et les moments de publication, il apparaît également que cette médiatisation </w:t>
      </w:r>
      <w:r w:rsidR="001A0B73">
        <w:t>occulte autant qu’elle met en lumière</w:t>
      </w:r>
      <w:r>
        <w:t>.</w:t>
      </w:r>
    </w:p>
    <w:p w:rsidR="008877C0" w:rsidRDefault="008877C0" w:rsidP="002C0C36">
      <w:pPr>
        <w:spacing w:line="360" w:lineRule="auto"/>
        <w:jc w:val="both"/>
      </w:pPr>
    </w:p>
    <w:p w:rsidR="00610C5D" w:rsidRPr="002C0C36" w:rsidRDefault="00E907E9" w:rsidP="002C0C36">
      <w:pPr>
        <w:spacing w:line="360" w:lineRule="auto"/>
        <w:jc w:val="both"/>
        <w:rPr>
          <w:sz w:val="32"/>
          <w:szCs w:val="32"/>
        </w:rPr>
      </w:pPr>
      <w:r w:rsidRPr="002C0C36">
        <w:rPr>
          <w:sz w:val="32"/>
          <w:szCs w:val="32"/>
        </w:rPr>
        <w:t>Des</w:t>
      </w:r>
      <w:r w:rsidR="00610C5D" w:rsidRPr="002C0C36">
        <w:rPr>
          <w:sz w:val="32"/>
          <w:szCs w:val="32"/>
        </w:rPr>
        <w:t xml:space="preserve"> violences</w:t>
      </w:r>
      <w:r w:rsidR="008861A8">
        <w:rPr>
          <w:sz w:val="32"/>
          <w:szCs w:val="32"/>
        </w:rPr>
        <w:t xml:space="preserve"> et des protagonistes</w:t>
      </w:r>
      <w:r w:rsidR="00610C5D" w:rsidRPr="002C0C36">
        <w:rPr>
          <w:sz w:val="32"/>
          <w:szCs w:val="32"/>
        </w:rPr>
        <w:t xml:space="preserve"> extraordinaires</w:t>
      </w:r>
    </w:p>
    <w:p w:rsidR="00610C5D" w:rsidRDefault="00610C5D" w:rsidP="002C0C36">
      <w:pPr>
        <w:spacing w:line="360" w:lineRule="auto"/>
        <w:jc w:val="both"/>
      </w:pPr>
    </w:p>
    <w:p w:rsidR="005560BB" w:rsidRDefault="00BA3125" w:rsidP="002C0C36">
      <w:pPr>
        <w:spacing w:line="360" w:lineRule="auto"/>
        <w:jc w:val="both"/>
      </w:pPr>
      <w:r>
        <w:t xml:space="preserve">Les violences à l’égard des femmes </w:t>
      </w:r>
      <w:r w:rsidR="0005007E">
        <w:t xml:space="preserve">apparaissent </w:t>
      </w:r>
      <w:r>
        <w:t xml:space="preserve">majoritairement dans les faits divers ou les </w:t>
      </w:r>
      <w:proofErr w:type="spellStart"/>
      <w:r>
        <w:t>comptes-rendus</w:t>
      </w:r>
      <w:proofErr w:type="spellEnd"/>
      <w:r>
        <w:t xml:space="preserve"> judiciaires. Les actes décrits se déroulent alors principalement dans la sphère familiale et dans la </w:t>
      </w:r>
      <w:r w:rsidR="00550FD9">
        <w:t xml:space="preserve">sphère publique (la rue). Il s’agit surtout de violences qu’on pourrait catégoriser comme “physiques” : </w:t>
      </w:r>
      <w:r>
        <w:t xml:space="preserve">des meurtres, </w:t>
      </w:r>
      <w:r w:rsidR="005560BB">
        <w:t xml:space="preserve">des assassinats, </w:t>
      </w:r>
      <w:r>
        <w:t xml:space="preserve">des coups et blessures, </w:t>
      </w:r>
      <w:r w:rsidR="005560BB">
        <w:t xml:space="preserve">des agressions sexuelles, </w:t>
      </w:r>
      <w:r>
        <w:t xml:space="preserve">des attaques, des empoisonnements, des disparitions. </w:t>
      </w:r>
      <w:r w:rsidR="005560BB">
        <w:t xml:space="preserve">La plupart des faits sont </w:t>
      </w:r>
      <w:r w:rsidR="00601ACA">
        <w:t xml:space="preserve">extraordinaires : des incendies volontaires, un conflit de voisinage qui dure depuis 17 ans, des meurtres, une attaque à la voiture contre un groupe de Témoins de Jéhovah, un enfant enfermé </w:t>
      </w:r>
      <w:r w:rsidR="001A0B73">
        <w:t xml:space="preserve">durant une journée entière </w:t>
      </w:r>
      <w:r w:rsidR="00601ACA">
        <w:t>sur un balcon</w:t>
      </w:r>
      <w:r w:rsidR="001A0B73">
        <w:t xml:space="preserve"> en plein hiver</w:t>
      </w:r>
      <w:r w:rsidR="00601ACA">
        <w:t>, une attaque à la machette dans un camping,</w:t>
      </w:r>
      <w:r w:rsidR="001A0B73">
        <w:t xml:space="preserve"> la séquestration d’</w:t>
      </w:r>
      <w:r w:rsidR="00601ACA">
        <w:t>une directrice d’école par une adolescente qualifiée de « machiavélique », le meurtre d’une famille complète, etc. Les violences n’occasionnant pa</w:t>
      </w:r>
      <w:r w:rsidR="008861A8">
        <w:t>s</w:t>
      </w:r>
      <w:r w:rsidR="00601ACA">
        <w:t xml:space="preserve"> la mort, </w:t>
      </w:r>
      <w:r w:rsidR="001A0B73">
        <w:t xml:space="preserve">les humiliations et les injures, les cas </w:t>
      </w:r>
      <w:r w:rsidR="00601ACA">
        <w:t>qui ne d</w:t>
      </w:r>
      <w:r w:rsidR="001A0B73">
        <w:t>ébouchent</w:t>
      </w:r>
      <w:r w:rsidR="00601ACA">
        <w:t xml:space="preserve"> pas </w:t>
      </w:r>
      <w:r w:rsidR="001A0B73">
        <w:t>sur un</w:t>
      </w:r>
      <w:r w:rsidR="00601ACA">
        <w:t xml:space="preserve"> procès, les violences </w:t>
      </w:r>
      <w:r w:rsidR="001A0B73">
        <w:t xml:space="preserve">moins spectaculaires </w:t>
      </w:r>
      <w:r w:rsidR="00601ACA">
        <w:t>n’apparaissent nulle part dans les pages de la presse.</w:t>
      </w:r>
    </w:p>
    <w:p w:rsidR="00610C5D" w:rsidRDefault="001A0B73" w:rsidP="002C0C36">
      <w:pPr>
        <w:spacing w:line="360" w:lineRule="auto"/>
        <w:jc w:val="both"/>
      </w:pPr>
      <w:r>
        <w:t xml:space="preserve">Un cinquième des articles (25 sur 120) </w:t>
      </w:r>
      <w:r w:rsidR="00EF0984">
        <w:t xml:space="preserve">concernent une célébrité, </w:t>
      </w:r>
      <w:r>
        <w:t>qu’elle soit la</w:t>
      </w:r>
      <w:r w:rsidR="00EF0984">
        <w:t xml:space="preserve"> victime (13 cas) ou l’auteur (11 cas). Les violences ne sont pas nécessairement différentes de celles qui touchent des inconnues puisqu’il s’</w:t>
      </w:r>
      <w:r w:rsidR="00167BF3">
        <w:t xml:space="preserve">agit de menaces, d’agressions sexuelles, viol, attaques, harcèlement sexuel, harcèlement, injures. Les articles ont cependant tendance à être plus longs. Les procès de Bernard </w:t>
      </w:r>
      <w:proofErr w:type="spellStart"/>
      <w:r w:rsidR="00167BF3">
        <w:t>Wesphael</w:t>
      </w:r>
      <w:proofErr w:type="spellEnd"/>
      <w:r w:rsidR="00167BF3">
        <w:t xml:space="preserve"> (</w:t>
      </w:r>
      <w:r>
        <w:t>politicien belge</w:t>
      </w:r>
      <w:r w:rsidR="00167BF3">
        <w:t xml:space="preserve">) ou d’Oscar </w:t>
      </w:r>
      <w:proofErr w:type="spellStart"/>
      <w:r w:rsidR="00167BF3">
        <w:t>Pistorius</w:t>
      </w:r>
      <w:proofErr w:type="spellEnd"/>
      <w:r w:rsidR="00167BF3">
        <w:t xml:space="preserve"> </w:t>
      </w:r>
      <w:r>
        <w:t xml:space="preserve">(sportif de haut niveau) </w:t>
      </w:r>
      <w:r w:rsidR="00167BF3">
        <w:t xml:space="preserve">accusés du meurtre de leur compagne remplissent des pleines pages. La sortie du téléfilm relatant l’histoire de Flavie </w:t>
      </w:r>
      <w:proofErr w:type="spellStart"/>
      <w:r w:rsidR="00167BF3">
        <w:t>Flament</w:t>
      </w:r>
      <w:proofErr w:type="spellEnd"/>
      <w:r w:rsidR="00167BF3">
        <w:t xml:space="preserve"> occupe deux </w:t>
      </w:r>
      <w:r w:rsidR="00D2299D">
        <w:t>feuillets</w:t>
      </w:r>
      <w:r w:rsidR="00167BF3">
        <w:t xml:space="preserve">. Par </w:t>
      </w:r>
      <w:r w:rsidR="00182250">
        <w:t>ailleurs, les victimes célè</w:t>
      </w:r>
      <w:r w:rsidR="00167BF3">
        <w:t>bres ont beaucoup plus la parole et sont dépeintes comme plus actives que les inconnues. Jane Fonda a été agressée sexuellement, mais cela ne l’a pas empêché de faire carrière et de trouver l’amour ; Emma Watson tient tête à celles qui l’injurie</w:t>
      </w:r>
      <w:r w:rsidR="000E40A1">
        <w:t>nt</w:t>
      </w:r>
      <w:r w:rsidR="00167BF3">
        <w:t xml:space="preserve"> ; Flavie </w:t>
      </w:r>
      <w:proofErr w:type="spellStart"/>
      <w:r w:rsidR="00167BF3">
        <w:t>Flament</w:t>
      </w:r>
      <w:proofErr w:type="spellEnd"/>
      <w:r w:rsidR="00167BF3">
        <w:t xml:space="preserve"> est longuement interviewée et </w:t>
      </w:r>
      <w:r>
        <w:t>milite pour</w:t>
      </w:r>
      <w:r w:rsidR="00167BF3">
        <w:t xml:space="preserve"> l’</w:t>
      </w:r>
      <w:r w:rsidR="00182250">
        <w:t>allongement du délai</w:t>
      </w:r>
      <w:r w:rsidR="00167BF3">
        <w:t xml:space="preserve"> de prescription.</w:t>
      </w:r>
      <w:r w:rsidR="00182250">
        <w:t xml:space="preserve"> </w:t>
      </w:r>
      <w:r>
        <w:t>À</w:t>
      </w:r>
      <w:r w:rsidR="00D2299D">
        <w:t xml:space="preserve"> l’exception de quatre survivant</w:t>
      </w:r>
      <w:r>
        <w:t>e</w:t>
      </w:r>
      <w:r w:rsidR="00D2299D">
        <w:t>s, les femmes qui ne sont pas célèbres n’ont pas la parole car elles sont mortes ou sont absentes des discours. Ce sont alors les autorités, les témoins, leurs proches, souvent des parents, qui prennent la parole pour elles.</w:t>
      </w:r>
    </w:p>
    <w:p w:rsidR="001A0B73" w:rsidRPr="00075190" w:rsidRDefault="001A0B73" w:rsidP="001A0B73">
      <w:pPr>
        <w:spacing w:line="360" w:lineRule="auto"/>
        <w:jc w:val="both"/>
      </w:pPr>
      <w:r>
        <w:lastRenderedPageBreak/>
        <w:t xml:space="preserve">Harvey </w:t>
      </w:r>
      <w:proofErr w:type="spellStart"/>
      <w:r>
        <w:t>Weinstein</w:t>
      </w:r>
      <w:proofErr w:type="spellEnd"/>
      <w:r>
        <w:t xml:space="preserve"> cumule ces deux caractéristiques : il est célèbre et les faits qui lui sont reproch</w:t>
      </w:r>
      <w:r w:rsidR="008861A8">
        <w:t>é</w:t>
      </w:r>
      <w:r>
        <w:t xml:space="preserve">s sont hors du commun par le nombre de victimes. L’affaire éclate le 5 octobre 2017 </w:t>
      </w:r>
      <w:r w:rsidR="008861A8">
        <w:t>lors de</w:t>
      </w:r>
      <w:r>
        <w:t xml:space="preserve"> la publication de l’article du </w:t>
      </w:r>
      <w:r w:rsidRPr="001A0B73">
        <w:rPr>
          <w:i/>
        </w:rPr>
        <w:t>New York Times</w:t>
      </w:r>
      <w:r>
        <w:t xml:space="preserve">, soit à la fin de notre corpus. Pourtant, il semble que les journées des 11 et 25 novembre subissent un « effet </w:t>
      </w:r>
      <w:proofErr w:type="spellStart"/>
      <w:r>
        <w:t>Weinstein</w:t>
      </w:r>
      <w:proofErr w:type="spellEnd"/>
      <w:r>
        <w:t xml:space="preserve"> ». </w:t>
      </w:r>
      <w:r w:rsidRPr="00075190">
        <w:t xml:space="preserve">Le nombre </w:t>
      </w:r>
      <w:r>
        <w:t xml:space="preserve">de textes </w:t>
      </w:r>
      <w:r w:rsidRPr="00075190">
        <w:t xml:space="preserve">n’est pas nécessairement élevé, mais rien que sur ces journées, un article concerne Charlie </w:t>
      </w:r>
      <w:proofErr w:type="spellStart"/>
      <w:r w:rsidRPr="00075190">
        <w:t>Sheen</w:t>
      </w:r>
      <w:proofErr w:type="spellEnd"/>
      <w:r w:rsidRPr="00075190">
        <w:t xml:space="preserve">, deux Harvey </w:t>
      </w:r>
      <w:proofErr w:type="spellStart"/>
      <w:r w:rsidRPr="00075190">
        <w:t>Weinstein</w:t>
      </w:r>
      <w:proofErr w:type="spellEnd"/>
      <w:r w:rsidRPr="00075190">
        <w:t xml:space="preserve"> et cinq Kevin </w:t>
      </w:r>
      <w:proofErr w:type="spellStart"/>
      <w:r w:rsidRPr="00075190">
        <w:t>Spacey</w:t>
      </w:r>
      <w:proofErr w:type="spellEnd"/>
      <w:r w:rsidRPr="00075190">
        <w:t xml:space="preserve">. Ces textes ne renouvellent cependant pas vraiment la couverture des </w:t>
      </w:r>
      <w:r>
        <w:t>faits de violence</w:t>
      </w:r>
      <w:r w:rsidRPr="00075190">
        <w:t xml:space="preserve"> puisqu’ils sont très descriptifs, totalement centrés sur l’auteur dont la seule célébrité semble suffire à la publication. Par ailleurs, les victimes sont complètement évacuées de ces brèves. Au mieux, des mères s’expriment pour leurs enfants, notamment Marlène Jobert sur la manière dont sa fille Eva Green a </w:t>
      </w:r>
      <w:r>
        <w:t>réagi</w:t>
      </w:r>
      <w:r w:rsidRPr="00075190">
        <w:t>.</w:t>
      </w:r>
    </w:p>
    <w:p w:rsidR="001A0B73" w:rsidRDefault="001A0B73" w:rsidP="002C0C36">
      <w:pPr>
        <w:spacing w:line="360" w:lineRule="auto"/>
        <w:jc w:val="both"/>
      </w:pPr>
    </w:p>
    <w:p w:rsidR="00D74F73" w:rsidRPr="002C0C36" w:rsidRDefault="00610C5D" w:rsidP="002C0C36">
      <w:pPr>
        <w:spacing w:line="360" w:lineRule="auto"/>
        <w:jc w:val="both"/>
        <w:rPr>
          <w:sz w:val="32"/>
          <w:szCs w:val="32"/>
        </w:rPr>
      </w:pPr>
      <w:r w:rsidRPr="008861A8">
        <w:rPr>
          <w:sz w:val="32"/>
          <w:szCs w:val="32"/>
        </w:rPr>
        <w:t>Jours extraordinaires</w:t>
      </w:r>
      <w:r w:rsidR="00593D9A" w:rsidRPr="008861A8">
        <w:rPr>
          <w:sz w:val="32"/>
          <w:szCs w:val="32"/>
        </w:rPr>
        <w:t>, couverture extraordinaire</w:t>
      </w:r>
    </w:p>
    <w:p w:rsidR="00593D9A" w:rsidRDefault="00593D9A" w:rsidP="002C0C36">
      <w:pPr>
        <w:spacing w:line="360" w:lineRule="auto"/>
        <w:jc w:val="both"/>
      </w:pPr>
    </w:p>
    <w:p w:rsidR="00E20457" w:rsidRDefault="00182250" w:rsidP="002C0C36">
      <w:pPr>
        <w:spacing w:line="360" w:lineRule="auto"/>
        <w:jc w:val="both"/>
      </w:pPr>
      <w:r>
        <w:t>Les jours du corpus raisonné sont l’objet d’une médiatisation hors du commun.</w:t>
      </w:r>
      <w:r w:rsidR="0081042A">
        <w:t xml:space="preserve"> Beaucoup plus d’articles sont publiés aux alentours des 8 mars, 11 et 25 novembre </w:t>
      </w:r>
      <w:r w:rsidR="008861A8">
        <w:t>en raison de</w:t>
      </w:r>
      <w:r w:rsidR="0081042A">
        <w:t xml:space="preserve"> l’augmentation du nombre de textes </w:t>
      </w:r>
      <w:r w:rsidR="008861A8">
        <w:t>de</w:t>
      </w:r>
      <w:r w:rsidR="0081042A">
        <w:t xml:space="preserve"> société. </w:t>
      </w:r>
      <w:r w:rsidR="00593D9A">
        <w:t>En effet, le nombre de faits divers ne chute pas vraiment (de 70 à 63) ; par contre, le nombre de de papiers de société explose (de 10 à 64).</w:t>
      </w:r>
      <w:r w:rsidR="0081042A">
        <w:t xml:space="preserve"> Or ces </w:t>
      </w:r>
      <w:r w:rsidR="008861A8">
        <w:t>publications</w:t>
      </w:r>
      <w:r w:rsidR="0081042A">
        <w:t xml:space="preserve"> sont très différent</w:t>
      </w:r>
      <w:r w:rsidR="00FC12E9">
        <w:t>e</w:t>
      </w:r>
      <w:r w:rsidR="0081042A">
        <w:t>s de l’ordinaire fait divers.</w:t>
      </w:r>
      <w:r w:rsidR="0056729B">
        <w:t xml:space="preserve"> </w:t>
      </w:r>
      <w:r w:rsidR="008861A8">
        <w:t xml:space="preserve">Ces derniers </w:t>
      </w:r>
      <w:r w:rsidR="0056729B">
        <w:t>sont peu contextualisés (</w:t>
      </w:r>
      <w:r w:rsidR="008861A8">
        <w:t xml:space="preserve">en blanc dans </w:t>
      </w:r>
      <w:r w:rsidR="0056729B">
        <w:t xml:space="preserve">le tableau 1). </w:t>
      </w:r>
      <w:r w:rsidR="008861A8">
        <w:t xml:space="preserve">Un événement se produit, il est décrit, mais peu commenté et peu mis en perspective. </w:t>
      </w:r>
      <w:r w:rsidR="004E426F">
        <w:t>Quand le journaliste dépasse l</w:t>
      </w:r>
      <w:r w:rsidR="008861A8">
        <w:t>e</w:t>
      </w:r>
      <w:r w:rsidR="004E426F">
        <w:t xml:space="preserve"> simple </w:t>
      </w:r>
      <w:r w:rsidR="008861A8">
        <w:t xml:space="preserve">inventaire </w:t>
      </w:r>
      <w:r w:rsidR="004E426F">
        <w:t>factuel, il se contente d’apporter le point de vue d’une des parties ou il développe des explications ponctuelles.</w:t>
      </w:r>
    </w:p>
    <w:p w:rsidR="00593D9A" w:rsidRDefault="004E426F" w:rsidP="002C0C36">
      <w:pPr>
        <w:spacing w:line="360" w:lineRule="auto"/>
        <w:jc w:val="both"/>
      </w:pPr>
      <w:r>
        <w:t>Les articles de société sont les seuls qui s’élo</w:t>
      </w:r>
      <w:r w:rsidR="00146BE6">
        <w:t xml:space="preserve">ignent des faits (en grisé dans le tableau 1). </w:t>
      </w:r>
      <w:r w:rsidR="004A7032">
        <w:t xml:space="preserve">Un tiers d’entre eux présentent des mesures prises par les politiques ou des actions menées par des associations. Ces textes souvent rappellent des chiffres, des faits liés au phénomène mis en lumière. Les analyses plus systémiques apparaissent plus régulièrement dans le corpus raisonné. Les faits de violence sont alors interprétés dans le contexte d’une société discriminante : le marché de l’emploi n’est pas égalitaire, les normes </w:t>
      </w:r>
      <w:proofErr w:type="spellStart"/>
      <w:r w:rsidR="004A7032">
        <w:t>genrées</w:t>
      </w:r>
      <w:proofErr w:type="spellEnd"/>
      <w:r w:rsidR="004A7032">
        <w:t xml:space="preserve"> et patriarcale</w:t>
      </w:r>
      <w:r w:rsidR="00146BE6">
        <w:t>s</w:t>
      </w:r>
      <w:r w:rsidR="004A7032">
        <w:t xml:space="preserve"> pèsent sur les individus, les femmes sont l’objet de violences parce qu’elles sont des femmes, etc. </w:t>
      </w:r>
    </w:p>
    <w:p w:rsidR="00146BE6" w:rsidRDefault="00146BE6" w:rsidP="002C0C36">
      <w:pPr>
        <w:spacing w:line="360" w:lineRule="auto"/>
        <w:jc w:val="both"/>
      </w:pPr>
    </w:p>
    <w:p w:rsidR="00D74F73" w:rsidRPr="000E40A1" w:rsidRDefault="00D74F73" w:rsidP="008515ED">
      <w:pPr>
        <w:pStyle w:val="Sarahtableau"/>
        <w:widowControl w:val="0"/>
        <w:spacing w:before="0" w:line="360" w:lineRule="auto"/>
        <w:rPr>
          <w:rFonts w:ascii="Times New Roman" w:hAnsi="Times New Roman"/>
        </w:rPr>
      </w:pPr>
      <w:bookmarkStart w:id="0" w:name="_Toc507441912"/>
      <w:r w:rsidRPr="000E40A1">
        <w:rPr>
          <w:rFonts w:ascii="Times New Roman" w:hAnsi="Times New Roman"/>
        </w:rPr>
        <w:t xml:space="preserve">Tableau </w:t>
      </w:r>
      <w:r w:rsidR="0056729B" w:rsidRPr="000E40A1">
        <w:rPr>
          <w:rFonts w:ascii="Times New Roman" w:hAnsi="Times New Roman"/>
        </w:rPr>
        <w:t>1</w:t>
      </w:r>
      <w:r w:rsidRPr="000E40A1">
        <w:rPr>
          <w:rFonts w:ascii="Times New Roman" w:hAnsi="Times New Roman"/>
        </w:rPr>
        <w:t xml:space="preserve"> : </w:t>
      </w:r>
      <w:r w:rsidR="0056729B" w:rsidRPr="000E40A1">
        <w:rPr>
          <w:rFonts w:ascii="Times New Roman" w:hAnsi="Times New Roman"/>
        </w:rPr>
        <w:t>M</w:t>
      </w:r>
      <w:r w:rsidRPr="000E40A1">
        <w:rPr>
          <w:rFonts w:ascii="Times New Roman" w:hAnsi="Times New Roman"/>
        </w:rPr>
        <w:t>ises en perspective</w:t>
      </w:r>
      <w:bookmarkEnd w:id="0"/>
      <w:r w:rsidR="0056729B" w:rsidRPr="000E40A1">
        <w:rPr>
          <w:rFonts w:ascii="Times New Roman" w:hAnsi="Times New Roman"/>
        </w:rPr>
        <w:t xml:space="preserve"> dans les articles</w:t>
      </w:r>
    </w:p>
    <w:tbl>
      <w:tblPr>
        <w:tblStyle w:val="Grilledutableau"/>
        <w:tblW w:w="0" w:type="auto"/>
        <w:tblLook w:val="04A0" w:firstRow="1" w:lastRow="0" w:firstColumn="1" w:lastColumn="0" w:noHBand="0" w:noVBand="1"/>
      </w:tblPr>
      <w:tblGrid>
        <w:gridCol w:w="6232"/>
        <w:gridCol w:w="1418"/>
        <w:gridCol w:w="1406"/>
      </w:tblGrid>
      <w:tr w:rsidR="0056729B" w:rsidRPr="000E40A1" w:rsidTr="000E40A1">
        <w:tc>
          <w:tcPr>
            <w:tcW w:w="6232" w:type="dxa"/>
          </w:tcPr>
          <w:p w:rsidR="00D74F73" w:rsidRPr="000E40A1" w:rsidRDefault="00D74F73" w:rsidP="008515ED">
            <w:pPr>
              <w:widowControl w:val="0"/>
              <w:spacing w:line="360" w:lineRule="auto"/>
              <w:rPr>
                <w:b/>
                <w:sz w:val="22"/>
                <w:szCs w:val="22"/>
              </w:rPr>
            </w:pPr>
            <w:r w:rsidRPr="000E40A1">
              <w:rPr>
                <w:b/>
                <w:sz w:val="22"/>
                <w:szCs w:val="22"/>
              </w:rPr>
              <w:t>Type de mise en perspective</w:t>
            </w:r>
          </w:p>
        </w:tc>
        <w:tc>
          <w:tcPr>
            <w:tcW w:w="1418" w:type="dxa"/>
          </w:tcPr>
          <w:p w:rsidR="00D74F73" w:rsidRPr="000E40A1" w:rsidRDefault="0081042A" w:rsidP="008515ED">
            <w:pPr>
              <w:widowControl w:val="0"/>
              <w:spacing w:line="360" w:lineRule="auto"/>
              <w:rPr>
                <w:b/>
                <w:sz w:val="22"/>
                <w:szCs w:val="22"/>
              </w:rPr>
            </w:pPr>
            <w:r w:rsidRPr="000E40A1">
              <w:rPr>
                <w:b/>
                <w:sz w:val="22"/>
                <w:szCs w:val="22"/>
              </w:rPr>
              <w:t>C. aléatoire</w:t>
            </w:r>
          </w:p>
        </w:tc>
        <w:tc>
          <w:tcPr>
            <w:tcW w:w="1406" w:type="dxa"/>
          </w:tcPr>
          <w:p w:rsidR="00D74F73" w:rsidRPr="000E40A1" w:rsidRDefault="0081042A" w:rsidP="008515ED">
            <w:pPr>
              <w:widowControl w:val="0"/>
              <w:spacing w:line="360" w:lineRule="auto"/>
              <w:rPr>
                <w:b/>
                <w:sz w:val="22"/>
                <w:szCs w:val="22"/>
              </w:rPr>
            </w:pPr>
            <w:r w:rsidRPr="000E40A1">
              <w:rPr>
                <w:b/>
                <w:sz w:val="22"/>
                <w:szCs w:val="22"/>
              </w:rPr>
              <w:t>C. raisonné</w:t>
            </w:r>
          </w:p>
        </w:tc>
      </w:tr>
      <w:tr w:rsidR="0056729B" w:rsidRPr="000E40A1" w:rsidTr="000E40A1">
        <w:tc>
          <w:tcPr>
            <w:tcW w:w="6232" w:type="dxa"/>
          </w:tcPr>
          <w:p w:rsidR="00D74F73" w:rsidRPr="000E40A1" w:rsidRDefault="00D74F73" w:rsidP="008515ED">
            <w:pPr>
              <w:widowControl w:val="0"/>
              <w:rPr>
                <w:b/>
                <w:sz w:val="22"/>
                <w:szCs w:val="22"/>
              </w:rPr>
            </w:pPr>
            <w:r w:rsidRPr="000E40A1">
              <w:rPr>
                <w:b/>
                <w:sz w:val="22"/>
                <w:szCs w:val="22"/>
              </w:rPr>
              <w:t>Faits non contextualisés</w:t>
            </w:r>
            <w:r w:rsidR="0081042A" w:rsidRPr="000E40A1">
              <w:rPr>
                <w:b/>
                <w:sz w:val="22"/>
                <w:szCs w:val="22"/>
              </w:rPr>
              <w:t xml:space="preserve"> (tous des faits ponctuels)</w:t>
            </w:r>
          </w:p>
        </w:tc>
        <w:tc>
          <w:tcPr>
            <w:tcW w:w="1418" w:type="dxa"/>
          </w:tcPr>
          <w:p w:rsidR="00D74F73" w:rsidRPr="000E40A1" w:rsidRDefault="00D74F73" w:rsidP="008515ED">
            <w:pPr>
              <w:widowControl w:val="0"/>
              <w:rPr>
                <w:b/>
                <w:sz w:val="22"/>
                <w:szCs w:val="22"/>
              </w:rPr>
            </w:pPr>
            <w:r w:rsidRPr="000E40A1">
              <w:rPr>
                <w:b/>
                <w:sz w:val="22"/>
                <w:szCs w:val="22"/>
              </w:rPr>
              <w:t>45</w:t>
            </w:r>
          </w:p>
        </w:tc>
        <w:tc>
          <w:tcPr>
            <w:tcW w:w="1406" w:type="dxa"/>
          </w:tcPr>
          <w:p w:rsidR="00D74F73" w:rsidRPr="000E40A1" w:rsidRDefault="0081042A" w:rsidP="008515ED">
            <w:pPr>
              <w:widowControl w:val="0"/>
              <w:rPr>
                <w:b/>
                <w:sz w:val="22"/>
                <w:szCs w:val="22"/>
              </w:rPr>
            </w:pPr>
            <w:r w:rsidRPr="000E40A1">
              <w:rPr>
                <w:b/>
                <w:sz w:val="22"/>
                <w:szCs w:val="22"/>
              </w:rPr>
              <w:t>41</w:t>
            </w:r>
          </w:p>
        </w:tc>
      </w:tr>
      <w:tr w:rsidR="002F2049" w:rsidRPr="000E40A1" w:rsidTr="000E40A1">
        <w:tc>
          <w:tcPr>
            <w:tcW w:w="6232" w:type="dxa"/>
          </w:tcPr>
          <w:p w:rsidR="002F2049" w:rsidRPr="000E40A1" w:rsidRDefault="002F2049" w:rsidP="008515ED">
            <w:pPr>
              <w:widowControl w:val="0"/>
              <w:ind w:left="567"/>
              <w:rPr>
                <w:sz w:val="20"/>
                <w:szCs w:val="20"/>
              </w:rPr>
            </w:pPr>
            <w:r w:rsidRPr="000E40A1">
              <w:rPr>
                <w:sz w:val="20"/>
                <w:szCs w:val="20"/>
              </w:rPr>
              <w:t>Pas de faits de violence directe</w:t>
            </w:r>
          </w:p>
        </w:tc>
        <w:tc>
          <w:tcPr>
            <w:tcW w:w="1418" w:type="dxa"/>
          </w:tcPr>
          <w:p w:rsidR="002F2049" w:rsidRPr="000E40A1" w:rsidRDefault="002F2049" w:rsidP="008515ED">
            <w:pPr>
              <w:widowControl w:val="0"/>
              <w:jc w:val="right"/>
              <w:rPr>
                <w:sz w:val="20"/>
                <w:szCs w:val="20"/>
              </w:rPr>
            </w:pPr>
            <w:r w:rsidRPr="000E40A1">
              <w:rPr>
                <w:sz w:val="20"/>
                <w:szCs w:val="20"/>
              </w:rPr>
              <w:t>-</w:t>
            </w:r>
          </w:p>
        </w:tc>
        <w:tc>
          <w:tcPr>
            <w:tcW w:w="1406" w:type="dxa"/>
          </w:tcPr>
          <w:p w:rsidR="002F2049" w:rsidRPr="000E40A1" w:rsidRDefault="002F2049" w:rsidP="008515ED">
            <w:pPr>
              <w:widowControl w:val="0"/>
              <w:jc w:val="right"/>
              <w:rPr>
                <w:sz w:val="20"/>
                <w:szCs w:val="20"/>
              </w:rPr>
            </w:pPr>
            <w:r w:rsidRPr="000E40A1">
              <w:rPr>
                <w:sz w:val="20"/>
                <w:szCs w:val="20"/>
              </w:rPr>
              <w:t>6</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lastRenderedPageBreak/>
              <w:t>Les faits restent énigmatiques</w:t>
            </w:r>
          </w:p>
        </w:tc>
        <w:tc>
          <w:tcPr>
            <w:tcW w:w="1418" w:type="dxa"/>
          </w:tcPr>
          <w:p w:rsidR="00D74F73" w:rsidRPr="000E40A1" w:rsidRDefault="00D74F73" w:rsidP="008515ED">
            <w:pPr>
              <w:widowControl w:val="0"/>
              <w:jc w:val="right"/>
              <w:rPr>
                <w:sz w:val="20"/>
                <w:szCs w:val="20"/>
              </w:rPr>
            </w:pPr>
            <w:r w:rsidRPr="000E40A1">
              <w:rPr>
                <w:sz w:val="20"/>
                <w:szCs w:val="20"/>
              </w:rPr>
              <w:t>2</w:t>
            </w:r>
          </w:p>
        </w:tc>
        <w:tc>
          <w:tcPr>
            <w:tcW w:w="1406" w:type="dxa"/>
          </w:tcPr>
          <w:p w:rsidR="00D74F73" w:rsidRPr="000E40A1" w:rsidRDefault="002F2049" w:rsidP="008515ED">
            <w:pPr>
              <w:widowControl w:val="0"/>
              <w:jc w:val="right"/>
              <w:rPr>
                <w:sz w:val="20"/>
                <w:szCs w:val="20"/>
              </w:rPr>
            </w:pPr>
            <w:r w:rsidRPr="000E40A1">
              <w:rPr>
                <w:sz w:val="20"/>
                <w:szCs w:val="20"/>
              </w:rPr>
              <w:t>-</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Les faits sont uniquement énoncés</w:t>
            </w:r>
          </w:p>
        </w:tc>
        <w:tc>
          <w:tcPr>
            <w:tcW w:w="1418" w:type="dxa"/>
          </w:tcPr>
          <w:p w:rsidR="00D74F73" w:rsidRPr="000E40A1" w:rsidRDefault="00D74F73" w:rsidP="008515ED">
            <w:pPr>
              <w:widowControl w:val="0"/>
              <w:jc w:val="right"/>
              <w:rPr>
                <w:sz w:val="20"/>
                <w:szCs w:val="20"/>
              </w:rPr>
            </w:pPr>
            <w:r w:rsidRPr="000E40A1">
              <w:rPr>
                <w:sz w:val="20"/>
                <w:szCs w:val="20"/>
              </w:rPr>
              <w:t>44</w:t>
            </w:r>
          </w:p>
        </w:tc>
        <w:tc>
          <w:tcPr>
            <w:tcW w:w="1406" w:type="dxa"/>
          </w:tcPr>
          <w:p w:rsidR="00D74F73" w:rsidRPr="000E40A1" w:rsidRDefault="002F2049" w:rsidP="008515ED">
            <w:pPr>
              <w:widowControl w:val="0"/>
              <w:jc w:val="right"/>
              <w:rPr>
                <w:sz w:val="20"/>
                <w:szCs w:val="20"/>
              </w:rPr>
            </w:pPr>
            <w:r w:rsidRPr="000E40A1">
              <w:rPr>
                <w:sz w:val="20"/>
                <w:szCs w:val="20"/>
              </w:rPr>
              <w:t>35</w:t>
            </w:r>
          </w:p>
        </w:tc>
      </w:tr>
      <w:tr w:rsidR="0056729B" w:rsidRPr="000E40A1" w:rsidTr="000E40A1">
        <w:tc>
          <w:tcPr>
            <w:tcW w:w="6232" w:type="dxa"/>
          </w:tcPr>
          <w:p w:rsidR="00D74F73" w:rsidRPr="000E40A1" w:rsidRDefault="00D74F73" w:rsidP="008515ED">
            <w:pPr>
              <w:widowControl w:val="0"/>
              <w:rPr>
                <w:b/>
                <w:sz w:val="22"/>
                <w:szCs w:val="22"/>
              </w:rPr>
            </w:pPr>
            <w:r w:rsidRPr="000E40A1">
              <w:rPr>
                <w:b/>
                <w:sz w:val="22"/>
                <w:szCs w:val="22"/>
              </w:rPr>
              <w:t>Prise de parti</w:t>
            </w:r>
            <w:r w:rsidR="002F2049" w:rsidRPr="000E40A1">
              <w:rPr>
                <w:b/>
                <w:sz w:val="22"/>
                <w:szCs w:val="22"/>
              </w:rPr>
              <w:t xml:space="preserve"> (tous des faits ponctuels)</w:t>
            </w:r>
          </w:p>
        </w:tc>
        <w:tc>
          <w:tcPr>
            <w:tcW w:w="1418" w:type="dxa"/>
          </w:tcPr>
          <w:p w:rsidR="00D74F73" w:rsidRPr="000E40A1" w:rsidRDefault="00D74F73" w:rsidP="008515ED">
            <w:pPr>
              <w:widowControl w:val="0"/>
              <w:rPr>
                <w:b/>
                <w:sz w:val="22"/>
                <w:szCs w:val="22"/>
              </w:rPr>
            </w:pPr>
            <w:r w:rsidRPr="000E40A1">
              <w:rPr>
                <w:b/>
                <w:sz w:val="22"/>
                <w:szCs w:val="22"/>
              </w:rPr>
              <w:t>11</w:t>
            </w:r>
          </w:p>
        </w:tc>
        <w:tc>
          <w:tcPr>
            <w:tcW w:w="1406" w:type="dxa"/>
          </w:tcPr>
          <w:p w:rsidR="00D74F73" w:rsidRPr="000E40A1" w:rsidRDefault="002F2049" w:rsidP="008515ED">
            <w:pPr>
              <w:widowControl w:val="0"/>
              <w:rPr>
                <w:b/>
                <w:sz w:val="22"/>
                <w:szCs w:val="22"/>
              </w:rPr>
            </w:pPr>
            <w:r w:rsidRPr="000E40A1">
              <w:rPr>
                <w:b/>
                <w:sz w:val="22"/>
                <w:szCs w:val="22"/>
              </w:rPr>
              <w:t>19</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Les faits sont présentés en privilégiant l’avis de la victime</w:t>
            </w:r>
          </w:p>
        </w:tc>
        <w:tc>
          <w:tcPr>
            <w:tcW w:w="1418" w:type="dxa"/>
          </w:tcPr>
          <w:p w:rsidR="00D74F73" w:rsidRPr="000E40A1" w:rsidRDefault="00D74F73" w:rsidP="008515ED">
            <w:pPr>
              <w:widowControl w:val="0"/>
              <w:jc w:val="right"/>
              <w:rPr>
                <w:sz w:val="20"/>
                <w:szCs w:val="20"/>
              </w:rPr>
            </w:pPr>
            <w:r w:rsidRPr="000E40A1">
              <w:rPr>
                <w:sz w:val="20"/>
                <w:szCs w:val="20"/>
              </w:rPr>
              <w:t>1</w:t>
            </w:r>
          </w:p>
        </w:tc>
        <w:tc>
          <w:tcPr>
            <w:tcW w:w="1406" w:type="dxa"/>
          </w:tcPr>
          <w:p w:rsidR="00D74F73" w:rsidRPr="000E40A1" w:rsidRDefault="002F2049" w:rsidP="008515ED">
            <w:pPr>
              <w:widowControl w:val="0"/>
              <w:jc w:val="right"/>
              <w:rPr>
                <w:sz w:val="20"/>
                <w:szCs w:val="20"/>
              </w:rPr>
            </w:pPr>
            <w:r w:rsidRPr="000E40A1">
              <w:rPr>
                <w:sz w:val="20"/>
                <w:szCs w:val="20"/>
              </w:rPr>
              <w:t>9</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Les faits sont présentés en privilégiant l’avis de l’auteur</w:t>
            </w:r>
          </w:p>
        </w:tc>
        <w:tc>
          <w:tcPr>
            <w:tcW w:w="1418" w:type="dxa"/>
          </w:tcPr>
          <w:p w:rsidR="00D74F73" w:rsidRPr="000E40A1" w:rsidRDefault="00D74F73" w:rsidP="008515ED">
            <w:pPr>
              <w:widowControl w:val="0"/>
              <w:jc w:val="right"/>
              <w:rPr>
                <w:sz w:val="20"/>
                <w:szCs w:val="20"/>
              </w:rPr>
            </w:pPr>
            <w:r w:rsidRPr="000E40A1">
              <w:rPr>
                <w:sz w:val="20"/>
                <w:szCs w:val="20"/>
              </w:rPr>
              <w:t>6</w:t>
            </w:r>
          </w:p>
        </w:tc>
        <w:tc>
          <w:tcPr>
            <w:tcW w:w="1406" w:type="dxa"/>
          </w:tcPr>
          <w:p w:rsidR="00D74F73" w:rsidRPr="000E40A1" w:rsidRDefault="00D74F73" w:rsidP="008515ED">
            <w:pPr>
              <w:widowControl w:val="0"/>
              <w:jc w:val="right"/>
              <w:rPr>
                <w:sz w:val="20"/>
                <w:szCs w:val="20"/>
              </w:rPr>
            </w:pPr>
          </w:p>
        </w:tc>
      </w:tr>
      <w:tr w:rsidR="002F2049" w:rsidRPr="000E40A1" w:rsidTr="000E40A1">
        <w:tc>
          <w:tcPr>
            <w:tcW w:w="6232" w:type="dxa"/>
          </w:tcPr>
          <w:p w:rsidR="002F2049" w:rsidRPr="000E40A1" w:rsidRDefault="002F2049" w:rsidP="008515ED">
            <w:pPr>
              <w:widowControl w:val="0"/>
              <w:ind w:left="567"/>
              <w:rPr>
                <w:sz w:val="20"/>
                <w:szCs w:val="20"/>
              </w:rPr>
            </w:pPr>
            <w:r w:rsidRPr="000E40A1">
              <w:rPr>
                <w:sz w:val="20"/>
                <w:szCs w:val="20"/>
              </w:rPr>
              <w:t>Victime et auteur dos à dos</w:t>
            </w:r>
          </w:p>
        </w:tc>
        <w:tc>
          <w:tcPr>
            <w:tcW w:w="1418" w:type="dxa"/>
          </w:tcPr>
          <w:p w:rsidR="002F2049" w:rsidRPr="000E40A1" w:rsidRDefault="002F2049" w:rsidP="008515ED">
            <w:pPr>
              <w:widowControl w:val="0"/>
              <w:ind w:left="567"/>
              <w:jc w:val="right"/>
              <w:rPr>
                <w:sz w:val="20"/>
                <w:szCs w:val="20"/>
              </w:rPr>
            </w:pPr>
            <w:r w:rsidRPr="000E40A1">
              <w:rPr>
                <w:sz w:val="20"/>
                <w:szCs w:val="20"/>
              </w:rPr>
              <w:t>-</w:t>
            </w:r>
          </w:p>
        </w:tc>
        <w:tc>
          <w:tcPr>
            <w:tcW w:w="1406" w:type="dxa"/>
          </w:tcPr>
          <w:p w:rsidR="002F2049" w:rsidRPr="000E40A1" w:rsidRDefault="002F2049" w:rsidP="008515ED">
            <w:pPr>
              <w:widowControl w:val="0"/>
              <w:ind w:left="567"/>
              <w:jc w:val="right"/>
              <w:rPr>
                <w:sz w:val="20"/>
                <w:szCs w:val="20"/>
              </w:rPr>
            </w:pPr>
            <w:r w:rsidRPr="000E40A1">
              <w:rPr>
                <w:sz w:val="20"/>
                <w:szCs w:val="20"/>
              </w:rPr>
              <w:t>1</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Des éléments sont apportés pour comprendre l’auteur</w:t>
            </w:r>
          </w:p>
        </w:tc>
        <w:tc>
          <w:tcPr>
            <w:tcW w:w="1418" w:type="dxa"/>
          </w:tcPr>
          <w:p w:rsidR="00D74F73" w:rsidRPr="000E40A1" w:rsidRDefault="00D74F73" w:rsidP="008515ED">
            <w:pPr>
              <w:widowControl w:val="0"/>
              <w:jc w:val="right"/>
              <w:rPr>
                <w:sz w:val="20"/>
                <w:szCs w:val="20"/>
              </w:rPr>
            </w:pPr>
            <w:r w:rsidRPr="000E40A1">
              <w:rPr>
                <w:sz w:val="20"/>
                <w:szCs w:val="20"/>
              </w:rPr>
              <w:t>5</w:t>
            </w:r>
          </w:p>
        </w:tc>
        <w:tc>
          <w:tcPr>
            <w:tcW w:w="1406" w:type="dxa"/>
          </w:tcPr>
          <w:p w:rsidR="00D74F73" w:rsidRPr="000E40A1" w:rsidRDefault="002F2049" w:rsidP="008515ED">
            <w:pPr>
              <w:widowControl w:val="0"/>
              <w:jc w:val="right"/>
              <w:rPr>
                <w:sz w:val="20"/>
                <w:szCs w:val="20"/>
              </w:rPr>
            </w:pPr>
            <w:r w:rsidRPr="000E40A1">
              <w:rPr>
                <w:sz w:val="20"/>
                <w:szCs w:val="20"/>
              </w:rPr>
              <w:t>5</w:t>
            </w:r>
          </w:p>
        </w:tc>
      </w:tr>
      <w:tr w:rsidR="002F2049" w:rsidRPr="000E40A1" w:rsidTr="000E40A1">
        <w:tc>
          <w:tcPr>
            <w:tcW w:w="6232" w:type="dxa"/>
          </w:tcPr>
          <w:p w:rsidR="002F2049" w:rsidRPr="000E40A1" w:rsidRDefault="002F2049" w:rsidP="008515ED">
            <w:pPr>
              <w:widowControl w:val="0"/>
              <w:ind w:left="567"/>
              <w:rPr>
                <w:sz w:val="20"/>
                <w:szCs w:val="20"/>
              </w:rPr>
            </w:pPr>
            <w:r w:rsidRPr="000E40A1">
              <w:rPr>
                <w:sz w:val="20"/>
                <w:szCs w:val="20"/>
              </w:rPr>
              <w:t>Parti pris contre l’auteur</w:t>
            </w:r>
          </w:p>
        </w:tc>
        <w:tc>
          <w:tcPr>
            <w:tcW w:w="1418" w:type="dxa"/>
          </w:tcPr>
          <w:p w:rsidR="002F2049" w:rsidRPr="000E40A1" w:rsidRDefault="002F2049" w:rsidP="008515ED">
            <w:pPr>
              <w:widowControl w:val="0"/>
              <w:ind w:left="567"/>
              <w:jc w:val="right"/>
              <w:rPr>
                <w:sz w:val="20"/>
                <w:szCs w:val="20"/>
              </w:rPr>
            </w:pPr>
          </w:p>
        </w:tc>
        <w:tc>
          <w:tcPr>
            <w:tcW w:w="1406" w:type="dxa"/>
          </w:tcPr>
          <w:p w:rsidR="002F2049" w:rsidRPr="000E40A1" w:rsidRDefault="002F2049" w:rsidP="008515ED">
            <w:pPr>
              <w:widowControl w:val="0"/>
              <w:ind w:left="567"/>
              <w:jc w:val="right"/>
              <w:rPr>
                <w:sz w:val="20"/>
                <w:szCs w:val="20"/>
              </w:rPr>
            </w:pPr>
            <w:r w:rsidRPr="000E40A1">
              <w:rPr>
                <w:sz w:val="20"/>
                <w:szCs w:val="20"/>
              </w:rPr>
              <w:t>4</w:t>
            </w:r>
          </w:p>
        </w:tc>
      </w:tr>
      <w:tr w:rsidR="0056729B" w:rsidRPr="000E40A1" w:rsidTr="000E40A1">
        <w:tc>
          <w:tcPr>
            <w:tcW w:w="6232" w:type="dxa"/>
          </w:tcPr>
          <w:p w:rsidR="00D74F73" w:rsidRPr="000E40A1" w:rsidRDefault="00D74F73" w:rsidP="008515ED">
            <w:pPr>
              <w:widowControl w:val="0"/>
              <w:rPr>
                <w:b/>
                <w:sz w:val="22"/>
                <w:szCs w:val="22"/>
              </w:rPr>
            </w:pPr>
            <w:r w:rsidRPr="000E40A1">
              <w:rPr>
                <w:b/>
                <w:sz w:val="22"/>
                <w:szCs w:val="22"/>
              </w:rPr>
              <w:t>Analyse ponctuelle</w:t>
            </w:r>
            <w:r w:rsidR="002F2049" w:rsidRPr="000E40A1">
              <w:rPr>
                <w:b/>
                <w:sz w:val="22"/>
                <w:szCs w:val="22"/>
              </w:rPr>
              <w:t xml:space="preserve"> (tous des faits ponctuels)</w:t>
            </w:r>
          </w:p>
        </w:tc>
        <w:tc>
          <w:tcPr>
            <w:tcW w:w="1418" w:type="dxa"/>
          </w:tcPr>
          <w:p w:rsidR="00D74F73" w:rsidRPr="000E40A1" w:rsidRDefault="00D74F73" w:rsidP="008515ED">
            <w:pPr>
              <w:widowControl w:val="0"/>
              <w:rPr>
                <w:b/>
                <w:sz w:val="22"/>
                <w:szCs w:val="22"/>
              </w:rPr>
            </w:pPr>
            <w:r w:rsidRPr="000E40A1">
              <w:rPr>
                <w:b/>
                <w:sz w:val="22"/>
                <w:szCs w:val="22"/>
              </w:rPr>
              <w:t>10</w:t>
            </w:r>
          </w:p>
        </w:tc>
        <w:tc>
          <w:tcPr>
            <w:tcW w:w="1406" w:type="dxa"/>
          </w:tcPr>
          <w:p w:rsidR="00D74F73" w:rsidRPr="000E40A1" w:rsidRDefault="002F2049" w:rsidP="008515ED">
            <w:pPr>
              <w:widowControl w:val="0"/>
              <w:rPr>
                <w:b/>
                <w:sz w:val="22"/>
                <w:szCs w:val="22"/>
              </w:rPr>
            </w:pPr>
            <w:r w:rsidRPr="000E40A1">
              <w:rPr>
                <w:b/>
                <w:sz w:val="22"/>
                <w:szCs w:val="22"/>
              </w:rPr>
              <w:t>5</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Analyse de la situation particulière</w:t>
            </w:r>
          </w:p>
        </w:tc>
        <w:tc>
          <w:tcPr>
            <w:tcW w:w="1418" w:type="dxa"/>
          </w:tcPr>
          <w:p w:rsidR="00D74F73" w:rsidRPr="000E40A1" w:rsidRDefault="00D74F73" w:rsidP="008515ED">
            <w:pPr>
              <w:widowControl w:val="0"/>
              <w:jc w:val="right"/>
              <w:rPr>
                <w:sz w:val="20"/>
                <w:szCs w:val="20"/>
              </w:rPr>
            </w:pPr>
            <w:r w:rsidRPr="000E40A1">
              <w:rPr>
                <w:sz w:val="20"/>
                <w:szCs w:val="20"/>
              </w:rPr>
              <w:t>2</w:t>
            </w:r>
          </w:p>
        </w:tc>
        <w:tc>
          <w:tcPr>
            <w:tcW w:w="1406" w:type="dxa"/>
          </w:tcPr>
          <w:p w:rsidR="00D74F73" w:rsidRPr="000E40A1" w:rsidRDefault="002F2049" w:rsidP="008515ED">
            <w:pPr>
              <w:widowControl w:val="0"/>
              <w:jc w:val="right"/>
              <w:rPr>
                <w:sz w:val="20"/>
                <w:szCs w:val="20"/>
              </w:rPr>
            </w:pPr>
            <w:r w:rsidRPr="000E40A1">
              <w:rPr>
                <w:sz w:val="20"/>
                <w:szCs w:val="20"/>
              </w:rPr>
              <w:t>2</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L’article apporte une explication à une échelle individuelle</w:t>
            </w:r>
          </w:p>
        </w:tc>
        <w:tc>
          <w:tcPr>
            <w:tcW w:w="1418" w:type="dxa"/>
          </w:tcPr>
          <w:p w:rsidR="00D74F73" w:rsidRPr="000E40A1" w:rsidRDefault="00D74F73" w:rsidP="008515ED">
            <w:pPr>
              <w:widowControl w:val="0"/>
              <w:jc w:val="right"/>
              <w:rPr>
                <w:sz w:val="20"/>
                <w:szCs w:val="20"/>
              </w:rPr>
            </w:pPr>
            <w:r w:rsidRPr="000E40A1">
              <w:rPr>
                <w:sz w:val="20"/>
                <w:szCs w:val="20"/>
              </w:rPr>
              <w:t>8</w:t>
            </w:r>
          </w:p>
        </w:tc>
        <w:tc>
          <w:tcPr>
            <w:tcW w:w="1406" w:type="dxa"/>
          </w:tcPr>
          <w:p w:rsidR="00D74F73" w:rsidRPr="000E40A1" w:rsidRDefault="002F2049" w:rsidP="008515ED">
            <w:pPr>
              <w:widowControl w:val="0"/>
              <w:jc w:val="right"/>
              <w:rPr>
                <w:sz w:val="20"/>
                <w:szCs w:val="20"/>
              </w:rPr>
            </w:pPr>
            <w:r w:rsidRPr="000E40A1">
              <w:rPr>
                <w:sz w:val="20"/>
                <w:szCs w:val="20"/>
              </w:rPr>
              <w:t>3</w:t>
            </w:r>
          </w:p>
        </w:tc>
      </w:tr>
      <w:tr w:rsidR="0056729B" w:rsidRPr="000E40A1" w:rsidTr="000E40A1">
        <w:tc>
          <w:tcPr>
            <w:tcW w:w="6232" w:type="dxa"/>
          </w:tcPr>
          <w:p w:rsidR="00D74F73" w:rsidRPr="000E40A1" w:rsidRDefault="00D74F73" w:rsidP="008515ED">
            <w:pPr>
              <w:widowControl w:val="0"/>
              <w:rPr>
                <w:b/>
                <w:sz w:val="22"/>
                <w:szCs w:val="22"/>
              </w:rPr>
            </w:pPr>
            <w:r w:rsidRPr="000E40A1">
              <w:rPr>
                <w:b/>
                <w:sz w:val="22"/>
                <w:szCs w:val="22"/>
              </w:rPr>
              <w:t>Analyse plus globale</w:t>
            </w:r>
          </w:p>
        </w:tc>
        <w:tc>
          <w:tcPr>
            <w:tcW w:w="1418" w:type="dxa"/>
          </w:tcPr>
          <w:p w:rsidR="00D74F73" w:rsidRPr="000E40A1" w:rsidRDefault="00D74F73" w:rsidP="008515ED">
            <w:pPr>
              <w:widowControl w:val="0"/>
              <w:rPr>
                <w:b/>
                <w:sz w:val="22"/>
                <w:szCs w:val="22"/>
              </w:rPr>
            </w:pPr>
            <w:r w:rsidRPr="000E40A1">
              <w:rPr>
                <w:b/>
                <w:sz w:val="22"/>
                <w:szCs w:val="22"/>
              </w:rPr>
              <w:t>11</w:t>
            </w:r>
          </w:p>
        </w:tc>
        <w:tc>
          <w:tcPr>
            <w:tcW w:w="1406" w:type="dxa"/>
          </w:tcPr>
          <w:p w:rsidR="00D74F73" w:rsidRPr="000E40A1" w:rsidRDefault="002F2049" w:rsidP="008515ED">
            <w:pPr>
              <w:widowControl w:val="0"/>
              <w:rPr>
                <w:b/>
                <w:sz w:val="22"/>
                <w:szCs w:val="22"/>
              </w:rPr>
            </w:pPr>
            <w:r w:rsidRPr="000E40A1">
              <w:rPr>
                <w:b/>
                <w:sz w:val="22"/>
                <w:szCs w:val="22"/>
              </w:rPr>
              <w:t>42</w:t>
            </w:r>
          </w:p>
        </w:tc>
      </w:tr>
      <w:tr w:rsidR="0056729B" w:rsidRPr="000E40A1" w:rsidTr="000E40A1">
        <w:tc>
          <w:tcPr>
            <w:tcW w:w="6232" w:type="dxa"/>
          </w:tcPr>
          <w:p w:rsidR="00D74F73" w:rsidRPr="000E40A1" w:rsidRDefault="00D74F73" w:rsidP="008515ED">
            <w:pPr>
              <w:widowControl w:val="0"/>
              <w:ind w:left="567"/>
              <w:rPr>
                <w:sz w:val="20"/>
                <w:szCs w:val="20"/>
              </w:rPr>
            </w:pPr>
            <w:r w:rsidRPr="000E40A1">
              <w:rPr>
                <w:sz w:val="20"/>
                <w:szCs w:val="20"/>
              </w:rPr>
              <w:t>Les faits sont mis en perspective avec d’autres affaires</w:t>
            </w:r>
            <w:r w:rsidR="002F2049" w:rsidRPr="000E40A1">
              <w:rPr>
                <w:sz w:val="20"/>
                <w:szCs w:val="20"/>
              </w:rPr>
              <w:t xml:space="preserve"> </w:t>
            </w:r>
            <w:r w:rsidR="002F2049" w:rsidRPr="000E40A1">
              <w:rPr>
                <w:b/>
                <w:sz w:val="20"/>
                <w:szCs w:val="20"/>
              </w:rPr>
              <w:t>(faits ponctuels)</w:t>
            </w:r>
          </w:p>
        </w:tc>
        <w:tc>
          <w:tcPr>
            <w:tcW w:w="1418" w:type="dxa"/>
          </w:tcPr>
          <w:p w:rsidR="00D74F73" w:rsidRPr="000E40A1" w:rsidRDefault="00D74F73" w:rsidP="008515ED">
            <w:pPr>
              <w:widowControl w:val="0"/>
              <w:jc w:val="right"/>
              <w:rPr>
                <w:sz w:val="20"/>
                <w:szCs w:val="20"/>
              </w:rPr>
            </w:pPr>
            <w:r w:rsidRPr="000E40A1">
              <w:rPr>
                <w:sz w:val="20"/>
                <w:szCs w:val="20"/>
              </w:rPr>
              <w:t>1</w:t>
            </w:r>
          </w:p>
        </w:tc>
        <w:tc>
          <w:tcPr>
            <w:tcW w:w="1406" w:type="dxa"/>
          </w:tcPr>
          <w:p w:rsidR="00D74F73" w:rsidRPr="000E40A1" w:rsidRDefault="002F2049" w:rsidP="008515ED">
            <w:pPr>
              <w:widowControl w:val="0"/>
              <w:jc w:val="right"/>
              <w:rPr>
                <w:sz w:val="20"/>
                <w:szCs w:val="20"/>
              </w:rPr>
            </w:pPr>
            <w:r w:rsidRPr="000E40A1">
              <w:rPr>
                <w:sz w:val="20"/>
                <w:szCs w:val="20"/>
              </w:rPr>
              <w:t>1</w:t>
            </w:r>
          </w:p>
        </w:tc>
      </w:tr>
      <w:tr w:rsidR="002F2049" w:rsidRPr="000E40A1" w:rsidTr="000E40A1">
        <w:tc>
          <w:tcPr>
            <w:tcW w:w="6232" w:type="dxa"/>
            <w:tcBorders>
              <w:bottom w:val="single" w:sz="4" w:space="0" w:color="auto"/>
            </w:tcBorders>
            <w:shd w:val="clear" w:color="auto" w:fill="D9D9D9"/>
          </w:tcPr>
          <w:p w:rsidR="002F2049" w:rsidRPr="000E40A1" w:rsidRDefault="002F2049" w:rsidP="008515ED">
            <w:pPr>
              <w:widowControl w:val="0"/>
              <w:ind w:left="567"/>
              <w:rPr>
                <w:sz w:val="20"/>
                <w:szCs w:val="20"/>
              </w:rPr>
            </w:pPr>
            <w:r w:rsidRPr="000E40A1">
              <w:rPr>
                <w:sz w:val="20"/>
                <w:szCs w:val="20"/>
              </w:rPr>
              <w:t xml:space="preserve">Prises de mesures et actions </w:t>
            </w:r>
            <w:r w:rsidRPr="000E40A1">
              <w:rPr>
                <w:b/>
                <w:sz w:val="20"/>
                <w:szCs w:val="20"/>
              </w:rPr>
              <w:t>(événements à portée plus globale)</w:t>
            </w:r>
          </w:p>
        </w:tc>
        <w:tc>
          <w:tcPr>
            <w:tcW w:w="1418" w:type="dxa"/>
            <w:tcBorders>
              <w:bottom w:val="single" w:sz="4" w:space="0" w:color="auto"/>
            </w:tcBorders>
            <w:shd w:val="clear" w:color="auto" w:fill="D9D9D9"/>
          </w:tcPr>
          <w:p w:rsidR="002F2049" w:rsidRPr="000E40A1" w:rsidRDefault="002F2049" w:rsidP="008515ED">
            <w:pPr>
              <w:widowControl w:val="0"/>
              <w:jc w:val="right"/>
              <w:rPr>
                <w:sz w:val="20"/>
                <w:szCs w:val="20"/>
              </w:rPr>
            </w:pPr>
            <w:r w:rsidRPr="000E40A1">
              <w:rPr>
                <w:sz w:val="20"/>
                <w:szCs w:val="20"/>
              </w:rPr>
              <w:t>-</w:t>
            </w:r>
          </w:p>
        </w:tc>
        <w:tc>
          <w:tcPr>
            <w:tcW w:w="1406" w:type="dxa"/>
            <w:tcBorders>
              <w:bottom w:val="single" w:sz="4" w:space="0" w:color="auto"/>
            </w:tcBorders>
            <w:shd w:val="clear" w:color="auto" w:fill="D9D9D9"/>
          </w:tcPr>
          <w:p w:rsidR="002F2049" w:rsidRPr="000E40A1" w:rsidRDefault="002F2049" w:rsidP="008515ED">
            <w:pPr>
              <w:widowControl w:val="0"/>
              <w:jc w:val="right"/>
              <w:rPr>
                <w:sz w:val="20"/>
                <w:szCs w:val="20"/>
              </w:rPr>
            </w:pPr>
            <w:r w:rsidRPr="000E40A1">
              <w:rPr>
                <w:sz w:val="20"/>
                <w:szCs w:val="20"/>
              </w:rPr>
              <w:t>14</w:t>
            </w:r>
          </w:p>
        </w:tc>
      </w:tr>
      <w:tr w:rsidR="002F2049" w:rsidRPr="000E40A1" w:rsidTr="000E40A1">
        <w:tc>
          <w:tcPr>
            <w:tcW w:w="6232" w:type="dxa"/>
            <w:shd w:val="clear" w:color="auto" w:fill="D9D9D9" w:themeFill="background1" w:themeFillShade="D9"/>
          </w:tcPr>
          <w:p w:rsidR="00D74F73" w:rsidRPr="000E40A1" w:rsidRDefault="00D74F73" w:rsidP="008515ED">
            <w:pPr>
              <w:widowControl w:val="0"/>
              <w:ind w:left="567"/>
              <w:rPr>
                <w:sz w:val="20"/>
                <w:szCs w:val="20"/>
              </w:rPr>
            </w:pPr>
            <w:r w:rsidRPr="000E40A1">
              <w:rPr>
                <w:sz w:val="20"/>
                <w:szCs w:val="20"/>
              </w:rPr>
              <w:t>L’article apporte une explication systémique</w:t>
            </w:r>
            <w:r w:rsidR="0056729B" w:rsidRPr="000E40A1">
              <w:rPr>
                <w:sz w:val="20"/>
                <w:szCs w:val="20"/>
              </w:rPr>
              <w:t xml:space="preserve"> </w:t>
            </w:r>
            <w:r w:rsidR="0056729B" w:rsidRPr="000E40A1">
              <w:rPr>
                <w:b/>
                <w:sz w:val="20"/>
                <w:szCs w:val="20"/>
              </w:rPr>
              <w:t>(événements à portée plus globale)</w:t>
            </w:r>
          </w:p>
        </w:tc>
        <w:tc>
          <w:tcPr>
            <w:tcW w:w="1418" w:type="dxa"/>
            <w:shd w:val="clear" w:color="auto" w:fill="D9D9D9" w:themeFill="background1" w:themeFillShade="D9"/>
          </w:tcPr>
          <w:p w:rsidR="00D74F73" w:rsidRPr="000E40A1" w:rsidRDefault="00D74F73" w:rsidP="008515ED">
            <w:pPr>
              <w:widowControl w:val="0"/>
              <w:jc w:val="right"/>
              <w:rPr>
                <w:sz w:val="20"/>
                <w:szCs w:val="20"/>
              </w:rPr>
            </w:pPr>
            <w:r w:rsidRPr="000E40A1">
              <w:rPr>
                <w:sz w:val="20"/>
                <w:szCs w:val="20"/>
              </w:rPr>
              <w:t>10</w:t>
            </w:r>
          </w:p>
        </w:tc>
        <w:tc>
          <w:tcPr>
            <w:tcW w:w="1406" w:type="dxa"/>
            <w:shd w:val="clear" w:color="auto" w:fill="D9D9D9" w:themeFill="background1" w:themeFillShade="D9"/>
          </w:tcPr>
          <w:p w:rsidR="00D74F73" w:rsidRPr="000E40A1" w:rsidRDefault="002F2049" w:rsidP="008515ED">
            <w:pPr>
              <w:widowControl w:val="0"/>
              <w:jc w:val="right"/>
              <w:rPr>
                <w:sz w:val="20"/>
                <w:szCs w:val="20"/>
              </w:rPr>
            </w:pPr>
            <w:r w:rsidRPr="000E40A1">
              <w:rPr>
                <w:sz w:val="20"/>
                <w:szCs w:val="20"/>
              </w:rPr>
              <w:t>27</w:t>
            </w:r>
          </w:p>
        </w:tc>
      </w:tr>
      <w:tr w:rsidR="002F2049" w:rsidRPr="000E40A1" w:rsidTr="000E40A1">
        <w:tc>
          <w:tcPr>
            <w:tcW w:w="6232" w:type="dxa"/>
          </w:tcPr>
          <w:p w:rsidR="002F2049" w:rsidRPr="000E40A1" w:rsidRDefault="002F2049" w:rsidP="008515ED">
            <w:pPr>
              <w:widowControl w:val="0"/>
              <w:rPr>
                <w:b/>
                <w:sz w:val="22"/>
                <w:szCs w:val="22"/>
              </w:rPr>
            </w:pPr>
            <w:r w:rsidRPr="000E40A1">
              <w:rPr>
                <w:b/>
                <w:sz w:val="22"/>
                <w:szCs w:val="22"/>
              </w:rPr>
              <w:t>Articles d’opinion</w:t>
            </w:r>
          </w:p>
        </w:tc>
        <w:tc>
          <w:tcPr>
            <w:tcW w:w="1418" w:type="dxa"/>
          </w:tcPr>
          <w:p w:rsidR="002F2049" w:rsidRPr="000E40A1" w:rsidRDefault="002F2049" w:rsidP="008515ED">
            <w:pPr>
              <w:widowControl w:val="0"/>
              <w:rPr>
                <w:b/>
                <w:sz w:val="22"/>
                <w:szCs w:val="22"/>
              </w:rPr>
            </w:pPr>
            <w:r w:rsidRPr="000E40A1">
              <w:rPr>
                <w:b/>
                <w:sz w:val="22"/>
                <w:szCs w:val="22"/>
              </w:rPr>
              <w:t>-</w:t>
            </w:r>
          </w:p>
        </w:tc>
        <w:tc>
          <w:tcPr>
            <w:tcW w:w="1406" w:type="dxa"/>
          </w:tcPr>
          <w:p w:rsidR="002F2049" w:rsidRPr="000E40A1" w:rsidRDefault="002F2049" w:rsidP="008515ED">
            <w:pPr>
              <w:widowControl w:val="0"/>
              <w:rPr>
                <w:b/>
                <w:sz w:val="22"/>
                <w:szCs w:val="22"/>
              </w:rPr>
            </w:pPr>
            <w:r w:rsidRPr="000E40A1">
              <w:rPr>
                <w:b/>
                <w:sz w:val="22"/>
                <w:szCs w:val="22"/>
              </w:rPr>
              <w:t>4</w:t>
            </w:r>
          </w:p>
        </w:tc>
      </w:tr>
    </w:tbl>
    <w:p w:rsidR="00D74F73" w:rsidRDefault="00D74F73" w:rsidP="002C0C36">
      <w:pPr>
        <w:spacing w:line="360" w:lineRule="auto"/>
        <w:jc w:val="both"/>
      </w:pPr>
    </w:p>
    <w:p w:rsidR="0017393C" w:rsidRDefault="00E20457" w:rsidP="002C0C36">
      <w:pPr>
        <w:spacing w:line="360" w:lineRule="auto"/>
        <w:jc w:val="both"/>
      </w:pPr>
      <w:r>
        <w:t>Cela a déjà été abordé, l</w:t>
      </w:r>
      <w:r w:rsidR="00AA51A9">
        <w:t xml:space="preserve">es profils des victimes et des auteurs </w:t>
      </w:r>
      <w:r>
        <w:t>dans ces articles</w:t>
      </w:r>
      <w:r w:rsidR="008861A8">
        <w:t>, sont plus collectifs et abstraits</w:t>
      </w:r>
      <w:r>
        <w:t>.</w:t>
      </w:r>
      <w:r w:rsidR="00D75DAE">
        <w:t xml:space="preserve"> Aux côtés de ces </w:t>
      </w:r>
      <w:r w:rsidR="008861A8">
        <w:t>protagonistes</w:t>
      </w:r>
      <w:r w:rsidR="00D75DAE">
        <w:t xml:space="preserve">, </w:t>
      </w:r>
      <w:r w:rsidR="00E62158">
        <w:t>les intervenants sont très différents</w:t>
      </w:r>
      <w:r w:rsidR="0039602F">
        <w:t xml:space="preserve"> (tableau 2)</w:t>
      </w:r>
      <w:r w:rsidR="00E62158">
        <w:t>. Les acteurs du terrain (témoins, personnels policier, judiciaire, médical) reculent au profit d’acteurs institutionnels. Les représentants symboliques, les personnalités médiatiques (par exemple une réalisatrice d’un documentaire sur les violences gynécologiques) et politiques sont deux fois plus nombreux dans le corpus raisonné que le corpus aléatoire.</w:t>
      </w:r>
      <w:r w:rsidR="0039602F">
        <w:t xml:space="preserve"> Ce sont les ministres qui prennent des mesures. Par exemple, </w:t>
      </w:r>
      <w:r w:rsidR="008861A8">
        <w:t>la ministre fédérale de l’</w:t>
      </w:r>
      <w:r w:rsidR="008861A8" w:rsidRPr="008861A8">
        <w:t xml:space="preserve">Égalité des chances </w:t>
      </w:r>
      <w:r w:rsidR="0039602F">
        <w:t>inaugure des centres d’accueil pour les victimes de viol</w:t>
      </w:r>
      <w:r w:rsidR="008861A8">
        <w:t> ;</w:t>
      </w:r>
      <w:r w:rsidR="0039602F">
        <w:t xml:space="preserve"> </w:t>
      </w:r>
      <w:r w:rsidR="00D2299D">
        <w:t>la ministre des Droits des femmes et de l’</w:t>
      </w:r>
      <w:r w:rsidR="008861A8">
        <w:t>É</w:t>
      </w:r>
      <w:r w:rsidR="00D2299D">
        <w:t>galité des chances</w:t>
      </w:r>
      <w:r w:rsidR="00705159">
        <w:t xml:space="preserve"> </w:t>
      </w:r>
      <w:r w:rsidR="008861A8">
        <w:t xml:space="preserve">wallonne </w:t>
      </w:r>
      <w:r w:rsidR="0017393C">
        <w:t xml:space="preserve">fait le bilan d’une année d’appel à la ligne </w:t>
      </w:r>
      <w:r w:rsidR="008861A8">
        <w:t>É</w:t>
      </w:r>
      <w:r w:rsidR="0017393C">
        <w:t>coute violences conjugales</w:t>
      </w:r>
      <w:r w:rsidR="008861A8">
        <w:t> ;</w:t>
      </w:r>
      <w:r w:rsidR="0017393C">
        <w:t xml:space="preserve"> </w:t>
      </w:r>
      <w:r w:rsidR="00705159">
        <w:t>la ministre du Logement</w:t>
      </w:r>
      <w:r w:rsidR="0017393C">
        <w:t xml:space="preserve"> annonce l’ouverture d’une centaine d</w:t>
      </w:r>
      <w:r w:rsidR="008861A8">
        <w:t>’habitations</w:t>
      </w:r>
      <w:r w:rsidR="0017393C">
        <w:t xml:space="preserve"> socia</w:t>
      </w:r>
      <w:r w:rsidR="008861A8">
        <w:t>les</w:t>
      </w:r>
      <w:r w:rsidR="0017393C">
        <w:t xml:space="preserve"> pour les victimes. Ce sont aussi les associations de femme qui entrent en action</w:t>
      </w:r>
      <w:r w:rsidR="00705159">
        <w:t> :</w:t>
      </w:r>
      <w:r w:rsidR="0017393C">
        <w:t xml:space="preserve"> </w:t>
      </w:r>
      <w:proofErr w:type="spellStart"/>
      <w:r w:rsidR="00705159">
        <w:t>l’asbl</w:t>
      </w:r>
      <w:proofErr w:type="spellEnd"/>
      <w:r w:rsidR="00705159">
        <w:t xml:space="preserve"> </w:t>
      </w:r>
      <w:r w:rsidR="00833DB2">
        <w:t>Touche pas à ma pote lance une application pour lutter contre le harcèlement de rue, un groupe Facebook d’</w:t>
      </w:r>
      <w:proofErr w:type="spellStart"/>
      <w:r w:rsidR="00833DB2">
        <w:t>étudiant</w:t>
      </w:r>
      <w:r w:rsidR="008861A8">
        <w:t>·e·</w:t>
      </w:r>
      <w:r w:rsidR="00833DB2">
        <w:t>s</w:t>
      </w:r>
      <w:proofErr w:type="spellEnd"/>
      <w:r w:rsidR="00833DB2">
        <w:t xml:space="preserve"> permet de discuter du sexisme dans une université. </w:t>
      </w:r>
      <w:r w:rsidR="0017393C">
        <w:t>Les explications plus globales</w:t>
      </w:r>
      <w:r w:rsidR="00833DB2">
        <w:t xml:space="preserve"> sont fournies par un organisme de prévention de sécurité et santé au travail, </w:t>
      </w:r>
      <w:r w:rsidR="008B1872">
        <w:t xml:space="preserve">une plateforme d’associations féministes, des groupes politiques, etc. Ce sont </w:t>
      </w:r>
      <w:r w:rsidR="00000109">
        <w:t xml:space="preserve">ces </w:t>
      </w:r>
      <w:r w:rsidR="008B1872">
        <w:t>journées-là, que la parole est donnée aux principales intéressées : deux femmes témoignent des choix qu’el</w:t>
      </w:r>
      <w:r w:rsidR="00705159">
        <w:t>les ont posé en termes de conci</w:t>
      </w:r>
      <w:r w:rsidR="008B1872">
        <w:t>liation vie privée</w:t>
      </w:r>
      <w:r w:rsidR="008861A8">
        <w:t>/</w:t>
      </w:r>
      <w:r w:rsidR="008B1872">
        <w:t>vie professionnelles, deux autres survivantes expliquent comment elles ont échappé à un conjoint violent. Mais ce sont aussi ces jours-là que les voix des victimes sont les plus recouvertes par un discours institutionnel.</w:t>
      </w:r>
    </w:p>
    <w:p w:rsidR="008515ED" w:rsidRDefault="008515ED" w:rsidP="002C0C36">
      <w:pPr>
        <w:spacing w:line="360" w:lineRule="auto"/>
        <w:jc w:val="both"/>
      </w:pPr>
    </w:p>
    <w:p w:rsidR="00E45E09" w:rsidRPr="000E40A1" w:rsidRDefault="0039602F" w:rsidP="008515ED">
      <w:pPr>
        <w:pStyle w:val="Sarahtableau"/>
        <w:widowControl w:val="0"/>
        <w:spacing w:before="0" w:line="360" w:lineRule="auto"/>
        <w:rPr>
          <w:rFonts w:ascii="Times New Roman" w:hAnsi="Times New Roman"/>
        </w:rPr>
      </w:pPr>
      <w:r w:rsidRPr="000E40A1">
        <w:rPr>
          <w:rFonts w:ascii="Times New Roman" w:hAnsi="Times New Roman"/>
        </w:rPr>
        <w:t>Tableau 2 : Acteurs intervenant dans les articles</w:t>
      </w:r>
    </w:p>
    <w:tbl>
      <w:tblPr>
        <w:tblW w:w="0" w:type="auto"/>
        <w:tblInd w:w="65" w:type="dxa"/>
        <w:tblCellMar>
          <w:left w:w="70" w:type="dxa"/>
          <w:right w:w="70" w:type="dxa"/>
        </w:tblCellMar>
        <w:tblLook w:val="04A0" w:firstRow="1" w:lastRow="0" w:firstColumn="1" w:lastColumn="0" w:noHBand="0" w:noVBand="1"/>
      </w:tblPr>
      <w:tblGrid>
        <w:gridCol w:w="3000"/>
        <w:gridCol w:w="1711"/>
        <w:gridCol w:w="1699"/>
      </w:tblGrid>
      <w:tr w:rsidR="00E45E09" w:rsidRPr="000E40A1" w:rsidTr="000E40A1">
        <w:trPr>
          <w:trHeight w:val="315"/>
        </w:trPr>
        <w:tc>
          <w:tcPr>
            <w:tcW w:w="0" w:type="auto"/>
            <w:tcBorders>
              <w:top w:val="single" w:sz="4" w:space="0" w:color="000000"/>
              <w:left w:val="single" w:sz="4" w:space="0" w:color="000000"/>
              <w:bottom w:val="single" w:sz="4" w:space="0" w:color="auto"/>
              <w:right w:val="nil"/>
            </w:tcBorders>
            <w:shd w:val="clear" w:color="auto" w:fill="auto"/>
            <w:noWrap/>
            <w:hideMark/>
          </w:tcPr>
          <w:p w:rsidR="00E45E09" w:rsidRPr="000E40A1" w:rsidRDefault="00E45E09" w:rsidP="002C0C36">
            <w:pPr>
              <w:spacing w:line="360" w:lineRule="auto"/>
              <w:rPr>
                <w:b/>
                <w:color w:val="000000"/>
                <w:sz w:val="22"/>
                <w:szCs w:val="22"/>
                <w:lang w:eastAsia="fr-BE"/>
              </w:rPr>
            </w:pPr>
            <w:r w:rsidRPr="000E40A1">
              <w:rPr>
                <w:b/>
                <w:color w:val="000000"/>
                <w:sz w:val="22"/>
                <w:szCs w:val="22"/>
                <w:lang w:eastAsia="fr-BE"/>
              </w:rPr>
              <w:t>Intervenants (sauf signataires)</w:t>
            </w:r>
          </w:p>
        </w:tc>
        <w:tc>
          <w:tcPr>
            <w:tcW w:w="0" w:type="auto"/>
            <w:tcBorders>
              <w:top w:val="single" w:sz="4" w:space="0" w:color="000000"/>
              <w:left w:val="single" w:sz="4" w:space="0" w:color="000000"/>
              <w:bottom w:val="single" w:sz="4" w:space="0" w:color="auto"/>
              <w:right w:val="single" w:sz="4" w:space="0" w:color="000000"/>
            </w:tcBorders>
          </w:tcPr>
          <w:p w:rsidR="00E45E09" w:rsidRPr="000E40A1" w:rsidRDefault="00E45E09" w:rsidP="002C0C36">
            <w:pPr>
              <w:spacing w:line="360" w:lineRule="auto"/>
              <w:rPr>
                <w:b/>
                <w:color w:val="000000"/>
                <w:sz w:val="22"/>
                <w:szCs w:val="22"/>
                <w:lang w:eastAsia="fr-BE"/>
              </w:rPr>
            </w:pPr>
            <w:r w:rsidRPr="000E40A1">
              <w:rPr>
                <w:b/>
                <w:color w:val="000000"/>
                <w:sz w:val="22"/>
                <w:szCs w:val="22"/>
                <w:lang w:eastAsia="fr-BE"/>
              </w:rPr>
              <w:t>Corpus aléatoire</w:t>
            </w:r>
          </w:p>
        </w:tc>
        <w:tc>
          <w:tcPr>
            <w:tcW w:w="0" w:type="auto"/>
            <w:tcBorders>
              <w:top w:val="single" w:sz="4" w:space="0" w:color="000000"/>
              <w:left w:val="single" w:sz="4" w:space="0" w:color="000000"/>
              <w:bottom w:val="single" w:sz="4" w:space="0" w:color="auto"/>
              <w:right w:val="single" w:sz="4" w:space="0" w:color="000000"/>
            </w:tcBorders>
          </w:tcPr>
          <w:p w:rsidR="00E45E09" w:rsidRPr="000E40A1" w:rsidRDefault="00E45E09" w:rsidP="002C0C36">
            <w:pPr>
              <w:spacing w:line="360" w:lineRule="auto"/>
              <w:rPr>
                <w:b/>
                <w:color w:val="000000"/>
                <w:sz w:val="22"/>
                <w:szCs w:val="22"/>
                <w:lang w:eastAsia="fr-BE"/>
              </w:rPr>
            </w:pPr>
            <w:r w:rsidRPr="000E40A1">
              <w:rPr>
                <w:b/>
                <w:color w:val="000000"/>
                <w:sz w:val="22"/>
                <w:szCs w:val="22"/>
                <w:lang w:eastAsia="fr-BE"/>
              </w:rPr>
              <w:t>Corpus raisonné</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lastRenderedPageBreak/>
              <w:t>Non déterminé</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0,30</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1,74</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 xml:space="preserve">Victime </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15,55</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19,61</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Victime secondaire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2,13</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2,83</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Témoin</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7,01</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3,49</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Auteur</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10,06</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9,15</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Autorité policière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5,18</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2,83</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Autorité judiciaire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18,29</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6,75</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Représentant symbolique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16,77</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30,07</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Personnalité médiatique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2,74</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5,88</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Personnalité politique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2,13</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4,79</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Autre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9,76</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6,10</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Personnel médical</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8,54</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1,09</w:t>
            </w:r>
          </w:p>
        </w:tc>
      </w:tr>
      <w:tr w:rsidR="00E45E09" w:rsidRPr="000156EC" w:rsidTr="000E40A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Institution médiatique</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1,52</w:t>
            </w:r>
          </w:p>
        </w:tc>
        <w:tc>
          <w:tcPr>
            <w:tcW w:w="0" w:type="auto"/>
            <w:tcBorders>
              <w:top w:val="single" w:sz="4" w:space="0" w:color="auto"/>
              <w:left w:val="single" w:sz="4" w:space="0" w:color="auto"/>
              <w:bottom w:val="single" w:sz="4" w:space="0" w:color="auto"/>
              <w:right w:val="single" w:sz="4" w:space="0" w:color="auto"/>
            </w:tcBorders>
          </w:tcPr>
          <w:p w:rsidR="00E45E09" w:rsidRPr="000E40A1" w:rsidRDefault="00E45E09" w:rsidP="002C0C36">
            <w:pPr>
              <w:spacing w:line="360" w:lineRule="auto"/>
              <w:rPr>
                <w:color w:val="000000"/>
                <w:sz w:val="22"/>
                <w:szCs w:val="22"/>
                <w:lang w:eastAsia="fr-BE"/>
              </w:rPr>
            </w:pPr>
            <w:r w:rsidRPr="000E40A1">
              <w:rPr>
                <w:color w:val="000000"/>
                <w:sz w:val="22"/>
                <w:szCs w:val="22"/>
                <w:lang w:eastAsia="fr-BE"/>
              </w:rPr>
              <w:t>5,66</w:t>
            </w:r>
          </w:p>
        </w:tc>
      </w:tr>
      <w:tr w:rsidR="00E45E09" w:rsidRPr="000E40A1" w:rsidTr="000E40A1">
        <w:trPr>
          <w:trHeight w:val="315"/>
        </w:trPr>
        <w:tc>
          <w:tcPr>
            <w:tcW w:w="0" w:type="auto"/>
            <w:tcBorders>
              <w:top w:val="single" w:sz="4" w:space="0" w:color="auto"/>
              <w:left w:val="single" w:sz="4" w:space="0" w:color="000000"/>
              <w:bottom w:val="single" w:sz="4" w:space="0" w:color="000000"/>
              <w:right w:val="nil"/>
            </w:tcBorders>
            <w:shd w:val="clear" w:color="auto" w:fill="auto"/>
            <w:noWrap/>
            <w:hideMark/>
          </w:tcPr>
          <w:p w:rsidR="00E45E09" w:rsidRPr="000E40A1" w:rsidRDefault="00E45E09" w:rsidP="002C0C36">
            <w:pPr>
              <w:spacing w:line="360" w:lineRule="auto"/>
              <w:rPr>
                <w:b/>
                <w:color w:val="000000"/>
                <w:sz w:val="22"/>
                <w:szCs w:val="22"/>
                <w:lang w:eastAsia="fr-BE"/>
              </w:rPr>
            </w:pPr>
            <w:r w:rsidRPr="000E40A1">
              <w:rPr>
                <w:b/>
                <w:color w:val="000000"/>
                <w:sz w:val="22"/>
                <w:szCs w:val="22"/>
                <w:lang w:eastAsia="fr-BE"/>
              </w:rPr>
              <w:t>Total</w:t>
            </w:r>
          </w:p>
        </w:tc>
        <w:tc>
          <w:tcPr>
            <w:tcW w:w="0" w:type="auto"/>
            <w:tcBorders>
              <w:top w:val="single" w:sz="4" w:space="0" w:color="auto"/>
              <w:left w:val="single" w:sz="4" w:space="0" w:color="000000"/>
              <w:bottom w:val="single" w:sz="4" w:space="0" w:color="000000"/>
              <w:right w:val="single" w:sz="4" w:space="0" w:color="000000"/>
            </w:tcBorders>
          </w:tcPr>
          <w:p w:rsidR="00E45E09" w:rsidRPr="000E40A1" w:rsidRDefault="00E62158" w:rsidP="002C0C36">
            <w:pPr>
              <w:spacing w:line="360" w:lineRule="auto"/>
              <w:rPr>
                <w:b/>
                <w:color w:val="000000"/>
                <w:sz w:val="22"/>
                <w:szCs w:val="22"/>
                <w:lang w:eastAsia="fr-BE"/>
              </w:rPr>
            </w:pPr>
            <w:r w:rsidRPr="000E40A1">
              <w:rPr>
                <w:b/>
                <w:color w:val="000000"/>
                <w:sz w:val="22"/>
                <w:szCs w:val="22"/>
                <w:lang w:eastAsia="fr-BE"/>
              </w:rPr>
              <w:t>100</w:t>
            </w:r>
            <w:r w:rsidR="00E45E09" w:rsidRPr="000E40A1">
              <w:rPr>
                <w:b/>
                <w:color w:val="000000"/>
                <w:sz w:val="22"/>
                <w:szCs w:val="22"/>
                <w:lang w:eastAsia="fr-BE"/>
              </w:rPr>
              <w:t xml:space="preserve"> (N= 328)</w:t>
            </w:r>
          </w:p>
        </w:tc>
        <w:tc>
          <w:tcPr>
            <w:tcW w:w="0" w:type="auto"/>
            <w:tcBorders>
              <w:top w:val="single" w:sz="4" w:space="0" w:color="auto"/>
              <w:left w:val="single" w:sz="4" w:space="0" w:color="000000"/>
              <w:bottom w:val="single" w:sz="4" w:space="0" w:color="000000"/>
              <w:right w:val="single" w:sz="4" w:space="0" w:color="000000"/>
            </w:tcBorders>
          </w:tcPr>
          <w:p w:rsidR="00E45E09" w:rsidRPr="000E40A1" w:rsidRDefault="00E45E09" w:rsidP="002C0C36">
            <w:pPr>
              <w:spacing w:line="360" w:lineRule="auto"/>
              <w:rPr>
                <w:b/>
                <w:color w:val="000000"/>
                <w:sz w:val="22"/>
                <w:szCs w:val="22"/>
                <w:lang w:eastAsia="fr-BE"/>
              </w:rPr>
            </w:pPr>
            <w:r w:rsidRPr="000E40A1">
              <w:rPr>
                <w:b/>
                <w:color w:val="000000"/>
                <w:sz w:val="22"/>
                <w:szCs w:val="22"/>
                <w:lang w:eastAsia="fr-BE"/>
              </w:rPr>
              <w:t>100 (N = 459)</w:t>
            </w:r>
          </w:p>
        </w:tc>
      </w:tr>
    </w:tbl>
    <w:p w:rsidR="005D2824" w:rsidRDefault="005D2824" w:rsidP="002C0C36">
      <w:pPr>
        <w:spacing w:line="360" w:lineRule="auto"/>
        <w:jc w:val="both"/>
      </w:pPr>
    </w:p>
    <w:p w:rsidR="00D22590" w:rsidRPr="00075190" w:rsidRDefault="00683F18" w:rsidP="002C0C36">
      <w:pPr>
        <w:pStyle w:val="Sarahtexte"/>
        <w:spacing w:line="360" w:lineRule="auto"/>
        <w:rPr>
          <w:rFonts w:ascii="Times New Roman" w:hAnsi="Times New Roman"/>
          <w:sz w:val="24"/>
        </w:rPr>
      </w:pPr>
      <w:r w:rsidRPr="00075190">
        <w:rPr>
          <w:rFonts w:ascii="Times New Roman" w:hAnsi="Times New Roman"/>
          <w:sz w:val="24"/>
        </w:rPr>
        <w:t xml:space="preserve">On voit que la médiatisation des violences faites aux femmes est </w:t>
      </w:r>
      <w:r w:rsidR="00000109">
        <w:rPr>
          <w:rFonts w:ascii="Times New Roman" w:hAnsi="Times New Roman"/>
          <w:sz w:val="24"/>
        </w:rPr>
        <w:t>lacunaire</w:t>
      </w:r>
      <w:r w:rsidRPr="00075190">
        <w:rPr>
          <w:rFonts w:ascii="Times New Roman" w:hAnsi="Times New Roman"/>
          <w:sz w:val="24"/>
        </w:rPr>
        <w:t>. Tous les faits de violence ne sont pas couverts</w:t>
      </w:r>
      <w:r w:rsidR="00000109">
        <w:rPr>
          <w:rFonts w:ascii="Times New Roman" w:hAnsi="Times New Roman"/>
          <w:sz w:val="24"/>
        </w:rPr>
        <w:t xml:space="preserve">, mais seulement ceux relevant du spectaculaire ou </w:t>
      </w:r>
      <w:r w:rsidRPr="00075190">
        <w:rPr>
          <w:rFonts w:ascii="Times New Roman" w:hAnsi="Times New Roman"/>
          <w:sz w:val="24"/>
        </w:rPr>
        <w:t>impliquant une célébrité. L’augmentation du nombre d’articles et leur diversification les jours du corpus raisonné permet</w:t>
      </w:r>
      <w:r w:rsidR="0005007E">
        <w:rPr>
          <w:rFonts w:ascii="Times New Roman" w:hAnsi="Times New Roman"/>
          <w:sz w:val="24"/>
        </w:rPr>
        <w:t>tent</w:t>
      </w:r>
      <w:r w:rsidRPr="00075190">
        <w:rPr>
          <w:rFonts w:ascii="Times New Roman" w:hAnsi="Times New Roman"/>
          <w:sz w:val="24"/>
        </w:rPr>
        <w:t xml:space="preserve"> de présenter des explications plus globales de ces phénomènes. </w:t>
      </w:r>
      <w:r w:rsidR="00000109">
        <w:rPr>
          <w:rFonts w:ascii="Times New Roman" w:hAnsi="Times New Roman"/>
          <w:sz w:val="24"/>
        </w:rPr>
        <w:t xml:space="preserve">Pourtant </w:t>
      </w:r>
      <w:r w:rsidR="00D22590" w:rsidRPr="00075190">
        <w:rPr>
          <w:rFonts w:ascii="Times New Roman" w:hAnsi="Times New Roman"/>
          <w:sz w:val="24"/>
        </w:rPr>
        <w:t xml:space="preserve">la parole </w:t>
      </w:r>
      <w:r w:rsidR="00000109">
        <w:rPr>
          <w:rFonts w:ascii="Times New Roman" w:hAnsi="Times New Roman"/>
          <w:sz w:val="24"/>
        </w:rPr>
        <w:t>des</w:t>
      </w:r>
      <w:r w:rsidR="00D22590" w:rsidRPr="00075190">
        <w:rPr>
          <w:rFonts w:ascii="Times New Roman" w:hAnsi="Times New Roman"/>
          <w:sz w:val="24"/>
        </w:rPr>
        <w:t xml:space="preserve"> survivantes</w:t>
      </w:r>
      <w:r w:rsidR="00000109">
        <w:rPr>
          <w:rFonts w:ascii="Times New Roman" w:hAnsi="Times New Roman"/>
          <w:sz w:val="24"/>
        </w:rPr>
        <w:t xml:space="preserve"> qui apparaît alors est </w:t>
      </w:r>
      <w:r w:rsidR="00D22590" w:rsidRPr="00075190">
        <w:rPr>
          <w:rFonts w:ascii="Times New Roman" w:hAnsi="Times New Roman"/>
          <w:sz w:val="24"/>
        </w:rPr>
        <w:t>noy</w:t>
      </w:r>
      <w:r w:rsidR="00000109">
        <w:rPr>
          <w:rFonts w:ascii="Times New Roman" w:hAnsi="Times New Roman"/>
          <w:sz w:val="24"/>
        </w:rPr>
        <w:t>ée</w:t>
      </w:r>
      <w:r w:rsidR="00D22590" w:rsidRPr="00075190">
        <w:rPr>
          <w:rFonts w:ascii="Times New Roman" w:hAnsi="Times New Roman"/>
          <w:sz w:val="24"/>
        </w:rPr>
        <w:t xml:space="preserve"> </w:t>
      </w:r>
      <w:r w:rsidR="00000109">
        <w:rPr>
          <w:rFonts w:ascii="Times New Roman" w:hAnsi="Times New Roman"/>
          <w:sz w:val="24"/>
        </w:rPr>
        <w:t>par</w:t>
      </w:r>
      <w:r w:rsidR="00D22590" w:rsidRPr="00075190">
        <w:rPr>
          <w:rFonts w:ascii="Times New Roman" w:hAnsi="Times New Roman"/>
          <w:sz w:val="24"/>
        </w:rPr>
        <w:t xml:space="preserve"> un discours institutionnel opportuniste. Par ailleurs, ces explications plus systématiques se font au prix d’une abstraction du propos qui </w:t>
      </w:r>
      <w:proofErr w:type="spellStart"/>
      <w:r w:rsidR="00D22590" w:rsidRPr="00075190">
        <w:rPr>
          <w:rFonts w:ascii="Times New Roman" w:hAnsi="Times New Roman"/>
          <w:sz w:val="24"/>
        </w:rPr>
        <w:t>invisibilise</w:t>
      </w:r>
      <w:proofErr w:type="spellEnd"/>
      <w:r w:rsidR="00D22590" w:rsidRPr="00075190">
        <w:rPr>
          <w:rFonts w:ascii="Times New Roman" w:hAnsi="Times New Roman"/>
          <w:sz w:val="24"/>
        </w:rPr>
        <w:t xml:space="preserve"> les victimes et les auteurs. Enfin, l’affaire </w:t>
      </w:r>
      <w:proofErr w:type="spellStart"/>
      <w:r w:rsidR="00D22590" w:rsidRPr="00075190">
        <w:rPr>
          <w:rFonts w:ascii="Times New Roman" w:hAnsi="Times New Roman"/>
          <w:sz w:val="24"/>
        </w:rPr>
        <w:t>Weinstein</w:t>
      </w:r>
      <w:proofErr w:type="spellEnd"/>
      <w:r w:rsidR="00D22590" w:rsidRPr="00075190">
        <w:rPr>
          <w:rFonts w:ascii="Times New Roman" w:hAnsi="Times New Roman"/>
          <w:sz w:val="24"/>
        </w:rPr>
        <w:t xml:space="preserve"> focalise l’attention sur un </w:t>
      </w:r>
      <w:r w:rsidR="00000109">
        <w:rPr>
          <w:rFonts w:ascii="Times New Roman" w:hAnsi="Times New Roman"/>
          <w:sz w:val="24"/>
        </w:rPr>
        <w:t>agresseur</w:t>
      </w:r>
      <w:r w:rsidR="00D22590" w:rsidRPr="00075190">
        <w:rPr>
          <w:rFonts w:ascii="Times New Roman" w:hAnsi="Times New Roman"/>
          <w:sz w:val="24"/>
        </w:rPr>
        <w:t xml:space="preserve"> exceptionnel, ce qui </w:t>
      </w:r>
      <w:r w:rsidR="00705159" w:rsidRPr="00075190">
        <w:rPr>
          <w:rFonts w:ascii="Times New Roman" w:hAnsi="Times New Roman"/>
          <w:sz w:val="24"/>
        </w:rPr>
        <w:t xml:space="preserve">détourne le regard de </w:t>
      </w:r>
      <w:r w:rsidR="00D22590" w:rsidRPr="00075190">
        <w:rPr>
          <w:rFonts w:ascii="Times New Roman" w:hAnsi="Times New Roman"/>
          <w:sz w:val="24"/>
        </w:rPr>
        <w:t>tous les hommes ordinaires qui violentent. Les mécanismes de médiatisation de ces faits sont donc largement paradoxaux.</w:t>
      </w:r>
    </w:p>
    <w:p w:rsidR="0037373F" w:rsidRPr="00075190" w:rsidRDefault="00705159" w:rsidP="002C0C36">
      <w:pPr>
        <w:spacing w:line="360" w:lineRule="auto"/>
        <w:jc w:val="both"/>
      </w:pPr>
      <w:r w:rsidRPr="00075190">
        <w:t xml:space="preserve">Ce type de traitement </w:t>
      </w:r>
      <w:r w:rsidR="00CE7704" w:rsidRPr="00075190">
        <w:t xml:space="preserve">équivoque a déjà été souligné à propos de la journée internationale pour les droits des femmes. Dominique </w:t>
      </w:r>
      <w:proofErr w:type="spellStart"/>
      <w:r w:rsidR="00CE7704" w:rsidRPr="00075190">
        <w:t>Desmarchelier</w:t>
      </w:r>
      <w:proofErr w:type="spellEnd"/>
      <w:r w:rsidR="00CE7704" w:rsidRPr="00075190">
        <w:t xml:space="preserve"> </w:t>
      </w:r>
      <w:r w:rsidR="00000109">
        <w:t>remarque un double traitement à l’occasion du 8 mars :</w:t>
      </w:r>
      <w:r w:rsidR="00CE7704" w:rsidRPr="00075190">
        <w:t xml:space="preserve"> celui</w:t>
      </w:r>
      <w:r w:rsidR="00000109">
        <w:t xml:space="preserve"> réservé aux</w:t>
      </w:r>
      <w:r w:rsidR="00CE7704" w:rsidRPr="00075190">
        <w:t xml:space="preserve"> femmes ordinaires et celui des célébrités</w:t>
      </w:r>
      <w:r w:rsidR="00000109">
        <w:t>, mieux loties.</w:t>
      </w:r>
      <w:r w:rsidR="00CE7704" w:rsidRPr="00075190">
        <w:t xml:space="preserve"> « […] la journée des femmes (anonymes, opprimées, victimes de violence) et la description des journées de certaines femmes (célèbres, emblématiques), dont l’épanouissement personnel et professionnel cache la réalité quotidienne vécue par l’immense majorité des femmes dans le monde</w:t>
      </w:r>
      <w:r w:rsidR="00000109">
        <w:t>.</w:t>
      </w:r>
      <w:r w:rsidR="00CE7704" w:rsidRPr="00075190">
        <w:t> » (2007</w:t>
      </w:r>
      <w:r w:rsidR="00163863">
        <w:t>,</w:t>
      </w:r>
      <w:r w:rsidR="00CE7704" w:rsidRPr="00075190">
        <w:t xml:space="preserve"> </w:t>
      </w:r>
      <w:r w:rsidR="00087B6F">
        <w:t xml:space="preserve">p. </w:t>
      </w:r>
      <w:r w:rsidR="00CE7704" w:rsidRPr="00075190">
        <w:t xml:space="preserve">75) </w:t>
      </w:r>
      <w:r w:rsidR="00714D4D" w:rsidRPr="00075190">
        <w:t xml:space="preserve">Simonie </w:t>
      </w:r>
      <w:proofErr w:type="spellStart"/>
      <w:r w:rsidR="00714D4D" w:rsidRPr="00075190">
        <w:t>Bonnafous</w:t>
      </w:r>
      <w:proofErr w:type="spellEnd"/>
      <w:r w:rsidR="00714D4D" w:rsidRPr="00075190">
        <w:t xml:space="preserve"> et Marlène Coulomb-</w:t>
      </w:r>
      <w:proofErr w:type="spellStart"/>
      <w:r w:rsidR="00714D4D" w:rsidRPr="00075190">
        <w:t>Gully</w:t>
      </w:r>
      <w:proofErr w:type="spellEnd"/>
      <w:r w:rsidR="00714D4D" w:rsidRPr="00075190">
        <w:t xml:space="preserve"> soulignent également que la couverture du 8 mars mélange conservatisme</w:t>
      </w:r>
      <w:r w:rsidR="00000109">
        <w:t>,</w:t>
      </w:r>
      <w:r w:rsidR="00714D4D" w:rsidRPr="00075190">
        <w:t xml:space="preserve"> progressisme, récupération marketing, stigmatisation des étrangers</w:t>
      </w:r>
      <w:r w:rsidR="00000109">
        <w:t>. Les autrices constatent</w:t>
      </w:r>
      <w:r w:rsidR="00714D4D" w:rsidRPr="00075190">
        <w:t xml:space="preserve"> que la focalisation sur cette date est un risque de « </w:t>
      </w:r>
      <w:proofErr w:type="spellStart"/>
      <w:r w:rsidR="00714D4D" w:rsidRPr="00075190">
        <w:t>marronisation</w:t>
      </w:r>
      <w:proofErr w:type="spellEnd"/>
      <w:r w:rsidR="00714D4D" w:rsidRPr="00075190">
        <w:t xml:space="preserve"> » et de « ritualisation » de cette journée, y compris « au profit </w:t>
      </w:r>
      <w:r w:rsidR="00714D4D" w:rsidRPr="00075190">
        <w:lastRenderedPageBreak/>
        <w:t>d’opérateurs dont les intérêts sont aux antipodes des ambitions revendicatrices » (2007</w:t>
      </w:r>
      <w:r w:rsidR="00087B6F">
        <w:t>,</w:t>
      </w:r>
      <w:r w:rsidR="00714D4D" w:rsidRPr="00075190">
        <w:t xml:space="preserve"> </w:t>
      </w:r>
      <w:r w:rsidR="00087B6F">
        <w:t xml:space="preserve">p. </w:t>
      </w:r>
      <w:r w:rsidR="00714D4D" w:rsidRPr="00075190">
        <w:t>94).</w:t>
      </w:r>
      <w:r w:rsidR="00CC3B72">
        <w:t xml:space="preserve"> Ce côté superlatif de la couverture lors des journées internationales s’apparente au vacarme décrit par Patrizia </w:t>
      </w:r>
      <w:proofErr w:type="spellStart"/>
      <w:r w:rsidR="00CC3B72">
        <w:t>Romito</w:t>
      </w:r>
      <w:proofErr w:type="spellEnd"/>
      <w:r w:rsidR="00CC3B72">
        <w:t xml:space="preserve"> où les voix des psychiatres, des avocats, des travailleurs de la santé, des experts, des</w:t>
      </w:r>
      <w:r w:rsidR="00147C60">
        <w:t xml:space="preserve"> messieurs et m</w:t>
      </w:r>
      <w:r w:rsidR="00000109">
        <w:t>es</w:t>
      </w:r>
      <w:r w:rsidR="00147C60">
        <w:t>dames tout le monde s’entremêlent</w:t>
      </w:r>
      <w:r w:rsidR="000E157E">
        <w:t xml:space="preserve"> (</w:t>
      </w:r>
      <w:proofErr w:type="spellStart"/>
      <w:r w:rsidR="000E157E">
        <w:t>Romito</w:t>
      </w:r>
      <w:proofErr w:type="spellEnd"/>
      <w:r w:rsidR="000E157E">
        <w:t>, 2006, p. 22)</w:t>
      </w:r>
      <w:r w:rsidR="00147C60">
        <w:t>.</w:t>
      </w:r>
    </w:p>
    <w:p w:rsidR="00F2032C" w:rsidRPr="00075190" w:rsidRDefault="00F2032C" w:rsidP="002C0C36">
      <w:pPr>
        <w:spacing w:line="360" w:lineRule="auto"/>
        <w:jc w:val="both"/>
      </w:pPr>
    </w:p>
    <w:p w:rsidR="00714D4D" w:rsidRPr="002C0C36" w:rsidRDefault="00714D4D" w:rsidP="002C0C36">
      <w:pPr>
        <w:spacing w:line="360" w:lineRule="auto"/>
        <w:jc w:val="both"/>
        <w:rPr>
          <w:sz w:val="36"/>
          <w:szCs w:val="36"/>
        </w:rPr>
      </w:pPr>
      <w:r w:rsidRPr="00564FC7">
        <w:rPr>
          <w:sz w:val="36"/>
          <w:szCs w:val="36"/>
        </w:rPr>
        <w:t>Les sources des récits médiatiques</w:t>
      </w:r>
    </w:p>
    <w:p w:rsidR="0005007E" w:rsidRPr="00714D4D" w:rsidRDefault="0005007E" w:rsidP="002C0C36">
      <w:pPr>
        <w:spacing w:line="360" w:lineRule="auto"/>
        <w:jc w:val="both"/>
      </w:pPr>
    </w:p>
    <w:p w:rsidR="00881AB6" w:rsidRDefault="00881AB6" w:rsidP="002C0C36">
      <w:pPr>
        <w:spacing w:line="360" w:lineRule="auto"/>
        <w:jc w:val="both"/>
      </w:pPr>
      <w:r>
        <w:t>Il est intéressant de se pencher sur les sources des articles afin de vérifier quel point de vue domine</w:t>
      </w:r>
      <w:r w:rsidR="00E73C4E">
        <w:t xml:space="preserve">. </w:t>
      </w:r>
      <w:r>
        <w:t xml:space="preserve">Tout d’abord, </w:t>
      </w:r>
      <w:r w:rsidR="00E73C4E">
        <w:t>un tiers d</w:t>
      </w:r>
      <w:r>
        <w:t xml:space="preserve">es </w:t>
      </w:r>
      <w:r w:rsidR="00564FC7">
        <w:t>textes</w:t>
      </w:r>
      <w:r>
        <w:t xml:space="preserve"> n’indiquent aucune source</w:t>
      </w:r>
      <w:r w:rsidR="00564FC7">
        <w:t xml:space="preserve"> (tableau 3)</w:t>
      </w:r>
      <w:r>
        <w:t>.</w:t>
      </w:r>
      <w:r w:rsidR="00E73C4E">
        <w:t xml:space="preserve"> Ces articles semblent apparaître sans point de vue dans les pages du journal. </w:t>
      </w:r>
      <w:r w:rsidR="00564FC7">
        <w:t>P</w:t>
      </w:r>
      <w:r w:rsidR="00E73C4E">
        <w:t xml:space="preserve">our certains de ces </w:t>
      </w:r>
      <w:r w:rsidR="00564FC7">
        <w:t>papier</w:t>
      </w:r>
      <w:r w:rsidR="00075190">
        <w:t>s</w:t>
      </w:r>
      <w:r w:rsidR="00E73C4E">
        <w:t xml:space="preserve">, il est évident que le journaliste a assisté à une audience de justice ou qu’il y a eu une conférence de presse, mais </w:t>
      </w:r>
      <w:r w:rsidR="00075190">
        <w:t xml:space="preserve">sans que </w:t>
      </w:r>
      <w:r w:rsidR="00564FC7">
        <w:t>l’énonciateur soit clairement indiqué</w:t>
      </w:r>
      <w:r w:rsidR="00E73C4E">
        <w:t>. Pour le reste, les résultats de ce codage est cohérent avec les résultats concernant les genres d’articles</w:t>
      </w:r>
      <w:r w:rsidR="00564FC7">
        <w:t xml:space="preserve"> et leurs caractéristiques décrites ci-dessus</w:t>
      </w:r>
      <w:r w:rsidR="00E73C4E">
        <w:t>. En effet, dans le corpus aléatoire, les sources secondaires (</w:t>
      </w:r>
      <w:r w:rsidR="00447A1A">
        <w:t>policiers, procureurs, urgentistes, etc.) représentent un autre tiers</w:t>
      </w:r>
      <w:r w:rsidR="00564FC7">
        <w:t xml:space="preserve"> </w:t>
      </w:r>
      <w:r w:rsidR="00447A1A">
        <w:t xml:space="preserve">alors que, dans le corpus raisonné, cette place est occupée par les </w:t>
      </w:r>
      <w:r w:rsidR="00564FC7">
        <w:t>informateurs</w:t>
      </w:r>
      <w:r w:rsidR="00447A1A">
        <w:t xml:space="preserve"> institutionnels. Les sources primaires</w:t>
      </w:r>
      <w:r w:rsidR="00564FC7">
        <w:t xml:space="preserve"> (</w:t>
      </w:r>
      <w:r w:rsidR="00447A1A">
        <w:t>les acteurs directs des faits</w:t>
      </w:r>
      <w:r w:rsidR="00564FC7">
        <w:t xml:space="preserve"> : </w:t>
      </w:r>
      <w:r w:rsidR="00447A1A">
        <w:t>victimes</w:t>
      </w:r>
      <w:r w:rsidR="00564FC7">
        <w:t xml:space="preserve"> et</w:t>
      </w:r>
      <w:r w:rsidR="00447A1A">
        <w:t xml:space="preserve"> auteurs), ne se classent qu’en troisième ou quatrième position. Ce qui confirme les effets d’</w:t>
      </w:r>
      <w:proofErr w:type="spellStart"/>
      <w:r w:rsidR="00447A1A">
        <w:t>invisibilisation</w:t>
      </w:r>
      <w:proofErr w:type="spellEnd"/>
      <w:r w:rsidR="00447A1A">
        <w:t xml:space="preserve"> déjà décrits.</w:t>
      </w:r>
    </w:p>
    <w:p w:rsidR="008515ED" w:rsidRDefault="008515ED" w:rsidP="002C0C36">
      <w:pPr>
        <w:spacing w:line="360" w:lineRule="auto"/>
        <w:jc w:val="both"/>
      </w:pPr>
    </w:p>
    <w:p w:rsidR="00A9222F" w:rsidRPr="00075190" w:rsidRDefault="00A9222F" w:rsidP="008515ED">
      <w:pPr>
        <w:pStyle w:val="Sarahtableau"/>
        <w:widowControl w:val="0"/>
        <w:spacing w:before="0" w:line="360" w:lineRule="auto"/>
        <w:rPr>
          <w:rFonts w:ascii="Times New Roman" w:hAnsi="Times New Roman"/>
        </w:rPr>
      </w:pPr>
      <w:r w:rsidRPr="00075190">
        <w:rPr>
          <w:rFonts w:ascii="Times New Roman" w:hAnsi="Times New Roman"/>
        </w:rPr>
        <w:t>Tableau 3 : Sources des articles</w:t>
      </w:r>
    </w:p>
    <w:tbl>
      <w:tblP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6"/>
        <w:gridCol w:w="1488"/>
        <w:gridCol w:w="1417"/>
      </w:tblGrid>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b/>
              </w:rPr>
            </w:pPr>
          </w:p>
        </w:tc>
        <w:tc>
          <w:tcPr>
            <w:tcW w:w="1488" w:type="dxa"/>
            <w:shd w:val="clear" w:color="auto" w:fill="auto"/>
            <w:noWrap/>
            <w:vAlign w:val="bottom"/>
            <w:hideMark/>
          </w:tcPr>
          <w:p w:rsidR="00881AB6" w:rsidRPr="00075190" w:rsidRDefault="00881AB6" w:rsidP="002C0C36">
            <w:pPr>
              <w:spacing w:line="360" w:lineRule="auto"/>
              <w:rPr>
                <w:b/>
                <w:color w:val="000000"/>
              </w:rPr>
            </w:pPr>
            <w:r w:rsidRPr="00075190">
              <w:rPr>
                <w:b/>
                <w:color w:val="000000"/>
              </w:rPr>
              <w:t>C. aléatoire</w:t>
            </w:r>
          </w:p>
        </w:tc>
        <w:tc>
          <w:tcPr>
            <w:tcW w:w="1417" w:type="dxa"/>
            <w:shd w:val="clear" w:color="auto" w:fill="auto"/>
            <w:noWrap/>
            <w:vAlign w:val="bottom"/>
            <w:hideMark/>
          </w:tcPr>
          <w:p w:rsidR="00881AB6" w:rsidRPr="00075190" w:rsidRDefault="00881AB6" w:rsidP="002C0C36">
            <w:pPr>
              <w:spacing w:line="360" w:lineRule="auto"/>
              <w:rPr>
                <w:b/>
                <w:color w:val="000000"/>
              </w:rPr>
            </w:pPr>
            <w:r w:rsidRPr="00075190">
              <w:rPr>
                <w:b/>
                <w:color w:val="000000"/>
              </w:rPr>
              <w:t>C. raisonné</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color w:val="000000"/>
                <w:sz w:val="22"/>
                <w:szCs w:val="22"/>
              </w:rPr>
            </w:pPr>
            <w:r w:rsidRPr="00075190">
              <w:rPr>
                <w:color w:val="000000"/>
                <w:sz w:val="22"/>
                <w:szCs w:val="22"/>
              </w:rPr>
              <w:t>Aucune</w:t>
            </w:r>
          </w:p>
        </w:tc>
        <w:tc>
          <w:tcPr>
            <w:tcW w:w="1488" w:type="dxa"/>
            <w:shd w:val="clear" w:color="auto" w:fill="auto"/>
            <w:noWrap/>
            <w:vAlign w:val="bottom"/>
            <w:hideMark/>
          </w:tcPr>
          <w:p w:rsidR="00881AB6" w:rsidRPr="00075190" w:rsidRDefault="00881AB6" w:rsidP="002C0C36">
            <w:pPr>
              <w:spacing w:line="360" w:lineRule="auto"/>
              <w:jc w:val="right"/>
              <w:rPr>
                <w:b/>
                <w:color w:val="000000"/>
                <w:sz w:val="22"/>
                <w:szCs w:val="22"/>
              </w:rPr>
            </w:pPr>
            <w:r w:rsidRPr="00075190">
              <w:rPr>
                <w:b/>
                <w:color w:val="000000"/>
                <w:sz w:val="22"/>
                <w:szCs w:val="22"/>
              </w:rPr>
              <w:t>30,1</w:t>
            </w:r>
          </w:p>
        </w:tc>
        <w:tc>
          <w:tcPr>
            <w:tcW w:w="1417" w:type="dxa"/>
            <w:shd w:val="clear" w:color="auto" w:fill="auto"/>
            <w:noWrap/>
            <w:vAlign w:val="bottom"/>
            <w:hideMark/>
          </w:tcPr>
          <w:p w:rsidR="00881AB6" w:rsidRPr="00075190" w:rsidRDefault="00881AB6" w:rsidP="002C0C36">
            <w:pPr>
              <w:spacing w:line="360" w:lineRule="auto"/>
              <w:jc w:val="right"/>
              <w:rPr>
                <w:b/>
                <w:color w:val="000000"/>
                <w:sz w:val="22"/>
                <w:szCs w:val="22"/>
              </w:rPr>
            </w:pPr>
            <w:r w:rsidRPr="00075190">
              <w:rPr>
                <w:b/>
                <w:color w:val="000000"/>
                <w:sz w:val="22"/>
                <w:szCs w:val="22"/>
              </w:rPr>
              <w:t>27,3</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color w:val="000000"/>
                <w:sz w:val="22"/>
                <w:szCs w:val="22"/>
              </w:rPr>
            </w:pPr>
            <w:r w:rsidRPr="00075190">
              <w:rPr>
                <w:color w:val="000000"/>
                <w:sz w:val="22"/>
                <w:szCs w:val="22"/>
              </w:rPr>
              <w:t>Primaire</w:t>
            </w:r>
          </w:p>
        </w:tc>
        <w:tc>
          <w:tcPr>
            <w:tcW w:w="1488"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21,9</w:t>
            </w:r>
          </w:p>
        </w:tc>
        <w:tc>
          <w:tcPr>
            <w:tcW w:w="1417"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16,5</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color w:val="000000"/>
                <w:sz w:val="22"/>
                <w:szCs w:val="22"/>
              </w:rPr>
            </w:pPr>
            <w:r w:rsidRPr="00075190">
              <w:rPr>
                <w:color w:val="000000"/>
                <w:sz w:val="22"/>
                <w:szCs w:val="22"/>
              </w:rPr>
              <w:t>Secondaire</w:t>
            </w:r>
          </w:p>
        </w:tc>
        <w:tc>
          <w:tcPr>
            <w:tcW w:w="1488" w:type="dxa"/>
            <w:shd w:val="clear" w:color="auto" w:fill="auto"/>
            <w:noWrap/>
            <w:vAlign w:val="bottom"/>
            <w:hideMark/>
          </w:tcPr>
          <w:p w:rsidR="00881AB6" w:rsidRPr="00075190" w:rsidRDefault="00881AB6" w:rsidP="002C0C36">
            <w:pPr>
              <w:spacing w:line="360" w:lineRule="auto"/>
              <w:jc w:val="right"/>
              <w:rPr>
                <w:b/>
                <w:color w:val="000000"/>
                <w:sz w:val="22"/>
                <w:szCs w:val="22"/>
              </w:rPr>
            </w:pPr>
            <w:r w:rsidRPr="00075190">
              <w:rPr>
                <w:b/>
                <w:color w:val="000000"/>
                <w:sz w:val="22"/>
                <w:szCs w:val="22"/>
              </w:rPr>
              <w:t>37,0</w:t>
            </w:r>
          </w:p>
        </w:tc>
        <w:tc>
          <w:tcPr>
            <w:tcW w:w="1417"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17,4</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color w:val="000000"/>
                <w:sz w:val="22"/>
                <w:szCs w:val="22"/>
              </w:rPr>
            </w:pPr>
            <w:r w:rsidRPr="00075190">
              <w:rPr>
                <w:color w:val="000000"/>
                <w:sz w:val="22"/>
                <w:szCs w:val="22"/>
              </w:rPr>
              <w:t>Médiatique</w:t>
            </w:r>
          </w:p>
        </w:tc>
        <w:tc>
          <w:tcPr>
            <w:tcW w:w="1488"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4,1</w:t>
            </w:r>
          </w:p>
        </w:tc>
        <w:tc>
          <w:tcPr>
            <w:tcW w:w="1417"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8,3</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rPr>
                <w:color w:val="000000"/>
                <w:sz w:val="22"/>
                <w:szCs w:val="22"/>
              </w:rPr>
            </w:pPr>
            <w:r w:rsidRPr="00075190">
              <w:rPr>
                <w:color w:val="000000"/>
                <w:sz w:val="22"/>
                <w:szCs w:val="22"/>
              </w:rPr>
              <w:t>Institutionnelle</w:t>
            </w:r>
          </w:p>
        </w:tc>
        <w:tc>
          <w:tcPr>
            <w:tcW w:w="1488"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6,8</w:t>
            </w:r>
          </w:p>
        </w:tc>
        <w:tc>
          <w:tcPr>
            <w:tcW w:w="1417" w:type="dxa"/>
            <w:shd w:val="clear" w:color="auto" w:fill="auto"/>
            <w:noWrap/>
            <w:vAlign w:val="bottom"/>
            <w:hideMark/>
          </w:tcPr>
          <w:p w:rsidR="00881AB6" w:rsidRPr="00075190" w:rsidRDefault="00881AB6" w:rsidP="002C0C36">
            <w:pPr>
              <w:spacing w:line="360" w:lineRule="auto"/>
              <w:jc w:val="right"/>
              <w:rPr>
                <w:b/>
                <w:color w:val="000000"/>
                <w:sz w:val="22"/>
                <w:szCs w:val="22"/>
              </w:rPr>
            </w:pPr>
            <w:r w:rsidRPr="00075190">
              <w:rPr>
                <w:b/>
                <w:color w:val="000000"/>
                <w:sz w:val="22"/>
                <w:szCs w:val="22"/>
              </w:rPr>
              <w:t>30,6</w:t>
            </w:r>
          </w:p>
        </w:tc>
      </w:tr>
      <w:tr w:rsidR="00881AB6" w:rsidRPr="00075190" w:rsidTr="00087B6F">
        <w:trPr>
          <w:trHeight w:val="320"/>
        </w:trPr>
        <w:tc>
          <w:tcPr>
            <w:tcW w:w="1626" w:type="dxa"/>
            <w:shd w:val="clear" w:color="auto" w:fill="auto"/>
            <w:noWrap/>
            <w:vAlign w:val="bottom"/>
            <w:hideMark/>
          </w:tcPr>
          <w:p w:rsidR="00881AB6" w:rsidRPr="00075190" w:rsidRDefault="00881AB6" w:rsidP="002C0C36">
            <w:pPr>
              <w:spacing w:line="360" w:lineRule="auto"/>
              <w:jc w:val="right"/>
              <w:rPr>
                <w:color w:val="000000"/>
                <w:sz w:val="22"/>
                <w:szCs w:val="22"/>
              </w:rPr>
            </w:pPr>
          </w:p>
        </w:tc>
        <w:tc>
          <w:tcPr>
            <w:tcW w:w="1488"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100 (N =73)</w:t>
            </w:r>
          </w:p>
        </w:tc>
        <w:tc>
          <w:tcPr>
            <w:tcW w:w="1417" w:type="dxa"/>
            <w:shd w:val="clear" w:color="auto" w:fill="auto"/>
            <w:noWrap/>
            <w:vAlign w:val="bottom"/>
            <w:hideMark/>
          </w:tcPr>
          <w:p w:rsidR="00881AB6" w:rsidRPr="00075190" w:rsidRDefault="00881AB6" w:rsidP="002C0C36">
            <w:pPr>
              <w:spacing w:line="360" w:lineRule="auto"/>
              <w:jc w:val="right"/>
              <w:rPr>
                <w:color w:val="000000"/>
                <w:sz w:val="22"/>
                <w:szCs w:val="22"/>
              </w:rPr>
            </w:pPr>
            <w:r w:rsidRPr="00075190">
              <w:rPr>
                <w:color w:val="000000"/>
                <w:sz w:val="22"/>
                <w:szCs w:val="22"/>
              </w:rPr>
              <w:t>100 (N = 121)</w:t>
            </w:r>
          </w:p>
        </w:tc>
      </w:tr>
    </w:tbl>
    <w:p w:rsidR="00881AB6" w:rsidRDefault="00881AB6" w:rsidP="002C0C36">
      <w:pPr>
        <w:spacing w:line="360" w:lineRule="auto"/>
        <w:jc w:val="both"/>
      </w:pPr>
    </w:p>
    <w:p w:rsidR="003A7119" w:rsidRDefault="00564FC7" w:rsidP="002C0C36">
      <w:pPr>
        <w:spacing w:line="360" w:lineRule="auto"/>
        <w:jc w:val="both"/>
      </w:pPr>
      <w:r>
        <w:t xml:space="preserve">L’examen croisé des sources et des genres journalistiques confirment les analyses précédentes. </w:t>
      </w:r>
      <w:r w:rsidR="00A3054D">
        <w:t xml:space="preserve">L’absence de source se concentre dans les </w:t>
      </w:r>
      <w:r w:rsidR="00E06F96">
        <w:t>textes les plus courts (</w:t>
      </w:r>
      <w:r w:rsidR="00A3054D">
        <w:t>brèves</w:t>
      </w:r>
      <w:r w:rsidR="00E06F96">
        <w:t xml:space="preserve"> et</w:t>
      </w:r>
      <w:r w:rsidR="00A3054D">
        <w:t xml:space="preserve"> les filets</w:t>
      </w:r>
      <w:r w:rsidR="00E06F96">
        <w:t>)</w:t>
      </w:r>
      <w:r w:rsidR="00697AAF">
        <w:t xml:space="preserve">. </w:t>
      </w:r>
      <w:r w:rsidR="00E06F96">
        <w:t>L’absence de sources et les acteurs secondaires sont privilégiés dans le corpus aléatoire,</w:t>
      </w:r>
      <w:r w:rsidR="00E06F96" w:rsidRPr="00E06F96">
        <w:t xml:space="preserve"> </w:t>
      </w:r>
      <w:r w:rsidR="00E06F96">
        <w:t xml:space="preserve">vraisemblablement les faits divers. Les informateurs institutionnels sont plus nombreux dans le corpus raisonné et les genres plus réflexifs comme l’enquête. Les acteurs des faits interviennent </w:t>
      </w:r>
      <w:r w:rsidR="00E06F96">
        <w:lastRenderedPageBreak/>
        <w:t xml:space="preserve">dans les interviews, les reportages et les analyses, et donc plus dans le corpus raisonné. Le panel des sources et des genres journalistiques est plus varié au sein du corpus raisonné. </w:t>
      </w:r>
      <w:r w:rsidR="00EE556B">
        <w:t>Les journalistes s</w:t>
      </w:r>
      <w:r w:rsidR="003A7119">
        <w:t xml:space="preserve">ortent des rédactions lors des journées internationales. Les manifestations constituent le terrain. Très peu de reportages se déroulent dans les associations spécifiquement dédiées à la lutte contre les violences. </w:t>
      </w:r>
    </w:p>
    <w:p w:rsidR="008515ED" w:rsidRDefault="008515ED" w:rsidP="002C0C36">
      <w:pPr>
        <w:spacing w:line="360" w:lineRule="auto"/>
        <w:jc w:val="both"/>
      </w:pPr>
    </w:p>
    <w:p w:rsidR="00A9222F" w:rsidRPr="00075190" w:rsidRDefault="00697AAF" w:rsidP="008515ED">
      <w:pPr>
        <w:pStyle w:val="Sarahtableau"/>
        <w:widowControl w:val="0"/>
        <w:spacing w:before="0" w:line="360" w:lineRule="auto"/>
        <w:rPr>
          <w:rFonts w:ascii="Times New Roman" w:hAnsi="Times New Roman"/>
        </w:rPr>
      </w:pPr>
      <w:r w:rsidRPr="00075190">
        <w:rPr>
          <w:rFonts w:ascii="Times New Roman" w:hAnsi="Times New Roman"/>
        </w:rPr>
        <w:t>Tableau 4 : Type de sources en fonction du genre des articles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1"/>
        <w:gridCol w:w="360"/>
        <w:gridCol w:w="1473"/>
        <w:gridCol w:w="360"/>
        <w:gridCol w:w="1411"/>
        <w:gridCol w:w="360"/>
        <w:gridCol w:w="1473"/>
        <w:gridCol w:w="360"/>
      </w:tblGrid>
      <w:tr w:rsidR="003A7119" w:rsidRPr="00075190" w:rsidTr="001F4DA8">
        <w:trPr>
          <w:trHeight w:val="320"/>
        </w:trPr>
        <w:tc>
          <w:tcPr>
            <w:tcW w:w="0" w:type="auto"/>
            <w:gridSpan w:val="4"/>
            <w:shd w:val="clear" w:color="auto" w:fill="auto"/>
            <w:noWrap/>
            <w:hideMark/>
          </w:tcPr>
          <w:p w:rsidR="003A7119" w:rsidRPr="00075190" w:rsidRDefault="003A7119" w:rsidP="001F4DA8">
            <w:pPr>
              <w:spacing w:line="360" w:lineRule="auto"/>
              <w:rPr>
                <w:b/>
                <w:sz w:val="22"/>
                <w:szCs w:val="22"/>
              </w:rPr>
            </w:pPr>
            <w:r w:rsidRPr="00075190">
              <w:rPr>
                <w:b/>
                <w:sz w:val="22"/>
                <w:szCs w:val="22"/>
              </w:rPr>
              <w:t>Corpus aléatoire</w:t>
            </w:r>
          </w:p>
        </w:tc>
        <w:tc>
          <w:tcPr>
            <w:tcW w:w="3604" w:type="dxa"/>
            <w:gridSpan w:val="4"/>
            <w:shd w:val="clear" w:color="auto" w:fill="auto"/>
            <w:noWrap/>
            <w:hideMark/>
          </w:tcPr>
          <w:p w:rsidR="003A7119" w:rsidRPr="00075190" w:rsidRDefault="003A7119" w:rsidP="001F4DA8">
            <w:pPr>
              <w:spacing w:line="360" w:lineRule="auto"/>
              <w:rPr>
                <w:b/>
                <w:sz w:val="22"/>
                <w:szCs w:val="22"/>
              </w:rPr>
            </w:pPr>
            <w:r w:rsidRPr="00075190">
              <w:rPr>
                <w:b/>
                <w:color w:val="000000"/>
                <w:sz w:val="22"/>
                <w:szCs w:val="22"/>
              </w:rPr>
              <w:t>Corpus raisonné</w:t>
            </w:r>
          </w:p>
        </w:tc>
      </w:tr>
      <w:tr w:rsidR="003A7119" w:rsidRPr="00075190" w:rsidTr="001F4DA8">
        <w:trPr>
          <w:trHeight w:val="320"/>
        </w:trPr>
        <w:tc>
          <w:tcPr>
            <w:tcW w:w="0" w:type="auto"/>
            <w:gridSpan w:val="2"/>
            <w:shd w:val="clear" w:color="auto" w:fill="auto"/>
            <w:noWrap/>
          </w:tcPr>
          <w:p w:rsidR="003A7119" w:rsidRPr="00075190" w:rsidRDefault="003A7119" w:rsidP="001F4DA8">
            <w:pPr>
              <w:spacing w:line="360" w:lineRule="auto"/>
              <w:rPr>
                <w:b/>
                <w:color w:val="000000"/>
                <w:sz w:val="22"/>
                <w:szCs w:val="22"/>
              </w:rPr>
            </w:pPr>
            <w:r w:rsidRPr="00075190">
              <w:rPr>
                <w:b/>
                <w:color w:val="000000"/>
                <w:sz w:val="22"/>
                <w:szCs w:val="22"/>
              </w:rPr>
              <w:t>Genre</w:t>
            </w:r>
          </w:p>
        </w:tc>
        <w:tc>
          <w:tcPr>
            <w:tcW w:w="0" w:type="auto"/>
            <w:gridSpan w:val="2"/>
            <w:shd w:val="clear" w:color="auto" w:fill="auto"/>
            <w:noWrap/>
          </w:tcPr>
          <w:p w:rsidR="003A7119" w:rsidRPr="00075190" w:rsidRDefault="003A7119" w:rsidP="001F4DA8">
            <w:pPr>
              <w:spacing w:line="360" w:lineRule="auto"/>
              <w:rPr>
                <w:b/>
                <w:color w:val="000000"/>
                <w:sz w:val="22"/>
                <w:szCs w:val="22"/>
              </w:rPr>
            </w:pPr>
            <w:r w:rsidRPr="00075190">
              <w:rPr>
                <w:b/>
                <w:color w:val="000000"/>
                <w:sz w:val="22"/>
                <w:szCs w:val="22"/>
              </w:rPr>
              <w:t>Source</w:t>
            </w:r>
          </w:p>
        </w:tc>
        <w:tc>
          <w:tcPr>
            <w:tcW w:w="0" w:type="auto"/>
            <w:gridSpan w:val="2"/>
            <w:shd w:val="clear" w:color="auto" w:fill="auto"/>
            <w:noWrap/>
          </w:tcPr>
          <w:p w:rsidR="003A7119" w:rsidRPr="00075190" w:rsidRDefault="003A7119" w:rsidP="001F4DA8">
            <w:pPr>
              <w:spacing w:line="360" w:lineRule="auto"/>
              <w:rPr>
                <w:b/>
                <w:color w:val="000000"/>
                <w:sz w:val="22"/>
                <w:szCs w:val="22"/>
              </w:rPr>
            </w:pPr>
            <w:r w:rsidRPr="00075190">
              <w:rPr>
                <w:b/>
                <w:color w:val="000000"/>
                <w:sz w:val="22"/>
                <w:szCs w:val="22"/>
              </w:rPr>
              <w:t>Genre</w:t>
            </w:r>
          </w:p>
        </w:tc>
        <w:tc>
          <w:tcPr>
            <w:tcW w:w="1833" w:type="dxa"/>
            <w:gridSpan w:val="2"/>
            <w:shd w:val="clear" w:color="auto" w:fill="auto"/>
            <w:noWrap/>
          </w:tcPr>
          <w:p w:rsidR="003A7119" w:rsidRPr="00075190" w:rsidRDefault="003A7119" w:rsidP="001F4DA8">
            <w:pPr>
              <w:spacing w:line="360" w:lineRule="auto"/>
              <w:rPr>
                <w:b/>
                <w:color w:val="000000"/>
                <w:sz w:val="22"/>
                <w:szCs w:val="22"/>
              </w:rPr>
            </w:pPr>
            <w:r w:rsidRPr="00075190">
              <w:rPr>
                <w:b/>
                <w:color w:val="000000"/>
                <w:sz w:val="22"/>
                <w:szCs w:val="22"/>
              </w:rPr>
              <w:t>Source</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Brèves</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32</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sidRPr="00075190">
              <w:rPr>
                <w:color w:val="000000"/>
                <w:sz w:val="22"/>
                <w:szCs w:val="22"/>
              </w:rPr>
              <w:t>Aucune</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Pr>
                <w:color w:val="000000"/>
                <w:sz w:val="22"/>
                <w:szCs w:val="22"/>
              </w:rPr>
              <w:t>14</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Brèves</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58</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sidRPr="00075190">
              <w:rPr>
                <w:color w:val="000000"/>
                <w:sz w:val="22"/>
                <w:szCs w:val="22"/>
              </w:rPr>
              <w:t>Aucune</w:t>
            </w:r>
          </w:p>
        </w:tc>
        <w:tc>
          <w:tcPr>
            <w:tcW w:w="360" w:type="dxa"/>
            <w:shd w:val="clear" w:color="auto" w:fill="D9D9D9" w:themeFill="background1" w:themeFillShade="D9"/>
            <w:noWrap/>
            <w:hideMark/>
          </w:tcPr>
          <w:p w:rsidR="003A7119" w:rsidRPr="00075190" w:rsidRDefault="003A7119" w:rsidP="001F4DA8">
            <w:pPr>
              <w:spacing w:line="360" w:lineRule="auto"/>
              <w:rPr>
                <w:color w:val="000000"/>
                <w:sz w:val="22"/>
                <w:szCs w:val="22"/>
              </w:rPr>
            </w:pPr>
            <w:r>
              <w:rPr>
                <w:color w:val="000000"/>
                <w:sz w:val="22"/>
                <w:szCs w:val="22"/>
              </w:rPr>
              <w:t>25</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E06F96" w:rsidP="001F4DA8">
            <w:pPr>
              <w:spacing w:line="360" w:lineRule="auto"/>
              <w:rPr>
                <w:color w:val="000000"/>
                <w:sz w:val="22"/>
                <w:szCs w:val="22"/>
              </w:rPr>
            </w:pPr>
            <w:r w:rsidRPr="00075190">
              <w:rPr>
                <w:color w:val="000000"/>
                <w:sz w:val="22"/>
                <w:szCs w:val="22"/>
              </w:rPr>
              <w:t xml:space="preserve">Secondaire </w:t>
            </w:r>
          </w:p>
        </w:tc>
        <w:tc>
          <w:tcPr>
            <w:tcW w:w="0" w:type="auto"/>
            <w:shd w:val="clear" w:color="auto" w:fill="auto"/>
            <w:noWrap/>
            <w:hideMark/>
          </w:tcPr>
          <w:p w:rsidR="003A7119" w:rsidRPr="00075190" w:rsidRDefault="00E06F96" w:rsidP="001F4DA8">
            <w:pPr>
              <w:spacing w:line="360" w:lineRule="auto"/>
              <w:rPr>
                <w:color w:val="000000"/>
                <w:sz w:val="22"/>
                <w:szCs w:val="22"/>
              </w:rPr>
            </w:pPr>
            <w:r>
              <w:rPr>
                <w:color w:val="000000"/>
                <w:sz w:val="22"/>
                <w:szCs w:val="22"/>
              </w:rPr>
              <w:t>9</w:t>
            </w: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360" w:type="dxa"/>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13</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E06F96" w:rsidP="001F4DA8">
            <w:pPr>
              <w:spacing w:line="360" w:lineRule="auto"/>
              <w:rPr>
                <w:color w:val="000000"/>
                <w:sz w:val="22"/>
                <w:szCs w:val="22"/>
              </w:rPr>
            </w:pPr>
            <w:r w:rsidRPr="00075190">
              <w:rPr>
                <w:color w:val="000000"/>
                <w:sz w:val="22"/>
                <w:szCs w:val="22"/>
              </w:rPr>
              <w:t>Primaire</w:t>
            </w:r>
          </w:p>
        </w:tc>
        <w:tc>
          <w:tcPr>
            <w:tcW w:w="0" w:type="auto"/>
            <w:shd w:val="clear" w:color="auto" w:fill="auto"/>
            <w:noWrap/>
            <w:hideMark/>
          </w:tcPr>
          <w:p w:rsidR="003A7119" w:rsidRPr="00075190" w:rsidRDefault="00E06F96" w:rsidP="001F4DA8">
            <w:pPr>
              <w:spacing w:line="360" w:lineRule="auto"/>
              <w:rPr>
                <w:color w:val="000000"/>
                <w:sz w:val="22"/>
                <w:szCs w:val="22"/>
              </w:rPr>
            </w:pPr>
            <w:r>
              <w:rPr>
                <w:color w:val="000000"/>
                <w:sz w:val="22"/>
                <w:szCs w:val="22"/>
              </w:rPr>
              <w:t>5</w:t>
            </w: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Secondaire</w:t>
            </w:r>
          </w:p>
        </w:tc>
        <w:tc>
          <w:tcPr>
            <w:tcW w:w="360" w:type="dxa"/>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12</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Médiatique</w:t>
            </w:r>
          </w:p>
        </w:tc>
        <w:tc>
          <w:tcPr>
            <w:tcW w:w="0" w:type="auto"/>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4</w:t>
            </w: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Médiatique</w:t>
            </w:r>
          </w:p>
        </w:tc>
        <w:tc>
          <w:tcPr>
            <w:tcW w:w="360" w:type="dxa"/>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4</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360" w:type="dxa"/>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r>
              <w:rPr>
                <w:color w:val="000000"/>
                <w:sz w:val="22"/>
                <w:szCs w:val="22"/>
              </w:rPr>
              <w:t>4</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Compte-rendu</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30</w:t>
            </w:r>
          </w:p>
        </w:tc>
        <w:tc>
          <w:tcPr>
            <w:tcW w:w="0" w:type="auto"/>
            <w:shd w:val="clear" w:color="auto" w:fill="D9D9D9" w:themeFill="background1" w:themeFillShade="D9"/>
            <w:noWrap/>
            <w:hideMark/>
          </w:tcPr>
          <w:p w:rsidR="003A7119" w:rsidRPr="00075190" w:rsidRDefault="00E06F96" w:rsidP="001F4DA8">
            <w:pPr>
              <w:spacing w:line="360" w:lineRule="auto"/>
              <w:rPr>
                <w:color w:val="000000"/>
                <w:sz w:val="22"/>
                <w:szCs w:val="22"/>
              </w:rPr>
            </w:pPr>
            <w:r w:rsidRPr="00075190">
              <w:rPr>
                <w:color w:val="000000"/>
                <w:sz w:val="22"/>
                <w:szCs w:val="22"/>
              </w:rPr>
              <w:t xml:space="preserve">Secondaire </w:t>
            </w:r>
          </w:p>
        </w:tc>
        <w:tc>
          <w:tcPr>
            <w:tcW w:w="0" w:type="auto"/>
            <w:shd w:val="clear" w:color="auto" w:fill="D9D9D9" w:themeFill="background1" w:themeFillShade="D9"/>
            <w:noWrap/>
            <w:hideMark/>
          </w:tcPr>
          <w:p w:rsidR="003A7119" w:rsidRPr="00075190" w:rsidRDefault="00E06F96" w:rsidP="001F4DA8">
            <w:pPr>
              <w:spacing w:line="360" w:lineRule="auto"/>
              <w:rPr>
                <w:color w:val="000000"/>
                <w:sz w:val="22"/>
                <w:szCs w:val="22"/>
              </w:rPr>
            </w:pPr>
            <w:r>
              <w:rPr>
                <w:color w:val="000000"/>
                <w:sz w:val="22"/>
                <w:szCs w:val="22"/>
              </w:rPr>
              <w:t>16</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Compte-rendu</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26</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7</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0" w:type="auto"/>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7</w:t>
            </w: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360" w:type="dxa"/>
            <w:shd w:val="clear" w:color="auto" w:fill="auto"/>
            <w:noWrap/>
          </w:tcPr>
          <w:p w:rsidR="003A7119" w:rsidRPr="00075190" w:rsidRDefault="003A7119" w:rsidP="001F4DA8">
            <w:pPr>
              <w:spacing w:line="360" w:lineRule="auto"/>
              <w:rPr>
                <w:color w:val="000000"/>
                <w:sz w:val="22"/>
                <w:szCs w:val="22"/>
              </w:rPr>
            </w:pPr>
            <w:r>
              <w:rPr>
                <w:color w:val="000000"/>
                <w:sz w:val="22"/>
                <w:szCs w:val="22"/>
              </w:rPr>
              <w:t>6</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E06F96" w:rsidP="001F4DA8">
            <w:pPr>
              <w:spacing w:line="360" w:lineRule="auto"/>
              <w:rPr>
                <w:color w:val="000000"/>
                <w:sz w:val="22"/>
                <w:szCs w:val="22"/>
              </w:rPr>
            </w:pPr>
            <w:r w:rsidRPr="00075190">
              <w:rPr>
                <w:color w:val="000000"/>
                <w:sz w:val="22"/>
                <w:szCs w:val="22"/>
              </w:rPr>
              <w:t>Aucune</w:t>
            </w:r>
          </w:p>
        </w:tc>
        <w:tc>
          <w:tcPr>
            <w:tcW w:w="0" w:type="auto"/>
            <w:shd w:val="clear" w:color="auto" w:fill="auto"/>
            <w:noWrap/>
            <w:hideMark/>
          </w:tcPr>
          <w:p w:rsidR="003A7119" w:rsidRPr="00075190" w:rsidRDefault="00E06F96" w:rsidP="001F4DA8">
            <w:pPr>
              <w:spacing w:line="360" w:lineRule="auto"/>
              <w:rPr>
                <w:color w:val="000000"/>
                <w:sz w:val="22"/>
                <w:szCs w:val="22"/>
              </w:rPr>
            </w:pPr>
            <w:r>
              <w:rPr>
                <w:color w:val="000000"/>
                <w:sz w:val="22"/>
                <w:szCs w:val="22"/>
              </w:rPr>
              <w:t>7</w:t>
            </w: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Secondaire</w:t>
            </w:r>
          </w:p>
        </w:tc>
        <w:tc>
          <w:tcPr>
            <w:tcW w:w="360" w:type="dxa"/>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6</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Aucune</w:t>
            </w:r>
          </w:p>
        </w:tc>
        <w:tc>
          <w:tcPr>
            <w:tcW w:w="360" w:type="dxa"/>
            <w:shd w:val="clear" w:color="auto" w:fill="auto"/>
            <w:noWrap/>
          </w:tcPr>
          <w:p w:rsidR="003A7119" w:rsidRPr="00075190" w:rsidRDefault="003A7119" w:rsidP="001F4DA8">
            <w:pPr>
              <w:spacing w:line="360" w:lineRule="auto"/>
              <w:rPr>
                <w:color w:val="000000"/>
                <w:sz w:val="22"/>
                <w:szCs w:val="22"/>
              </w:rPr>
            </w:pPr>
            <w:r>
              <w:rPr>
                <w:color w:val="000000"/>
                <w:sz w:val="22"/>
                <w:szCs w:val="22"/>
              </w:rPr>
              <w:t>5</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Médiatique</w:t>
            </w:r>
          </w:p>
        </w:tc>
        <w:tc>
          <w:tcPr>
            <w:tcW w:w="360" w:type="dxa"/>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r>
              <w:rPr>
                <w:color w:val="000000"/>
                <w:sz w:val="22"/>
                <w:szCs w:val="22"/>
              </w:rPr>
              <w:t>2</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Analyse</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6</w:t>
            </w: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0" w:type="auto"/>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2</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Interview</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11</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6</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Secondaire</w:t>
            </w: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2</w:t>
            </w: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Secondaire</w:t>
            </w:r>
          </w:p>
        </w:tc>
        <w:tc>
          <w:tcPr>
            <w:tcW w:w="360" w:type="dxa"/>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2</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2</w:t>
            </w: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Médiatique</w:t>
            </w:r>
          </w:p>
        </w:tc>
        <w:tc>
          <w:tcPr>
            <w:tcW w:w="360" w:type="dxa"/>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2</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360" w:type="dxa"/>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1</w:t>
            </w:r>
          </w:p>
        </w:tc>
      </w:tr>
      <w:tr w:rsidR="003A7119" w:rsidTr="001F4DA8">
        <w:trPr>
          <w:trHeight w:val="320"/>
        </w:trPr>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Enquête</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2</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2</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Analyse</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8</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7</w:t>
            </w:r>
          </w:p>
        </w:tc>
      </w:tr>
      <w:tr w:rsidR="003A7119" w:rsidTr="001F4DA8">
        <w:trPr>
          <w:trHeight w:val="320"/>
        </w:trPr>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sz w:val="22"/>
                <w:szCs w:val="22"/>
              </w:rPr>
            </w:pPr>
          </w:p>
        </w:tc>
        <w:tc>
          <w:tcPr>
            <w:tcW w:w="0" w:type="auto"/>
            <w:vMerge/>
            <w:shd w:val="clear" w:color="auto" w:fill="auto"/>
            <w:noWrap/>
          </w:tcPr>
          <w:p w:rsidR="003A7119" w:rsidRPr="00075190" w:rsidRDefault="003A7119" w:rsidP="001F4DA8">
            <w:pPr>
              <w:spacing w:line="360" w:lineRule="auto"/>
              <w:rPr>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sz w:val="22"/>
                <w:szCs w:val="22"/>
              </w:rPr>
            </w:pPr>
            <w:r w:rsidRPr="00075190">
              <w:rPr>
                <w:color w:val="000000"/>
                <w:sz w:val="22"/>
                <w:szCs w:val="22"/>
              </w:rPr>
              <w:t>Primaire</w:t>
            </w:r>
          </w:p>
        </w:tc>
        <w:tc>
          <w:tcPr>
            <w:tcW w:w="360" w:type="dxa"/>
            <w:tcBorders>
              <w:bottom w:val="single" w:sz="4" w:space="0" w:color="auto"/>
            </w:tcBorders>
            <w:shd w:val="clear" w:color="auto" w:fill="auto"/>
            <w:noWrap/>
          </w:tcPr>
          <w:p w:rsidR="003A7119" w:rsidRPr="00075190" w:rsidRDefault="003A7119" w:rsidP="001F4DA8">
            <w:pPr>
              <w:spacing w:line="360" w:lineRule="auto"/>
              <w:rPr>
                <w:sz w:val="22"/>
                <w:szCs w:val="22"/>
              </w:rPr>
            </w:pPr>
            <w:r>
              <w:rPr>
                <w:sz w:val="22"/>
                <w:szCs w:val="22"/>
              </w:rPr>
              <w:t>1</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Interview</w:t>
            </w:r>
            <w:r w:rsidRPr="00075190">
              <w:rPr>
                <w:color w:val="000000"/>
                <w:sz w:val="22"/>
                <w:szCs w:val="22"/>
              </w:rPr>
              <w:t> </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1</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Pr>
                <w:color w:val="000000"/>
                <w:sz w:val="22"/>
                <w:szCs w:val="22"/>
              </w:rPr>
              <w:t>1</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Enquête</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6</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Institutionnelle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5</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tcPr>
          <w:p w:rsidR="003A7119" w:rsidRPr="00075190" w:rsidRDefault="003A7119" w:rsidP="001F4DA8">
            <w:pPr>
              <w:spacing w:line="360" w:lineRule="auto"/>
              <w:rPr>
                <w:sz w:val="22"/>
                <w:szCs w:val="22"/>
              </w:rPr>
            </w:pPr>
          </w:p>
        </w:tc>
        <w:tc>
          <w:tcPr>
            <w:tcW w:w="0" w:type="auto"/>
            <w:vMerge/>
            <w:shd w:val="clear" w:color="auto" w:fill="auto"/>
            <w:noWrap/>
          </w:tcPr>
          <w:p w:rsidR="003A7119" w:rsidRPr="00075190" w:rsidRDefault="003A7119" w:rsidP="001F4DA8">
            <w:pPr>
              <w:spacing w:line="360" w:lineRule="auto"/>
              <w:rPr>
                <w:sz w:val="22"/>
                <w:szCs w:val="22"/>
              </w:rPr>
            </w:pPr>
          </w:p>
        </w:tc>
        <w:tc>
          <w:tcPr>
            <w:tcW w:w="0" w:type="auto"/>
            <w:tcBorders>
              <w:bottom w:val="single" w:sz="4" w:space="0" w:color="auto"/>
            </w:tcBorders>
            <w:shd w:val="clear" w:color="auto" w:fill="auto"/>
            <w:noWrap/>
          </w:tcPr>
          <w:p w:rsidR="003A7119" w:rsidRPr="00075190" w:rsidRDefault="003A7119" w:rsidP="001F4DA8">
            <w:pPr>
              <w:spacing w:line="360" w:lineRule="auto"/>
              <w:rPr>
                <w:sz w:val="22"/>
                <w:szCs w:val="22"/>
              </w:rPr>
            </w:pPr>
            <w:r w:rsidRPr="00075190">
              <w:rPr>
                <w:color w:val="000000"/>
                <w:sz w:val="22"/>
                <w:szCs w:val="22"/>
              </w:rPr>
              <w:t>Secondaire</w:t>
            </w:r>
          </w:p>
        </w:tc>
        <w:tc>
          <w:tcPr>
            <w:tcW w:w="360" w:type="dxa"/>
            <w:tcBorders>
              <w:bottom w:val="single" w:sz="4" w:space="0" w:color="auto"/>
            </w:tcBorders>
            <w:shd w:val="clear" w:color="auto" w:fill="auto"/>
            <w:noWrap/>
          </w:tcPr>
          <w:p w:rsidR="003A7119" w:rsidRPr="00075190" w:rsidRDefault="003A7119" w:rsidP="001F4DA8">
            <w:pPr>
              <w:spacing w:line="360" w:lineRule="auto"/>
              <w:rPr>
                <w:sz w:val="22"/>
                <w:szCs w:val="22"/>
              </w:rPr>
            </w:pPr>
            <w:r>
              <w:rPr>
                <w:sz w:val="22"/>
                <w:szCs w:val="22"/>
              </w:rPr>
              <w:t>1</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sidRPr="00075190">
              <w:rPr>
                <w:color w:val="000000"/>
                <w:sz w:val="22"/>
                <w:szCs w:val="22"/>
              </w:rPr>
              <w:t>Filet</w:t>
            </w: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r>
              <w:rPr>
                <w:color w:val="000000"/>
                <w:sz w:val="22"/>
                <w:szCs w:val="22"/>
              </w:rPr>
              <w:t>1</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sidRPr="00075190">
              <w:rPr>
                <w:color w:val="000000"/>
                <w:sz w:val="22"/>
                <w:szCs w:val="22"/>
              </w:rPr>
              <w:t>Aucune</w:t>
            </w:r>
          </w:p>
        </w:tc>
        <w:tc>
          <w:tcPr>
            <w:tcW w:w="0" w:type="auto"/>
            <w:shd w:val="clear" w:color="auto" w:fill="D9D9D9" w:themeFill="background1" w:themeFillShade="D9"/>
            <w:noWrap/>
            <w:hideMark/>
          </w:tcPr>
          <w:p w:rsidR="003A7119" w:rsidRPr="00075190" w:rsidRDefault="003A7119" w:rsidP="001F4DA8">
            <w:pPr>
              <w:spacing w:line="360" w:lineRule="auto"/>
              <w:rPr>
                <w:color w:val="000000"/>
                <w:sz w:val="22"/>
                <w:szCs w:val="22"/>
              </w:rPr>
            </w:pPr>
            <w:r>
              <w:rPr>
                <w:color w:val="000000"/>
                <w:sz w:val="22"/>
                <w:szCs w:val="22"/>
              </w:rPr>
              <w:t>1</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Filet</w:t>
            </w:r>
          </w:p>
        </w:tc>
        <w:tc>
          <w:tcPr>
            <w:tcW w:w="0" w:type="auto"/>
            <w:vMerge w:val="restart"/>
            <w:shd w:val="clear" w:color="auto" w:fill="auto"/>
            <w:noWrap/>
          </w:tcPr>
          <w:p w:rsidR="003A7119" w:rsidRPr="00075190" w:rsidRDefault="003A7119" w:rsidP="001F4DA8">
            <w:pPr>
              <w:spacing w:line="360" w:lineRule="auto"/>
              <w:rPr>
                <w:color w:val="000000"/>
                <w:sz w:val="22"/>
                <w:szCs w:val="22"/>
              </w:rPr>
            </w:pPr>
            <w:r>
              <w:rPr>
                <w:color w:val="000000"/>
                <w:sz w:val="22"/>
                <w:szCs w:val="22"/>
              </w:rPr>
              <w:t>5</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Aucune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3</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sz w:val="22"/>
                <w:szCs w:val="22"/>
              </w:rPr>
            </w:pPr>
          </w:p>
        </w:tc>
        <w:tc>
          <w:tcPr>
            <w:tcW w:w="0" w:type="auto"/>
            <w:vMerge/>
            <w:shd w:val="clear" w:color="auto" w:fill="auto"/>
            <w:noWrap/>
            <w:hideMark/>
          </w:tcPr>
          <w:p w:rsidR="003A7119" w:rsidRPr="00075190" w:rsidRDefault="003A7119" w:rsidP="001F4DA8">
            <w:pPr>
              <w:spacing w:line="360" w:lineRule="auto"/>
              <w:rPr>
                <w:sz w:val="22"/>
                <w:szCs w:val="22"/>
              </w:rPr>
            </w:pPr>
          </w:p>
        </w:tc>
        <w:tc>
          <w:tcPr>
            <w:tcW w:w="0" w:type="auto"/>
            <w:tcBorders>
              <w:bottom w:val="single" w:sz="4" w:space="0" w:color="auto"/>
            </w:tcBorders>
            <w:shd w:val="clear" w:color="auto" w:fill="auto"/>
            <w:noWrap/>
            <w:hideMark/>
          </w:tcPr>
          <w:p w:rsidR="003A7119" w:rsidRPr="00075190" w:rsidRDefault="003A7119" w:rsidP="001F4DA8">
            <w:pPr>
              <w:spacing w:line="360" w:lineRule="auto"/>
              <w:rPr>
                <w:sz w:val="22"/>
                <w:szCs w:val="22"/>
              </w:rPr>
            </w:pPr>
            <w:r w:rsidRPr="00075190">
              <w:rPr>
                <w:color w:val="000000"/>
                <w:sz w:val="22"/>
                <w:szCs w:val="22"/>
              </w:rPr>
              <w:t>Institutionnelle</w:t>
            </w:r>
          </w:p>
        </w:tc>
        <w:tc>
          <w:tcPr>
            <w:tcW w:w="360" w:type="dxa"/>
            <w:tcBorders>
              <w:bottom w:val="single" w:sz="4" w:space="0" w:color="auto"/>
            </w:tcBorders>
            <w:shd w:val="clear" w:color="auto" w:fill="auto"/>
            <w:noWrap/>
            <w:hideMark/>
          </w:tcPr>
          <w:p w:rsidR="003A7119" w:rsidRPr="00075190" w:rsidRDefault="003A7119" w:rsidP="001F4DA8">
            <w:pPr>
              <w:spacing w:line="360" w:lineRule="auto"/>
              <w:rPr>
                <w:sz w:val="22"/>
                <w:szCs w:val="22"/>
              </w:rPr>
            </w:pPr>
            <w:r>
              <w:rPr>
                <w:sz w:val="22"/>
                <w:szCs w:val="22"/>
              </w:rPr>
              <w:t>2</w:t>
            </w:r>
          </w:p>
        </w:tc>
      </w:tr>
      <w:tr w:rsidR="003A7119" w:rsidTr="001F4DA8">
        <w:trPr>
          <w:trHeight w:val="320"/>
        </w:trPr>
        <w:tc>
          <w:tcPr>
            <w:tcW w:w="0" w:type="auto"/>
            <w:vMerge w:val="restart"/>
            <w:shd w:val="clear" w:color="auto" w:fill="auto"/>
            <w:noWrap/>
            <w:hideMark/>
          </w:tcPr>
          <w:p w:rsidR="003A7119" w:rsidRPr="00075190" w:rsidRDefault="003A7119" w:rsidP="001F4DA8">
            <w:pPr>
              <w:spacing w:line="360" w:lineRule="auto"/>
              <w:rPr>
                <w:color w:val="000000"/>
                <w:sz w:val="22"/>
                <w:szCs w:val="22"/>
              </w:rPr>
            </w:pPr>
          </w:p>
        </w:tc>
        <w:tc>
          <w:tcPr>
            <w:tcW w:w="0" w:type="auto"/>
            <w:vMerge w:val="restart"/>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r w:rsidRPr="00075190">
              <w:rPr>
                <w:color w:val="000000"/>
                <w:sz w:val="22"/>
                <w:szCs w:val="22"/>
              </w:rPr>
              <w:t>Reportage</w:t>
            </w:r>
          </w:p>
        </w:tc>
        <w:tc>
          <w:tcPr>
            <w:tcW w:w="0" w:type="auto"/>
            <w:shd w:val="clear" w:color="auto" w:fill="auto"/>
            <w:noWrap/>
          </w:tcPr>
          <w:p w:rsidR="003A7119" w:rsidRPr="00075190" w:rsidRDefault="003A7119" w:rsidP="001F4DA8">
            <w:pPr>
              <w:spacing w:line="360" w:lineRule="auto"/>
              <w:rPr>
                <w:color w:val="000000"/>
                <w:sz w:val="22"/>
                <w:szCs w:val="22"/>
              </w:rPr>
            </w:pPr>
            <w:r>
              <w:rPr>
                <w:color w:val="000000"/>
                <w:sz w:val="22"/>
                <w:szCs w:val="22"/>
              </w:rPr>
              <w:t>3</w:t>
            </w:r>
          </w:p>
        </w:tc>
        <w:tc>
          <w:tcPr>
            <w:tcW w:w="0" w:type="auto"/>
            <w:shd w:val="clear" w:color="auto" w:fill="D9D9D9" w:themeFill="background1" w:themeFillShade="D9"/>
            <w:noWrap/>
          </w:tcPr>
          <w:p w:rsidR="003A7119" w:rsidRPr="00075190" w:rsidRDefault="003A7119" w:rsidP="001F4DA8">
            <w:pPr>
              <w:spacing w:line="360" w:lineRule="auto"/>
              <w:rPr>
                <w:color w:val="000000"/>
                <w:sz w:val="22"/>
                <w:szCs w:val="22"/>
              </w:rPr>
            </w:pPr>
            <w:r w:rsidRPr="00075190">
              <w:rPr>
                <w:color w:val="000000"/>
                <w:sz w:val="22"/>
                <w:szCs w:val="22"/>
              </w:rPr>
              <w:t>Primaire</w:t>
            </w:r>
          </w:p>
        </w:tc>
        <w:tc>
          <w:tcPr>
            <w:tcW w:w="360" w:type="dxa"/>
            <w:shd w:val="clear" w:color="auto" w:fill="D9D9D9" w:themeFill="background1" w:themeFillShade="D9"/>
            <w:noWrap/>
          </w:tcPr>
          <w:p w:rsidR="003A7119" w:rsidRPr="00075190" w:rsidRDefault="003A7119" w:rsidP="001F4DA8">
            <w:pPr>
              <w:spacing w:line="360" w:lineRule="auto"/>
              <w:rPr>
                <w:color w:val="000000"/>
                <w:sz w:val="22"/>
                <w:szCs w:val="22"/>
              </w:rPr>
            </w:pPr>
            <w:r>
              <w:rPr>
                <w:color w:val="000000"/>
                <w:sz w:val="22"/>
                <w:szCs w:val="22"/>
              </w:rPr>
              <w:t>2</w:t>
            </w:r>
          </w:p>
        </w:tc>
      </w:tr>
      <w:tr w:rsidR="003A7119" w:rsidTr="001F4DA8">
        <w:trPr>
          <w:trHeight w:val="320"/>
        </w:trPr>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vMerge/>
            <w:shd w:val="clear" w:color="auto" w:fill="auto"/>
            <w:noWrap/>
            <w:hideMark/>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tcPr>
          <w:p w:rsidR="003A7119" w:rsidRPr="00075190" w:rsidRDefault="003A7119" w:rsidP="001F4DA8">
            <w:pPr>
              <w:spacing w:line="360" w:lineRule="auto"/>
              <w:rPr>
                <w:color w:val="000000"/>
                <w:sz w:val="22"/>
                <w:szCs w:val="22"/>
              </w:rPr>
            </w:pPr>
          </w:p>
        </w:tc>
        <w:tc>
          <w:tcPr>
            <w:tcW w:w="0" w:type="auto"/>
            <w:shd w:val="clear" w:color="auto" w:fill="auto"/>
            <w:noWrap/>
            <w:hideMark/>
          </w:tcPr>
          <w:p w:rsidR="003A7119" w:rsidRPr="00075190" w:rsidRDefault="003A7119" w:rsidP="001F4DA8">
            <w:pPr>
              <w:spacing w:line="360" w:lineRule="auto"/>
              <w:rPr>
                <w:sz w:val="22"/>
                <w:szCs w:val="22"/>
              </w:rPr>
            </w:pPr>
          </w:p>
        </w:tc>
        <w:tc>
          <w:tcPr>
            <w:tcW w:w="0" w:type="auto"/>
            <w:shd w:val="clear" w:color="auto" w:fill="auto"/>
            <w:noWrap/>
            <w:hideMark/>
          </w:tcPr>
          <w:p w:rsidR="003A7119" w:rsidRPr="00075190" w:rsidRDefault="003A7119" w:rsidP="001F4DA8">
            <w:pPr>
              <w:spacing w:line="360" w:lineRule="auto"/>
              <w:rPr>
                <w:sz w:val="22"/>
                <w:szCs w:val="22"/>
              </w:rPr>
            </w:pPr>
          </w:p>
        </w:tc>
        <w:tc>
          <w:tcPr>
            <w:tcW w:w="0" w:type="auto"/>
            <w:shd w:val="clear" w:color="auto" w:fill="auto"/>
            <w:noWrap/>
            <w:hideMark/>
          </w:tcPr>
          <w:p w:rsidR="003A7119" w:rsidRPr="00075190" w:rsidRDefault="003A7119" w:rsidP="001F4DA8">
            <w:pPr>
              <w:spacing w:line="360" w:lineRule="auto"/>
              <w:rPr>
                <w:sz w:val="22"/>
                <w:szCs w:val="22"/>
              </w:rPr>
            </w:pPr>
            <w:r w:rsidRPr="00075190">
              <w:rPr>
                <w:color w:val="000000"/>
                <w:sz w:val="22"/>
                <w:szCs w:val="22"/>
              </w:rPr>
              <w:t>Institutionnelle</w:t>
            </w:r>
          </w:p>
        </w:tc>
        <w:tc>
          <w:tcPr>
            <w:tcW w:w="360" w:type="dxa"/>
            <w:shd w:val="clear" w:color="auto" w:fill="auto"/>
            <w:noWrap/>
            <w:hideMark/>
          </w:tcPr>
          <w:p w:rsidR="003A7119" w:rsidRPr="00075190" w:rsidRDefault="003A7119" w:rsidP="001F4DA8">
            <w:pPr>
              <w:spacing w:line="360" w:lineRule="auto"/>
              <w:rPr>
                <w:sz w:val="22"/>
                <w:szCs w:val="22"/>
              </w:rPr>
            </w:pPr>
            <w:r>
              <w:rPr>
                <w:sz w:val="22"/>
                <w:szCs w:val="22"/>
              </w:rPr>
              <w:t>1</w:t>
            </w:r>
          </w:p>
        </w:tc>
      </w:tr>
    </w:tbl>
    <w:p w:rsidR="00892E5F" w:rsidRDefault="00EE556B" w:rsidP="002C0C36">
      <w:pPr>
        <w:spacing w:line="360" w:lineRule="auto"/>
        <w:jc w:val="both"/>
        <w:rPr>
          <w:i/>
        </w:rPr>
      </w:pPr>
      <w:r w:rsidRPr="00EE556B">
        <w:rPr>
          <w:i/>
        </w:rPr>
        <w:t>NB : uniquement les articles informationnels (les opinions et commentaires sont exclus)</w:t>
      </w:r>
    </w:p>
    <w:p w:rsidR="00075190" w:rsidRPr="00EE556B" w:rsidRDefault="00075190" w:rsidP="002C0C36">
      <w:pPr>
        <w:spacing w:line="360" w:lineRule="auto"/>
        <w:jc w:val="both"/>
        <w:rPr>
          <w:i/>
        </w:rPr>
      </w:pPr>
    </w:p>
    <w:p w:rsidR="00A9222F" w:rsidRDefault="00052F4C" w:rsidP="002C0C36">
      <w:pPr>
        <w:spacing w:line="360" w:lineRule="auto"/>
        <w:jc w:val="both"/>
      </w:pPr>
      <w:r>
        <w:t xml:space="preserve">Certaines sources </w:t>
      </w:r>
      <w:r w:rsidR="00233D30">
        <w:t xml:space="preserve">entre directement en dialogue avec le </w:t>
      </w:r>
      <w:r>
        <w:t>journaliste lors d’interview</w:t>
      </w:r>
      <w:r w:rsidR="00075190">
        <w:t>s</w:t>
      </w:r>
      <w:r>
        <w:t xml:space="preserve"> ou de </w:t>
      </w:r>
      <w:r w:rsidR="00233D30">
        <w:t>discussions</w:t>
      </w:r>
      <w:r>
        <w:t xml:space="preserve"> sur le terrain (</w:t>
      </w:r>
      <w:r w:rsidR="00233D30">
        <w:t>“</w:t>
      </w:r>
      <w:r>
        <w:t>citation</w:t>
      </w:r>
      <w:r w:rsidR="00233D30">
        <w:t>” dans le tableau 5</w:t>
      </w:r>
      <w:r>
        <w:t>). D’autres sont entendues</w:t>
      </w:r>
      <w:r w:rsidR="00233D30">
        <w:t xml:space="preserve"> lors des procès </w:t>
      </w:r>
      <w:r w:rsidR="00233D30">
        <w:lastRenderedPageBreak/>
        <w:t>ou des conférences de presse ou lues</w:t>
      </w:r>
      <w:r>
        <w:t xml:space="preserve"> </w:t>
      </w:r>
      <w:r w:rsidR="00196294">
        <w:t xml:space="preserve">dans </w:t>
      </w:r>
      <w:r w:rsidR="00233D30">
        <w:t>des documents.</w:t>
      </w:r>
      <w:r w:rsidR="00196294">
        <w:t xml:space="preserve"> Enfin</w:t>
      </w:r>
      <w:r w:rsidR="00233D30">
        <w:t>,</w:t>
      </w:r>
      <w:r w:rsidR="00196294">
        <w:t xml:space="preserve"> l’origine de l’information n’est pas </w:t>
      </w:r>
      <w:r w:rsidR="00233D30">
        <w:t>toujours</w:t>
      </w:r>
      <w:r w:rsidR="00196294">
        <w:t xml:space="preserve"> explicitée (</w:t>
      </w:r>
      <w:r w:rsidR="00233D30">
        <w:t>“</w:t>
      </w:r>
      <w:r w:rsidR="00196294">
        <w:t>pas précisé</w:t>
      </w:r>
      <w:r w:rsidR="00233D30">
        <w:t>”</w:t>
      </w:r>
      <w:r w:rsidR="00196294">
        <w:t xml:space="preserve">). </w:t>
      </w:r>
      <w:r w:rsidR="00233D30">
        <w:t xml:space="preserve">Les sources primaires et secondaires sont citées et entendues, ce qui signifient que les rédacteurs les rencontrent en personne ou prennent note durant les procès et les conférence de presse. Les sources institutionnelles sont celles qui font le plus l’objet d’un entretien particulier. </w:t>
      </w:r>
      <w:r w:rsidR="00E05397">
        <w:t xml:space="preserve">Ceci est également corrélé au genre des articles. En effet, les </w:t>
      </w:r>
      <w:r w:rsidR="003A21CA">
        <w:t xml:space="preserve">journalistes présentent les </w:t>
      </w:r>
      <w:r w:rsidR="00E05397">
        <w:t xml:space="preserve">faits divers </w:t>
      </w:r>
      <w:r w:rsidR="003A21CA">
        <w:t>au moment où ils apparaissent (il s’agit alors de conférence de presse de la police ou du parquet) et lors du procès. Alors que les institutions sont rencontrées dans le cadre d’articles où la démarche de terrain domine.</w:t>
      </w:r>
    </w:p>
    <w:p w:rsidR="008515ED" w:rsidRDefault="008515ED" w:rsidP="002C0C36">
      <w:pPr>
        <w:spacing w:line="360" w:lineRule="auto"/>
        <w:jc w:val="both"/>
      </w:pPr>
    </w:p>
    <w:p w:rsidR="00EE556B" w:rsidRPr="00075190" w:rsidRDefault="00052F4C" w:rsidP="008515ED">
      <w:pPr>
        <w:pStyle w:val="Sarahtableau"/>
        <w:widowControl w:val="0"/>
        <w:spacing w:before="0" w:line="360" w:lineRule="auto"/>
        <w:rPr>
          <w:rFonts w:ascii="Times New Roman" w:hAnsi="Times New Roman"/>
        </w:rPr>
      </w:pPr>
      <w:r w:rsidRPr="00075190">
        <w:rPr>
          <w:rFonts w:ascii="Times New Roman" w:hAnsi="Times New Roman"/>
        </w:rPr>
        <w:t>Tableau 5 : Type de citation en fonction des sources</w:t>
      </w:r>
    </w:p>
    <w:tbl>
      <w:tblP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6"/>
        <w:gridCol w:w="496"/>
        <w:gridCol w:w="1701"/>
        <w:gridCol w:w="567"/>
      </w:tblGrid>
      <w:tr w:rsidR="00052F4C" w:rsidRPr="00075190" w:rsidTr="00052F4C">
        <w:trPr>
          <w:trHeight w:val="320"/>
        </w:trPr>
        <w:tc>
          <w:tcPr>
            <w:tcW w:w="2122" w:type="dxa"/>
            <w:gridSpan w:val="2"/>
            <w:shd w:val="clear" w:color="auto" w:fill="auto"/>
            <w:noWrap/>
          </w:tcPr>
          <w:p w:rsidR="00052F4C" w:rsidRPr="00075190" w:rsidRDefault="00052F4C" w:rsidP="002C0C36">
            <w:pPr>
              <w:spacing w:line="360" w:lineRule="auto"/>
              <w:rPr>
                <w:b/>
                <w:color w:val="000000"/>
                <w:sz w:val="22"/>
                <w:szCs w:val="22"/>
              </w:rPr>
            </w:pPr>
            <w:r w:rsidRPr="00075190">
              <w:rPr>
                <w:b/>
                <w:color w:val="000000"/>
                <w:sz w:val="22"/>
                <w:szCs w:val="22"/>
              </w:rPr>
              <w:t>Source</w:t>
            </w:r>
          </w:p>
        </w:tc>
        <w:tc>
          <w:tcPr>
            <w:tcW w:w="2268" w:type="dxa"/>
            <w:gridSpan w:val="2"/>
            <w:shd w:val="clear" w:color="auto" w:fill="auto"/>
            <w:noWrap/>
          </w:tcPr>
          <w:p w:rsidR="00052F4C" w:rsidRPr="00075190" w:rsidRDefault="00052F4C" w:rsidP="002C0C36">
            <w:pPr>
              <w:spacing w:line="360" w:lineRule="auto"/>
              <w:rPr>
                <w:b/>
                <w:color w:val="000000"/>
                <w:sz w:val="22"/>
                <w:szCs w:val="22"/>
              </w:rPr>
            </w:pPr>
            <w:r w:rsidRPr="00075190">
              <w:rPr>
                <w:b/>
                <w:color w:val="000000"/>
                <w:sz w:val="22"/>
                <w:szCs w:val="22"/>
              </w:rPr>
              <w:t>Type de citation</w:t>
            </w:r>
          </w:p>
        </w:tc>
      </w:tr>
      <w:tr w:rsidR="00052F4C" w:rsidTr="00052F4C">
        <w:trPr>
          <w:trHeight w:val="320"/>
        </w:trPr>
        <w:tc>
          <w:tcPr>
            <w:tcW w:w="162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Aucune</w:t>
            </w:r>
          </w:p>
        </w:tc>
        <w:tc>
          <w:tcPr>
            <w:tcW w:w="49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55</w:t>
            </w: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Pas précisé</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44</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Entendu</w:t>
            </w:r>
            <w:r w:rsidR="00233D30">
              <w:rPr>
                <w:color w:val="000000"/>
                <w:sz w:val="22"/>
                <w:szCs w:val="22"/>
              </w:rPr>
              <w:t>/lu</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11</w:t>
            </w:r>
          </w:p>
        </w:tc>
      </w:tr>
      <w:tr w:rsidR="00052F4C" w:rsidTr="00052F4C">
        <w:trPr>
          <w:trHeight w:val="320"/>
        </w:trPr>
        <w:tc>
          <w:tcPr>
            <w:tcW w:w="162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Primaire</w:t>
            </w:r>
          </w:p>
        </w:tc>
        <w:tc>
          <w:tcPr>
            <w:tcW w:w="49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32</w:t>
            </w: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Citation</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20</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Entendu</w:t>
            </w:r>
            <w:r w:rsidR="00233D30">
              <w:rPr>
                <w:color w:val="000000"/>
                <w:sz w:val="22"/>
                <w:szCs w:val="22"/>
              </w:rPr>
              <w:t>/lu</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1</w:t>
            </w:r>
            <w:r w:rsidR="00233D30">
              <w:rPr>
                <w:color w:val="000000"/>
                <w:sz w:val="22"/>
                <w:szCs w:val="22"/>
              </w:rPr>
              <w:t>1</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Pas précisé</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1</w:t>
            </w:r>
          </w:p>
        </w:tc>
      </w:tr>
      <w:tr w:rsidR="00052F4C" w:rsidTr="00052F4C">
        <w:trPr>
          <w:trHeight w:val="320"/>
        </w:trPr>
        <w:tc>
          <w:tcPr>
            <w:tcW w:w="162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Secondaire</w:t>
            </w:r>
          </w:p>
        </w:tc>
        <w:tc>
          <w:tcPr>
            <w:tcW w:w="49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46</w:t>
            </w: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Citation</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24</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Entendu</w:t>
            </w:r>
            <w:r w:rsidR="00233D30">
              <w:rPr>
                <w:color w:val="000000"/>
                <w:sz w:val="22"/>
                <w:szCs w:val="22"/>
              </w:rPr>
              <w:t>/lu</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20</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Pas précisé</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2</w:t>
            </w:r>
          </w:p>
        </w:tc>
      </w:tr>
      <w:tr w:rsidR="00052F4C" w:rsidTr="00052F4C">
        <w:trPr>
          <w:trHeight w:val="320"/>
        </w:trPr>
        <w:tc>
          <w:tcPr>
            <w:tcW w:w="162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Médiatique</w:t>
            </w:r>
          </w:p>
        </w:tc>
        <w:tc>
          <w:tcPr>
            <w:tcW w:w="49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14</w:t>
            </w: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Citation</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7</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Pas précisé</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4</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Entendu</w:t>
            </w:r>
            <w:r w:rsidR="00233D30">
              <w:rPr>
                <w:color w:val="000000"/>
                <w:sz w:val="22"/>
                <w:szCs w:val="22"/>
              </w:rPr>
              <w:t>/lu</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3</w:t>
            </w:r>
          </w:p>
        </w:tc>
      </w:tr>
      <w:tr w:rsidR="00052F4C" w:rsidTr="00052F4C">
        <w:trPr>
          <w:trHeight w:val="320"/>
        </w:trPr>
        <w:tc>
          <w:tcPr>
            <w:tcW w:w="162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Institutionnelle</w:t>
            </w:r>
          </w:p>
        </w:tc>
        <w:tc>
          <w:tcPr>
            <w:tcW w:w="496" w:type="dxa"/>
            <w:vMerge w:val="restart"/>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42</w:t>
            </w: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Citation</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35</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Pas précisé</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6</w:t>
            </w:r>
          </w:p>
        </w:tc>
      </w:tr>
      <w:tr w:rsidR="00052F4C" w:rsidTr="00052F4C">
        <w:trPr>
          <w:trHeight w:val="320"/>
        </w:trPr>
        <w:tc>
          <w:tcPr>
            <w:tcW w:w="1626" w:type="dxa"/>
            <w:vMerge/>
            <w:shd w:val="clear" w:color="auto" w:fill="auto"/>
            <w:noWrap/>
            <w:hideMark/>
          </w:tcPr>
          <w:p w:rsidR="00052F4C" w:rsidRPr="00075190" w:rsidRDefault="00052F4C" w:rsidP="002C0C36">
            <w:pPr>
              <w:spacing w:line="360" w:lineRule="auto"/>
              <w:rPr>
                <w:color w:val="000000"/>
                <w:sz w:val="22"/>
                <w:szCs w:val="22"/>
              </w:rPr>
            </w:pPr>
          </w:p>
        </w:tc>
        <w:tc>
          <w:tcPr>
            <w:tcW w:w="496" w:type="dxa"/>
            <w:vMerge/>
            <w:shd w:val="clear" w:color="auto" w:fill="auto"/>
            <w:noWrap/>
            <w:hideMark/>
          </w:tcPr>
          <w:p w:rsidR="00052F4C" w:rsidRPr="00075190" w:rsidRDefault="00052F4C" w:rsidP="002C0C36">
            <w:pPr>
              <w:spacing w:line="360" w:lineRule="auto"/>
              <w:rPr>
                <w:sz w:val="22"/>
                <w:szCs w:val="22"/>
              </w:rPr>
            </w:pPr>
          </w:p>
        </w:tc>
        <w:tc>
          <w:tcPr>
            <w:tcW w:w="1701"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Entendu</w:t>
            </w:r>
            <w:r w:rsidR="00233D30">
              <w:rPr>
                <w:color w:val="000000"/>
                <w:sz w:val="22"/>
                <w:szCs w:val="22"/>
              </w:rPr>
              <w:t>/lu</w:t>
            </w:r>
          </w:p>
        </w:tc>
        <w:tc>
          <w:tcPr>
            <w:tcW w:w="567" w:type="dxa"/>
            <w:shd w:val="clear" w:color="auto" w:fill="auto"/>
            <w:noWrap/>
            <w:hideMark/>
          </w:tcPr>
          <w:p w:rsidR="00052F4C" w:rsidRPr="00075190" w:rsidRDefault="00052F4C" w:rsidP="002C0C36">
            <w:pPr>
              <w:spacing w:line="360" w:lineRule="auto"/>
              <w:rPr>
                <w:color w:val="000000"/>
                <w:sz w:val="22"/>
                <w:szCs w:val="22"/>
              </w:rPr>
            </w:pPr>
            <w:r w:rsidRPr="00075190">
              <w:rPr>
                <w:color w:val="000000"/>
                <w:sz w:val="22"/>
                <w:szCs w:val="22"/>
              </w:rPr>
              <w:t>1</w:t>
            </w:r>
          </w:p>
        </w:tc>
      </w:tr>
    </w:tbl>
    <w:p w:rsidR="00EE556B" w:rsidRDefault="00EE556B" w:rsidP="002C0C36">
      <w:pPr>
        <w:spacing w:line="360" w:lineRule="auto"/>
        <w:jc w:val="both"/>
      </w:pPr>
    </w:p>
    <w:p w:rsidR="007810D5" w:rsidRDefault="007B46A6" w:rsidP="002C0C36">
      <w:pPr>
        <w:spacing w:line="360" w:lineRule="auto"/>
        <w:jc w:val="both"/>
      </w:pPr>
      <w:r>
        <w:t>Les victimes ne sont pas les sources les plus fréquentes de l’information (39 occurrences</w:t>
      </w:r>
      <w:r w:rsidR="00F76DBC">
        <w:t>, en gras dans le tableau 6</w:t>
      </w:r>
      <w:r>
        <w:t>) et leurs propos sont parfois de seconde main (repris dans d’autres médias</w:t>
      </w:r>
      <w:r w:rsidR="00233D30">
        <w:t xml:space="preserve"> ou</w:t>
      </w:r>
      <w:r>
        <w:t xml:space="preserve"> délivrés par </w:t>
      </w:r>
      <w:r w:rsidR="00233D30">
        <w:t xml:space="preserve">un </w:t>
      </w:r>
      <w:r>
        <w:t xml:space="preserve">intermédiaire). </w:t>
      </w:r>
      <w:r w:rsidR="000233C8">
        <w:t>Les</w:t>
      </w:r>
      <w:r w:rsidR="000F7490">
        <w:t xml:space="preserve"> premières</w:t>
      </w:r>
      <w:r w:rsidR="000233C8">
        <w:t xml:space="preserve"> </w:t>
      </w:r>
      <w:r w:rsidR="000F7490">
        <w:t xml:space="preserve">sources des articles du corpus sont les acteurs </w:t>
      </w:r>
      <w:r w:rsidR="000233C8">
        <w:t xml:space="preserve">secondaires, particulièrement les </w:t>
      </w:r>
      <w:r>
        <w:t>autorités judiciaires et policières sont à l’origine des informations dans 38 cas.</w:t>
      </w:r>
      <w:r w:rsidR="000233C8">
        <w:t xml:space="preserve"> </w:t>
      </w:r>
      <w:r w:rsidR="007810D5">
        <w:t xml:space="preserve">C’est le point de vue majoritaire dans les faits divers. Ceci est confirmé par d’autres recherches. </w:t>
      </w:r>
      <w:proofErr w:type="spellStart"/>
      <w:r w:rsidR="007810D5">
        <w:t>Elisabeth</w:t>
      </w:r>
      <w:proofErr w:type="spellEnd"/>
      <w:r w:rsidR="007810D5">
        <w:t xml:space="preserve"> </w:t>
      </w:r>
      <w:proofErr w:type="spellStart"/>
      <w:r w:rsidR="007810D5">
        <w:t>Cossalter</w:t>
      </w:r>
      <w:proofErr w:type="spellEnd"/>
      <w:r w:rsidR="007810D5">
        <w:t xml:space="preserve"> signale que les faits-diversiers s’appuient sur des sources de deux ordres : « celles dites “autorisées” et celles dites “proches de l’événement” ». (2005, p. 50) Les premières recouvrent la gendarmerie, les pompiers et la justice. Les secondes sont les familles et le voisinage (2005, p. 52). Les faits divers du corpus </w:t>
      </w:r>
      <w:r w:rsidR="007810D5">
        <w:lastRenderedPageBreak/>
        <w:t xml:space="preserve">semblent s’appuyer également sur ces informateurs. Or, </w:t>
      </w:r>
      <w:proofErr w:type="spellStart"/>
      <w:r w:rsidR="007810D5">
        <w:t>Elisabeth</w:t>
      </w:r>
      <w:proofErr w:type="spellEnd"/>
      <w:r w:rsidR="007810D5">
        <w:t xml:space="preserve"> </w:t>
      </w:r>
      <w:proofErr w:type="spellStart"/>
      <w:r w:rsidR="007810D5">
        <w:t>Cossalter</w:t>
      </w:r>
      <w:proofErr w:type="spellEnd"/>
      <w:r w:rsidR="007810D5">
        <w:t xml:space="preserve"> souligne le risque d’instrumentalisation, « non pas effective, mais psychologique » des journalistes par les sources (2005, p. 54). Dans leur travail sur le fait divers passionnel, </w:t>
      </w:r>
      <w:proofErr w:type="spellStart"/>
      <w:r w:rsidR="007810D5">
        <w:t>Annik</w:t>
      </w:r>
      <w:proofErr w:type="spellEnd"/>
      <w:r w:rsidR="007810D5">
        <w:t xml:space="preserve"> </w:t>
      </w:r>
      <w:proofErr w:type="spellStart"/>
      <w:r w:rsidR="007810D5">
        <w:t>Houel</w:t>
      </w:r>
      <w:proofErr w:type="spellEnd"/>
      <w:r w:rsidR="007810D5">
        <w:t xml:space="preserve">, Patricia </w:t>
      </w:r>
      <w:proofErr w:type="spellStart"/>
      <w:r w:rsidR="007810D5">
        <w:t>Mercader</w:t>
      </w:r>
      <w:proofErr w:type="spellEnd"/>
      <w:r w:rsidR="007810D5">
        <w:t xml:space="preserve"> et </w:t>
      </w:r>
      <w:proofErr w:type="spellStart"/>
      <w:r w:rsidR="007810D5">
        <w:t>Helgo</w:t>
      </w:r>
      <w:proofErr w:type="spellEnd"/>
      <w:r w:rsidR="007810D5">
        <w:t xml:space="preserve"> </w:t>
      </w:r>
      <w:proofErr w:type="spellStart"/>
      <w:r w:rsidR="007810D5">
        <w:t>Sobota</w:t>
      </w:r>
      <w:proofErr w:type="spellEnd"/>
      <w:r w:rsidR="007810D5">
        <w:t xml:space="preserve"> constatent une véritable collusion entre journalistes et les représentants des forces de l’ordre. Les journalistes</w:t>
      </w:r>
      <w:r w:rsidR="00FC12E9">
        <w:t>,</w:t>
      </w:r>
      <w:r w:rsidR="007810D5">
        <w:t xml:space="preserve"> renonçant à toute enquête parallèle</w:t>
      </w:r>
      <w:r w:rsidR="00FC12E9">
        <w:t>,</w:t>
      </w:r>
      <w:r w:rsidR="007810D5">
        <w:t xml:space="preserve"> légitiment ces instances et leur manière de considérer </w:t>
      </w:r>
      <w:r w:rsidR="00FC12E9">
        <w:t xml:space="preserve">les faits </w:t>
      </w:r>
      <w:r w:rsidR="007810D5">
        <w:t>(</w:t>
      </w:r>
      <w:proofErr w:type="spellStart"/>
      <w:r w:rsidR="007810D5">
        <w:t>Houel</w:t>
      </w:r>
      <w:proofErr w:type="spellEnd"/>
      <w:r w:rsidR="007810D5">
        <w:t xml:space="preserve"> et al., 2003, p. 52-56). </w:t>
      </w:r>
    </w:p>
    <w:p w:rsidR="00233D30" w:rsidRPr="00233D30" w:rsidRDefault="00233D30" w:rsidP="00233D30">
      <w:pPr>
        <w:pStyle w:val="Sarahtexte"/>
        <w:spacing w:line="360" w:lineRule="auto"/>
        <w:rPr>
          <w:rFonts w:ascii="Times New Roman" w:hAnsi="Times New Roman"/>
          <w:sz w:val="24"/>
        </w:rPr>
      </w:pPr>
      <w:r w:rsidRPr="00233D30">
        <w:rPr>
          <w:rFonts w:ascii="Times New Roman" w:hAnsi="Times New Roman"/>
          <w:sz w:val="24"/>
        </w:rPr>
        <w:t>Plusieurs recherches soulignent le manque de formation de ces professionnels. La recherche-action menée par Vie féminine dévoile que la violence dont les femmes sont victimes est souvent renforcée par les institutions. Les relations avec les systèmes policier et judiciaire semblent difficiles.</w:t>
      </w:r>
    </w:p>
    <w:p w:rsidR="00233D30" w:rsidRDefault="00233D30" w:rsidP="00233D30">
      <w:pPr>
        <w:pStyle w:val="Sarahtexte"/>
        <w:spacing w:line="360" w:lineRule="auto"/>
        <w:rPr>
          <w:rFonts w:ascii="Times New Roman" w:hAnsi="Times New Roman"/>
          <w:sz w:val="24"/>
        </w:rPr>
      </w:pPr>
    </w:p>
    <w:p w:rsidR="00233D30" w:rsidRPr="00233D30" w:rsidRDefault="00233D30" w:rsidP="00233D30">
      <w:pPr>
        <w:pStyle w:val="Sarahtexte"/>
        <w:spacing w:line="360" w:lineRule="auto"/>
        <w:rPr>
          <w:rFonts w:ascii="Times New Roman" w:hAnsi="Times New Roman"/>
          <w:sz w:val="24"/>
        </w:rPr>
      </w:pPr>
      <w:r w:rsidRPr="00EE68F9">
        <w:rPr>
          <w:rFonts w:ascii="Times New Roman" w:hAnsi="Times New Roman"/>
          <w:sz w:val="24"/>
        </w:rPr>
        <w:t>« Beaucoup estiment même qu’y recourir ne sert à rien, voire [que cela] se retourne contre elles. Trop souvent, les femmes ne se sentent pas du tout prises au sérieux ni respectées par les institutions qui sont censées les aider. Nombreuses sont celles qui nous ont relaté des épisodes de banalisation de la violence et de culpabilisation des victimes […] » (Vie Féminine, 201</w:t>
      </w:r>
      <w:r>
        <w:rPr>
          <w:rFonts w:ascii="Times New Roman" w:hAnsi="Times New Roman"/>
          <w:sz w:val="24"/>
        </w:rPr>
        <w:t xml:space="preserve">0, </w:t>
      </w:r>
      <w:r>
        <w:t xml:space="preserve">p. </w:t>
      </w:r>
      <w:r>
        <w:rPr>
          <w:rFonts w:ascii="Times New Roman" w:hAnsi="Times New Roman"/>
          <w:sz w:val="24"/>
        </w:rPr>
        <w:t>4).</w:t>
      </w:r>
    </w:p>
    <w:p w:rsidR="00233D30" w:rsidRDefault="00233D30" w:rsidP="002C0C36">
      <w:pPr>
        <w:spacing w:line="360" w:lineRule="auto"/>
        <w:jc w:val="both"/>
      </w:pPr>
    </w:p>
    <w:p w:rsidR="00EE68F9" w:rsidRPr="008515ED" w:rsidRDefault="00233D30" w:rsidP="00233D30">
      <w:pPr>
        <w:spacing w:line="360" w:lineRule="auto"/>
        <w:jc w:val="both"/>
      </w:pPr>
      <w:r>
        <w:t xml:space="preserve">Patrizia </w:t>
      </w:r>
      <w:proofErr w:type="spellStart"/>
      <w:r>
        <w:t>Romito</w:t>
      </w:r>
      <w:proofErr w:type="spellEnd"/>
      <w:r>
        <w:t xml:space="preserve"> dénonce dans plusieurs ouvrages le sexisme qui règne parmi les policiers, les magistrats et les médecins (notamment 2006 et 2011). </w:t>
      </w:r>
      <w:r w:rsidR="00EE68F9" w:rsidRPr="00EE68F9">
        <w:t xml:space="preserve">Lors du colloque </w:t>
      </w:r>
      <w:r w:rsidR="00EE68F9" w:rsidRPr="00EE68F9">
        <w:rPr>
          <w:i/>
        </w:rPr>
        <w:t xml:space="preserve">Regards croisés : violences </w:t>
      </w:r>
      <w:proofErr w:type="spellStart"/>
      <w:r w:rsidR="00EE68F9" w:rsidRPr="00EE68F9">
        <w:rPr>
          <w:i/>
        </w:rPr>
        <w:t>pluri’elles</w:t>
      </w:r>
      <w:proofErr w:type="spellEnd"/>
      <w:r w:rsidR="00EE68F9" w:rsidRPr="00EE68F9">
        <w:rPr>
          <w:i/>
        </w:rPr>
        <w:t>, femmes et enfants</w:t>
      </w:r>
      <w:r w:rsidR="00EE68F9" w:rsidRPr="00EE68F9">
        <w:t xml:space="preserve">, Oriane Simone – avocate et présidente de </w:t>
      </w:r>
      <w:proofErr w:type="spellStart"/>
      <w:r w:rsidR="00EE68F9" w:rsidRPr="00EE68F9">
        <w:t>l’asbl</w:t>
      </w:r>
      <w:proofErr w:type="spellEnd"/>
      <w:r w:rsidR="00EE68F9" w:rsidRPr="00EE68F9">
        <w:t xml:space="preserve"> </w:t>
      </w:r>
      <w:proofErr w:type="spellStart"/>
      <w:r w:rsidR="00EE68F9" w:rsidRPr="00EE68F9">
        <w:t>Fem</w:t>
      </w:r>
      <w:proofErr w:type="spellEnd"/>
      <w:r w:rsidR="00EE68F9" w:rsidRPr="00EE68F9">
        <w:t xml:space="preserve"> &amp; Law – souligne le désintérêt du monde judiciaire pour ces questions (la Convention d’Istanbul est passée complètement inaperçue dans le monde du droit, selon elle), le manque de formation de la magistrature et des avocats, la méfiance à l’égard des femmes et la misogynie qui sont toujours une réalité (Collectif des Femmes, 2018). </w:t>
      </w:r>
      <w:r>
        <w:t>À</w:t>
      </w:r>
      <w:r w:rsidR="00EE68F9" w:rsidRPr="00EE68F9">
        <w:t xml:space="preserve"> la lumière de ces critiques, il apparaît</w:t>
      </w:r>
      <w:r>
        <w:t xml:space="preserve"> que</w:t>
      </w:r>
      <w:r w:rsidR="00EE68F9" w:rsidRPr="00EE68F9">
        <w:t xml:space="preserve"> l</w:t>
      </w:r>
      <w:r w:rsidR="00EE68F9">
        <w:t xml:space="preserve">’utilisation </w:t>
      </w:r>
      <w:r w:rsidR="00EE68F9" w:rsidRPr="00EE68F9">
        <w:t xml:space="preserve">sans distance </w:t>
      </w:r>
      <w:r w:rsidR="00EE68F9">
        <w:t>d</w:t>
      </w:r>
      <w:r w:rsidR="00EE68F9" w:rsidRPr="00EE68F9">
        <w:t xml:space="preserve">es discours </w:t>
      </w:r>
      <w:r w:rsidR="00EE68F9">
        <w:t xml:space="preserve">de ces professionnels </w:t>
      </w:r>
      <w:r w:rsidR="00EE68F9" w:rsidRPr="00EE68F9">
        <w:t>dans les articles pourrait être problématique.</w:t>
      </w:r>
    </w:p>
    <w:p w:rsidR="000F7490" w:rsidRPr="00F72611" w:rsidRDefault="000F7490" w:rsidP="000F7490">
      <w:pPr>
        <w:spacing w:line="360" w:lineRule="auto"/>
        <w:jc w:val="both"/>
      </w:pPr>
      <w:r w:rsidRPr="00F72611">
        <w:t>En deuxième position, on trouve l</w:t>
      </w:r>
      <w:r w:rsidR="000233C8" w:rsidRPr="00F72611">
        <w:t xml:space="preserve">es sources institutionnelles, concentrées dans les articles de société, sont des ministères (15 occurrences), des organismes de toutes sortes (13 occurrences) et des associations de femmes (14 occurrences). </w:t>
      </w:r>
      <w:r w:rsidRPr="00F72611">
        <w:t xml:space="preserve">Avant les protagonistes des faits, on trouve donc les sources secondaires et les institutions. Marie-Christine </w:t>
      </w:r>
      <w:proofErr w:type="spellStart"/>
      <w:r w:rsidRPr="00F72611">
        <w:t>Lipani-Vaissade</w:t>
      </w:r>
      <w:proofErr w:type="spellEnd"/>
      <w:r w:rsidRPr="00F72611">
        <w:t xml:space="preserve"> (2005, p. 66) a mis en lumière ce même mouvement du terrain (les témoins) vers l’expertise (professionnels et institutions). Ce que la chercheuse constate c’est une « délégation de la parole » (2005, p. 68). Or il apparaît que toutes les expertises ne se voient pas attribuer la même place : « le </w:t>
      </w:r>
      <w:r w:rsidRPr="00F72611">
        <w:lastRenderedPageBreak/>
        <w:t xml:space="preserve">pouvoir politique et économique permet d’obtenir un accès facile aux journalistes » (Gans, 1979, p. 80, cité par </w:t>
      </w:r>
      <w:proofErr w:type="spellStart"/>
      <w:r w:rsidRPr="00F72611">
        <w:t>Kaciaf</w:t>
      </w:r>
      <w:proofErr w:type="spellEnd"/>
      <w:r w:rsidRPr="00F72611">
        <w:t xml:space="preserve"> et Nollet, 2013, p. 8). Nicolas </w:t>
      </w:r>
      <w:proofErr w:type="spellStart"/>
      <w:r w:rsidRPr="00F72611">
        <w:t>Kaciaf</w:t>
      </w:r>
      <w:proofErr w:type="spellEnd"/>
      <w:r w:rsidRPr="00F72611">
        <w:t xml:space="preserve"> et Jérémie Nollet </w:t>
      </w:r>
      <w:r w:rsidR="0005007E" w:rsidRPr="00F72611">
        <w:t>soulignent</w:t>
      </w:r>
      <w:r w:rsidRPr="00F72611">
        <w:t xml:space="preserve"> que certains groupes « disposent d’un “accès habituel” aux médias en raison de leur “richesse” et de leurs “sources institutionnelles de pouvoir”</w:t>
      </w:r>
      <w:r w:rsidR="000E157E" w:rsidRPr="00F72611">
        <w:t> » (</w:t>
      </w:r>
      <w:proofErr w:type="spellStart"/>
      <w:r w:rsidR="000E157E" w:rsidRPr="00F72611">
        <w:t>Kaciaf</w:t>
      </w:r>
      <w:proofErr w:type="spellEnd"/>
      <w:r w:rsidR="000E157E" w:rsidRPr="00F72611">
        <w:t xml:space="preserve"> et Nollet, 2013, p. 9) ce qui leur permet d’imposer leurs cadres interprétatifs (p.10). Ceci est couplé à la tendance des journalistes à se tourner vers </w:t>
      </w:r>
      <w:r w:rsidR="000E157E" w:rsidRPr="00F72611">
        <w:rPr>
          <w:i/>
        </w:rPr>
        <w:t>l’establishment</w:t>
      </w:r>
      <w:r w:rsidR="000E157E" w:rsidRPr="00F72611">
        <w:t xml:space="preserve"> pour être reconnu</w:t>
      </w:r>
      <w:r w:rsidR="0005007E" w:rsidRPr="00F72611">
        <w:t>s</w:t>
      </w:r>
      <w:r w:rsidR="000E157E" w:rsidRPr="00F72611">
        <w:t xml:space="preserve"> comme </w:t>
      </w:r>
      <w:r w:rsidR="0005007E" w:rsidRPr="00F72611">
        <w:t>de</w:t>
      </w:r>
      <w:r w:rsidR="000E157E" w:rsidRPr="00F72611">
        <w:t xml:space="preserve"> bon</w:t>
      </w:r>
      <w:r w:rsidR="0005007E" w:rsidRPr="00F72611">
        <w:t xml:space="preserve">s </w:t>
      </w:r>
      <w:r w:rsidR="000E157E" w:rsidRPr="00F72611">
        <w:t>professionnel</w:t>
      </w:r>
      <w:r w:rsidR="0005007E" w:rsidRPr="00F72611">
        <w:t>s</w:t>
      </w:r>
      <w:r w:rsidR="000E157E" w:rsidRPr="00F72611">
        <w:t xml:space="preserve">. Cet « univers de connivence » déjà analysé par Rémy </w:t>
      </w:r>
      <w:proofErr w:type="spellStart"/>
      <w:r w:rsidR="000E157E" w:rsidRPr="00F72611">
        <w:t>Rieffel</w:t>
      </w:r>
      <w:proofErr w:type="spellEnd"/>
      <w:r w:rsidR="000E157E" w:rsidRPr="00F72611">
        <w:t xml:space="preserve"> (1984) ou Serge Halimi (1998) associé aux routines professionnelles (</w:t>
      </w:r>
      <w:proofErr w:type="spellStart"/>
      <w:r w:rsidR="000E157E" w:rsidRPr="00F72611">
        <w:t>Accardo</w:t>
      </w:r>
      <w:proofErr w:type="spellEnd"/>
      <w:r w:rsidR="000E157E" w:rsidRPr="00F72611">
        <w:t>, 1995) favorise autant certains thèmes et acteurs qu’il empêche les journalistes de renouveler leurs approches en intégrant de nouveaux interlocuteurs. Ces derniers « </w:t>
      </w:r>
      <w:r w:rsidRPr="00F72611">
        <w:t>doivent s’en remettre à la “perturbation” » (</w:t>
      </w:r>
      <w:proofErr w:type="spellStart"/>
      <w:r w:rsidRPr="00F72611">
        <w:t>Kaciaf</w:t>
      </w:r>
      <w:proofErr w:type="spellEnd"/>
      <w:r w:rsidRPr="00F72611">
        <w:t xml:space="preserve"> et Nollet, 2013, p. 9) </w:t>
      </w:r>
    </w:p>
    <w:p w:rsidR="000F7490" w:rsidRPr="00F72611" w:rsidRDefault="000F7490" w:rsidP="002C0C36">
      <w:pPr>
        <w:spacing w:line="360" w:lineRule="auto"/>
        <w:jc w:val="both"/>
      </w:pPr>
      <w:r w:rsidRPr="00F72611">
        <w:t xml:space="preserve">Parmi les sources institutionnelles, toutes n’ont pas une expertise sur les phénomènes de violence. Par exemple, sur les quinze interventions des ministères, six ne proviennent pas des cabinets en charge de l’Égalité aux niveaux fédéral et wallon. L’ULB, Facebook ou les CPAS ne sont pas des spécialistes des violences faites aux femmes. </w:t>
      </w:r>
      <w:r w:rsidR="00FC12E9">
        <w:t xml:space="preserve">Par contre, </w:t>
      </w:r>
      <w:r w:rsidRPr="00F72611">
        <w:t>Mensura (discrimination salariale), le Conseil Supérieur de l’</w:t>
      </w:r>
      <w:proofErr w:type="spellStart"/>
      <w:r w:rsidRPr="00F72611">
        <w:t>Audovisuel</w:t>
      </w:r>
      <w:proofErr w:type="spellEnd"/>
      <w:r w:rsidRPr="00F72611">
        <w:t xml:space="preserve"> (publicité sexiste), la FGTB (discrimination à l’emploi) et certaines associations de femme (le congrès des femmes polonaises, le Conseil de l’égalité des chances, Amazone par exemple) interviennent dans des articles sur les violences symboliques. L’Institut de Criminologie et de Criminalistique et certaines associations de femmes (Touche pas à ma pote, </w:t>
      </w:r>
      <w:proofErr w:type="spellStart"/>
      <w:r w:rsidRPr="00F72611">
        <w:t>Mirabal</w:t>
      </w:r>
      <w:proofErr w:type="spellEnd"/>
      <w:r w:rsidRPr="00F72611">
        <w:t xml:space="preserve">, La Consoude, Vie féminine) commentent des violences physiques ou le harcèlement de rue. Manifestement, les associations de femmes – qui sont pourtant celles où les connaissances sur ces questions s’est historiquement développée dans les années 1970, qui sont celles qui accompagnent les victimes et qui possèdent vraisemblablement l’expertise la plus pointue – ne sont pas les organismes qui accèdent le plus facilement aux journalistes. C’est d’autant plus vrai que ces associations ne sont interrogées que lors des journées internationales au milieu des manifestations et non sur le terrain des violences (à l’exception du reportage sur l’abri pour femmes battues, La Consoude, qui accompagne le discours de la survivante, Linda). On peut affirmer que les associations de femmes ne bénéficient que de la “perturbation” (pour reprendre le mot de </w:t>
      </w:r>
      <w:proofErr w:type="spellStart"/>
      <w:r w:rsidRPr="00F72611">
        <w:t>Kaciaf</w:t>
      </w:r>
      <w:proofErr w:type="spellEnd"/>
      <w:r w:rsidRPr="00F72611">
        <w:t xml:space="preserve"> et Nollet) que représente les 8 mars et 25 novembre et qu’elles ne parviennent pas à imposer leurs cadres interprétatifs. C’est donc bien les sources autorisées et l’</w:t>
      </w:r>
      <w:r w:rsidRPr="00F72611">
        <w:rPr>
          <w:i/>
        </w:rPr>
        <w:t>establishment</w:t>
      </w:r>
      <w:r w:rsidRPr="00F72611">
        <w:t xml:space="preserve"> qui constituent la réserve pour les « experts médiatiques » (Camion et Van </w:t>
      </w:r>
      <w:proofErr w:type="spellStart"/>
      <w:r w:rsidRPr="00F72611">
        <w:t>Wyns</w:t>
      </w:r>
      <w:r w:rsidR="00B14909" w:rsidRPr="00F72611">
        <w:t>b</w:t>
      </w:r>
      <w:r w:rsidRPr="00F72611">
        <w:t>erghe</w:t>
      </w:r>
      <w:proofErr w:type="spellEnd"/>
      <w:r w:rsidRPr="00F72611">
        <w:t>, 2017, p. 27).</w:t>
      </w:r>
    </w:p>
    <w:p w:rsidR="00B14909" w:rsidRPr="00B14909" w:rsidRDefault="00B14909" w:rsidP="00B14909">
      <w:pPr>
        <w:spacing w:line="360" w:lineRule="auto"/>
        <w:jc w:val="both"/>
      </w:pPr>
      <w:r w:rsidRPr="00F72611">
        <w:t xml:space="preserve">Selon Baptiste Campion et Caroline Van </w:t>
      </w:r>
      <w:proofErr w:type="spellStart"/>
      <w:r w:rsidRPr="00F72611">
        <w:t>Wynsberghe</w:t>
      </w:r>
      <w:proofErr w:type="spellEnd"/>
      <w:r w:rsidRPr="00F72611">
        <w:t xml:space="preserve">, les experts sont devenus centraux dans les récits médiatiques car ils informent, font autorité, interprètent les événements (2017, p. 26) </w:t>
      </w:r>
      <w:r w:rsidRPr="00F72611">
        <w:lastRenderedPageBreak/>
        <w:t xml:space="preserve">et influencent fortement l’espace public (2017, p. 27). « Les experts médiatiques sont devenus, à cause ou malgré eux, l’objet d’un enjeu démocratique important. » (2017, p. 27). Plusieurs contributions du </w:t>
      </w:r>
      <w:r w:rsidR="00FC12E9">
        <w:t>dossier qu’ils dirigent sur la question</w:t>
      </w:r>
      <w:r w:rsidRPr="00F72611">
        <w:t xml:space="preserve"> montrent que la compétence n’est pas nécessairement le premier critère de choix de ces experts, mais qu’ils doivent d’abord être « bons clients » (</w:t>
      </w:r>
      <w:proofErr w:type="spellStart"/>
      <w:r w:rsidRPr="00F72611">
        <w:t>Solimando</w:t>
      </w:r>
      <w:proofErr w:type="spellEnd"/>
      <w:r w:rsidRPr="00F72611">
        <w:t>, 2017) et qu’ils sont souvent sélectionnés en fonction de la proximité idéologique qui les lie au journaliste (</w:t>
      </w:r>
      <w:proofErr w:type="spellStart"/>
      <w:r w:rsidRPr="00F72611">
        <w:t>Baygert</w:t>
      </w:r>
      <w:proofErr w:type="spellEnd"/>
      <w:r w:rsidRPr="00F72611">
        <w:t>, 2017). Il apparaît, par ailleurs, que le contenu n’est pas toujours à la hauteur puisque certains experts interviennent sur des sujets qui ne sont pas tout-à-fait dans leur champ (</w:t>
      </w:r>
      <w:proofErr w:type="spellStart"/>
      <w:r w:rsidRPr="00F72611">
        <w:t>Solimando</w:t>
      </w:r>
      <w:proofErr w:type="spellEnd"/>
      <w:r w:rsidRPr="00F72611">
        <w:t>, 2017) et que la brièveté des formats médiatiques oblige à réduire la complexité d’une explication au strict minimum (</w:t>
      </w:r>
      <w:proofErr w:type="spellStart"/>
      <w:r w:rsidRPr="00F72611">
        <w:t>Baygert</w:t>
      </w:r>
      <w:proofErr w:type="spellEnd"/>
      <w:r w:rsidRPr="00F72611">
        <w:t xml:space="preserve">, 2017). Les associations de femme semblent ne pas faire partie des bons clients répertoriés par les rédactions. Est-ce parce qu’elles souffrent de l’image carnavalesque d’un 8 mars qui finirait par être contre-productif ou parce qu’elles ne font pas partie de l’entre-soi journalistique décrit par Nicolas </w:t>
      </w:r>
      <w:proofErr w:type="spellStart"/>
      <w:r w:rsidRPr="00F72611">
        <w:t>Baygert</w:t>
      </w:r>
      <w:proofErr w:type="spellEnd"/>
      <w:r w:rsidRPr="00F72611">
        <w:t xml:space="preserve"> ? Ceci pose effectivement la question de l’enjeu démocratique soulevée par Baptiste Campion et Caroline Van </w:t>
      </w:r>
      <w:proofErr w:type="spellStart"/>
      <w:r w:rsidRPr="00F72611">
        <w:t>Wynsberghe</w:t>
      </w:r>
      <w:proofErr w:type="spellEnd"/>
      <w:r w:rsidRPr="00F72611">
        <w:t>.</w:t>
      </w:r>
    </w:p>
    <w:p w:rsidR="00B14909" w:rsidRDefault="00B14909" w:rsidP="002C0C36">
      <w:pPr>
        <w:spacing w:line="360" w:lineRule="auto"/>
        <w:jc w:val="both"/>
      </w:pPr>
    </w:p>
    <w:p w:rsidR="00EE556B" w:rsidRPr="00F76DBC" w:rsidRDefault="007B46A6" w:rsidP="008515ED">
      <w:pPr>
        <w:pStyle w:val="Sarahtableau"/>
        <w:widowControl w:val="0"/>
        <w:spacing w:before="0" w:line="360" w:lineRule="auto"/>
        <w:rPr>
          <w:rFonts w:ascii="Times New Roman" w:hAnsi="Times New Roman"/>
        </w:rPr>
      </w:pPr>
      <w:r w:rsidRPr="00F76DBC">
        <w:rPr>
          <w:rFonts w:ascii="Times New Roman" w:hAnsi="Times New Roman"/>
        </w:rPr>
        <w:t>Tableau 6 : Type de personnes rencontrées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8"/>
        <w:gridCol w:w="717"/>
        <w:gridCol w:w="5812"/>
        <w:gridCol w:w="839"/>
      </w:tblGrid>
      <w:tr w:rsidR="00545863" w:rsidRPr="00F76DBC" w:rsidTr="00545863">
        <w:trPr>
          <w:trHeight w:val="320"/>
        </w:trPr>
        <w:tc>
          <w:tcPr>
            <w:tcW w:w="1328" w:type="pct"/>
            <w:gridSpan w:val="2"/>
            <w:shd w:val="clear" w:color="auto" w:fill="auto"/>
            <w:noWrap/>
          </w:tcPr>
          <w:p w:rsidR="00545863" w:rsidRPr="00F76DBC" w:rsidRDefault="00545863" w:rsidP="002C0C36">
            <w:pPr>
              <w:spacing w:line="360" w:lineRule="auto"/>
              <w:rPr>
                <w:b/>
                <w:color w:val="000000"/>
                <w:sz w:val="22"/>
                <w:szCs w:val="22"/>
              </w:rPr>
            </w:pPr>
            <w:r w:rsidRPr="00F76DBC">
              <w:rPr>
                <w:b/>
                <w:color w:val="000000"/>
                <w:sz w:val="22"/>
                <w:szCs w:val="22"/>
              </w:rPr>
              <w:t>Type de source</w:t>
            </w:r>
          </w:p>
        </w:tc>
        <w:tc>
          <w:tcPr>
            <w:tcW w:w="3672" w:type="pct"/>
            <w:gridSpan w:val="2"/>
            <w:shd w:val="clear" w:color="auto" w:fill="auto"/>
            <w:noWrap/>
          </w:tcPr>
          <w:p w:rsidR="00545863" w:rsidRPr="00F76DBC" w:rsidRDefault="00545863" w:rsidP="002C0C36">
            <w:pPr>
              <w:spacing w:line="360" w:lineRule="auto"/>
              <w:rPr>
                <w:b/>
                <w:color w:val="000000"/>
                <w:sz w:val="22"/>
                <w:szCs w:val="22"/>
              </w:rPr>
            </w:pPr>
            <w:r w:rsidRPr="00F76DBC">
              <w:rPr>
                <w:b/>
                <w:color w:val="000000"/>
                <w:sz w:val="22"/>
                <w:szCs w:val="22"/>
              </w:rPr>
              <w:t>Type de personnes rencontrées</w:t>
            </w:r>
          </w:p>
        </w:tc>
      </w:tr>
      <w:tr w:rsidR="00545863" w:rsidTr="00545863">
        <w:trPr>
          <w:trHeight w:val="320"/>
        </w:trPr>
        <w:tc>
          <w:tcPr>
            <w:tcW w:w="932"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Aucune</w:t>
            </w:r>
          </w:p>
        </w:tc>
        <w:tc>
          <w:tcPr>
            <w:tcW w:w="396"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55</w:t>
            </w: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 xml:space="preserve">Pas de précision </w:t>
            </w:r>
          </w:p>
        </w:tc>
        <w:tc>
          <w:tcPr>
            <w:tcW w:w="463" w:type="pct"/>
            <w:shd w:val="clear" w:color="auto" w:fill="auto"/>
            <w:noWrap/>
            <w:hideMark/>
          </w:tcPr>
          <w:p w:rsidR="00545863" w:rsidRPr="00F76DBC" w:rsidRDefault="00545863" w:rsidP="002C0C36">
            <w:pPr>
              <w:spacing w:line="360" w:lineRule="auto"/>
              <w:rPr>
                <w:color w:val="000000"/>
                <w:sz w:val="22"/>
                <w:szCs w:val="22"/>
              </w:rPr>
            </w:pPr>
          </w:p>
        </w:tc>
      </w:tr>
      <w:tr w:rsidR="00545863" w:rsidTr="00545863">
        <w:trPr>
          <w:trHeight w:val="320"/>
        </w:trPr>
        <w:tc>
          <w:tcPr>
            <w:tcW w:w="932"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Secondaire</w:t>
            </w:r>
          </w:p>
        </w:tc>
        <w:tc>
          <w:tcPr>
            <w:tcW w:w="396"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46</w:t>
            </w: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Acteurs du procès</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20</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Autorités judiciaire pendant l'enquête</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15</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Proches</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6</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Autorités policières</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3</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Porte-parole de la victime</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Avocat de la victime</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1</w:t>
            </w:r>
          </w:p>
        </w:tc>
      </w:tr>
      <w:tr w:rsidR="00545863" w:rsidTr="007B46A6">
        <w:trPr>
          <w:trHeight w:val="320"/>
        </w:trPr>
        <w:tc>
          <w:tcPr>
            <w:tcW w:w="932"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Institutionnel</w:t>
            </w:r>
          </w:p>
        </w:tc>
        <w:tc>
          <w:tcPr>
            <w:tcW w:w="396"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42</w:t>
            </w:r>
          </w:p>
        </w:tc>
        <w:tc>
          <w:tcPr>
            <w:tcW w:w="3209" w:type="pct"/>
            <w:tcBorders>
              <w:bottom w:val="single" w:sz="4" w:space="0" w:color="auto"/>
            </w:tcBorders>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Ministre (dont sur des matières liées aux femmes)</w:t>
            </w:r>
          </w:p>
        </w:tc>
        <w:tc>
          <w:tcPr>
            <w:tcW w:w="463" w:type="pct"/>
            <w:tcBorders>
              <w:bottom w:val="single" w:sz="4" w:space="0" w:color="auto"/>
            </w:tcBorders>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15 (9)</w:t>
            </w:r>
          </w:p>
        </w:tc>
      </w:tr>
      <w:tr w:rsidR="00545863" w:rsidTr="007B46A6">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D9D9D9" w:themeFill="background1" w:themeFillShade="D9"/>
            <w:noWrap/>
            <w:hideMark/>
          </w:tcPr>
          <w:p w:rsidR="00545863" w:rsidRPr="00F76DBC" w:rsidRDefault="00545863" w:rsidP="002C0C36">
            <w:pPr>
              <w:spacing w:line="360" w:lineRule="auto"/>
              <w:rPr>
                <w:color w:val="000000"/>
                <w:sz w:val="22"/>
                <w:szCs w:val="22"/>
              </w:rPr>
            </w:pPr>
            <w:r w:rsidRPr="00F76DBC">
              <w:rPr>
                <w:color w:val="000000"/>
                <w:sz w:val="22"/>
                <w:szCs w:val="22"/>
              </w:rPr>
              <w:t>Associations de femmes</w:t>
            </w:r>
          </w:p>
        </w:tc>
        <w:tc>
          <w:tcPr>
            <w:tcW w:w="463" w:type="pct"/>
            <w:shd w:val="clear" w:color="auto" w:fill="D9D9D9" w:themeFill="background1" w:themeFillShade="D9"/>
            <w:noWrap/>
            <w:hideMark/>
          </w:tcPr>
          <w:p w:rsidR="00545863" w:rsidRPr="00F76DBC" w:rsidRDefault="00545863" w:rsidP="002C0C36">
            <w:pPr>
              <w:spacing w:line="360" w:lineRule="auto"/>
              <w:rPr>
                <w:color w:val="000000"/>
                <w:sz w:val="22"/>
                <w:szCs w:val="22"/>
              </w:rPr>
            </w:pPr>
            <w:r w:rsidRPr="00F76DBC">
              <w:rPr>
                <w:color w:val="000000"/>
                <w:sz w:val="22"/>
                <w:szCs w:val="22"/>
              </w:rPr>
              <w:t>1</w:t>
            </w:r>
            <w:r w:rsidR="00E951E3" w:rsidRPr="00F76DBC">
              <w:rPr>
                <w:color w:val="000000"/>
                <w:sz w:val="22"/>
                <w:szCs w:val="22"/>
              </w:rPr>
              <w:t>4</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Mensura</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3</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CSA</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Greenpeace</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Une start-up</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Eurostat</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Un CPAS</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Facebook</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ULB</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E951E3" w:rsidTr="00E951E3">
        <w:trPr>
          <w:trHeight w:val="296"/>
        </w:trPr>
        <w:tc>
          <w:tcPr>
            <w:tcW w:w="932" w:type="pct"/>
            <w:vMerge/>
            <w:shd w:val="clear" w:color="auto" w:fill="auto"/>
            <w:noWrap/>
            <w:hideMark/>
          </w:tcPr>
          <w:p w:rsidR="00E951E3" w:rsidRPr="00F76DBC" w:rsidRDefault="00E951E3" w:rsidP="002C0C36">
            <w:pPr>
              <w:spacing w:line="360" w:lineRule="auto"/>
              <w:rPr>
                <w:color w:val="000000"/>
                <w:sz w:val="22"/>
                <w:szCs w:val="22"/>
              </w:rPr>
            </w:pPr>
          </w:p>
        </w:tc>
        <w:tc>
          <w:tcPr>
            <w:tcW w:w="396" w:type="pct"/>
            <w:vMerge/>
            <w:shd w:val="clear" w:color="auto" w:fill="auto"/>
            <w:noWrap/>
            <w:hideMark/>
          </w:tcPr>
          <w:p w:rsidR="00E951E3" w:rsidRPr="00F76DBC" w:rsidRDefault="00E951E3" w:rsidP="002C0C36">
            <w:pPr>
              <w:spacing w:line="360" w:lineRule="auto"/>
              <w:rPr>
                <w:sz w:val="22"/>
                <w:szCs w:val="22"/>
              </w:rPr>
            </w:pPr>
          </w:p>
        </w:tc>
        <w:tc>
          <w:tcPr>
            <w:tcW w:w="3209" w:type="pct"/>
            <w:shd w:val="clear" w:color="auto" w:fill="auto"/>
            <w:noWrap/>
            <w:hideMark/>
          </w:tcPr>
          <w:p w:rsidR="00E951E3" w:rsidRPr="00F76DBC" w:rsidRDefault="00E951E3" w:rsidP="002C0C36">
            <w:pPr>
              <w:spacing w:line="360" w:lineRule="auto"/>
              <w:rPr>
                <w:color w:val="000000"/>
                <w:sz w:val="22"/>
                <w:szCs w:val="22"/>
              </w:rPr>
            </w:pPr>
            <w:r w:rsidRPr="00F76DBC">
              <w:rPr>
                <w:color w:val="000000"/>
                <w:sz w:val="22"/>
                <w:szCs w:val="22"/>
              </w:rPr>
              <w:t>Exécutif musulman de Belgique</w:t>
            </w:r>
          </w:p>
        </w:tc>
        <w:tc>
          <w:tcPr>
            <w:tcW w:w="463" w:type="pct"/>
            <w:shd w:val="clear" w:color="auto" w:fill="auto"/>
            <w:noWrap/>
            <w:hideMark/>
          </w:tcPr>
          <w:p w:rsidR="00E951E3" w:rsidRPr="00F76DBC" w:rsidRDefault="00E951E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Institut de criminalistique (INCC)</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FGTB</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w:t>
            </w:r>
          </w:p>
        </w:tc>
      </w:tr>
      <w:tr w:rsidR="00545863" w:rsidTr="00545863">
        <w:trPr>
          <w:trHeight w:val="320"/>
        </w:trPr>
        <w:tc>
          <w:tcPr>
            <w:tcW w:w="932"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Primaire</w:t>
            </w:r>
          </w:p>
        </w:tc>
        <w:tc>
          <w:tcPr>
            <w:tcW w:w="396"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32</w:t>
            </w: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Victime</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21</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Auteur et victime</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5</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Auteur</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5</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Victime/Auteur</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1</w:t>
            </w:r>
          </w:p>
        </w:tc>
      </w:tr>
      <w:tr w:rsidR="00545863" w:rsidTr="00545863">
        <w:trPr>
          <w:trHeight w:val="320"/>
        </w:trPr>
        <w:tc>
          <w:tcPr>
            <w:tcW w:w="932"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Médiatique</w:t>
            </w:r>
          </w:p>
        </w:tc>
        <w:tc>
          <w:tcPr>
            <w:tcW w:w="396" w:type="pct"/>
            <w:vMerge w:val="restar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14</w:t>
            </w: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Reprise de l'histoire</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7</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Reprise de l'opinion du journaliste</w:t>
            </w:r>
          </w:p>
        </w:tc>
        <w:tc>
          <w:tcPr>
            <w:tcW w:w="463" w:type="pct"/>
            <w:shd w:val="clear" w:color="auto" w:fill="auto"/>
            <w:noWrap/>
            <w:hideMark/>
          </w:tcPr>
          <w:p w:rsidR="00545863" w:rsidRPr="00F76DBC" w:rsidRDefault="00545863" w:rsidP="002C0C36">
            <w:pPr>
              <w:spacing w:line="360" w:lineRule="auto"/>
              <w:rPr>
                <w:color w:val="000000"/>
                <w:sz w:val="22"/>
                <w:szCs w:val="22"/>
              </w:rPr>
            </w:pPr>
            <w:r w:rsidRPr="00F76DBC">
              <w:rPr>
                <w:color w:val="000000"/>
                <w:sz w:val="22"/>
                <w:szCs w:val="22"/>
              </w:rPr>
              <w:t>5</w:t>
            </w:r>
          </w:p>
        </w:tc>
      </w:tr>
      <w:tr w:rsidR="00545863" w:rsidTr="00545863">
        <w:trPr>
          <w:trHeight w:val="320"/>
        </w:trPr>
        <w:tc>
          <w:tcPr>
            <w:tcW w:w="932" w:type="pct"/>
            <w:vMerge/>
            <w:shd w:val="clear" w:color="auto" w:fill="auto"/>
            <w:noWrap/>
            <w:hideMark/>
          </w:tcPr>
          <w:p w:rsidR="00545863" w:rsidRPr="00F76DBC" w:rsidRDefault="00545863" w:rsidP="002C0C36">
            <w:pPr>
              <w:spacing w:line="360" w:lineRule="auto"/>
              <w:rPr>
                <w:color w:val="000000"/>
                <w:sz w:val="22"/>
                <w:szCs w:val="22"/>
              </w:rPr>
            </w:pPr>
          </w:p>
        </w:tc>
        <w:tc>
          <w:tcPr>
            <w:tcW w:w="396" w:type="pct"/>
            <w:vMerge/>
            <w:shd w:val="clear" w:color="auto" w:fill="auto"/>
            <w:noWrap/>
            <w:hideMark/>
          </w:tcPr>
          <w:p w:rsidR="00545863" w:rsidRPr="00F76DBC" w:rsidRDefault="00545863" w:rsidP="002C0C36">
            <w:pPr>
              <w:spacing w:line="360" w:lineRule="auto"/>
              <w:rPr>
                <w:sz w:val="22"/>
                <w:szCs w:val="22"/>
              </w:rPr>
            </w:pPr>
          </w:p>
        </w:tc>
        <w:tc>
          <w:tcPr>
            <w:tcW w:w="3209"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 xml:space="preserve">Reprise d'une interview de la victime </w:t>
            </w:r>
          </w:p>
        </w:tc>
        <w:tc>
          <w:tcPr>
            <w:tcW w:w="463" w:type="pct"/>
            <w:shd w:val="clear" w:color="auto" w:fill="auto"/>
            <w:noWrap/>
            <w:hideMark/>
          </w:tcPr>
          <w:p w:rsidR="00545863" w:rsidRPr="00F76DBC" w:rsidRDefault="00545863" w:rsidP="002C0C36">
            <w:pPr>
              <w:spacing w:line="360" w:lineRule="auto"/>
              <w:rPr>
                <w:b/>
                <w:color w:val="000000"/>
                <w:sz w:val="22"/>
                <w:szCs w:val="22"/>
              </w:rPr>
            </w:pPr>
            <w:r w:rsidRPr="00F76DBC">
              <w:rPr>
                <w:b/>
                <w:color w:val="000000"/>
                <w:sz w:val="22"/>
                <w:szCs w:val="22"/>
              </w:rPr>
              <w:t>2</w:t>
            </w:r>
          </w:p>
        </w:tc>
      </w:tr>
    </w:tbl>
    <w:p w:rsidR="0088392F" w:rsidRPr="00F56687" w:rsidRDefault="0088392F" w:rsidP="002C0C36">
      <w:pPr>
        <w:spacing w:line="360" w:lineRule="auto"/>
        <w:jc w:val="both"/>
        <w:rPr>
          <w:color w:val="000000"/>
        </w:rPr>
      </w:pPr>
    </w:p>
    <w:p w:rsidR="0088392F" w:rsidRPr="00F72611" w:rsidRDefault="0088392F" w:rsidP="002C0C36">
      <w:pPr>
        <w:spacing w:line="360" w:lineRule="auto"/>
        <w:jc w:val="both"/>
        <w:rPr>
          <w:sz w:val="36"/>
          <w:szCs w:val="36"/>
        </w:rPr>
      </w:pPr>
      <w:r w:rsidRPr="00F72611">
        <w:rPr>
          <w:sz w:val="36"/>
          <w:szCs w:val="36"/>
        </w:rPr>
        <w:t>Conclusion</w:t>
      </w:r>
    </w:p>
    <w:p w:rsidR="00B14909" w:rsidRPr="00F72611" w:rsidRDefault="00B14909" w:rsidP="002C0C36">
      <w:pPr>
        <w:spacing w:line="360" w:lineRule="auto"/>
        <w:jc w:val="both"/>
      </w:pPr>
    </w:p>
    <w:p w:rsidR="00890E85" w:rsidRPr="00F72611" w:rsidRDefault="00453028" w:rsidP="002C0C36">
      <w:pPr>
        <w:spacing w:line="360" w:lineRule="auto"/>
        <w:jc w:val="both"/>
      </w:pPr>
      <w:r w:rsidRPr="00F72611">
        <w:t>Cette emphase sur l’e</w:t>
      </w:r>
      <w:r w:rsidR="00B14909" w:rsidRPr="00F72611">
        <w:t>njeu démocratique</w:t>
      </w:r>
      <w:r w:rsidRPr="00F72611">
        <w:t xml:space="preserve"> tapi derrière l’utilisation médiatique des experts vaut pour l’expertise des associations de femmes sur les violences</w:t>
      </w:r>
      <w:r w:rsidR="00890E85" w:rsidRPr="00F72611">
        <w:t>, m</w:t>
      </w:r>
      <w:r w:rsidRPr="00F72611">
        <w:t xml:space="preserve">ais on peut l’étendre à l’ensemble </w:t>
      </w:r>
      <w:r w:rsidR="00890E85" w:rsidRPr="00F72611">
        <w:t xml:space="preserve">des acteurs, y compris les femmes lambda, et </w:t>
      </w:r>
      <w:r w:rsidR="00360300" w:rsidRPr="00F72611">
        <w:t>a</w:t>
      </w:r>
      <w:r w:rsidR="00890E85" w:rsidRPr="00F72611">
        <w:t>u thème</w:t>
      </w:r>
      <w:r w:rsidR="00360300" w:rsidRPr="00F72611">
        <w:t xml:space="preserve"> des violences faites aux femmes</w:t>
      </w:r>
      <w:r w:rsidR="00890E85" w:rsidRPr="00F72611">
        <w:t>. Qui a accès aux médias et à la médiatisation et comment ?</w:t>
      </w:r>
    </w:p>
    <w:p w:rsidR="00360300" w:rsidRPr="00F72611" w:rsidRDefault="00890E85" w:rsidP="007810D5">
      <w:pPr>
        <w:spacing w:line="360" w:lineRule="auto"/>
        <w:jc w:val="both"/>
      </w:pPr>
      <w:r w:rsidRPr="00F72611">
        <w:t>Les résultats de la recherche montrent que si les violences sont relativement présentes dans la presse écrite, les processus de médiatisation sont lacunaires. Les victimes ne sont pas présentes</w:t>
      </w:r>
      <w:r w:rsidR="00360300" w:rsidRPr="00F72611">
        <w:t>,</w:t>
      </w:r>
      <w:r w:rsidRPr="00F72611">
        <w:t xml:space="preserve"> quand elles le sont cela se retourne contre elles. L’expertise de</w:t>
      </w:r>
      <w:r w:rsidR="00360300" w:rsidRPr="00F72611">
        <w:t>s</w:t>
      </w:r>
      <w:r w:rsidRPr="00F72611">
        <w:t xml:space="preserve"> associations de femme est également sous-utilisée. La couverture quantitativement importante du 8 mars et du 25 novembre ou la multiplication des articles suite à l’affaire </w:t>
      </w:r>
      <w:proofErr w:type="spellStart"/>
      <w:r w:rsidRPr="00F72611">
        <w:t>Weinstein</w:t>
      </w:r>
      <w:proofErr w:type="spellEnd"/>
      <w:r w:rsidRPr="00F72611">
        <w:t xml:space="preserve"> détourne</w:t>
      </w:r>
      <w:r w:rsidR="00360300" w:rsidRPr="00F72611">
        <w:t>nt</w:t>
      </w:r>
      <w:r w:rsidRPr="00F72611">
        <w:t xml:space="preserve"> le regard des violences ordinaires quotidiennement subies par les femmes. </w:t>
      </w:r>
    </w:p>
    <w:p w:rsidR="00360300" w:rsidRPr="00F72611" w:rsidRDefault="00890E85" w:rsidP="007810D5">
      <w:pPr>
        <w:spacing w:line="360" w:lineRule="auto"/>
        <w:jc w:val="both"/>
      </w:pPr>
      <w:r w:rsidRPr="00F72611">
        <w:t xml:space="preserve">Le thème lui-même n’est pas véritablement présent. La catégorisation du phénomène dans le fait divers empêche toute réflexion globale, les journalistes privilégiant les explications individuelles. Or se dessine là un problème social majeur. Dans </w:t>
      </w:r>
      <w:r w:rsidRPr="00F72611">
        <w:rPr>
          <w:i/>
        </w:rPr>
        <w:t>Psychosociologie du crime passionnel</w:t>
      </w:r>
      <w:r w:rsidRPr="00F72611">
        <w:t xml:space="preserve">, </w:t>
      </w:r>
      <w:proofErr w:type="spellStart"/>
      <w:r w:rsidRPr="00F72611">
        <w:t>Annik</w:t>
      </w:r>
      <w:proofErr w:type="spellEnd"/>
      <w:r w:rsidRPr="00F72611">
        <w:t xml:space="preserve"> </w:t>
      </w:r>
      <w:proofErr w:type="spellStart"/>
      <w:r w:rsidRPr="00F72611">
        <w:t>Houel</w:t>
      </w:r>
      <w:proofErr w:type="spellEnd"/>
      <w:r w:rsidRPr="00F72611">
        <w:t xml:space="preserve">, Patricia </w:t>
      </w:r>
      <w:proofErr w:type="spellStart"/>
      <w:r w:rsidRPr="00F72611">
        <w:t>Mercader</w:t>
      </w:r>
      <w:proofErr w:type="spellEnd"/>
      <w:r w:rsidRPr="00F72611">
        <w:t xml:space="preserve"> et Helga </w:t>
      </w:r>
      <w:proofErr w:type="spellStart"/>
      <w:r w:rsidRPr="00F72611">
        <w:t>Soboto</w:t>
      </w:r>
      <w:proofErr w:type="spellEnd"/>
      <w:r w:rsidRPr="00F72611">
        <w:t xml:space="preserve"> soulignent que les hommes qui tuent et les femmes qui sont </w:t>
      </w:r>
      <w:r w:rsidR="00360300" w:rsidRPr="00F72611">
        <w:t>tuées</w:t>
      </w:r>
      <w:r w:rsidRPr="00F72611">
        <w:t xml:space="preserve"> partagent une éducation inégalitaire – autant de la part de leurs pères que de leurs mères – qui les dessert tous, « ils sont malades de la politique duale du genre » (</w:t>
      </w:r>
      <w:proofErr w:type="spellStart"/>
      <w:r w:rsidRPr="00F72611">
        <w:t>Mosconi</w:t>
      </w:r>
      <w:proofErr w:type="spellEnd"/>
      <w:r w:rsidRPr="00F72611">
        <w:t xml:space="preserve">, </w:t>
      </w:r>
      <w:r w:rsidR="000E157E" w:rsidRPr="00F72611">
        <w:t>2</w:t>
      </w:r>
      <w:r w:rsidRPr="00F72611">
        <w:t>010, p. 215). Les biais de genre à l’œuvre dans la médiatisation o</w:t>
      </w:r>
      <w:r w:rsidR="00360300" w:rsidRPr="00F72611">
        <w:t>père</w:t>
      </w:r>
      <w:r w:rsidRPr="00F72611">
        <w:t xml:space="preserve">nt aussi dans l’éducation, la justice, la médecine, la politique et cela empêche de prévenir, de juger, de soigner la violence. </w:t>
      </w:r>
    </w:p>
    <w:p w:rsidR="007810D5" w:rsidRPr="00F72611" w:rsidRDefault="007810D5" w:rsidP="007810D5">
      <w:pPr>
        <w:spacing w:line="360" w:lineRule="auto"/>
        <w:jc w:val="both"/>
      </w:pPr>
      <w:r w:rsidRPr="00F72611">
        <w:t>Non seulement les journalistes passent à côté d’un réservoir important de sujets à traiter, mais cet impensé médiatique les rend également complice</w:t>
      </w:r>
      <w:r w:rsidR="00360300" w:rsidRPr="00F72611">
        <w:t>s</w:t>
      </w:r>
      <w:r w:rsidRPr="00F72611">
        <w:t xml:space="preserve"> des mécanismes de domination sociale. </w:t>
      </w:r>
      <w:proofErr w:type="spellStart"/>
      <w:r w:rsidRPr="00F72611">
        <w:lastRenderedPageBreak/>
        <w:t>Annik</w:t>
      </w:r>
      <w:proofErr w:type="spellEnd"/>
      <w:r w:rsidRPr="00F72611">
        <w:t xml:space="preserve"> </w:t>
      </w:r>
      <w:proofErr w:type="spellStart"/>
      <w:r w:rsidRPr="00F72611">
        <w:t>Houel</w:t>
      </w:r>
      <w:proofErr w:type="spellEnd"/>
      <w:r w:rsidRPr="00F72611">
        <w:t xml:space="preserve">, Patricia </w:t>
      </w:r>
      <w:proofErr w:type="spellStart"/>
      <w:r w:rsidRPr="00F72611">
        <w:t>Mercader</w:t>
      </w:r>
      <w:proofErr w:type="spellEnd"/>
      <w:r w:rsidRPr="00F72611">
        <w:t xml:space="preserve"> et Helga </w:t>
      </w:r>
      <w:proofErr w:type="spellStart"/>
      <w:r w:rsidRPr="00F72611">
        <w:t>Soboda</w:t>
      </w:r>
      <w:proofErr w:type="spellEnd"/>
      <w:r w:rsidRPr="00F72611">
        <w:t xml:space="preserve"> définissent le fait divers passionnel comme « une littérature normative et même politique qui soutient les institutions en place […] fonctionnant comme une pseudo-évidence, le récit de crime dit passionnel peut apparaître comme l’un des innombrables instruments discursifs de contrôle social » (2003, 173).</w:t>
      </w:r>
      <w:r w:rsidR="00360300" w:rsidRPr="00F72611">
        <w:t xml:space="preserve"> L</w:t>
      </w:r>
      <w:r w:rsidRPr="00F72611">
        <w:t xml:space="preserve">es journalistes ne sont </w:t>
      </w:r>
      <w:r w:rsidR="00360300" w:rsidRPr="00F72611">
        <w:t xml:space="preserve">peut-être </w:t>
      </w:r>
      <w:r w:rsidRPr="00F72611">
        <w:t xml:space="preserve">pas conscients de ce mécanisme, </w:t>
      </w:r>
      <w:r w:rsidR="00360300" w:rsidRPr="00F72611">
        <w:t xml:space="preserve">mais </w:t>
      </w:r>
      <w:r w:rsidRPr="00F72611">
        <w:t xml:space="preserve">Patrizia </w:t>
      </w:r>
      <w:proofErr w:type="spellStart"/>
      <w:r w:rsidRPr="00F72611">
        <w:t>Romito</w:t>
      </w:r>
      <w:proofErr w:type="spellEnd"/>
      <w:r w:rsidRPr="00F72611">
        <w:t xml:space="preserve"> souligne que « pour qu’il y ait “stratégie”, il n’est pas nécessaire que ses acteurs agissent en toute conscience du but poursuivi. » (2006, p. 80) </w:t>
      </w:r>
    </w:p>
    <w:p w:rsidR="00360300" w:rsidRDefault="00360300" w:rsidP="002C0C36">
      <w:pPr>
        <w:spacing w:line="360" w:lineRule="auto"/>
        <w:jc w:val="both"/>
      </w:pPr>
      <w:r w:rsidRPr="00F72611">
        <w:t>Enjeu démocratique, écrivions-nous, c</w:t>
      </w:r>
      <w:r w:rsidR="00890E85" w:rsidRPr="00F72611">
        <w:t xml:space="preserve">’est aussi un enjeu </w:t>
      </w:r>
      <w:r w:rsidRPr="00F72611">
        <w:t>économique</w:t>
      </w:r>
      <w:r w:rsidR="00890E85" w:rsidRPr="00F72611">
        <w:t xml:space="preserve">. </w:t>
      </w:r>
      <w:r w:rsidR="000E157E" w:rsidRPr="00F72611">
        <w:t xml:space="preserve">Dans son étude de la réception des médias écrits, Sylvie </w:t>
      </w:r>
      <w:proofErr w:type="spellStart"/>
      <w:r w:rsidR="000E157E" w:rsidRPr="00F72611">
        <w:t>Debras</w:t>
      </w:r>
      <w:proofErr w:type="spellEnd"/>
      <w:r w:rsidR="000E157E" w:rsidRPr="00F72611">
        <w:t xml:space="preserve"> montre que les femmes ne les lisent pas parce que « cette presse ne s’intéresse pas à elles et ne s’adresse pas à elles, ni dans la forme ni dans le fond » (</w:t>
      </w:r>
      <w:proofErr w:type="spellStart"/>
      <w:r w:rsidR="000E157E" w:rsidRPr="00F72611">
        <w:t>Debras</w:t>
      </w:r>
      <w:proofErr w:type="spellEnd"/>
      <w:r w:rsidR="000E157E" w:rsidRPr="00F72611">
        <w:t xml:space="preserve">, 2003, p. 32). </w:t>
      </w:r>
      <w:r w:rsidRPr="00F72611">
        <w:t>Or l</w:t>
      </w:r>
      <w:r w:rsidR="000E157E" w:rsidRPr="00F72611">
        <w:t>a perte du lectorat féminin et des jeunes hommes (qui réagissent en grande partie comme les femmes)</w:t>
      </w:r>
      <w:r w:rsidRPr="00F72611">
        <w:t xml:space="preserve"> met aujourd’hui en péril le modèle économique de la presse écrite. Pour survivre </w:t>
      </w:r>
      <w:r w:rsidR="00FC12E9">
        <w:t>les médias</w:t>
      </w:r>
      <w:r w:rsidRPr="00F72611">
        <w:t xml:space="preserve"> doi</w:t>
      </w:r>
      <w:r w:rsidR="00FC12E9">
        <w:t>ven</w:t>
      </w:r>
      <w:r w:rsidRPr="00F72611">
        <w:t xml:space="preserve">t intégrer le féminin, dans </w:t>
      </w:r>
      <w:r w:rsidR="00FC12E9">
        <w:t>leurs</w:t>
      </w:r>
      <w:r w:rsidRPr="00F72611">
        <w:t xml:space="preserve"> rédactions</w:t>
      </w:r>
      <w:r w:rsidRPr="00F72611">
        <w:rPr>
          <w:rStyle w:val="Appelnotedebasdep"/>
        </w:rPr>
        <w:footnoteReference w:id="14"/>
      </w:r>
      <w:r w:rsidRPr="00F72611">
        <w:t xml:space="preserve">, dans </w:t>
      </w:r>
      <w:r w:rsidR="00FC12E9">
        <w:t>l</w:t>
      </w:r>
      <w:r w:rsidRPr="00F72611">
        <w:t xml:space="preserve">es formes d’écriture, dans les sujets traités, dans les angles d’analyse, dans les expertes sollicitées et dans les personnes représentées. Comment faire ? En 1997 déjà, Dominique </w:t>
      </w:r>
      <w:proofErr w:type="spellStart"/>
      <w:r w:rsidRPr="00F72611">
        <w:t>Wolton</w:t>
      </w:r>
      <w:proofErr w:type="spellEnd"/>
      <w:r w:rsidRPr="00F72611">
        <w:t xml:space="preserve"> s’inquiétait « de la disproportion dans le traitement entier de pans de la réalité » (228) et, déjà, il reliait ce problème à celui de la formation des journalistes. Les journalistes eux-mêmes – souvent elles-mêmes </w:t>
      </w:r>
      <w:r w:rsidR="00FC12E9">
        <w:t>–</w:t>
      </w:r>
      <w:r w:rsidRPr="00F72611">
        <w:t xml:space="preserve"> dénoncen</w:t>
      </w:r>
      <w:r w:rsidR="00FC12E9">
        <w:t xml:space="preserve">t </w:t>
      </w:r>
      <w:r w:rsidRPr="00F72611">
        <w:t xml:space="preserve">les </w:t>
      </w:r>
      <w:r w:rsidR="00FC12E9">
        <w:t>faiblesses dans la couverture des phénomènes de violence</w:t>
      </w:r>
      <w:r w:rsidRPr="00F72611">
        <w:rPr>
          <w:rStyle w:val="Appelnotedebasdep"/>
        </w:rPr>
        <w:footnoteReference w:id="15"/>
      </w:r>
      <w:r w:rsidRPr="00F72611">
        <w:t xml:space="preserve"> et les associations professionnelles ou les groupes de médias rédigent des chartes déontologique visant à améliorer </w:t>
      </w:r>
      <w:r w:rsidR="00FC12E9">
        <w:t>cette médiatisation</w:t>
      </w:r>
      <w:r w:rsidRPr="00F72611">
        <w:rPr>
          <w:rStyle w:val="Appelnotedebasdep"/>
        </w:rPr>
        <w:footnoteReference w:id="16"/>
      </w:r>
      <w:r w:rsidRPr="00F72611">
        <w:t>. Souvent ces documents sont inspirés de la Charte espagnole</w:t>
      </w:r>
      <w:r w:rsidRPr="00F72611">
        <w:rPr>
          <w:rStyle w:val="Appelnotedebasdep"/>
        </w:rPr>
        <w:footnoteReference w:id="17"/>
      </w:r>
      <w:r w:rsidRPr="00F72611">
        <w:t xml:space="preserve"> adoptée en 2008 dans la foulée de la Loi Organique contre la Violence de Genre de 2004</w:t>
      </w:r>
      <w:r w:rsidRPr="00F72611">
        <w:rPr>
          <w:rStyle w:val="Appelnotedebasdep"/>
        </w:rPr>
        <w:footnoteReference w:id="18"/>
      </w:r>
      <w:r w:rsidRPr="00F72611">
        <w:t xml:space="preserve">. Les violences faites aux femmes ne se limitent pas aux épouses battues, mais s’inscrivent dans un ensemble complexe de phénomènes connectés et assurant la domination masculine. En offrir une représentation plus juste suppose que les médias adoptent </w:t>
      </w:r>
      <w:r w:rsidRPr="00F72611">
        <w:lastRenderedPageBreak/>
        <w:t>des politiques éditoriales globales sur les questions de genre. Ceci suppose que les hommes et les femmes travaillant dans les entreprises de presse soit sensibili</w:t>
      </w:r>
      <w:r w:rsidR="00FC12E9">
        <w:t>s</w:t>
      </w:r>
      <w:r w:rsidRPr="00F72611">
        <w:t>és et formés à ces sujets.</w:t>
      </w:r>
    </w:p>
    <w:p w:rsidR="000E157E" w:rsidRDefault="000E157E" w:rsidP="002C0C36">
      <w:pPr>
        <w:spacing w:line="360" w:lineRule="auto"/>
        <w:jc w:val="both"/>
      </w:pPr>
    </w:p>
    <w:p w:rsidR="006D0BF2" w:rsidRPr="002C0C36" w:rsidRDefault="006D0BF2" w:rsidP="002C0C36">
      <w:pPr>
        <w:spacing w:line="360" w:lineRule="auto"/>
        <w:jc w:val="both"/>
        <w:rPr>
          <w:sz w:val="36"/>
          <w:szCs w:val="36"/>
        </w:rPr>
      </w:pPr>
      <w:r w:rsidRPr="002C0C36">
        <w:rPr>
          <w:sz w:val="36"/>
          <w:szCs w:val="36"/>
        </w:rPr>
        <w:t>Bibliographie</w:t>
      </w:r>
    </w:p>
    <w:p w:rsidR="00A82EA7" w:rsidRDefault="00A82EA7" w:rsidP="00A82EA7">
      <w:pPr>
        <w:spacing w:line="360" w:lineRule="auto"/>
        <w:jc w:val="both"/>
      </w:pPr>
    </w:p>
    <w:p w:rsidR="00754312" w:rsidRPr="00754312" w:rsidRDefault="00754312" w:rsidP="00A82EA7">
      <w:pPr>
        <w:spacing w:line="360" w:lineRule="auto"/>
        <w:jc w:val="both"/>
      </w:pPr>
      <w:proofErr w:type="spellStart"/>
      <w:r w:rsidRPr="00754312">
        <w:t>Accardo</w:t>
      </w:r>
      <w:proofErr w:type="spellEnd"/>
      <w:r w:rsidRPr="00754312">
        <w:t xml:space="preserve">, A., Abou, G., </w:t>
      </w:r>
      <w:proofErr w:type="spellStart"/>
      <w:r w:rsidRPr="00754312">
        <w:t>Ballastre</w:t>
      </w:r>
      <w:proofErr w:type="spellEnd"/>
      <w:r w:rsidRPr="00754312">
        <w:t>, G. et Marine, D.</w:t>
      </w:r>
      <w:r>
        <w:t xml:space="preserve"> (1995). </w:t>
      </w:r>
      <w:r w:rsidRPr="00754312">
        <w:rPr>
          <w:i/>
        </w:rPr>
        <w:t>Journalistes au quotidien. Outils pour une socioanalyse des pratiques journalistiques</w:t>
      </w:r>
      <w:r>
        <w:t>. Bordeaux : Le Mascaret.</w:t>
      </w:r>
    </w:p>
    <w:p w:rsidR="006F7F7E" w:rsidRDefault="006F7F7E" w:rsidP="00A82EA7">
      <w:pPr>
        <w:spacing w:line="360" w:lineRule="auto"/>
        <w:jc w:val="both"/>
      </w:pPr>
      <w:proofErr w:type="spellStart"/>
      <w:r>
        <w:t>Baygert</w:t>
      </w:r>
      <w:proofErr w:type="spellEnd"/>
      <w:r>
        <w:t xml:space="preserve">, N. (2017). Mutations de l’expertise face à l’impératif de performance médiatique. </w:t>
      </w:r>
      <w:r w:rsidRPr="00A82EA7">
        <w:rPr>
          <w:i/>
        </w:rPr>
        <w:t xml:space="preserve">La </w:t>
      </w:r>
      <w:r w:rsidRPr="00FC12E9">
        <w:rPr>
          <w:i/>
        </w:rPr>
        <w:t>Revue Nouvelle</w:t>
      </w:r>
      <w:r w:rsidRPr="00FC12E9">
        <w:t xml:space="preserve">, 3, </w:t>
      </w:r>
      <w:r w:rsidR="00FC12E9" w:rsidRPr="00FC12E9">
        <w:t>50-54</w:t>
      </w:r>
      <w:r w:rsidRPr="00FC12E9">
        <w:t>.</w:t>
      </w:r>
    </w:p>
    <w:p w:rsidR="00B77AFE" w:rsidRDefault="00B77AFE" w:rsidP="00A82EA7">
      <w:pPr>
        <w:spacing w:line="360" w:lineRule="auto"/>
        <w:jc w:val="both"/>
      </w:pPr>
      <w:r w:rsidRPr="00754312">
        <w:t xml:space="preserve">Boyer, H. (2008). </w:t>
      </w:r>
      <w:r>
        <w:t xml:space="preserve">Stéréotype, emblème, mythe. Sémiotisation médiatique et figement représentationnel. </w:t>
      </w:r>
      <w:r w:rsidRPr="00B77AFE">
        <w:rPr>
          <w:i/>
        </w:rPr>
        <w:t>Mots. Les langages du politique</w:t>
      </w:r>
      <w:r>
        <w:t xml:space="preserve">, 88. </w:t>
      </w:r>
      <w:r w:rsidRPr="00A82EA7">
        <w:t>Récupéré de</w:t>
      </w:r>
      <w:r>
        <w:t xml:space="preserve"> </w:t>
      </w:r>
      <w:r w:rsidRPr="00B77AFE">
        <w:t>http://journals.openedition.org/mots/14433</w:t>
      </w:r>
      <w:r>
        <w:t>.</w:t>
      </w:r>
    </w:p>
    <w:p w:rsidR="00B77AFE" w:rsidRDefault="00B77AFE" w:rsidP="00A82EA7">
      <w:pPr>
        <w:spacing w:line="360" w:lineRule="auto"/>
        <w:jc w:val="both"/>
      </w:pPr>
      <w:r>
        <w:t xml:space="preserve">Brune, F., (1997). </w:t>
      </w:r>
      <w:r w:rsidRPr="00B77AFE">
        <w:rPr>
          <w:i/>
        </w:rPr>
        <w:t>Les médias pensent comme moi !</w:t>
      </w:r>
      <w:r>
        <w:t xml:space="preserve"> Paris : </w:t>
      </w:r>
      <w:proofErr w:type="spellStart"/>
      <w:r>
        <w:t>L’Harmattan</w:t>
      </w:r>
      <w:proofErr w:type="spellEnd"/>
      <w:r w:rsidR="000E157E">
        <w:t>.</w:t>
      </w:r>
    </w:p>
    <w:p w:rsidR="00A82EA7" w:rsidRDefault="00A82EA7" w:rsidP="00A82EA7">
      <w:pPr>
        <w:spacing w:line="360" w:lineRule="auto"/>
        <w:jc w:val="both"/>
      </w:pPr>
      <w:r w:rsidRPr="00A82EA7">
        <w:t xml:space="preserve">Campion, B. et Van </w:t>
      </w:r>
      <w:proofErr w:type="spellStart"/>
      <w:r w:rsidRPr="00A82EA7">
        <w:t>Wynsberghe</w:t>
      </w:r>
      <w:proofErr w:type="spellEnd"/>
      <w:r w:rsidRPr="00A82EA7">
        <w:t xml:space="preserve">, C. (2017). Experts médiatiques. </w:t>
      </w:r>
      <w:r w:rsidRPr="00A82EA7">
        <w:rPr>
          <w:i/>
        </w:rPr>
        <w:t>La Revue Nouvelle</w:t>
      </w:r>
      <w:r w:rsidRPr="00A82EA7">
        <w:t>, 3, 26-29.</w:t>
      </w:r>
    </w:p>
    <w:p w:rsidR="0074509B" w:rsidRDefault="0074509B" w:rsidP="00A82EA7">
      <w:pPr>
        <w:spacing w:line="360" w:lineRule="auto"/>
        <w:jc w:val="both"/>
      </w:pPr>
      <w:proofErr w:type="spellStart"/>
      <w:r>
        <w:t>Charaudeau</w:t>
      </w:r>
      <w:proofErr w:type="spellEnd"/>
      <w:r>
        <w:t xml:space="preserve">, P. (2006). Discours journalistique et positionnements énonciatifs. Frontières et dérives. </w:t>
      </w:r>
      <w:proofErr w:type="spellStart"/>
      <w:r w:rsidRPr="0074509B">
        <w:rPr>
          <w:i/>
        </w:rPr>
        <w:t>Semen</w:t>
      </w:r>
      <w:proofErr w:type="spellEnd"/>
      <w:r>
        <w:t xml:space="preserve">, 22. Récupéré de </w:t>
      </w:r>
      <w:r w:rsidRPr="0074509B">
        <w:t>http://journals.openedition.org/semen/2793</w:t>
      </w:r>
      <w:r>
        <w:t>.</w:t>
      </w:r>
    </w:p>
    <w:p w:rsidR="00A82EA7" w:rsidRPr="00A82EA7" w:rsidRDefault="00A82EA7" w:rsidP="00A82EA7">
      <w:pPr>
        <w:pStyle w:val="Sarahtexte"/>
        <w:spacing w:after="0" w:line="360" w:lineRule="auto"/>
        <w:rPr>
          <w:rFonts w:ascii="Times New Roman" w:hAnsi="Times New Roman"/>
          <w:sz w:val="24"/>
        </w:rPr>
      </w:pPr>
      <w:r w:rsidRPr="00A82EA7">
        <w:rPr>
          <w:rFonts w:ascii="Times New Roman" w:hAnsi="Times New Roman"/>
          <w:sz w:val="24"/>
        </w:rPr>
        <w:t xml:space="preserve">Collectif des Femmes. (2018, 6 mars). Colloque </w:t>
      </w:r>
      <w:r w:rsidRPr="00A82EA7">
        <w:rPr>
          <w:rFonts w:ascii="Times New Roman" w:hAnsi="Times New Roman"/>
          <w:i/>
          <w:sz w:val="24"/>
        </w:rPr>
        <w:t xml:space="preserve">Regards croisés : violences </w:t>
      </w:r>
      <w:proofErr w:type="spellStart"/>
      <w:r w:rsidRPr="00A82EA7">
        <w:rPr>
          <w:rFonts w:ascii="Times New Roman" w:hAnsi="Times New Roman"/>
          <w:i/>
          <w:sz w:val="24"/>
        </w:rPr>
        <w:t>pluri’elles</w:t>
      </w:r>
      <w:proofErr w:type="spellEnd"/>
      <w:r w:rsidRPr="00A82EA7">
        <w:rPr>
          <w:rFonts w:ascii="Times New Roman" w:hAnsi="Times New Roman"/>
          <w:i/>
          <w:sz w:val="24"/>
        </w:rPr>
        <w:t>, femmes et enfants</w:t>
      </w:r>
      <w:r w:rsidRPr="00A82EA7">
        <w:rPr>
          <w:rFonts w:ascii="Times New Roman" w:hAnsi="Times New Roman"/>
          <w:sz w:val="24"/>
        </w:rPr>
        <w:t>. Louvain-la-Neuve, Belgique.</w:t>
      </w:r>
    </w:p>
    <w:p w:rsidR="00A82EA7" w:rsidRPr="00A82EA7" w:rsidRDefault="00A82EA7" w:rsidP="00A82EA7">
      <w:pPr>
        <w:pStyle w:val="Sarahtexte"/>
        <w:spacing w:after="0" w:line="360" w:lineRule="auto"/>
        <w:rPr>
          <w:rFonts w:ascii="Times New Roman" w:hAnsi="Times New Roman"/>
          <w:sz w:val="24"/>
        </w:rPr>
      </w:pPr>
      <w:r w:rsidRPr="00A82EA7">
        <w:rPr>
          <w:rFonts w:ascii="Times New Roman" w:hAnsi="Times New Roman"/>
          <w:sz w:val="24"/>
        </w:rPr>
        <w:t>Commission pour l’égalité entre les femmes et les hommes. (2015)</w:t>
      </w:r>
      <w:r w:rsidRPr="00A82EA7">
        <w:rPr>
          <w:rFonts w:ascii="Times New Roman" w:hAnsi="Times New Roman"/>
          <w:i/>
          <w:sz w:val="24"/>
        </w:rPr>
        <w:t>. “</w:t>
      </w:r>
      <w:proofErr w:type="spellStart"/>
      <w:r w:rsidRPr="00A82EA7">
        <w:rPr>
          <w:rFonts w:ascii="Times New Roman" w:hAnsi="Times New Roman"/>
          <w:i/>
          <w:sz w:val="24"/>
        </w:rPr>
        <w:t>Toolkit</w:t>
      </w:r>
      <w:proofErr w:type="spellEnd"/>
      <w:r w:rsidRPr="00A82EA7">
        <w:rPr>
          <w:rFonts w:ascii="Times New Roman" w:hAnsi="Times New Roman"/>
          <w:i/>
          <w:sz w:val="24"/>
        </w:rPr>
        <w:t>” sur la mise en application de la Recommandation du Comité des Ministres du Conseil de l’Europe CM/</w:t>
      </w:r>
      <w:proofErr w:type="spellStart"/>
      <w:r w:rsidRPr="00A82EA7">
        <w:rPr>
          <w:rFonts w:ascii="Times New Roman" w:hAnsi="Times New Roman"/>
          <w:i/>
          <w:sz w:val="24"/>
        </w:rPr>
        <w:t>Rec</w:t>
      </w:r>
      <w:proofErr w:type="spellEnd"/>
      <w:r w:rsidRPr="00A82EA7">
        <w:rPr>
          <w:rFonts w:ascii="Times New Roman" w:hAnsi="Times New Roman"/>
          <w:i/>
          <w:sz w:val="24"/>
        </w:rPr>
        <w:t xml:space="preserve"> (2013) 1 sur l’égalité entre les femmes et les hommes et les médias</w:t>
      </w:r>
      <w:r w:rsidRPr="00A82EA7">
        <w:rPr>
          <w:rFonts w:ascii="Times New Roman" w:hAnsi="Times New Roman"/>
          <w:sz w:val="24"/>
        </w:rPr>
        <w:t>, Conseil de l’Europe.</w:t>
      </w:r>
    </w:p>
    <w:p w:rsidR="00A82EA7" w:rsidRPr="00A82EA7" w:rsidRDefault="00A82EA7" w:rsidP="00A82EA7">
      <w:pPr>
        <w:spacing w:line="360" w:lineRule="auto"/>
        <w:jc w:val="both"/>
      </w:pPr>
      <w:proofErr w:type="spellStart"/>
      <w:r w:rsidRPr="00A82EA7">
        <w:t>Cossalter</w:t>
      </w:r>
      <w:proofErr w:type="spellEnd"/>
      <w:r w:rsidRPr="00A82EA7">
        <w:t>,</w:t>
      </w:r>
      <w:r w:rsidR="00800413">
        <w:t xml:space="preserve"> </w:t>
      </w:r>
      <w:r w:rsidRPr="00A82EA7">
        <w:t xml:space="preserve">E. (2005, été). Faits-diversiers et faits divers : portraits d’acteurs, contraintes d’un métier. </w:t>
      </w:r>
      <w:r w:rsidRPr="00A82EA7">
        <w:rPr>
          <w:i/>
        </w:rPr>
        <w:t>Les Cahiers du journalisme,</w:t>
      </w:r>
      <w:r w:rsidRPr="00A82EA7">
        <w:t xml:space="preserve"> 14, 46-57.</w:t>
      </w:r>
    </w:p>
    <w:p w:rsidR="00A82EA7" w:rsidRPr="00A82EA7" w:rsidRDefault="00A82EA7" w:rsidP="00A82EA7">
      <w:pPr>
        <w:spacing w:line="360" w:lineRule="auto"/>
        <w:jc w:val="both"/>
      </w:pPr>
      <w:r w:rsidRPr="00A82EA7">
        <w:t>Coulomb-</w:t>
      </w:r>
      <w:proofErr w:type="spellStart"/>
      <w:r w:rsidRPr="00A82EA7">
        <w:t>Gully</w:t>
      </w:r>
      <w:proofErr w:type="spellEnd"/>
      <w:r w:rsidRPr="00A82EA7">
        <w:t xml:space="preserve">, M. et </w:t>
      </w:r>
      <w:proofErr w:type="spellStart"/>
      <w:r w:rsidRPr="00A82EA7">
        <w:t>Bonnafous</w:t>
      </w:r>
      <w:proofErr w:type="spellEnd"/>
      <w:r w:rsidRPr="00A82EA7">
        <w:t>, S. (2007). La Journée internationale des femmes en France. Entre marronnier et foulard islamique. Dans M. Coulomb-</w:t>
      </w:r>
      <w:proofErr w:type="spellStart"/>
      <w:r w:rsidRPr="00A82EA7">
        <w:t>Gully</w:t>
      </w:r>
      <w:proofErr w:type="spellEnd"/>
      <w:r w:rsidRPr="00A82EA7">
        <w:t xml:space="preserve"> et S. </w:t>
      </w:r>
      <w:proofErr w:type="spellStart"/>
      <w:r w:rsidRPr="00A82EA7">
        <w:t>Bonnafous</w:t>
      </w:r>
      <w:proofErr w:type="spellEnd"/>
      <w:r w:rsidRPr="00A82EA7">
        <w:t xml:space="preserve"> (</w:t>
      </w:r>
      <w:proofErr w:type="spellStart"/>
      <w:r w:rsidRPr="00A82EA7">
        <w:t>dir</w:t>
      </w:r>
      <w:proofErr w:type="spellEnd"/>
      <w:r w:rsidRPr="00A82EA7">
        <w:t>.), Femmes et médias. Le 8 mars à la « Une ». Une comparaison internationale, Sciences de la société (vol. 70, p. 81-94). Toulouse : Presses universitaires du Mirail.</w:t>
      </w:r>
    </w:p>
    <w:p w:rsidR="00444AD7" w:rsidRPr="00A82EA7" w:rsidRDefault="00444AD7" w:rsidP="00A82EA7">
      <w:pPr>
        <w:pStyle w:val="Sarahtexte"/>
        <w:spacing w:after="0" w:line="360" w:lineRule="auto"/>
        <w:rPr>
          <w:rFonts w:ascii="Times New Roman" w:hAnsi="Times New Roman"/>
          <w:sz w:val="24"/>
        </w:rPr>
      </w:pPr>
      <w:r w:rsidRPr="00A82EA7">
        <w:rPr>
          <w:rFonts w:ascii="Times New Roman" w:hAnsi="Times New Roman"/>
          <w:sz w:val="24"/>
        </w:rPr>
        <w:t>CSA. (2018).</w:t>
      </w:r>
      <w:r w:rsidRPr="00A82EA7">
        <w:rPr>
          <w:rFonts w:ascii="Times New Roman" w:hAnsi="Times New Roman"/>
          <w:i/>
          <w:sz w:val="24"/>
        </w:rPr>
        <w:t xml:space="preserve">Baromètre Diversité et </w:t>
      </w:r>
      <w:proofErr w:type="spellStart"/>
      <w:r w:rsidRPr="00A82EA7">
        <w:rPr>
          <w:rFonts w:ascii="Times New Roman" w:hAnsi="Times New Roman"/>
          <w:i/>
          <w:sz w:val="24"/>
        </w:rPr>
        <w:t>Egalité</w:t>
      </w:r>
      <w:proofErr w:type="spellEnd"/>
      <w:r w:rsidRPr="00A82EA7">
        <w:rPr>
          <w:rFonts w:ascii="Times New Roman" w:hAnsi="Times New Roman"/>
          <w:sz w:val="24"/>
        </w:rPr>
        <w:t xml:space="preserve">, Bruxelles : Conseil supérieur de l’audiovisuel. Récupéré de </w:t>
      </w:r>
      <w:hyperlink r:id="rId7" w:history="1">
        <w:r w:rsidRPr="00A82EA7">
          <w:rPr>
            <w:rStyle w:val="Lienhypertexte"/>
            <w:rFonts w:ascii="Times New Roman" w:hAnsi="Times New Roman"/>
            <w:sz w:val="24"/>
          </w:rPr>
          <w:t>http://www.csa.be/documents/2820%20</w:t>
        </w:r>
      </w:hyperlink>
      <w:r w:rsidRPr="00A82EA7">
        <w:rPr>
          <w:rFonts w:ascii="Times New Roman" w:hAnsi="Times New Roman"/>
          <w:sz w:val="24"/>
        </w:rPr>
        <w:t>.</w:t>
      </w:r>
    </w:p>
    <w:p w:rsidR="00444AD7" w:rsidRPr="00A82EA7" w:rsidRDefault="00444AD7" w:rsidP="00A82EA7">
      <w:pPr>
        <w:pStyle w:val="Sarahtexte"/>
        <w:spacing w:after="0" w:line="360" w:lineRule="auto"/>
        <w:rPr>
          <w:rFonts w:ascii="Times New Roman" w:hAnsi="Times New Roman"/>
          <w:sz w:val="24"/>
        </w:rPr>
      </w:pPr>
      <w:r w:rsidRPr="00A82EA7">
        <w:rPr>
          <w:rFonts w:ascii="Times New Roman" w:hAnsi="Times New Roman"/>
          <w:sz w:val="24"/>
        </w:rPr>
        <w:t>CSA. (2013).</w:t>
      </w:r>
      <w:r w:rsidRPr="00A82EA7">
        <w:rPr>
          <w:rFonts w:ascii="Times New Roman" w:hAnsi="Times New Roman"/>
          <w:i/>
          <w:sz w:val="24"/>
        </w:rPr>
        <w:t xml:space="preserve">Baromètre Diversité et </w:t>
      </w:r>
      <w:proofErr w:type="spellStart"/>
      <w:r w:rsidRPr="00A82EA7">
        <w:rPr>
          <w:rFonts w:ascii="Times New Roman" w:hAnsi="Times New Roman"/>
          <w:i/>
          <w:sz w:val="24"/>
        </w:rPr>
        <w:t>Egalité</w:t>
      </w:r>
      <w:proofErr w:type="spellEnd"/>
      <w:r w:rsidRPr="00A82EA7">
        <w:rPr>
          <w:rFonts w:ascii="Times New Roman" w:hAnsi="Times New Roman"/>
          <w:sz w:val="24"/>
        </w:rPr>
        <w:t>, Bruxelles : Conseil supérieur de l’audiovisuel. Récupéré de http://www.csa.be/documents/2820%20.</w:t>
      </w:r>
    </w:p>
    <w:p w:rsidR="00444AD7" w:rsidRPr="00A82EA7" w:rsidRDefault="00444AD7" w:rsidP="00A82EA7">
      <w:pPr>
        <w:pStyle w:val="Sarahtexte"/>
        <w:spacing w:after="0" w:line="360" w:lineRule="auto"/>
        <w:rPr>
          <w:rFonts w:ascii="Times New Roman" w:hAnsi="Times New Roman"/>
          <w:sz w:val="24"/>
        </w:rPr>
      </w:pPr>
      <w:r w:rsidRPr="00A82EA7">
        <w:rPr>
          <w:rFonts w:ascii="Times New Roman" w:hAnsi="Times New Roman"/>
          <w:sz w:val="24"/>
        </w:rPr>
        <w:lastRenderedPageBreak/>
        <w:t>CSA. (2011).</w:t>
      </w:r>
      <w:r w:rsidRPr="00A82EA7">
        <w:rPr>
          <w:rFonts w:ascii="Times New Roman" w:hAnsi="Times New Roman"/>
          <w:i/>
          <w:sz w:val="24"/>
        </w:rPr>
        <w:t xml:space="preserve">Baromètre Diversité et </w:t>
      </w:r>
      <w:proofErr w:type="spellStart"/>
      <w:r w:rsidRPr="00A82EA7">
        <w:rPr>
          <w:rFonts w:ascii="Times New Roman" w:hAnsi="Times New Roman"/>
          <w:i/>
          <w:sz w:val="24"/>
        </w:rPr>
        <w:t>Egalité</w:t>
      </w:r>
      <w:proofErr w:type="spellEnd"/>
      <w:r w:rsidRPr="00A82EA7">
        <w:rPr>
          <w:rFonts w:ascii="Times New Roman" w:hAnsi="Times New Roman"/>
          <w:sz w:val="24"/>
        </w:rPr>
        <w:t>, Bruxelles : Conseil supérieur de l’audiovisuel. Récupéré de http://www.csa.be/documents/2820%20.</w:t>
      </w:r>
    </w:p>
    <w:p w:rsidR="00B77AFE" w:rsidRDefault="00B77AFE" w:rsidP="00B77AFE">
      <w:pPr>
        <w:spacing w:line="360" w:lineRule="auto"/>
        <w:jc w:val="both"/>
      </w:pPr>
      <w:r>
        <w:t xml:space="preserve">de </w:t>
      </w:r>
      <w:proofErr w:type="spellStart"/>
      <w:r>
        <w:t>Bonville</w:t>
      </w:r>
      <w:proofErr w:type="spellEnd"/>
      <w:r>
        <w:t xml:space="preserve">, J. (2006). </w:t>
      </w:r>
      <w:r w:rsidRPr="003B6521">
        <w:rPr>
          <w:i/>
        </w:rPr>
        <w:t>L’analyse de contenu des médias. De la problématique au traitement statistique</w:t>
      </w:r>
      <w:r>
        <w:t xml:space="preserve">. Bruxelles : De Boeck et </w:t>
      </w:r>
      <w:proofErr w:type="spellStart"/>
      <w:r>
        <w:t>Larcier</w:t>
      </w:r>
      <w:proofErr w:type="spellEnd"/>
      <w:r>
        <w:t>.</w:t>
      </w:r>
    </w:p>
    <w:p w:rsidR="00B77AFE" w:rsidRDefault="00B77AFE" w:rsidP="00A82EA7">
      <w:pPr>
        <w:spacing w:line="360" w:lineRule="auto"/>
        <w:jc w:val="both"/>
      </w:pPr>
      <w:proofErr w:type="spellStart"/>
      <w:r>
        <w:t>Debras</w:t>
      </w:r>
      <w:proofErr w:type="spellEnd"/>
      <w:r>
        <w:t xml:space="preserve">, S. (2003). </w:t>
      </w:r>
      <w:r w:rsidRPr="00B77AFE">
        <w:rPr>
          <w:i/>
        </w:rPr>
        <w:t>Lectrices au quotidien. Femmes et presse quotidienne : la dissension</w:t>
      </w:r>
      <w:r>
        <w:t xml:space="preserve">. Paris, </w:t>
      </w:r>
      <w:proofErr w:type="spellStart"/>
      <w:r>
        <w:t>L’Harmattan</w:t>
      </w:r>
      <w:proofErr w:type="spellEnd"/>
      <w:r>
        <w:t>.</w:t>
      </w:r>
    </w:p>
    <w:p w:rsidR="00A82EA7" w:rsidRPr="00A82EA7" w:rsidRDefault="00A82EA7" w:rsidP="00A82EA7">
      <w:pPr>
        <w:spacing w:line="360" w:lineRule="auto"/>
        <w:jc w:val="both"/>
      </w:pPr>
      <w:proofErr w:type="spellStart"/>
      <w:r w:rsidRPr="00A82EA7">
        <w:t>Desmarchelier</w:t>
      </w:r>
      <w:proofErr w:type="spellEnd"/>
      <w:r w:rsidRPr="00A82EA7">
        <w:t>, D. (2007). Le 8 mars dans la presse suisse romande. Entre dérision et dénonciation des inégalités. Dans M. Coulomb-</w:t>
      </w:r>
      <w:proofErr w:type="spellStart"/>
      <w:r w:rsidRPr="00A82EA7">
        <w:t>Gully</w:t>
      </w:r>
      <w:proofErr w:type="spellEnd"/>
      <w:r w:rsidRPr="00A82EA7">
        <w:t xml:space="preserve"> et S. </w:t>
      </w:r>
      <w:proofErr w:type="spellStart"/>
      <w:r w:rsidRPr="00A82EA7">
        <w:t>Bonnafous</w:t>
      </w:r>
      <w:proofErr w:type="spellEnd"/>
      <w:r w:rsidRPr="00A82EA7">
        <w:t xml:space="preserve"> (</w:t>
      </w:r>
      <w:proofErr w:type="spellStart"/>
      <w:r w:rsidRPr="00A82EA7">
        <w:t>dir</w:t>
      </w:r>
      <w:proofErr w:type="spellEnd"/>
      <w:r w:rsidRPr="00A82EA7">
        <w:t>.), Femmes et médias. Le 8 mars à la « Une ». Une comparaison internationale, Sciences de la société (vol. 70, p. 69-77). Toulouse : Presses universitaires du Mirail.</w:t>
      </w:r>
    </w:p>
    <w:p w:rsidR="006850F7" w:rsidRPr="00A82EA7" w:rsidRDefault="006850F7" w:rsidP="00A82EA7">
      <w:pPr>
        <w:pStyle w:val="Sarahtexte"/>
        <w:spacing w:after="0" w:line="360" w:lineRule="auto"/>
        <w:rPr>
          <w:rFonts w:ascii="Times New Roman" w:hAnsi="Times New Roman"/>
          <w:sz w:val="24"/>
        </w:rPr>
      </w:pPr>
      <w:r w:rsidRPr="00A82EA7">
        <w:rPr>
          <w:rFonts w:ascii="Times New Roman" w:hAnsi="Times New Roman"/>
          <w:i/>
          <w:sz w:val="24"/>
        </w:rPr>
        <w:t>Encourager la participation du secteur privé et des médias à la prévention de la violence à l’égard des femmes et de la violence domestique : article 17 de la convention d’Istanbul. Série de documents sur la Convention du Conseil de l’Europe sur la prévention et la lutte contre la violence à l’égard des femmes et la violence domestique</w:t>
      </w:r>
      <w:r w:rsidRPr="00A82EA7">
        <w:rPr>
          <w:rFonts w:ascii="Times New Roman" w:hAnsi="Times New Roman"/>
          <w:sz w:val="24"/>
        </w:rPr>
        <w:t xml:space="preserve">, </w:t>
      </w:r>
      <w:r w:rsidR="006870C4" w:rsidRPr="00A82EA7">
        <w:rPr>
          <w:rFonts w:ascii="Times New Roman" w:hAnsi="Times New Roman"/>
          <w:sz w:val="24"/>
        </w:rPr>
        <w:t xml:space="preserve">(2016). </w:t>
      </w:r>
      <w:r w:rsidRPr="00A82EA7">
        <w:rPr>
          <w:rFonts w:ascii="Times New Roman" w:hAnsi="Times New Roman"/>
          <w:sz w:val="24"/>
        </w:rPr>
        <w:t>Conseil de l’Europe.</w:t>
      </w:r>
    </w:p>
    <w:p w:rsidR="006850F7" w:rsidRDefault="00B510F5"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Gillioz</w:t>
      </w:r>
      <w:proofErr w:type="spellEnd"/>
      <w:r w:rsidR="00800413">
        <w:rPr>
          <w:rFonts w:ascii="Times New Roman" w:hAnsi="Times New Roman"/>
          <w:sz w:val="24"/>
        </w:rPr>
        <w:t>,</w:t>
      </w:r>
      <w:r w:rsidRPr="00A82EA7">
        <w:rPr>
          <w:rFonts w:ascii="Times New Roman" w:hAnsi="Times New Roman"/>
          <w:sz w:val="24"/>
        </w:rPr>
        <w:t xml:space="preserve"> L. (2009).</w:t>
      </w:r>
      <w:r w:rsidR="006850F7" w:rsidRPr="00A82EA7">
        <w:rPr>
          <w:rFonts w:ascii="Times New Roman" w:hAnsi="Times New Roman"/>
          <w:sz w:val="24"/>
        </w:rPr>
        <w:t xml:space="preserve"> Patrizia </w:t>
      </w:r>
      <w:proofErr w:type="spellStart"/>
      <w:r w:rsidR="006850F7" w:rsidRPr="00A82EA7">
        <w:rPr>
          <w:rFonts w:ascii="Times New Roman" w:hAnsi="Times New Roman"/>
          <w:sz w:val="24"/>
        </w:rPr>
        <w:t>Romito</w:t>
      </w:r>
      <w:proofErr w:type="spellEnd"/>
      <w:r w:rsidR="006850F7" w:rsidRPr="00A82EA7">
        <w:rPr>
          <w:rFonts w:ascii="Times New Roman" w:hAnsi="Times New Roman"/>
          <w:sz w:val="24"/>
        </w:rPr>
        <w:t> : Un silence de mortes. La violence masculine occultée</w:t>
      </w:r>
      <w:r w:rsidRPr="00A82EA7">
        <w:rPr>
          <w:rFonts w:ascii="Times New Roman" w:hAnsi="Times New Roman"/>
          <w:sz w:val="24"/>
        </w:rPr>
        <w:t>.</w:t>
      </w:r>
      <w:r w:rsidR="006850F7" w:rsidRPr="00A82EA7">
        <w:rPr>
          <w:rFonts w:ascii="Times New Roman" w:hAnsi="Times New Roman"/>
          <w:sz w:val="24"/>
        </w:rPr>
        <w:t xml:space="preserve"> </w:t>
      </w:r>
      <w:r w:rsidR="006850F7" w:rsidRPr="00B77AFE">
        <w:rPr>
          <w:rFonts w:ascii="Times New Roman" w:hAnsi="Times New Roman"/>
          <w:i/>
          <w:sz w:val="24"/>
        </w:rPr>
        <w:t>Nouvelles Questions Féministes</w:t>
      </w:r>
      <w:r w:rsidR="006850F7" w:rsidRPr="00A82EA7">
        <w:rPr>
          <w:rFonts w:ascii="Times New Roman" w:hAnsi="Times New Roman"/>
          <w:sz w:val="24"/>
        </w:rPr>
        <w:t xml:space="preserve">, </w:t>
      </w:r>
      <w:r w:rsidRPr="00A82EA7">
        <w:rPr>
          <w:rFonts w:ascii="Times New Roman" w:hAnsi="Times New Roman"/>
          <w:sz w:val="24"/>
        </w:rPr>
        <w:t>28(1),</w:t>
      </w:r>
      <w:r w:rsidR="006850F7" w:rsidRPr="00A82EA7">
        <w:rPr>
          <w:rFonts w:ascii="Times New Roman" w:hAnsi="Times New Roman"/>
          <w:sz w:val="24"/>
        </w:rPr>
        <w:t xml:space="preserve"> </w:t>
      </w:r>
      <w:r w:rsidRPr="00A82EA7">
        <w:rPr>
          <w:rFonts w:ascii="Times New Roman" w:hAnsi="Times New Roman"/>
          <w:sz w:val="24"/>
        </w:rPr>
        <w:t xml:space="preserve">120-123. Récupéré de </w:t>
      </w:r>
      <w:r w:rsidR="007810D5" w:rsidRPr="007810D5">
        <w:rPr>
          <w:rFonts w:ascii="Times New Roman" w:hAnsi="Times New Roman"/>
          <w:sz w:val="24"/>
        </w:rPr>
        <w:t>https://www.cairn.info/revue-nouvelles-questions-feministes-2009-1-p-120.htm</w:t>
      </w:r>
      <w:r w:rsidR="006850F7" w:rsidRPr="00A82EA7">
        <w:rPr>
          <w:rFonts w:ascii="Times New Roman" w:hAnsi="Times New Roman"/>
          <w:sz w:val="24"/>
        </w:rPr>
        <w:t>.</w:t>
      </w:r>
    </w:p>
    <w:p w:rsidR="007810D5" w:rsidRDefault="007810D5" w:rsidP="00A82EA7">
      <w:pPr>
        <w:pStyle w:val="Sarahtexte"/>
        <w:spacing w:after="0" w:line="360" w:lineRule="auto"/>
        <w:rPr>
          <w:rFonts w:ascii="Times New Roman" w:hAnsi="Times New Roman"/>
          <w:sz w:val="24"/>
        </w:rPr>
      </w:pPr>
      <w:proofErr w:type="spellStart"/>
      <w:r>
        <w:rPr>
          <w:rFonts w:ascii="Times New Roman" w:hAnsi="Times New Roman"/>
          <w:sz w:val="24"/>
        </w:rPr>
        <w:t>Guérard</w:t>
      </w:r>
      <w:proofErr w:type="spellEnd"/>
      <w:r>
        <w:rPr>
          <w:rFonts w:ascii="Times New Roman" w:hAnsi="Times New Roman"/>
          <w:sz w:val="24"/>
        </w:rPr>
        <w:t xml:space="preserve">, G. et </w:t>
      </w:r>
      <w:proofErr w:type="spellStart"/>
      <w:r>
        <w:rPr>
          <w:rFonts w:ascii="Times New Roman" w:hAnsi="Times New Roman"/>
          <w:sz w:val="24"/>
        </w:rPr>
        <w:t>Lavender</w:t>
      </w:r>
      <w:proofErr w:type="spellEnd"/>
      <w:r>
        <w:rPr>
          <w:rFonts w:ascii="Times New Roman" w:hAnsi="Times New Roman"/>
          <w:sz w:val="24"/>
        </w:rPr>
        <w:t xml:space="preserve">, A. (1992). Le </w:t>
      </w:r>
      <w:proofErr w:type="spellStart"/>
      <w:r>
        <w:rPr>
          <w:rFonts w:ascii="Times New Roman" w:hAnsi="Times New Roman"/>
          <w:sz w:val="24"/>
        </w:rPr>
        <w:t>féminicide</w:t>
      </w:r>
      <w:proofErr w:type="spellEnd"/>
      <w:r>
        <w:rPr>
          <w:rFonts w:ascii="Times New Roman" w:hAnsi="Times New Roman"/>
          <w:sz w:val="24"/>
        </w:rPr>
        <w:t xml:space="preserve"> conjugal, un phénomène ignoré, analyse de la couverture journalistique de 1993 de trois quotidiens montréalais. </w:t>
      </w:r>
      <w:r w:rsidRPr="007810D5">
        <w:rPr>
          <w:rFonts w:ascii="Times New Roman" w:hAnsi="Times New Roman"/>
          <w:i/>
          <w:sz w:val="24"/>
        </w:rPr>
        <w:t>Recherches féministes</w:t>
      </w:r>
      <w:r>
        <w:rPr>
          <w:rFonts w:ascii="Times New Roman" w:hAnsi="Times New Roman"/>
          <w:sz w:val="24"/>
        </w:rPr>
        <w:t>, 12(2), 159-177.</w:t>
      </w:r>
    </w:p>
    <w:p w:rsidR="00754312" w:rsidRDefault="00754312" w:rsidP="00A82EA7">
      <w:pPr>
        <w:pStyle w:val="Sarahtexte"/>
        <w:spacing w:after="0" w:line="360" w:lineRule="auto"/>
        <w:rPr>
          <w:rFonts w:ascii="Times New Roman" w:hAnsi="Times New Roman"/>
          <w:sz w:val="24"/>
        </w:rPr>
      </w:pPr>
      <w:r>
        <w:rPr>
          <w:rFonts w:ascii="Times New Roman" w:hAnsi="Times New Roman"/>
          <w:sz w:val="24"/>
        </w:rPr>
        <w:t xml:space="preserve">Halimi, S. (1998). </w:t>
      </w:r>
      <w:r w:rsidRPr="00754312">
        <w:rPr>
          <w:rFonts w:ascii="Times New Roman" w:hAnsi="Times New Roman"/>
          <w:i/>
          <w:sz w:val="24"/>
        </w:rPr>
        <w:t>Les nouveaux chiens de garde</w:t>
      </w:r>
      <w:r>
        <w:rPr>
          <w:rFonts w:ascii="Times New Roman" w:hAnsi="Times New Roman"/>
          <w:sz w:val="24"/>
        </w:rPr>
        <w:t>. Paris : Liber.</w:t>
      </w:r>
    </w:p>
    <w:p w:rsidR="006850F7" w:rsidRPr="00A82EA7" w:rsidRDefault="006870C4"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Herla</w:t>
      </w:r>
      <w:proofErr w:type="spellEnd"/>
      <w:r w:rsidR="00800413">
        <w:rPr>
          <w:rFonts w:ascii="Times New Roman" w:hAnsi="Times New Roman"/>
          <w:sz w:val="24"/>
        </w:rPr>
        <w:t>,</w:t>
      </w:r>
      <w:r w:rsidRPr="00A82EA7">
        <w:rPr>
          <w:rFonts w:ascii="Times New Roman" w:hAnsi="Times New Roman"/>
          <w:sz w:val="24"/>
        </w:rPr>
        <w:t xml:space="preserve"> R. (2017, octobre).</w:t>
      </w:r>
      <w:r w:rsidR="006850F7" w:rsidRPr="00A82EA7">
        <w:rPr>
          <w:rFonts w:ascii="Times New Roman" w:hAnsi="Times New Roman"/>
          <w:sz w:val="24"/>
        </w:rPr>
        <w:t xml:space="preserve"> </w:t>
      </w:r>
      <w:r w:rsidR="006850F7" w:rsidRPr="00A82EA7">
        <w:rPr>
          <w:rFonts w:ascii="Times New Roman" w:hAnsi="Times New Roman"/>
          <w:i/>
          <w:sz w:val="24"/>
        </w:rPr>
        <w:t>Penser contre la notion de « profil-type » : défense d’une approche politique des violences conjugales</w:t>
      </w:r>
      <w:r w:rsidR="006850F7" w:rsidRPr="00A82EA7">
        <w:rPr>
          <w:rFonts w:ascii="Times New Roman" w:hAnsi="Times New Roman"/>
          <w:sz w:val="24"/>
        </w:rPr>
        <w:t>, Collectif contre les violences familiales et l’ex</w:t>
      </w:r>
      <w:r w:rsidRPr="00A82EA7">
        <w:rPr>
          <w:rFonts w:ascii="Times New Roman" w:hAnsi="Times New Roman"/>
          <w:sz w:val="24"/>
        </w:rPr>
        <w:t>clusion. Récupéré de</w:t>
      </w:r>
      <w:r w:rsidR="006850F7" w:rsidRPr="00A82EA7">
        <w:rPr>
          <w:rFonts w:ascii="Times New Roman" w:hAnsi="Times New Roman"/>
          <w:sz w:val="24"/>
        </w:rPr>
        <w:t xml:space="preserve"> http://www.cvfe.be/sites/default/files/doc/ep2017-11-penser_contre_la_notion_de_profil-type-defense_dune_approche_politique_des_violences_conjugales.pdf.</w:t>
      </w:r>
    </w:p>
    <w:p w:rsidR="00B77AFE" w:rsidRDefault="00B77AFE" w:rsidP="00A82EA7">
      <w:pPr>
        <w:pStyle w:val="Sarahtexte"/>
        <w:spacing w:after="0" w:line="360" w:lineRule="auto"/>
        <w:rPr>
          <w:rFonts w:ascii="Times New Roman" w:hAnsi="Times New Roman"/>
          <w:sz w:val="24"/>
        </w:rPr>
      </w:pPr>
      <w:r>
        <w:rPr>
          <w:rFonts w:ascii="Times New Roman" w:hAnsi="Times New Roman"/>
          <w:sz w:val="24"/>
        </w:rPr>
        <w:t xml:space="preserve">Herrera, M. C. et </w:t>
      </w:r>
      <w:proofErr w:type="spellStart"/>
      <w:r>
        <w:rPr>
          <w:rFonts w:ascii="Times New Roman" w:hAnsi="Times New Roman"/>
          <w:sz w:val="24"/>
        </w:rPr>
        <w:t>Exposito</w:t>
      </w:r>
      <w:proofErr w:type="spellEnd"/>
      <w:r>
        <w:rPr>
          <w:rFonts w:ascii="Times New Roman" w:hAnsi="Times New Roman"/>
          <w:sz w:val="24"/>
        </w:rPr>
        <w:t xml:space="preserve">, F. (2009). </w:t>
      </w:r>
      <w:r w:rsidRPr="00B77AFE">
        <w:rPr>
          <w:rFonts w:ascii="Times New Roman" w:hAnsi="Times New Roman"/>
          <w:sz w:val="24"/>
          <w:lang w:val="en-US"/>
        </w:rPr>
        <w:t xml:space="preserve">Shared </w:t>
      </w:r>
      <w:proofErr w:type="spellStart"/>
      <w:r w:rsidRPr="00B77AFE">
        <w:rPr>
          <w:rFonts w:ascii="Times New Roman" w:hAnsi="Times New Roman"/>
          <w:sz w:val="24"/>
          <w:lang w:val="en-US"/>
        </w:rPr>
        <w:t>Responsabiliry</w:t>
      </w:r>
      <w:proofErr w:type="spellEnd"/>
      <w:r w:rsidRPr="00B77AFE">
        <w:rPr>
          <w:rFonts w:ascii="Times New Roman" w:hAnsi="Times New Roman"/>
          <w:sz w:val="24"/>
          <w:lang w:val="en-US"/>
        </w:rPr>
        <w:t xml:space="preserve">: Media Influence in Culpability and Justification’s </w:t>
      </w:r>
      <w:proofErr w:type="spellStart"/>
      <w:r w:rsidRPr="00B77AFE">
        <w:rPr>
          <w:rFonts w:ascii="Times New Roman" w:hAnsi="Times New Roman"/>
          <w:sz w:val="24"/>
          <w:lang w:val="en-US"/>
        </w:rPr>
        <w:t>Atribution</w:t>
      </w:r>
      <w:proofErr w:type="spellEnd"/>
      <w:r w:rsidRPr="00B77AFE">
        <w:rPr>
          <w:rFonts w:ascii="Times New Roman" w:hAnsi="Times New Roman"/>
          <w:sz w:val="24"/>
          <w:lang w:val="en-US"/>
        </w:rPr>
        <w:t xml:space="preserve"> in Co</w:t>
      </w:r>
      <w:r>
        <w:rPr>
          <w:rFonts w:ascii="Times New Roman" w:hAnsi="Times New Roman"/>
          <w:sz w:val="24"/>
          <w:lang w:val="en-US"/>
        </w:rPr>
        <w:t xml:space="preserve">uple Violence. </w:t>
      </w:r>
      <w:proofErr w:type="spellStart"/>
      <w:r w:rsidRPr="00B77AFE">
        <w:rPr>
          <w:rFonts w:ascii="Times New Roman" w:hAnsi="Times New Roman"/>
          <w:i/>
          <w:sz w:val="24"/>
        </w:rPr>
        <w:t>Anuario</w:t>
      </w:r>
      <w:proofErr w:type="spellEnd"/>
      <w:r w:rsidRPr="00B77AFE">
        <w:rPr>
          <w:rFonts w:ascii="Times New Roman" w:hAnsi="Times New Roman"/>
          <w:i/>
          <w:sz w:val="24"/>
        </w:rPr>
        <w:t xml:space="preserve"> de </w:t>
      </w:r>
      <w:proofErr w:type="spellStart"/>
      <w:r w:rsidRPr="00B77AFE">
        <w:rPr>
          <w:rFonts w:ascii="Times New Roman" w:hAnsi="Times New Roman"/>
          <w:i/>
          <w:sz w:val="24"/>
        </w:rPr>
        <w:t>Psicologia</w:t>
      </w:r>
      <w:proofErr w:type="spellEnd"/>
      <w:r w:rsidRPr="00B77AFE">
        <w:rPr>
          <w:rFonts w:ascii="Times New Roman" w:hAnsi="Times New Roman"/>
          <w:i/>
          <w:sz w:val="24"/>
        </w:rPr>
        <w:t xml:space="preserve"> </w:t>
      </w:r>
      <w:proofErr w:type="spellStart"/>
      <w:r w:rsidRPr="00B77AFE">
        <w:rPr>
          <w:rFonts w:ascii="Times New Roman" w:hAnsi="Times New Roman"/>
          <w:i/>
          <w:sz w:val="24"/>
        </w:rPr>
        <w:t>Juridica</w:t>
      </w:r>
      <w:proofErr w:type="spellEnd"/>
      <w:r w:rsidRPr="00B77AFE">
        <w:rPr>
          <w:rFonts w:ascii="Times New Roman" w:hAnsi="Times New Roman"/>
          <w:sz w:val="24"/>
        </w:rPr>
        <w:t xml:space="preserve">, 19, 103-110. Récupéré de </w:t>
      </w:r>
      <w:hyperlink r:id="rId8" w:history="1">
        <w:r w:rsidRPr="00BF1FCF">
          <w:rPr>
            <w:rStyle w:val="Lienhypertexte"/>
            <w:rFonts w:ascii="Times New Roman" w:hAnsi="Times New Roman"/>
            <w:sz w:val="24"/>
          </w:rPr>
          <w:t>https://www.redalyc.org/html/3150/315025340009/</w:t>
        </w:r>
      </w:hyperlink>
      <w:r>
        <w:rPr>
          <w:rFonts w:ascii="Times New Roman" w:hAnsi="Times New Roman"/>
          <w:sz w:val="24"/>
        </w:rPr>
        <w:t>.</w:t>
      </w:r>
    </w:p>
    <w:p w:rsidR="00B77AFE" w:rsidRPr="00B77AFE" w:rsidRDefault="00B77AFE" w:rsidP="00A82EA7">
      <w:pPr>
        <w:pStyle w:val="Sarahtexte"/>
        <w:spacing w:after="0" w:line="360" w:lineRule="auto"/>
        <w:rPr>
          <w:rFonts w:ascii="Times New Roman" w:hAnsi="Times New Roman"/>
          <w:sz w:val="24"/>
        </w:rPr>
      </w:pPr>
      <w:proofErr w:type="spellStart"/>
      <w:r>
        <w:rPr>
          <w:rFonts w:ascii="Times New Roman" w:hAnsi="Times New Roman"/>
          <w:sz w:val="24"/>
        </w:rPr>
        <w:t>Houel</w:t>
      </w:r>
      <w:proofErr w:type="spellEnd"/>
      <w:r>
        <w:rPr>
          <w:rFonts w:ascii="Times New Roman" w:hAnsi="Times New Roman"/>
          <w:sz w:val="24"/>
        </w:rPr>
        <w:t xml:space="preserve">, A., </w:t>
      </w:r>
      <w:proofErr w:type="spellStart"/>
      <w:r>
        <w:rPr>
          <w:rFonts w:ascii="Times New Roman" w:hAnsi="Times New Roman"/>
          <w:sz w:val="24"/>
        </w:rPr>
        <w:t>Mercader</w:t>
      </w:r>
      <w:proofErr w:type="spellEnd"/>
      <w:r>
        <w:rPr>
          <w:rFonts w:ascii="Times New Roman" w:hAnsi="Times New Roman"/>
          <w:sz w:val="24"/>
        </w:rPr>
        <w:t xml:space="preserve">, P. et </w:t>
      </w:r>
      <w:proofErr w:type="spellStart"/>
      <w:r>
        <w:rPr>
          <w:rFonts w:ascii="Times New Roman" w:hAnsi="Times New Roman"/>
          <w:sz w:val="24"/>
        </w:rPr>
        <w:t>Soboto</w:t>
      </w:r>
      <w:proofErr w:type="spellEnd"/>
      <w:r>
        <w:rPr>
          <w:rFonts w:ascii="Times New Roman" w:hAnsi="Times New Roman"/>
          <w:sz w:val="24"/>
        </w:rPr>
        <w:t xml:space="preserve">, H. (2003). </w:t>
      </w:r>
      <w:r w:rsidRPr="00B77AFE">
        <w:rPr>
          <w:rFonts w:ascii="Times New Roman" w:hAnsi="Times New Roman"/>
          <w:i/>
          <w:sz w:val="24"/>
        </w:rPr>
        <w:t>Crime passionnel, crime ordinaire</w:t>
      </w:r>
      <w:r>
        <w:rPr>
          <w:rFonts w:ascii="Times New Roman" w:hAnsi="Times New Roman"/>
          <w:sz w:val="24"/>
        </w:rPr>
        <w:t>. Paris : Presses universitaires de France.</w:t>
      </w:r>
    </w:p>
    <w:p w:rsidR="006850F7" w:rsidRPr="00A82EA7" w:rsidRDefault="006850F7"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Jaspard</w:t>
      </w:r>
      <w:proofErr w:type="spellEnd"/>
      <w:r w:rsidR="00800413">
        <w:rPr>
          <w:rFonts w:ascii="Times New Roman" w:hAnsi="Times New Roman"/>
          <w:sz w:val="24"/>
        </w:rPr>
        <w:t>,</w:t>
      </w:r>
      <w:r w:rsidRPr="00A82EA7">
        <w:rPr>
          <w:rFonts w:ascii="Times New Roman" w:hAnsi="Times New Roman"/>
          <w:sz w:val="24"/>
        </w:rPr>
        <w:t xml:space="preserve"> M.</w:t>
      </w:r>
      <w:r w:rsidR="006870C4" w:rsidRPr="00A82EA7">
        <w:rPr>
          <w:rFonts w:ascii="Times New Roman" w:hAnsi="Times New Roman"/>
          <w:sz w:val="24"/>
        </w:rPr>
        <w:t xml:space="preserve"> (2005).</w:t>
      </w:r>
      <w:r w:rsidRPr="00A82EA7">
        <w:rPr>
          <w:rFonts w:ascii="Times New Roman" w:hAnsi="Times New Roman"/>
          <w:sz w:val="24"/>
        </w:rPr>
        <w:t xml:space="preserve"> </w:t>
      </w:r>
      <w:r w:rsidRPr="00A82EA7">
        <w:rPr>
          <w:rFonts w:ascii="Times New Roman" w:hAnsi="Times New Roman"/>
          <w:i/>
          <w:sz w:val="24"/>
        </w:rPr>
        <w:t>Les violences contre les femmes</w:t>
      </w:r>
      <w:r w:rsidR="006870C4" w:rsidRPr="00A82EA7">
        <w:rPr>
          <w:rFonts w:ascii="Times New Roman" w:hAnsi="Times New Roman"/>
          <w:sz w:val="24"/>
        </w:rPr>
        <w:t>.</w:t>
      </w:r>
      <w:r w:rsidRPr="00A82EA7">
        <w:rPr>
          <w:rFonts w:ascii="Times New Roman" w:hAnsi="Times New Roman"/>
          <w:sz w:val="24"/>
        </w:rPr>
        <w:t xml:space="preserve"> </w:t>
      </w:r>
      <w:r w:rsidR="006870C4" w:rsidRPr="00A82EA7">
        <w:rPr>
          <w:rFonts w:ascii="Times New Roman" w:hAnsi="Times New Roman"/>
          <w:sz w:val="24"/>
        </w:rPr>
        <w:t>Paris : La Découverte</w:t>
      </w:r>
      <w:r w:rsidRPr="00A82EA7">
        <w:rPr>
          <w:rFonts w:ascii="Times New Roman" w:hAnsi="Times New Roman"/>
          <w:sz w:val="24"/>
        </w:rPr>
        <w:t>.</w:t>
      </w:r>
    </w:p>
    <w:p w:rsidR="00B77AFE" w:rsidRDefault="00B77AFE" w:rsidP="00A82EA7">
      <w:pPr>
        <w:spacing w:line="360" w:lineRule="auto"/>
        <w:jc w:val="both"/>
      </w:pPr>
      <w:proofErr w:type="spellStart"/>
      <w:r>
        <w:t>Jodelet</w:t>
      </w:r>
      <w:proofErr w:type="spellEnd"/>
      <w:r>
        <w:t>, D. Représentations sociales : phénomènes, concept et théorie. Dans Moscovici, S. (</w:t>
      </w:r>
      <w:proofErr w:type="spellStart"/>
      <w:r>
        <w:t>dir</w:t>
      </w:r>
      <w:proofErr w:type="spellEnd"/>
      <w:r>
        <w:t xml:space="preserve">.). </w:t>
      </w:r>
      <w:r w:rsidRPr="00B77AFE">
        <w:rPr>
          <w:i/>
        </w:rPr>
        <w:t>Psychologie sociale</w:t>
      </w:r>
      <w:r>
        <w:t>. Paris : Presses universitaires de France.</w:t>
      </w:r>
    </w:p>
    <w:p w:rsidR="00A82EA7" w:rsidRPr="00A82EA7" w:rsidRDefault="00A82EA7" w:rsidP="00A82EA7">
      <w:pPr>
        <w:spacing w:line="360" w:lineRule="auto"/>
        <w:jc w:val="both"/>
      </w:pPr>
      <w:proofErr w:type="spellStart"/>
      <w:r w:rsidRPr="00A82EA7">
        <w:lastRenderedPageBreak/>
        <w:t>Kaciaf</w:t>
      </w:r>
      <w:proofErr w:type="spellEnd"/>
      <w:r w:rsidRPr="00A82EA7">
        <w:t xml:space="preserve">, N. et Nollet, J. (2013). Présentation du dossier. Journalisme : retour aux sources. </w:t>
      </w:r>
      <w:r w:rsidRPr="00A82EA7">
        <w:rPr>
          <w:i/>
        </w:rPr>
        <w:t>Politiques de communication</w:t>
      </w:r>
      <w:r w:rsidRPr="00A82EA7">
        <w:t>, 1, 5-34.</w:t>
      </w:r>
    </w:p>
    <w:p w:rsidR="006850F7" w:rsidRPr="00A82EA7" w:rsidRDefault="006850F7" w:rsidP="00A82EA7">
      <w:pPr>
        <w:pStyle w:val="Sarahtexte"/>
        <w:spacing w:after="0" w:line="360" w:lineRule="auto"/>
        <w:rPr>
          <w:rFonts w:ascii="Times New Roman" w:hAnsi="Times New Roman"/>
          <w:sz w:val="24"/>
        </w:rPr>
      </w:pPr>
      <w:proofErr w:type="spellStart"/>
      <w:r w:rsidRPr="00800413">
        <w:rPr>
          <w:rFonts w:ascii="Times New Roman" w:hAnsi="Times New Roman"/>
          <w:sz w:val="24"/>
        </w:rPr>
        <w:t>Krug</w:t>
      </w:r>
      <w:proofErr w:type="spellEnd"/>
      <w:r w:rsidR="00800413" w:rsidRPr="00800413">
        <w:rPr>
          <w:rFonts w:ascii="Times New Roman" w:hAnsi="Times New Roman"/>
          <w:sz w:val="24"/>
        </w:rPr>
        <w:t>,</w:t>
      </w:r>
      <w:r w:rsidRPr="00800413">
        <w:rPr>
          <w:rFonts w:ascii="Times New Roman" w:hAnsi="Times New Roman"/>
          <w:sz w:val="24"/>
        </w:rPr>
        <w:t xml:space="preserve"> G. E., </w:t>
      </w:r>
      <w:proofErr w:type="spellStart"/>
      <w:r w:rsidRPr="00800413">
        <w:rPr>
          <w:rFonts w:ascii="Times New Roman" w:hAnsi="Times New Roman"/>
          <w:sz w:val="24"/>
        </w:rPr>
        <w:t>Dahlberg</w:t>
      </w:r>
      <w:proofErr w:type="spellEnd"/>
      <w:r w:rsidR="00800413" w:rsidRPr="00800413">
        <w:rPr>
          <w:rFonts w:ascii="Times New Roman" w:hAnsi="Times New Roman"/>
          <w:sz w:val="24"/>
        </w:rPr>
        <w:t xml:space="preserve">, L. L., Mercy J. A., </w:t>
      </w:r>
      <w:proofErr w:type="spellStart"/>
      <w:r w:rsidR="00800413" w:rsidRPr="00800413">
        <w:rPr>
          <w:rFonts w:ascii="Times New Roman" w:hAnsi="Times New Roman"/>
          <w:sz w:val="24"/>
        </w:rPr>
        <w:t>Zwi</w:t>
      </w:r>
      <w:proofErr w:type="spellEnd"/>
      <w:r w:rsidR="00800413" w:rsidRPr="00800413">
        <w:rPr>
          <w:rFonts w:ascii="Times New Roman" w:hAnsi="Times New Roman"/>
          <w:sz w:val="24"/>
        </w:rPr>
        <w:t xml:space="preserve"> A. et</w:t>
      </w:r>
      <w:r w:rsidRPr="00800413">
        <w:rPr>
          <w:rFonts w:ascii="Times New Roman" w:hAnsi="Times New Roman"/>
          <w:sz w:val="24"/>
        </w:rPr>
        <w:t xml:space="preserve"> </w:t>
      </w:r>
      <w:proofErr w:type="spellStart"/>
      <w:r w:rsidRPr="00800413">
        <w:rPr>
          <w:rFonts w:ascii="Times New Roman" w:hAnsi="Times New Roman"/>
          <w:sz w:val="24"/>
        </w:rPr>
        <w:t>Lozano-Ascencio</w:t>
      </w:r>
      <w:proofErr w:type="spellEnd"/>
      <w:r w:rsidR="006870C4" w:rsidRPr="00800413">
        <w:rPr>
          <w:rFonts w:ascii="Times New Roman" w:hAnsi="Times New Roman"/>
          <w:sz w:val="24"/>
        </w:rPr>
        <w:t xml:space="preserve"> R. (</w:t>
      </w:r>
      <w:proofErr w:type="spellStart"/>
      <w:r w:rsidR="006870C4" w:rsidRPr="00800413">
        <w:rPr>
          <w:rFonts w:ascii="Times New Roman" w:hAnsi="Times New Roman"/>
          <w:sz w:val="24"/>
        </w:rPr>
        <w:t>dir</w:t>
      </w:r>
      <w:proofErr w:type="spellEnd"/>
      <w:r w:rsidR="006870C4" w:rsidRPr="00800413">
        <w:rPr>
          <w:rFonts w:ascii="Times New Roman" w:hAnsi="Times New Roman"/>
          <w:sz w:val="24"/>
        </w:rPr>
        <w:t xml:space="preserve">.). </w:t>
      </w:r>
      <w:r w:rsidR="006870C4" w:rsidRPr="00A82EA7">
        <w:rPr>
          <w:rFonts w:ascii="Times New Roman" w:hAnsi="Times New Roman"/>
          <w:sz w:val="24"/>
        </w:rPr>
        <w:t>(2002).</w:t>
      </w:r>
      <w:r w:rsidRPr="00A82EA7">
        <w:rPr>
          <w:rFonts w:ascii="Times New Roman" w:hAnsi="Times New Roman"/>
          <w:sz w:val="24"/>
        </w:rPr>
        <w:t xml:space="preserve"> </w:t>
      </w:r>
      <w:r w:rsidRPr="00A82EA7">
        <w:rPr>
          <w:rFonts w:ascii="Times New Roman" w:hAnsi="Times New Roman"/>
          <w:i/>
          <w:sz w:val="24"/>
        </w:rPr>
        <w:t>Rapport mondial sur la violence et la santé</w:t>
      </w:r>
      <w:r w:rsidRPr="00A82EA7">
        <w:rPr>
          <w:rFonts w:ascii="Times New Roman" w:hAnsi="Times New Roman"/>
          <w:sz w:val="24"/>
        </w:rPr>
        <w:t xml:space="preserve">, </w:t>
      </w:r>
      <w:r w:rsidR="006870C4" w:rsidRPr="00A82EA7">
        <w:rPr>
          <w:rFonts w:ascii="Times New Roman" w:hAnsi="Times New Roman"/>
          <w:sz w:val="24"/>
        </w:rPr>
        <w:t xml:space="preserve">Genève : </w:t>
      </w:r>
      <w:r w:rsidRPr="00A82EA7">
        <w:rPr>
          <w:rFonts w:ascii="Times New Roman" w:hAnsi="Times New Roman"/>
          <w:sz w:val="24"/>
        </w:rPr>
        <w:t>Organisation mondiale de la santé (OMS)</w:t>
      </w:r>
      <w:r w:rsidR="006870C4" w:rsidRPr="00A82EA7">
        <w:rPr>
          <w:rFonts w:ascii="Times New Roman" w:hAnsi="Times New Roman"/>
          <w:sz w:val="24"/>
        </w:rPr>
        <w:t>. Récupéré de</w:t>
      </w:r>
      <w:r w:rsidRPr="00A82EA7">
        <w:rPr>
          <w:rFonts w:ascii="Times New Roman" w:hAnsi="Times New Roman"/>
          <w:sz w:val="24"/>
        </w:rPr>
        <w:t xml:space="preserve">  </w:t>
      </w:r>
      <w:hyperlink r:id="rId9" w:history="1">
        <w:r w:rsidRPr="00A82EA7">
          <w:rPr>
            <w:rStyle w:val="Lienhypertexte"/>
            <w:rFonts w:ascii="Times New Roman" w:hAnsi="Times New Roman"/>
            <w:sz w:val="24"/>
          </w:rPr>
          <w:t>http://www.who.int/violence_injury_prevention/violence/world_report/fr/full_fr.pdf</w:t>
        </w:r>
      </w:hyperlink>
    </w:p>
    <w:p w:rsidR="00360300" w:rsidRDefault="00360300" w:rsidP="00A82EA7">
      <w:pPr>
        <w:pStyle w:val="Sarahtexte"/>
        <w:spacing w:after="0" w:line="360" w:lineRule="auto"/>
        <w:rPr>
          <w:rFonts w:ascii="Times New Roman" w:hAnsi="Times New Roman"/>
          <w:i/>
          <w:sz w:val="24"/>
        </w:rPr>
      </w:pPr>
      <w:r w:rsidRPr="00360300">
        <w:rPr>
          <w:rFonts w:ascii="Times New Roman" w:hAnsi="Times New Roman"/>
          <w:sz w:val="24"/>
        </w:rPr>
        <w:t xml:space="preserve">Le Cam, F., </w:t>
      </w:r>
      <w:proofErr w:type="spellStart"/>
      <w:r w:rsidRPr="00360300">
        <w:rPr>
          <w:rFonts w:ascii="Times New Roman" w:hAnsi="Times New Roman"/>
          <w:sz w:val="24"/>
        </w:rPr>
        <w:t>Libert</w:t>
      </w:r>
      <w:proofErr w:type="spellEnd"/>
      <w:r w:rsidRPr="00360300">
        <w:rPr>
          <w:rFonts w:ascii="Times New Roman" w:hAnsi="Times New Roman"/>
          <w:sz w:val="24"/>
        </w:rPr>
        <w:t xml:space="preserve">, M. et </w:t>
      </w:r>
      <w:proofErr w:type="spellStart"/>
      <w:r w:rsidRPr="00360300">
        <w:rPr>
          <w:rFonts w:ascii="Times New Roman" w:hAnsi="Times New Roman"/>
          <w:sz w:val="24"/>
        </w:rPr>
        <w:t>Ménalque</w:t>
      </w:r>
      <w:proofErr w:type="spellEnd"/>
      <w:r w:rsidRPr="00360300">
        <w:rPr>
          <w:rFonts w:ascii="Times New Roman" w:hAnsi="Times New Roman"/>
          <w:sz w:val="24"/>
        </w:rPr>
        <w:t xml:space="preserve"> L. (2018).</w:t>
      </w:r>
      <w:r>
        <w:rPr>
          <w:rFonts w:ascii="Times New Roman" w:hAnsi="Times New Roman"/>
          <w:i/>
          <w:sz w:val="24"/>
        </w:rPr>
        <w:t xml:space="preserve"> Être femme et journalistes en Belgique francophone. </w:t>
      </w:r>
      <w:r w:rsidRPr="00360300">
        <w:rPr>
          <w:rFonts w:ascii="Times New Roman" w:hAnsi="Times New Roman"/>
          <w:sz w:val="24"/>
        </w:rPr>
        <w:t>Bruxelles : Association des journalistes professionnels</w:t>
      </w:r>
      <w:r>
        <w:rPr>
          <w:rFonts w:ascii="Times New Roman" w:hAnsi="Times New Roman"/>
          <w:sz w:val="24"/>
        </w:rPr>
        <w:t>.</w:t>
      </w:r>
    </w:p>
    <w:p w:rsidR="006850F7" w:rsidRPr="00A82EA7" w:rsidRDefault="006850F7" w:rsidP="00A82EA7">
      <w:pPr>
        <w:pStyle w:val="Sarahtexte"/>
        <w:spacing w:after="0" w:line="360" w:lineRule="auto"/>
        <w:rPr>
          <w:rFonts w:ascii="Times New Roman" w:hAnsi="Times New Roman"/>
          <w:sz w:val="24"/>
        </w:rPr>
      </w:pPr>
      <w:r w:rsidRPr="00A82EA7">
        <w:rPr>
          <w:rFonts w:ascii="Times New Roman" w:hAnsi="Times New Roman"/>
          <w:i/>
          <w:sz w:val="24"/>
        </w:rPr>
        <w:t>Les violences contre les femmes en Wallonie. Des chiffres qui font mal</w:t>
      </w:r>
      <w:r w:rsidRPr="00A82EA7">
        <w:rPr>
          <w:rFonts w:ascii="Times New Roman" w:hAnsi="Times New Roman"/>
          <w:sz w:val="24"/>
        </w:rPr>
        <w:t>,</w:t>
      </w:r>
      <w:r w:rsidR="00DA3FED" w:rsidRPr="00A82EA7">
        <w:rPr>
          <w:rFonts w:ascii="Times New Roman" w:hAnsi="Times New Roman"/>
          <w:sz w:val="24"/>
        </w:rPr>
        <w:t xml:space="preserve"> (2016).</w:t>
      </w:r>
      <w:r w:rsidRPr="00A82EA7">
        <w:rPr>
          <w:rFonts w:ascii="Times New Roman" w:hAnsi="Times New Roman"/>
          <w:sz w:val="24"/>
        </w:rPr>
        <w:t xml:space="preserve"> IWEPS</w:t>
      </w:r>
      <w:r w:rsidR="00DA3FED" w:rsidRPr="00A82EA7">
        <w:rPr>
          <w:rFonts w:ascii="Times New Roman" w:hAnsi="Times New Roman"/>
          <w:sz w:val="24"/>
        </w:rPr>
        <w:t xml:space="preserve">. Récupéré de </w:t>
      </w:r>
      <w:hyperlink r:id="rId10" w:history="1">
        <w:r w:rsidRPr="00A82EA7">
          <w:rPr>
            <w:rStyle w:val="Lienhypertexte"/>
            <w:rFonts w:ascii="Times New Roman" w:hAnsi="Times New Roman"/>
            <w:sz w:val="24"/>
          </w:rPr>
          <w:t>https://www.iweps.be/les-violences-contre-les-femmes-en-wallonie-des-chiffres-qui-font-mal</w:t>
        </w:r>
      </w:hyperlink>
      <w:r w:rsidRPr="00A82EA7">
        <w:rPr>
          <w:rFonts w:ascii="Times New Roman" w:hAnsi="Times New Roman"/>
          <w:sz w:val="24"/>
        </w:rPr>
        <w:t>.</w:t>
      </w:r>
    </w:p>
    <w:p w:rsidR="00A82EA7" w:rsidRDefault="00A82EA7" w:rsidP="00A82EA7">
      <w:pPr>
        <w:spacing w:line="360" w:lineRule="auto"/>
        <w:jc w:val="both"/>
      </w:pPr>
      <w:proofErr w:type="spellStart"/>
      <w:r w:rsidRPr="00A82EA7">
        <w:t>Lipano-Vaissade</w:t>
      </w:r>
      <w:proofErr w:type="spellEnd"/>
      <w:r w:rsidRPr="00A82EA7">
        <w:t xml:space="preserve">, M.-Ch. (2005, été). La parole du témoin dans les écrits journalistiques : un acte performatif. </w:t>
      </w:r>
      <w:r w:rsidRPr="00A82EA7">
        <w:rPr>
          <w:i/>
        </w:rPr>
        <w:t>Les Cahiers du journalisme</w:t>
      </w:r>
      <w:r w:rsidRPr="00A82EA7">
        <w:t>, 14, 62-71.</w:t>
      </w:r>
    </w:p>
    <w:p w:rsidR="00890E85" w:rsidRPr="00890E85" w:rsidRDefault="00890E85" w:rsidP="00A82EA7">
      <w:pPr>
        <w:spacing w:line="360" w:lineRule="auto"/>
        <w:jc w:val="both"/>
      </w:pPr>
      <w:proofErr w:type="spellStart"/>
      <w:r w:rsidRPr="00F72611">
        <w:t>Mosconi</w:t>
      </w:r>
      <w:proofErr w:type="spellEnd"/>
      <w:r w:rsidRPr="00F72611">
        <w:t xml:space="preserve">, N. (2010). </w:t>
      </w:r>
      <w:proofErr w:type="spellStart"/>
      <w:r w:rsidRPr="00890E85">
        <w:t>Annik</w:t>
      </w:r>
      <w:proofErr w:type="spellEnd"/>
      <w:r w:rsidRPr="00890E85">
        <w:t xml:space="preserve"> </w:t>
      </w:r>
      <w:proofErr w:type="spellStart"/>
      <w:r w:rsidRPr="00890E85">
        <w:t>Houel</w:t>
      </w:r>
      <w:proofErr w:type="spellEnd"/>
      <w:r w:rsidRPr="00890E85">
        <w:t xml:space="preserve">, Patricia </w:t>
      </w:r>
      <w:proofErr w:type="spellStart"/>
      <w:r w:rsidRPr="00890E85">
        <w:t>Mercader</w:t>
      </w:r>
      <w:proofErr w:type="spellEnd"/>
      <w:r w:rsidRPr="00890E85">
        <w:t xml:space="preserve"> et Helga </w:t>
      </w:r>
      <w:proofErr w:type="spellStart"/>
      <w:r>
        <w:t>Sobota</w:t>
      </w:r>
      <w:proofErr w:type="spellEnd"/>
      <w:r>
        <w:t xml:space="preserve">. </w:t>
      </w:r>
      <w:r w:rsidRPr="00890E85">
        <w:rPr>
          <w:i/>
        </w:rPr>
        <w:t>Psychosociologie du crime passionnel. À la vie, À la mort</w:t>
      </w:r>
      <w:r>
        <w:t xml:space="preserve">. PUF, Paris, 2008, 234 pages. </w:t>
      </w:r>
      <w:r w:rsidRPr="00890E85">
        <w:rPr>
          <w:i/>
        </w:rPr>
        <w:t>Travail, Genre et sociétés</w:t>
      </w:r>
      <w:r>
        <w:t xml:space="preserve">, 23(1), 213-218. Récupéré de </w:t>
      </w:r>
      <w:r w:rsidRPr="00890E85">
        <w:t>https://www.cairn.info/revue-travail-genre-et-societes-2010-1-page-213.htm</w:t>
      </w:r>
      <w:r>
        <w:t>.</w:t>
      </w:r>
    </w:p>
    <w:p w:rsidR="00B77AFE" w:rsidRPr="00A82EA7" w:rsidRDefault="00B77AFE" w:rsidP="00A82EA7">
      <w:pPr>
        <w:spacing w:line="360" w:lineRule="auto"/>
        <w:jc w:val="both"/>
      </w:pPr>
      <w:r>
        <w:t xml:space="preserve">Moscovici, S. (1989). Des représentations collectives aux représentations sociales : éléments pour une histoire. Dans </w:t>
      </w:r>
      <w:proofErr w:type="spellStart"/>
      <w:r>
        <w:t>Jodelet</w:t>
      </w:r>
      <w:proofErr w:type="spellEnd"/>
      <w:r>
        <w:t>, D. (</w:t>
      </w:r>
      <w:proofErr w:type="spellStart"/>
      <w:r>
        <w:t>dir</w:t>
      </w:r>
      <w:proofErr w:type="spellEnd"/>
      <w:r>
        <w:t xml:space="preserve">.). </w:t>
      </w:r>
      <w:r w:rsidRPr="00B77AFE">
        <w:rPr>
          <w:i/>
        </w:rPr>
        <w:t>Les représentations sociales</w:t>
      </w:r>
      <w:r>
        <w:t>. Paris : Presses universitaires de France.</w:t>
      </w:r>
    </w:p>
    <w:p w:rsidR="003B6521" w:rsidRDefault="003B6521" w:rsidP="00A82EA7">
      <w:pPr>
        <w:pStyle w:val="Sarahtexte"/>
        <w:spacing w:after="0" w:line="360" w:lineRule="auto"/>
        <w:rPr>
          <w:rFonts w:ascii="Times New Roman" w:hAnsi="Times New Roman"/>
          <w:sz w:val="24"/>
        </w:rPr>
      </w:pPr>
      <w:proofErr w:type="spellStart"/>
      <w:r>
        <w:rPr>
          <w:rFonts w:ascii="Times New Roman" w:hAnsi="Times New Roman"/>
          <w:sz w:val="24"/>
        </w:rPr>
        <w:t>Mucchielli</w:t>
      </w:r>
      <w:proofErr w:type="spellEnd"/>
      <w:r>
        <w:rPr>
          <w:rFonts w:ascii="Times New Roman" w:hAnsi="Times New Roman"/>
          <w:sz w:val="24"/>
        </w:rPr>
        <w:t xml:space="preserve">, R. (2006). </w:t>
      </w:r>
      <w:r w:rsidRPr="003B6521">
        <w:rPr>
          <w:rFonts w:ascii="Times New Roman" w:hAnsi="Times New Roman"/>
          <w:i/>
          <w:sz w:val="24"/>
        </w:rPr>
        <w:t>L’analyse de contenu des documents et des communications</w:t>
      </w:r>
      <w:r>
        <w:rPr>
          <w:rFonts w:ascii="Times New Roman" w:hAnsi="Times New Roman"/>
          <w:sz w:val="24"/>
        </w:rPr>
        <w:t>. Issy-les-Moulineaux : Éditions ESF.</w:t>
      </w:r>
    </w:p>
    <w:p w:rsidR="001E1D3E" w:rsidRDefault="001E1D3E" w:rsidP="00A82EA7">
      <w:pPr>
        <w:pStyle w:val="Sarahtexte"/>
        <w:spacing w:after="0" w:line="360" w:lineRule="auto"/>
        <w:rPr>
          <w:rFonts w:ascii="Times New Roman" w:hAnsi="Times New Roman"/>
          <w:sz w:val="24"/>
        </w:rPr>
      </w:pPr>
      <w:r>
        <w:rPr>
          <w:rFonts w:ascii="Times New Roman" w:hAnsi="Times New Roman"/>
          <w:sz w:val="24"/>
        </w:rPr>
        <w:t xml:space="preserve">Neveu, E. (2015). </w:t>
      </w:r>
      <w:r w:rsidRPr="001E1D3E">
        <w:rPr>
          <w:rFonts w:ascii="Times New Roman" w:hAnsi="Times New Roman"/>
          <w:i/>
          <w:sz w:val="24"/>
        </w:rPr>
        <w:t>Sociologie politique des problèmes publics</w:t>
      </w:r>
      <w:r>
        <w:rPr>
          <w:rFonts w:ascii="Times New Roman" w:hAnsi="Times New Roman"/>
          <w:sz w:val="24"/>
        </w:rPr>
        <w:t>. Paris : Armand Colin.</w:t>
      </w:r>
    </w:p>
    <w:p w:rsidR="006850F7" w:rsidRPr="00A82EA7" w:rsidRDefault="006850F7" w:rsidP="00A82EA7">
      <w:pPr>
        <w:pStyle w:val="Sarahtexte"/>
        <w:spacing w:after="0" w:line="360" w:lineRule="auto"/>
        <w:rPr>
          <w:rFonts w:ascii="Times New Roman" w:hAnsi="Times New Roman"/>
          <w:sz w:val="24"/>
        </w:rPr>
      </w:pPr>
      <w:r w:rsidRPr="00A82EA7">
        <w:rPr>
          <w:rFonts w:ascii="Times New Roman" w:hAnsi="Times New Roman"/>
          <w:sz w:val="24"/>
        </w:rPr>
        <w:t>Pieters J</w:t>
      </w:r>
      <w:r w:rsidR="00800413">
        <w:rPr>
          <w:rFonts w:ascii="Times New Roman" w:hAnsi="Times New Roman"/>
          <w:sz w:val="24"/>
        </w:rPr>
        <w:t xml:space="preserve">., Italiano P., </w:t>
      </w:r>
      <w:proofErr w:type="spellStart"/>
      <w:r w:rsidR="00800413">
        <w:rPr>
          <w:rFonts w:ascii="Times New Roman" w:hAnsi="Times New Roman"/>
          <w:sz w:val="24"/>
        </w:rPr>
        <w:t>Offermans</w:t>
      </w:r>
      <w:proofErr w:type="spellEnd"/>
      <w:r w:rsidR="00800413">
        <w:rPr>
          <w:rFonts w:ascii="Times New Roman" w:hAnsi="Times New Roman"/>
          <w:sz w:val="24"/>
        </w:rPr>
        <w:t xml:space="preserve"> A.-M. et</w:t>
      </w:r>
      <w:r w:rsidRPr="00A82EA7">
        <w:rPr>
          <w:rFonts w:ascii="Times New Roman" w:hAnsi="Times New Roman"/>
          <w:sz w:val="24"/>
        </w:rPr>
        <w:t xml:space="preserve"> Hellemans S.</w:t>
      </w:r>
      <w:r w:rsidR="00DA3FED" w:rsidRPr="00A82EA7">
        <w:rPr>
          <w:rFonts w:ascii="Times New Roman" w:hAnsi="Times New Roman"/>
          <w:sz w:val="24"/>
        </w:rPr>
        <w:t xml:space="preserve"> (2010).</w:t>
      </w:r>
      <w:r w:rsidRPr="00A82EA7">
        <w:rPr>
          <w:rFonts w:ascii="Times New Roman" w:hAnsi="Times New Roman"/>
          <w:sz w:val="24"/>
        </w:rPr>
        <w:t xml:space="preserve"> </w:t>
      </w:r>
      <w:r w:rsidRPr="00A82EA7">
        <w:rPr>
          <w:rFonts w:ascii="Times New Roman" w:hAnsi="Times New Roman"/>
          <w:i/>
          <w:sz w:val="24"/>
        </w:rPr>
        <w:t>Les expériences des femmes et des hommes en matière de violence psychologique, physique et sexuelle</w:t>
      </w:r>
      <w:r w:rsidRPr="00A82EA7">
        <w:rPr>
          <w:rFonts w:ascii="Times New Roman" w:hAnsi="Times New Roman"/>
          <w:sz w:val="24"/>
        </w:rPr>
        <w:t xml:space="preserve">, </w:t>
      </w:r>
      <w:r w:rsidR="00DA3FED" w:rsidRPr="00A82EA7">
        <w:rPr>
          <w:rFonts w:ascii="Times New Roman" w:hAnsi="Times New Roman"/>
          <w:sz w:val="24"/>
        </w:rPr>
        <w:t xml:space="preserve">Bruxelles : </w:t>
      </w:r>
      <w:r w:rsidRPr="00A82EA7">
        <w:rPr>
          <w:rFonts w:ascii="Times New Roman" w:hAnsi="Times New Roman"/>
          <w:sz w:val="24"/>
        </w:rPr>
        <w:t>Institut pour l’égalité des femmes et des hommes.</w:t>
      </w:r>
    </w:p>
    <w:p w:rsidR="00754312" w:rsidRPr="00754312" w:rsidRDefault="00754312" w:rsidP="00A82EA7">
      <w:pPr>
        <w:pStyle w:val="Sarahtexte"/>
        <w:spacing w:after="0" w:line="360" w:lineRule="auto"/>
        <w:rPr>
          <w:rFonts w:ascii="Times New Roman" w:hAnsi="Times New Roman"/>
          <w:sz w:val="24"/>
        </w:rPr>
      </w:pPr>
      <w:proofErr w:type="spellStart"/>
      <w:r w:rsidRPr="00F72611">
        <w:rPr>
          <w:rFonts w:ascii="Times New Roman" w:hAnsi="Times New Roman"/>
          <w:sz w:val="24"/>
        </w:rPr>
        <w:t>Rieffel</w:t>
      </w:r>
      <w:proofErr w:type="spellEnd"/>
      <w:r w:rsidRPr="00F72611">
        <w:rPr>
          <w:rFonts w:ascii="Times New Roman" w:hAnsi="Times New Roman"/>
          <w:sz w:val="24"/>
        </w:rPr>
        <w:t xml:space="preserve">, R. (1984). </w:t>
      </w:r>
      <w:r w:rsidRPr="00754312">
        <w:rPr>
          <w:rFonts w:ascii="Times New Roman" w:hAnsi="Times New Roman"/>
          <w:i/>
          <w:sz w:val="24"/>
        </w:rPr>
        <w:t>L’élite des journalistes. Les hérauts de l’information</w:t>
      </w:r>
      <w:r>
        <w:rPr>
          <w:rFonts w:ascii="Times New Roman" w:hAnsi="Times New Roman"/>
          <w:sz w:val="24"/>
        </w:rPr>
        <w:t>. Paris : Presses universitaires de France.</w:t>
      </w:r>
    </w:p>
    <w:p w:rsidR="00A82EA7" w:rsidRPr="00A82EA7" w:rsidRDefault="00A82EA7" w:rsidP="00A82EA7">
      <w:pPr>
        <w:pStyle w:val="Sarahtexte"/>
        <w:spacing w:after="0" w:line="360" w:lineRule="auto"/>
        <w:rPr>
          <w:rFonts w:ascii="Times New Roman" w:hAnsi="Times New Roman"/>
          <w:sz w:val="24"/>
        </w:rPr>
      </w:pPr>
      <w:proofErr w:type="spellStart"/>
      <w:r w:rsidRPr="00754312">
        <w:rPr>
          <w:rFonts w:ascii="Times New Roman" w:hAnsi="Times New Roman"/>
          <w:sz w:val="24"/>
        </w:rPr>
        <w:t>Romito</w:t>
      </w:r>
      <w:proofErr w:type="spellEnd"/>
      <w:r w:rsidR="00800413" w:rsidRPr="00754312">
        <w:rPr>
          <w:rFonts w:ascii="Times New Roman" w:hAnsi="Times New Roman"/>
          <w:sz w:val="24"/>
        </w:rPr>
        <w:t>,</w:t>
      </w:r>
      <w:r w:rsidRPr="00754312">
        <w:rPr>
          <w:rFonts w:ascii="Times New Roman" w:hAnsi="Times New Roman"/>
          <w:sz w:val="24"/>
        </w:rPr>
        <w:t xml:space="preserve"> P. (2011). </w:t>
      </w:r>
      <w:r w:rsidRPr="00A82EA7">
        <w:rPr>
          <w:rFonts w:ascii="Times New Roman" w:hAnsi="Times New Roman"/>
          <w:sz w:val="24"/>
        </w:rPr>
        <w:t xml:space="preserve">Les violences conjugales post-séparation et le devenir des femmes et des enfants, </w:t>
      </w:r>
      <w:r w:rsidRPr="00A82EA7">
        <w:rPr>
          <w:rFonts w:ascii="Times New Roman" w:hAnsi="Times New Roman"/>
          <w:i/>
          <w:sz w:val="24"/>
        </w:rPr>
        <w:t>La revue internationale de l’éducation familiale</w:t>
      </w:r>
      <w:r w:rsidRPr="00A82EA7">
        <w:rPr>
          <w:rFonts w:ascii="Times New Roman" w:hAnsi="Times New Roman"/>
          <w:sz w:val="24"/>
        </w:rPr>
        <w:t>, 29(1), 87-105. Récupéré de https://www.cairn.info/revue-la-revue-internationale-de-l-education-familiale-2011-1-page-87.htm.</w:t>
      </w:r>
    </w:p>
    <w:p w:rsidR="006850F7" w:rsidRDefault="006850F7"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Romito</w:t>
      </w:r>
      <w:proofErr w:type="spellEnd"/>
      <w:r w:rsidR="00800413">
        <w:rPr>
          <w:rFonts w:ascii="Times New Roman" w:hAnsi="Times New Roman"/>
          <w:sz w:val="24"/>
        </w:rPr>
        <w:t>,</w:t>
      </w:r>
      <w:r w:rsidRPr="00A82EA7">
        <w:rPr>
          <w:rFonts w:ascii="Times New Roman" w:hAnsi="Times New Roman"/>
          <w:sz w:val="24"/>
        </w:rPr>
        <w:t xml:space="preserve"> P.</w:t>
      </w:r>
      <w:r w:rsidR="006870C4" w:rsidRPr="00A82EA7">
        <w:rPr>
          <w:rFonts w:ascii="Times New Roman" w:hAnsi="Times New Roman"/>
          <w:sz w:val="24"/>
        </w:rPr>
        <w:t xml:space="preserve"> (2006).</w:t>
      </w:r>
      <w:r w:rsidRPr="00A82EA7">
        <w:rPr>
          <w:rFonts w:ascii="Times New Roman" w:hAnsi="Times New Roman"/>
          <w:sz w:val="24"/>
        </w:rPr>
        <w:t xml:space="preserve"> </w:t>
      </w:r>
      <w:r w:rsidRPr="00A82EA7">
        <w:rPr>
          <w:rFonts w:ascii="Times New Roman" w:hAnsi="Times New Roman"/>
          <w:i/>
          <w:sz w:val="24"/>
        </w:rPr>
        <w:t>Un silence de mortes. La violence masculine occultée</w:t>
      </w:r>
      <w:r w:rsidR="006870C4" w:rsidRPr="00A82EA7">
        <w:rPr>
          <w:rFonts w:ascii="Times New Roman" w:hAnsi="Times New Roman"/>
          <w:sz w:val="24"/>
        </w:rPr>
        <w:t>.</w:t>
      </w:r>
      <w:r w:rsidRPr="00A82EA7">
        <w:rPr>
          <w:rFonts w:ascii="Times New Roman" w:hAnsi="Times New Roman"/>
          <w:sz w:val="24"/>
        </w:rPr>
        <w:t xml:space="preserve"> </w:t>
      </w:r>
      <w:r w:rsidR="006870C4" w:rsidRPr="00A82EA7">
        <w:rPr>
          <w:rFonts w:ascii="Times New Roman" w:hAnsi="Times New Roman"/>
          <w:sz w:val="24"/>
        </w:rPr>
        <w:t xml:space="preserve">Paris : </w:t>
      </w:r>
      <w:r w:rsidRPr="00A82EA7">
        <w:rPr>
          <w:rFonts w:ascii="Times New Roman" w:hAnsi="Times New Roman"/>
          <w:sz w:val="24"/>
        </w:rPr>
        <w:t>Syllepse.</w:t>
      </w:r>
    </w:p>
    <w:p w:rsidR="00800413" w:rsidRPr="00A82EA7" w:rsidRDefault="00800413" w:rsidP="00A82EA7">
      <w:pPr>
        <w:pStyle w:val="Sarahtexte"/>
        <w:spacing w:after="0" w:line="360" w:lineRule="auto"/>
        <w:rPr>
          <w:rFonts w:ascii="Times New Roman" w:hAnsi="Times New Roman"/>
          <w:sz w:val="24"/>
        </w:rPr>
      </w:pPr>
      <w:r>
        <w:rPr>
          <w:rFonts w:ascii="Times New Roman" w:hAnsi="Times New Roman"/>
          <w:sz w:val="24"/>
        </w:rPr>
        <w:lastRenderedPageBreak/>
        <w:t xml:space="preserve">Sepulchre, S. et Thomas, M. (2018). </w:t>
      </w:r>
      <w:r w:rsidRPr="0040430C">
        <w:rPr>
          <w:rFonts w:ascii="Times New Roman" w:hAnsi="Times New Roman"/>
          <w:i/>
          <w:sz w:val="24"/>
        </w:rPr>
        <w:t>La représentation des violences sexistes et intrafamili</w:t>
      </w:r>
      <w:r w:rsidR="0040430C" w:rsidRPr="0040430C">
        <w:rPr>
          <w:rFonts w:ascii="Times New Roman" w:hAnsi="Times New Roman"/>
          <w:i/>
          <w:sz w:val="24"/>
        </w:rPr>
        <w:t>a</w:t>
      </w:r>
      <w:r w:rsidRPr="0040430C">
        <w:rPr>
          <w:rFonts w:ascii="Times New Roman" w:hAnsi="Times New Roman"/>
          <w:i/>
          <w:sz w:val="24"/>
        </w:rPr>
        <w:t>les dans la presse écrite belge francophone</w:t>
      </w:r>
      <w:r>
        <w:rPr>
          <w:rFonts w:ascii="Times New Roman" w:hAnsi="Times New Roman"/>
          <w:sz w:val="24"/>
        </w:rPr>
        <w:t>, Bruxelles : Association des journalistes professionnels</w:t>
      </w:r>
      <w:r w:rsidR="0040430C">
        <w:rPr>
          <w:rFonts w:ascii="Times New Roman" w:hAnsi="Times New Roman"/>
          <w:sz w:val="24"/>
        </w:rPr>
        <w:t xml:space="preserve">. Récupéré de </w:t>
      </w:r>
      <w:r w:rsidR="0040430C" w:rsidRPr="0040430C">
        <w:rPr>
          <w:rFonts w:ascii="Times New Roman" w:hAnsi="Times New Roman"/>
          <w:sz w:val="24"/>
        </w:rPr>
        <w:t>http://www.ajp.be/telechargements/violencesfemmes/l-etude.pdf</w:t>
      </w:r>
      <w:r w:rsidR="0040430C">
        <w:rPr>
          <w:rFonts w:ascii="Times New Roman" w:hAnsi="Times New Roman"/>
          <w:sz w:val="24"/>
        </w:rPr>
        <w:t>.</w:t>
      </w:r>
    </w:p>
    <w:p w:rsidR="00A82EA7" w:rsidRPr="00A82EA7" w:rsidRDefault="00A82EA7"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Simonis</w:t>
      </w:r>
      <w:proofErr w:type="spellEnd"/>
      <w:r w:rsidR="0040430C">
        <w:rPr>
          <w:rFonts w:ascii="Times New Roman" w:hAnsi="Times New Roman"/>
          <w:sz w:val="24"/>
        </w:rPr>
        <w:t>,</w:t>
      </w:r>
      <w:r w:rsidRPr="00A82EA7">
        <w:rPr>
          <w:rFonts w:ascii="Times New Roman" w:hAnsi="Times New Roman"/>
          <w:sz w:val="24"/>
        </w:rPr>
        <w:t xml:space="preserve"> M. (</w:t>
      </w:r>
      <w:proofErr w:type="spellStart"/>
      <w:r w:rsidRPr="00A82EA7">
        <w:rPr>
          <w:rFonts w:ascii="Times New Roman" w:hAnsi="Times New Roman"/>
          <w:sz w:val="24"/>
        </w:rPr>
        <w:t>dir</w:t>
      </w:r>
      <w:proofErr w:type="spellEnd"/>
      <w:r w:rsidRPr="00A82EA7">
        <w:rPr>
          <w:rFonts w:ascii="Times New Roman" w:hAnsi="Times New Roman"/>
          <w:sz w:val="24"/>
        </w:rPr>
        <w:t xml:space="preserve">.). (2016). </w:t>
      </w:r>
      <w:r w:rsidRPr="00A82EA7">
        <w:rPr>
          <w:rFonts w:ascii="Times New Roman" w:hAnsi="Times New Roman"/>
          <w:i/>
          <w:sz w:val="24"/>
        </w:rPr>
        <w:t>Quel genre d’infos? Rapport final GMMP 2015. Fédération Wallonie-Bruxelles</w:t>
      </w:r>
      <w:r w:rsidRPr="00A82EA7">
        <w:rPr>
          <w:rFonts w:ascii="Times New Roman" w:hAnsi="Times New Roman"/>
          <w:sz w:val="24"/>
        </w:rPr>
        <w:t>, Bruxelles :  Association des journalistes professionnels.</w:t>
      </w:r>
    </w:p>
    <w:p w:rsidR="00A82EA7" w:rsidRPr="00A82EA7" w:rsidRDefault="00A82EA7"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Simonis</w:t>
      </w:r>
      <w:proofErr w:type="spellEnd"/>
      <w:r w:rsidR="0040430C">
        <w:rPr>
          <w:rFonts w:ascii="Times New Roman" w:hAnsi="Times New Roman"/>
          <w:sz w:val="24"/>
        </w:rPr>
        <w:t>,</w:t>
      </w:r>
      <w:r w:rsidRPr="00A82EA7">
        <w:rPr>
          <w:rFonts w:ascii="Times New Roman" w:hAnsi="Times New Roman"/>
          <w:sz w:val="24"/>
        </w:rPr>
        <w:t xml:space="preserve"> M. (</w:t>
      </w:r>
      <w:proofErr w:type="spellStart"/>
      <w:r w:rsidRPr="00A82EA7">
        <w:rPr>
          <w:rFonts w:ascii="Times New Roman" w:hAnsi="Times New Roman"/>
          <w:sz w:val="24"/>
        </w:rPr>
        <w:t>dir</w:t>
      </w:r>
      <w:proofErr w:type="spellEnd"/>
      <w:r w:rsidRPr="00A82EA7">
        <w:rPr>
          <w:rFonts w:ascii="Times New Roman" w:hAnsi="Times New Roman"/>
          <w:sz w:val="24"/>
        </w:rPr>
        <w:t xml:space="preserve">.). (2015). </w:t>
      </w:r>
      <w:r w:rsidR="003B6521">
        <w:rPr>
          <w:rFonts w:ascii="Times New Roman" w:hAnsi="Times New Roman"/>
          <w:i/>
          <w:sz w:val="24"/>
        </w:rPr>
        <w:t>É</w:t>
      </w:r>
      <w:r w:rsidRPr="00A82EA7">
        <w:rPr>
          <w:rFonts w:ascii="Times New Roman" w:hAnsi="Times New Roman"/>
          <w:i/>
          <w:sz w:val="24"/>
        </w:rPr>
        <w:t xml:space="preserve">tude de a diversité et de l’égalité dans la presse quotidienne belge </w:t>
      </w:r>
      <w:proofErr w:type="spellStart"/>
      <w:r w:rsidRPr="00A82EA7">
        <w:rPr>
          <w:rFonts w:ascii="Times New Roman" w:hAnsi="Times New Roman"/>
          <w:i/>
          <w:sz w:val="24"/>
        </w:rPr>
        <w:t>francphone</w:t>
      </w:r>
      <w:proofErr w:type="spellEnd"/>
      <w:r w:rsidRPr="00A82EA7">
        <w:rPr>
          <w:rFonts w:ascii="Times New Roman" w:hAnsi="Times New Roman"/>
          <w:sz w:val="24"/>
        </w:rPr>
        <w:t>, Bruxelles :  Association des journalistes professionnels.</w:t>
      </w:r>
    </w:p>
    <w:p w:rsidR="00DA3FED" w:rsidRPr="00A82EA7" w:rsidRDefault="00DA3FED"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Simonis</w:t>
      </w:r>
      <w:proofErr w:type="spellEnd"/>
      <w:r w:rsidR="0040430C">
        <w:rPr>
          <w:rFonts w:ascii="Times New Roman" w:hAnsi="Times New Roman"/>
          <w:sz w:val="24"/>
        </w:rPr>
        <w:t>,</w:t>
      </w:r>
      <w:r w:rsidRPr="00A82EA7">
        <w:rPr>
          <w:rFonts w:ascii="Times New Roman" w:hAnsi="Times New Roman"/>
          <w:sz w:val="24"/>
        </w:rPr>
        <w:t xml:space="preserve"> M. (</w:t>
      </w:r>
      <w:proofErr w:type="spellStart"/>
      <w:r w:rsidRPr="00A82EA7">
        <w:rPr>
          <w:rFonts w:ascii="Times New Roman" w:hAnsi="Times New Roman"/>
          <w:sz w:val="24"/>
        </w:rPr>
        <w:t>dir</w:t>
      </w:r>
      <w:proofErr w:type="spellEnd"/>
      <w:r w:rsidRPr="00A82EA7">
        <w:rPr>
          <w:rFonts w:ascii="Times New Roman" w:hAnsi="Times New Roman"/>
          <w:sz w:val="24"/>
        </w:rPr>
        <w:t xml:space="preserve">.). (2011). </w:t>
      </w:r>
      <w:r w:rsidR="003B6521">
        <w:rPr>
          <w:rFonts w:ascii="Times New Roman" w:hAnsi="Times New Roman"/>
          <w:i/>
          <w:sz w:val="24"/>
        </w:rPr>
        <w:t>É</w:t>
      </w:r>
      <w:r w:rsidRPr="00A82EA7">
        <w:rPr>
          <w:rFonts w:ascii="Times New Roman" w:hAnsi="Times New Roman"/>
          <w:i/>
          <w:sz w:val="24"/>
        </w:rPr>
        <w:t xml:space="preserve">tude de a diversité et de l’égalité dans la presse quotidienne belge </w:t>
      </w:r>
      <w:proofErr w:type="spellStart"/>
      <w:r w:rsidRPr="00A82EA7">
        <w:rPr>
          <w:rFonts w:ascii="Times New Roman" w:hAnsi="Times New Roman"/>
          <w:i/>
          <w:sz w:val="24"/>
        </w:rPr>
        <w:t>francphone</w:t>
      </w:r>
      <w:proofErr w:type="spellEnd"/>
      <w:r w:rsidRPr="00A82EA7">
        <w:rPr>
          <w:rFonts w:ascii="Times New Roman" w:hAnsi="Times New Roman"/>
          <w:sz w:val="24"/>
        </w:rPr>
        <w:t>, Bruxelles :  Association des journalistes professionnels.</w:t>
      </w:r>
    </w:p>
    <w:p w:rsidR="00DA3FED" w:rsidRPr="00A82EA7" w:rsidRDefault="00DA3FED" w:rsidP="00A82EA7">
      <w:pPr>
        <w:pStyle w:val="Sarahtexte"/>
        <w:spacing w:after="0" w:line="360" w:lineRule="auto"/>
        <w:rPr>
          <w:rFonts w:ascii="Times New Roman" w:hAnsi="Times New Roman"/>
          <w:sz w:val="24"/>
        </w:rPr>
      </w:pPr>
      <w:proofErr w:type="spellStart"/>
      <w:r w:rsidRPr="00A82EA7">
        <w:rPr>
          <w:rFonts w:ascii="Times New Roman" w:hAnsi="Times New Roman"/>
          <w:sz w:val="24"/>
        </w:rPr>
        <w:t>Simonis</w:t>
      </w:r>
      <w:proofErr w:type="spellEnd"/>
      <w:r w:rsidR="0040430C">
        <w:rPr>
          <w:rFonts w:ascii="Times New Roman" w:hAnsi="Times New Roman"/>
          <w:sz w:val="24"/>
        </w:rPr>
        <w:t>,</w:t>
      </w:r>
      <w:r w:rsidRPr="00A82EA7">
        <w:rPr>
          <w:rFonts w:ascii="Times New Roman" w:hAnsi="Times New Roman"/>
          <w:sz w:val="24"/>
        </w:rPr>
        <w:t xml:space="preserve"> M. (</w:t>
      </w:r>
      <w:proofErr w:type="spellStart"/>
      <w:r w:rsidRPr="00A82EA7">
        <w:rPr>
          <w:rFonts w:ascii="Times New Roman" w:hAnsi="Times New Roman"/>
          <w:sz w:val="24"/>
        </w:rPr>
        <w:t>dir</w:t>
      </w:r>
      <w:proofErr w:type="spellEnd"/>
      <w:r w:rsidRPr="00A82EA7">
        <w:rPr>
          <w:rFonts w:ascii="Times New Roman" w:hAnsi="Times New Roman"/>
          <w:sz w:val="24"/>
        </w:rPr>
        <w:t xml:space="preserve">.). (2010). </w:t>
      </w:r>
      <w:r w:rsidRPr="00A82EA7">
        <w:rPr>
          <w:rFonts w:ascii="Times New Roman" w:hAnsi="Times New Roman"/>
          <w:i/>
          <w:sz w:val="24"/>
        </w:rPr>
        <w:t>Quel genre d’infos? Rapport final GMMP 2010. Fédération Wallonie-Bruxelles</w:t>
      </w:r>
      <w:r w:rsidRPr="00A82EA7">
        <w:rPr>
          <w:rFonts w:ascii="Times New Roman" w:hAnsi="Times New Roman"/>
          <w:sz w:val="24"/>
        </w:rPr>
        <w:t>, Bruxelles :  Association des journalistes professionnels.</w:t>
      </w:r>
    </w:p>
    <w:p w:rsidR="006F7F7E" w:rsidRDefault="006F7F7E" w:rsidP="006F7F7E">
      <w:pPr>
        <w:spacing w:line="360" w:lineRule="auto"/>
        <w:jc w:val="both"/>
      </w:pPr>
      <w:proofErr w:type="spellStart"/>
      <w:r>
        <w:t>Solimando</w:t>
      </w:r>
      <w:proofErr w:type="spellEnd"/>
      <w:r>
        <w:t xml:space="preserve">, A. (2017). Des experts dans les médias. Si on lisait la notice avant emploi ?. </w:t>
      </w:r>
      <w:r w:rsidRPr="00A82EA7">
        <w:rPr>
          <w:i/>
        </w:rPr>
        <w:t xml:space="preserve">La </w:t>
      </w:r>
      <w:r w:rsidRPr="00FC12E9">
        <w:rPr>
          <w:i/>
        </w:rPr>
        <w:t>Revue Nouvelle</w:t>
      </w:r>
      <w:r w:rsidRPr="00FC12E9">
        <w:t xml:space="preserve">, 3, </w:t>
      </w:r>
      <w:r w:rsidR="00FC12E9" w:rsidRPr="00FC12E9">
        <w:t>36-39</w:t>
      </w:r>
      <w:r w:rsidRPr="00FC12E9">
        <w:t>.</w:t>
      </w:r>
      <w:bookmarkStart w:id="1" w:name="_GoBack"/>
      <w:bookmarkEnd w:id="1"/>
    </w:p>
    <w:p w:rsidR="0074509B" w:rsidRDefault="0074509B" w:rsidP="00A82EA7">
      <w:pPr>
        <w:pStyle w:val="Sarahtexte"/>
        <w:spacing w:after="0" w:line="360" w:lineRule="auto"/>
        <w:rPr>
          <w:rFonts w:ascii="Times New Roman" w:hAnsi="Times New Roman"/>
          <w:sz w:val="24"/>
        </w:rPr>
      </w:pPr>
      <w:proofErr w:type="spellStart"/>
      <w:r w:rsidRPr="0074509B">
        <w:rPr>
          <w:rFonts w:ascii="Times New Roman" w:hAnsi="Times New Roman"/>
          <w:sz w:val="24"/>
        </w:rPr>
        <w:t>Touboul</w:t>
      </w:r>
      <w:proofErr w:type="spellEnd"/>
      <w:r w:rsidRPr="0074509B">
        <w:rPr>
          <w:rFonts w:ascii="Times New Roman" w:hAnsi="Times New Roman"/>
          <w:sz w:val="24"/>
        </w:rPr>
        <w:t xml:space="preserve">, A., Damian-Gaillard, B. et </w:t>
      </w:r>
      <w:r>
        <w:rPr>
          <w:rFonts w:ascii="Times New Roman" w:hAnsi="Times New Roman"/>
          <w:sz w:val="24"/>
        </w:rPr>
        <w:t xml:space="preserve">Marty, E. (2012). La disparité des modes de traitement journalistiques et des énonciations éditoriales sur le web : le cas d’un sondage sur Marie Le Pen et la Présidentielle de 2012. </w:t>
      </w:r>
      <w:r w:rsidRPr="0074509B">
        <w:rPr>
          <w:rFonts w:ascii="Times New Roman" w:hAnsi="Times New Roman"/>
          <w:i/>
          <w:sz w:val="24"/>
        </w:rPr>
        <w:t>Réseaux</w:t>
      </w:r>
      <w:r>
        <w:rPr>
          <w:rFonts w:ascii="Times New Roman" w:hAnsi="Times New Roman"/>
          <w:sz w:val="24"/>
        </w:rPr>
        <w:t xml:space="preserve">, 176 (6). Récupéré de </w:t>
      </w:r>
      <w:r w:rsidRPr="0074509B">
        <w:rPr>
          <w:rFonts w:ascii="Times New Roman" w:hAnsi="Times New Roman"/>
          <w:sz w:val="24"/>
        </w:rPr>
        <w:t>https://www.cairn.info/revue-reseaux-2012-6-page-73.htm</w:t>
      </w:r>
      <w:r>
        <w:rPr>
          <w:rFonts w:ascii="Times New Roman" w:hAnsi="Times New Roman"/>
          <w:sz w:val="24"/>
        </w:rPr>
        <w:t>.</w:t>
      </w:r>
    </w:p>
    <w:p w:rsidR="006850F7" w:rsidRPr="00A82EA7" w:rsidRDefault="006850F7" w:rsidP="00A82EA7">
      <w:pPr>
        <w:pStyle w:val="Sarahtexte"/>
        <w:spacing w:after="0" w:line="360" w:lineRule="auto"/>
        <w:rPr>
          <w:rFonts w:ascii="Times New Roman" w:hAnsi="Times New Roman"/>
          <w:sz w:val="24"/>
        </w:rPr>
      </w:pPr>
      <w:r w:rsidRPr="00A82EA7">
        <w:rPr>
          <w:rFonts w:ascii="Times New Roman" w:hAnsi="Times New Roman"/>
          <w:sz w:val="24"/>
        </w:rPr>
        <w:t>Vie Féminine</w:t>
      </w:r>
      <w:r w:rsidR="00DA3FED" w:rsidRPr="00A82EA7">
        <w:rPr>
          <w:rFonts w:ascii="Times New Roman" w:hAnsi="Times New Roman"/>
          <w:sz w:val="24"/>
        </w:rPr>
        <w:t>. (2010, novembre).</w:t>
      </w:r>
      <w:r w:rsidRPr="00A82EA7">
        <w:rPr>
          <w:rFonts w:ascii="Times New Roman" w:hAnsi="Times New Roman"/>
          <w:sz w:val="24"/>
        </w:rPr>
        <w:t xml:space="preserve"> </w:t>
      </w:r>
      <w:r w:rsidRPr="00A82EA7">
        <w:rPr>
          <w:rFonts w:ascii="Times New Roman" w:hAnsi="Times New Roman"/>
          <w:i/>
          <w:sz w:val="24"/>
        </w:rPr>
        <w:t>Pour une lecture féministe des violences conjugales</w:t>
      </w:r>
      <w:r w:rsidR="00DA3FED" w:rsidRPr="00A82EA7">
        <w:rPr>
          <w:rFonts w:ascii="Times New Roman" w:hAnsi="Times New Roman"/>
          <w:sz w:val="24"/>
        </w:rPr>
        <w:t xml:space="preserve">, Vie Féminine. Récupéré de </w:t>
      </w:r>
      <w:r w:rsidRPr="00A82EA7">
        <w:rPr>
          <w:rFonts w:ascii="Times New Roman" w:hAnsi="Times New Roman"/>
          <w:sz w:val="24"/>
        </w:rPr>
        <w:t>http://viefeminine.be/IMG/pdf/Prise_de_position_violences-3.pdf.</w:t>
      </w:r>
    </w:p>
    <w:p w:rsidR="006850F7" w:rsidRPr="00A82EA7" w:rsidRDefault="006850F7" w:rsidP="00A82EA7">
      <w:pPr>
        <w:pStyle w:val="Sarahtexte"/>
        <w:spacing w:after="0" w:line="360" w:lineRule="auto"/>
        <w:rPr>
          <w:rFonts w:ascii="Times New Roman" w:hAnsi="Times New Roman"/>
          <w:sz w:val="24"/>
        </w:rPr>
      </w:pPr>
      <w:r w:rsidRPr="00A82EA7">
        <w:rPr>
          <w:rFonts w:ascii="Times New Roman" w:hAnsi="Times New Roman"/>
          <w:i/>
          <w:sz w:val="24"/>
        </w:rPr>
        <w:t>Violence à l’égard des femmes : une enquête à l’échelle de l’UE. Les résultats en bref</w:t>
      </w:r>
      <w:r w:rsidR="00DA3FED" w:rsidRPr="00A82EA7">
        <w:rPr>
          <w:rFonts w:ascii="Times New Roman" w:hAnsi="Times New Roman"/>
          <w:sz w:val="24"/>
        </w:rPr>
        <w:t>. (2014).</w:t>
      </w:r>
      <w:r w:rsidRPr="00A82EA7">
        <w:rPr>
          <w:rFonts w:ascii="Times New Roman" w:hAnsi="Times New Roman"/>
          <w:sz w:val="24"/>
        </w:rPr>
        <w:t xml:space="preserve"> Agence des droits fondamentaux de l’Union européenne (FRA)</w:t>
      </w:r>
      <w:r w:rsidR="00DA3FED" w:rsidRPr="00A82EA7">
        <w:rPr>
          <w:rFonts w:ascii="Times New Roman" w:hAnsi="Times New Roman"/>
          <w:sz w:val="24"/>
        </w:rPr>
        <w:t>. Récupéré de</w:t>
      </w:r>
      <w:r w:rsidRPr="00A82EA7">
        <w:rPr>
          <w:rFonts w:ascii="Times New Roman" w:hAnsi="Times New Roman"/>
          <w:sz w:val="24"/>
        </w:rPr>
        <w:t xml:space="preserve"> </w:t>
      </w:r>
      <w:hyperlink r:id="rId11" w:history="1">
        <w:r w:rsidRPr="00A82EA7">
          <w:rPr>
            <w:rStyle w:val="Lienhypertexte"/>
            <w:rFonts w:ascii="Times New Roman" w:hAnsi="Times New Roman"/>
            <w:sz w:val="24"/>
          </w:rPr>
          <w:t>http://fra.europa.eu/fr/publication/2014/la-violence-lgard-des-femmes-une-enqute-lchelle-de-lue-les-rsultats-en-bref</w:t>
        </w:r>
      </w:hyperlink>
    </w:p>
    <w:p w:rsidR="007B4FBE" w:rsidRPr="00A82EA7" w:rsidRDefault="00B77AFE" w:rsidP="002C0C36">
      <w:pPr>
        <w:spacing w:line="360" w:lineRule="auto"/>
        <w:jc w:val="both"/>
      </w:pPr>
      <w:proofErr w:type="spellStart"/>
      <w:r>
        <w:t>Wolton</w:t>
      </w:r>
      <w:proofErr w:type="spellEnd"/>
      <w:r>
        <w:t xml:space="preserve">, D. (1997). </w:t>
      </w:r>
      <w:r w:rsidRPr="00B77AFE">
        <w:rPr>
          <w:i/>
        </w:rPr>
        <w:t>Penser la communication</w:t>
      </w:r>
      <w:r>
        <w:t>. Paris : Flammarion.</w:t>
      </w:r>
    </w:p>
    <w:sectPr w:rsidR="007B4FBE" w:rsidRPr="00A82EA7" w:rsidSect="003E3FF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1791" w:rsidRDefault="00721791" w:rsidP="00AD2205">
      <w:r>
        <w:separator/>
      </w:r>
    </w:p>
  </w:endnote>
  <w:endnote w:type="continuationSeparator" w:id="0">
    <w:p w:rsidR="00721791" w:rsidRDefault="00721791" w:rsidP="00AD22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Neue Light">
    <w:panose1 w:val="02000403000000020004"/>
    <w:charset w:val="00"/>
    <w:family w:val="auto"/>
    <w:pitch w:val="variable"/>
    <w:sig w:usb0="A00002FF" w:usb1="5000205B" w:usb2="00000002" w:usb3="00000000" w:csb0="00000007"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1791" w:rsidRDefault="00721791" w:rsidP="00AD2205">
      <w:r>
        <w:separator/>
      </w:r>
    </w:p>
  </w:footnote>
  <w:footnote w:type="continuationSeparator" w:id="0">
    <w:p w:rsidR="00721791" w:rsidRDefault="00721791" w:rsidP="00AD2205">
      <w:r>
        <w:continuationSeparator/>
      </w:r>
    </w:p>
  </w:footnote>
  <w:footnote w:id="1">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http://www.unwomen.org/fr/how-we-work/intergovernmental-support/world-conferences-on-women</w:t>
      </w:r>
    </w:p>
  </w:footnote>
  <w:footnote w:id="2">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https://ec.europa.eu/info/aid-development-cooperation-fundamental-rights/your-rights-eu/know-your-rights/equality/equality-between-women-and-men_en</w:t>
      </w:r>
    </w:p>
  </w:footnote>
  <w:footnote w:id="3">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https://search.coe.int/cm/Pages/result_details.aspx?ObjectID=09000016805c7cac</w:t>
      </w:r>
    </w:p>
  </w:footnote>
  <w:footnote w:id="4">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https://www.coe.int/fr/web/conventions/full-list/-/conventions/rms/0900001680084840</w:t>
      </w:r>
    </w:p>
  </w:footnote>
  <w:footnote w:id="5">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https://diplomatie.belgium.be/fr/Newsroom/actualites/communiques_de_presse/affaires_etrangeres/2016/03/ni_140316_gender_based_violence</w:t>
      </w:r>
    </w:p>
  </w:footnote>
  <w:footnote w:id="6">
    <w:p w:rsidR="00A0775C" w:rsidRPr="0005007E" w:rsidRDefault="00A0775C" w:rsidP="0005007E">
      <w:pPr>
        <w:pStyle w:val="Notedebasdepage"/>
        <w:jc w:val="both"/>
        <w:rPr>
          <w:sz w:val="22"/>
          <w:szCs w:val="22"/>
        </w:rPr>
      </w:pPr>
      <w:r w:rsidRPr="0005007E">
        <w:rPr>
          <w:rStyle w:val="Appelnotedebasdep"/>
          <w:sz w:val="22"/>
          <w:szCs w:val="22"/>
        </w:rPr>
        <w:footnoteRef/>
      </w:r>
      <w:r w:rsidRPr="0005007E">
        <w:rPr>
          <w:sz w:val="22"/>
          <w:szCs w:val="22"/>
        </w:rPr>
        <w:t xml:space="preserve"> https://igvm-iefh.belgium.be/fr/publications/plan_daction_national_de_lutte_contre_toutes_les_formes_de_violence_basee_sur_le_genre</w:t>
      </w:r>
    </w:p>
  </w:footnote>
  <w:footnote w:id="7">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http://www.alteregales.be/</w:t>
      </w:r>
    </w:p>
  </w:footnote>
  <w:footnote w:id="8">
    <w:p w:rsidR="00800413" w:rsidRPr="0005007E" w:rsidRDefault="00800413" w:rsidP="0005007E">
      <w:pPr>
        <w:pStyle w:val="Notedebasdepage"/>
        <w:jc w:val="both"/>
        <w:rPr>
          <w:sz w:val="22"/>
          <w:szCs w:val="22"/>
        </w:rPr>
      </w:pPr>
      <w:r w:rsidRPr="0005007E">
        <w:rPr>
          <w:rStyle w:val="Appelnotedebasdep"/>
          <w:sz w:val="22"/>
          <w:szCs w:val="22"/>
        </w:rPr>
        <w:footnoteRef/>
      </w:r>
      <w:r w:rsidRPr="0005007E">
        <w:rPr>
          <w:sz w:val="22"/>
          <w:szCs w:val="22"/>
        </w:rPr>
        <w:t xml:space="preserve"> </w:t>
      </w:r>
      <w:proofErr w:type="spellStart"/>
      <w:r w:rsidRPr="0005007E">
        <w:rPr>
          <w:rStyle w:val="SarahnotesCar"/>
          <w:rFonts w:ascii="Times New Roman" w:hAnsi="Times New Roman"/>
          <w:sz w:val="22"/>
          <w:szCs w:val="22"/>
        </w:rPr>
        <w:t>Etant</w:t>
      </w:r>
      <w:proofErr w:type="spellEnd"/>
      <w:r w:rsidRPr="0005007E">
        <w:rPr>
          <w:rStyle w:val="SarahnotesCar"/>
          <w:rFonts w:ascii="Times New Roman" w:hAnsi="Times New Roman"/>
          <w:sz w:val="22"/>
          <w:szCs w:val="22"/>
        </w:rPr>
        <w:t xml:space="preserve"> donné que le 11 mars tombait un samedi, les journaux ont publié un seul numéro le vendredi 10.</w:t>
      </w:r>
    </w:p>
  </w:footnote>
  <w:footnote w:id="9">
    <w:p w:rsidR="00A0775C" w:rsidRPr="0005007E" w:rsidRDefault="00A0775C" w:rsidP="0005007E">
      <w:pPr>
        <w:pStyle w:val="Notedebasdepage"/>
        <w:jc w:val="both"/>
        <w:rPr>
          <w:sz w:val="22"/>
          <w:szCs w:val="22"/>
        </w:rPr>
      </w:pPr>
      <w:r w:rsidRPr="00F72611">
        <w:rPr>
          <w:rStyle w:val="Appelnotedebasdep"/>
          <w:sz w:val="22"/>
          <w:szCs w:val="22"/>
        </w:rPr>
        <w:footnoteRef/>
      </w:r>
      <w:r w:rsidRPr="00F72611">
        <w:rPr>
          <w:sz w:val="22"/>
          <w:szCs w:val="22"/>
        </w:rPr>
        <w:t xml:space="preserve"> Le rapport est publié sur le site www.ajp.be/diversite. </w:t>
      </w:r>
      <w:r w:rsidRPr="00F72611">
        <w:rPr>
          <w:sz w:val="22"/>
          <w:szCs w:val="22"/>
        </w:rPr>
        <w:t>Se r</w:t>
      </w:r>
      <w:r w:rsidR="00FC12E9">
        <w:rPr>
          <w:sz w:val="22"/>
          <w:szCs w:val="22"/>
        </w:rPr>
        <w:t>e</w:t>
      </w:r>
      <w:r w:rsidRPr="00F72611">
        <w:rPr>
          <w:sz w:val="22"/>
          <w:szCs w:val="22"/>
        </w:rPr>
        <w:t>porter aux pages 10 à 12 pour une présentation générale, à la page 17 pour la partie quantitative (l’AJP partage la grille d’analyse sur demande), aux pages 57 à 61 pour le volet qualitatif. Par ailleurs, afin que d’autres chercheurs puissent valider les résultats qualitatifs, l’entièreté des catégorisations sur lesquelles l’analyse qualitative est basée est disponible en annexe (pages 115 à 216).</w:t>
      </w:r>
    </w:p>
  </w:footnote>
  <w:footnote w:id="10">
    <w:p w:rsidR="00A0775C" w:rsidRPr="0005007E" w:rsidRDefault="00A0775C" w:rsidP="0005007E">
      <w:pPr>
        <w:pStyle w:val="Notedebasdepage"/>
        <w:jc w:val="both"/>
        <w:rPr>
          <w:sz w:val="22"/>
          <w:szCs w:val="22"/>
        </w:rPr>
      </w:pPr>
      <w:r w:rsidRPr="00F72611">
        <w:rPr>
          <w:rStyle w:val="Appelnotedebasdep"/>
          <w:sz w:val="22"/>
          <w:szCs w:val="22"/>
        </w:rPr>
        <w:footnoteRef/>
      </w:r>
      <w:r w:rsidRPr="00F72611">
        <w:rPr>
          <w:sz w:val="22"/>
          <w:szCs w:val="22"/>
        </w:rPr>
        <w:t xml:space="preserve"> Les résultats complets sont dévoilés dans le rapport de recherche publié sur le site www.ajp.be/diversite et un grand nombre d’articles du corpus ont été reproduits dans les annexes.</w:t>
      </w:r>
    </w:p>
  </w:footnote>
  <w:footnote w:id="11">
    <w:p w:rsidR="006F7F7E" w:rsidRPr="0005007E" w:rsidRDefault="006F7F7E" w:rsidP="0005007E">
      <w:pPr>
        <w:pStyle w:val="Notedebasdepage"/>
        <w:jc w:val="both"/>
        <w:rPr>
          <w:sz w:val="22"/>
          <w:szCs w:val="22"/>
        </w:rPr>
      </w:pPr>
      <w:r w:rsidRPr="0005007E">
        <w:rPr>
          <w:rStyle w:val="Appelnotedebasdep"/>
          <w:sz w:val="22"/>
          <w:szCs w:val="22"/>
        </w:rPr>
        <w:footnoteRef/>
      </w:r>
      <w:r w:rsidRPr="0005007E">
        <w:rPr>
          <w:sz w:val="22"/>
          <w:szCs w:val="22"/>
        </w:rPr>
        <w:t xml:space="preserve"> Dans leur travail sur le fait divers passionnel, </w:t>
      </w:r>
      <w:proofErr w:type="spellStart"/>
      <w:r w:rsidRPr="0005007E">
        <w:rPr>
          <w:sz w:val="22"/>
          <w:szCs w:val="22"/>
        </w:rPr>
        <w:t>Annik</w:t>
      </w:r>
      <w:proofErr w:type="spellEnd"/>
      <w:r w:rsidRPr="0005007E">
        <w:rPr>
          <w:sz w:val="22"/>
          <w:szCs w:val="22"/>
        </w:rPr>
        <w:t xml:space="preserve"> </w:t>
      </w:r>
      <w:proofErr w:type="spellStart"/>
      <w:r w:rsidRPr="0005007E">
        <w:rPr>
          <w:sz w:val="22"/>
          <w:szCs w:val="22"/>
        </w:rPr>
        <w:t>Houel</w:t>
      </w:r>
      <w:proofErr w:type="spellEnd"/>
      <w:r w:rsidRPr="0005007E">
        <w:rPr>
          <w:sz w:val="22"/>
          <w:szCs w:val="22"/>
        </w:rPr>
        <w:t xml:space="preserve">, Patricia </w:t>
      </w:r>
      <w:proofErr w:type="spellStart"/>
      <w:r w:rsidRPr="0005007E">
        <w:rPr>
          <w:sz w:val="22"/>
          <w:szCs w:val="22"/>
        </w:rPr>
        <w:t>Mercader</w:t>
      </w:r>
      <w:proofErr w:type="spellEnd"/>
      <w:r w:rsidRPr="0005007E">
        <w:rPr>
          <w:sz w:val="22"/>
          <w:szCs w:val="22"/>
        </w:rPr>
        <w:t xml:space="preserve"> et Helga </w:t>
      </w:r>
      <w:proofErr w:type="spellStart"/>
      <w:r w:rsidRPr="0005007E">
        <w:rPr>
          <w:sz w:val="22"/>
          <w:szCs w:val="22"/>
        </w:rPr>
        <w:t>Soboda</w:t>
      </w:r>
      <w:proofErr w:type="spellEnd"/>
      <w:r w:rsidRPr="0005007E">
        <w:rPr>
          <w:sz w:val="22"/>
          <w:szCs w:val="22"/>
        </w:rPr>
        <w:t xml:space="preserve"> signalent que ces récits de crime ont une place particulière dans la presse car ils sont lus, ils font vendre et ils sont placés dans des pages stratégiques du journal (2003, p. 21). Cependant, les faits divers sur lesquels elles travaillent sont très différents de ceux de notre corpus, par leur longueur, le développement narratif dont ils font l’objet et la tradition dans laquelle ils se placent. Ce sont des faits divers classiques. Dans notre corpus, il s’agit beaucoup plus de brèves et de filets.</w:t>
      </w:r>
    </w:p>
  </w:footnote>
  <w:footnote w:id="12">
    <w:p w:rsidR="00C70438" w:rsidRPr="0005007E" w:rsidRDefault="00C70438" w:rsidP="0005007E">
      <w:pPr>
        <w:pStyle w:val="Notedebasdepage"/>
        <w:jc w:val="both"/>
        <w:rPr>
          <w:sz w:val="22"/>
          <w:szCs w:val="22"/>
        </w:rPr>
      </w:pPr>
      <w:r w:rsidRPr="0005007E">
        <w:rPr>
          <w:rStyle w:val="Appelnotedebasdep"/>
          <w:sz w:val="22"/>
          <w:szCs w:val="22"/>
        </w:rPr>
        <w:footnoteRef/>
      </w:r>
      <w:r w:rsidRPr="0005007E">
        <w:rPr>
          <w:sz w:val="22"/>
          <w:szCs w:val="22"/>
        </w:rPr>
        <w:t xml:space="preserve"> L’actrice Emma Watson est victime d’injures en ligne. Flavie </w:t>
      </w:r>
      <w:proofErr w:type="spellStart"/>
      <w:r w:rsidRPr="0005007E">
        <w:rPr>
          <w:sz w:val="22"/>
          <w:szCs w:val="22"/>
        </w:rPr>
        <w:t>Flament</w:t>
      </w:r>
      <w:proofErr w:type="spellEnd"/>
      <w:r w:rsidRPr="0005007E">
        <w:rPr>
          <w:sz w:val="22"/>
          <w:szCs w:val="22"/>
        </w:rPr>
        <w:t xml:space="preserve"> est une animatrice de la télévision française, violée pendant son adolescence par un photographe de mode.</w:t>
      </w:r>
    </w:p>
  </w:footnote>
  <w:footnote w:id="13">
    <w:p w:rsidR="00240489" w:rsidRPr="0005007E" w:rsidRDefault="00240489" w:rsidP="0005007E">
      <w:pPr>
        <w:pStyle w:val="Notedebasdepage"/>
        <w:jc w:val="both"/>
        <w:rPr>
          <w:sz w:val="22"/>
          <w:szCs w:val="22"/>
        </w:rPr>
      </w:pPr>
      <w:r w:rsidRPr="0005007E">
        <w:rPr>
          <w:rStyle w:val="Appelnotedebasdep"/>
          <w:sz w:val="22"/>
          <w:szCs w:val="22"/>
        </w:rPr>
        <w:footnoteRef/>
      </w:r>
      <w:r w:rsidRPr="0005007E">
        <w:rPr>
          <w:sz w:val="22"/>
          <w:szCs w:val="22"/>
        </w:rPr>
        <w:t xml:space="preserve"> Les résultats concernant les auteurs de violence ne sont pas abordés dans cet article. Ils sont disponibles dans le rapport de recherche complet (</w:t>
      </w:r>
      <w:hyperlink r:id="rId1" w:history="1">
        <w:r w:rsidRPr="0005007E">
          <w:rPr>
            <w:rStyle w:val="Lienhypertexte"/>
            <w:sz w:val="22"/>
            <w:szCs w:val="22"/>
          </w:rPr>
          <w:t>www.ajp.be/diversité</w:t>
        </w:r>
      </w:hyperlink>
      <w:r w:rsidRPr="0005007E">
        <w:rPr>
          <w:sz w:val="22"/>
          <w:szCs w:val="22"/>
        </w:rPr>
        <w:t xml:space="preserve">). On peut rapidement préciser que les agresseurs sont aussi fantomatiques que les victimes. Deux différences majeures sont à constater. D’abord, les connotations positives sont plus nombreuses (un meurtrier est décrit comme « gentil » et un autre comme « un pacifiste militant de la non-violence »). Ensuite, les journalistes mentionnent régulièrement des éléments qui expliquent les violences. Ces informations participent des phénomènes de psychologisation et d’euphémisation décrits par Patrizia </w:t>
      </w:r>
      <w:proofErr w:type="spellStart"/>
      <w:r w:rsidRPr="0005007E">
        <w:rPr>
          <w:sz w:val="22"/>
          <w:szCs w:val="22"/>
        </w:rPr>
        <w:t>Romito</w:t>
      </w:r>
      <w:proofErr w:type="spellEnd"/>
      <w:r w:rsidRPr="0005007E">
        <w:rPr>
          <w:sz w:val="22"/>
          <w:szCs w:val="22"/>
        </w:rPr>
        <w:t xml:space="preserve"> (2006).</w:t>
      </w:r>
    </w:p>
  </w:footnote>
  <w:footnote w:id="14">
    <w:p w:rsidR="00360300" w:rsidRPr="0005007E" w:rsidRDefault="00360300" w:rsidP="0005007E">
      <w:pPr>
        <w:pStyle w:val="Notedebasdepage"/>
        <w:jc w:val="both"/>
        <w:rPr>
          <w:sz w:val="22"/>
          <w:szCs w:val="22"/>
        </w:rPr>
      </w:pPr>
      <w:r w:rsidRPr="0005007E">
        <w:rPr>
          <w:rStyle w:val="Appelnotedebasdep"/>
          <w:sz w:val="22"/>
          <w:szCs w:val="22"/>
        </w:rPr>
        <w:footnoteRef/>
      </w:r>
      <w:r w:rsidRPr="0005007E">
        <w:rPr>
          <w:sz w:val="22"/>
          <w:szCs w:val="22"/>
        </w:rPr>
        <w:t xml:space="preserve"> Une enquête (</w:t>
      </w:r>
      <w:hyperlink r:id="rId2" w:history="1">
        <w:r w:rsidRPr="0005007E">
          <w:rPr>
            <w:rStyle w:val="Lienhypertexte"/>
            <w:sz w:val="22"/>
            <w:szCs w:val="22"/>
          </w:rPr>
          <w:t>www.ajp.be/journalistesfemmes</w:t>
        </w:r>
      </w:hyperlink>
      <w:r w:rsidRPr="0005007E">
        <w:rPr>
          <w:sz w:val="22"/>
          <w:szCs w:val="22"/>
        </w:rPr>
        <w:t xml:space="preserve">) sur les conditions de travail dans les rédactions (largement insatisfaisantes) montrent que les femmes ne représenteraient que 33% des journalistes en Belgique (Le Cam, </w:t>
      </w:r>
      <w:proofErr w:type="spellStart"/>
      <w:r w:rsidRPr="0005007E">
        <w:rPr>
          <w:sz w:val="22"/>
          <w:szCs w:val="22"/>
        </w:rPr>
        <w:t>Libert</w:t>
      </w:r>
      <w:proofErr w:type="spellEnd"/>
      <w:r w:rsidRPr="0005007E">
        <w:rPr>
          <w:sz w:val="22"/>
          <w:szCs w:val="22"/>
        </w:rPr>
        <w:t xml:space="preserve"> et </w:t>
      </w:r>
      <w:proofErr w:type="spellStart"/>
      <w:r w:rsidRPr="0005007E">
        <w:rPr>
          <w:sz w:val="22"/>
          <w:szCs w:val="22"/>
        </w:rPr>
        <w:t>Ménalque</w:t>
      </w:r>
      <w:proofErr w:type="spellEnd"/>
      <w:r w:rsidRPr="0005007E">
        <w:rPr>
          <w:sz w:val="22"/>
          <w:szCs w:val="22"/>
        </w:rPr>
        <w:t>, 2018, p. 11).</w:t>
      </w:r>
    </w:p>
  </w:footnote>
  <w:footnote w:id="15">
    <w:p w:rsidR="00360300" w:rsidRPr="0005007E" w:rsidRDefault="00360300" w:rsidP="0005007E">
      <w:pPr>
        <w:pStyle w:val="Notedebasdepage"/>
        <w:jc w:val="both"/>
        <w:rPr>
          <w:sz w:val="22"/>
          <w:szCs w:val="22"/>
        </w:rPr>
      </w:pPr>
      <w:r w:rsidRPr="0005007E">
        <w:rPr>
          <w:rStyle w:val="Appelnotedebasdep"/>
          <w:sz w:val="22"/>
          <w:szCs w:val="22"/>
        </w:rPr>
        <w:footnoteRef/>
      </w:r>
      <w:r w:rsidRPr="0005007E">
        <w:rPr>
          <w:sz w:val="22"/>
          <w:szCs w:val="22"/>
        </w:rPr>
        <w:t xml:space="preserve"> </w:t>
      </w:r>
      <w:r w:rsidRPr="0005007E">
        <w:rPr>
          <w:sz w:val="22"/>
          <w:szCs w:val="22"/>
        </w:rPr>
        <w:t xml:space="preserve">Voir le </w:t>
      </w:r>
      <w:proofErr w:type="spellStart"/>
      <w:r w:rsidRPr="0005007E">
        <w:rPr>
          <w:sz w:val="22"/>
          <w:szCs w:val="22"/>
        </w:rPr>
        <w:t>tumblr</w:t>
      </w:r>
      <w:proofErr w:type="spellEnd"/>
      <w:r w:rsidRPr="0005007E">
        <w:rPr>
          <w:sz w:val="22"/>
          <w:szCs w:val="22"/>
        </w:rPr>
        <w:t xml:space="preserve"> </w:t>
      </w:r>
      <w:r w:rsidRPr="00FC12E9">
        <w:rPr>
          <w:i/>
          <w:sz w:val="22"/>
          <w:szCs w:val="22"/>
        </w:rPr>
        <w:t>Les mots tuent</w:t>
      </w:r>
      <w:r w:rsidRPr="0005007E">
        <w:rPr>
          <w:sz w:val="22"/>
          <w:szCs w:val="22"/>
        </w:rPr>
        <w:t xml:space="preserve"> (</w:t>
      </w:r>
      <w:hyperlink r:id="rId3" w:history="1">
        <w:r w:rsidRPr="0005007E">
          <w:rPr>
            <w:rStyle w:val="Lienhypertexte"/>
            <w:sz w:val="22"/>
            <w:szCs w:val="22"/>
          </w:rPr>
          <w:t>https://lesmotstuent.tumblr.com/</w:t>
        </w:r>
      </w:hyperlink>
      <w:r w:rsidRPr="0005007E">
        <w:rPr>
          <w:sz w:val="22"/>
          <w:szCs w:val="22"/>
        </w:rPr>
        <w:t xml:space="preserve">), le travail de recension des </w:t>
      </w:r>
      <w:proofErr w:type="spellStart"/>
      <w:r w:rsidRPr="0005007E">
        <w:rPr>
          <w:sz w:val="22"/>
          <w:szCs w:val="22"/>
        </w:rPr>
        <w:t>féminicides</w:t>
      </w:r>
      <w:proofErr w:type="spellEnd"/>
      <w:r w:rsidRPr="0005007E">
        <w:rPr>
          <w:sz w:val="22"/>
          <w:szCs w:val="22"/>
        </w:rPr>
        <w:t xml:space="preserve"> de </w:t>
      </w:r>
      <w:r w:rsidRPr="00FC12E9">
        <w:rPr>
          <w:i/>
          <w:sz w:val="22"/>
          <w:szCs w:val="22"/>
        </w:rPr>
        <w:t>Libération</w:t>
      </w:r>
      <w:r w:rsidRPr="0005007E">
        <w:rPr>
          <w:sz w:val="22"/>
          <w:szCs w:val="22"/>
        </w:rPr>
        <w:t xml:space="preserve"> (</w:t>
      </w:r>
      <w:hyperlink r:id="rId4" w:history="1">
        <w:r w:rsidRPr="0005007E">
          <w:rPr>
            <w:rStyle w:val="Lienhypertexte"/>
            <w:sz w:val="22"/>
            <w:szCs w:val="22"/>
          </w:rPr>
          <w:t>https://www.liberation.fr/apps/2018/02/meurtres-conjugaux-derriere-les-chiffres/</w:t>
        </w:r>
      </w:hyperlink>
      <w:r w:rsidRPr="0005007E">
        <w:rPr>
          <w:sz w:val="22"/>
          <w:szCs w:val="22"/>
        </w:rPr>
        <w:t xml:space="preserve">) ou celui de Stop </w:t>
      </w:r>
      <w:proofErr w:type="spellStart"/>
      <w:r w:rsidRPr="0005007E">
        <w:rPr>
          <w:sz w:val="22"/>
          <w:szCs w:val="22"/>
        </w:rPr>
        <w:t>féminicide</w:t>
      </w:r>
      <w:proofErr w:type="spellEnd"/>
      <w:r w:rsidRPr="0005007E">
        <w:rPr>
          <w:sz w:val="22"/>
          <w:szCs w:val="22"/>
        </w:rPr>
        <w:t xml:space="preserve"> en Belgique (http://stopfeminicide.blogspot.com/).</w:t>
      </w:r>
    </w:p>
  </w:footnote>
  <w:footnote w:id="16">
    <w:p w:rsidR="00360300" w:rsidRPr="0005007E" w:rsidRDefault="00360300" w:rsidP="0005007E">
      <w:pPr>
        <w:pStyle w:val="Notedebasdepage"/>
        <w:jc w:val="both"/>
        <w:rPr>
          <w:sz w:val="22"/>
          <w:szCs w:val="22"/>
        </w:rPr>
      </w:pPr>
      <w:r w:rsidRPr="0005007E">
        <w:rPr>
          <w:rStyle w:val="Appelnotedebasdep"/>
          <w:sz w:val="22"/>
          <w:szCs w:val="22"/>
        </w:rPr>
        <w:footnoteRef/>
      </w:r>
      <w:r w:rsidRPr="0005007E">
        <w:rPr>
          <w:sz w:val="22"/>
          <w:szCs w:val="22"/>
        </w:rPr>
        <w:t xml:space="preserve"> Notamment les recommandations de l’Association des journalistes professionnels de Belgique (</w:t>
      </w:r>
      <w:hyperlink r:id="rId5" w:history="1">
        <w:r w:rsidRPr="0005007E">
          <w:rPr>
            <w:rStyle w:val="Lienhypertexte"/>
            <w:sz w:val="22"/>
            <w:szCs w:val="22"/>
          </w:rPr>
          <w:t>http://www.ajp.be/violencesfemmes-recommandations/</w:t>
        </w:r>
      </w:hyperlink>
      <w:r w:rsidRPr="0005007E">
        <w:rPr>
          <w:sz w:val="22"/>
          <w:szCs w:val="22"/>
        </w:rPr>
        <w:t>) ou celles de la Fédération internationale des journalistes (https://www.ifj.org/fr/quoi/egalite-des-sexes.html).</w:t>
      </w:r>
    </w:p>
  </w:footnote>
  <w:footnote w:id="17">
    <w:p w:rsidR="00360300" w:rsidRPr="0005007E" w:rsidRDefault="00360300" w:rsidP="0005007E">
      <w:pPr>
        <w:pStyle w:val="Notedebasdepage"/>
        <w:jc w:val="both"/>
        <w:rPr>
          <w:sz w:val="22"/>
          <w:szCs w:val="22"/>
        </w:rPr>
      </w:pPr>
      <w:r w:rsidRPr="0005007E">
        <w:rPr>
          <w:rStyle w:val="Appelnotedebasdep"/>
          <w:sz w:val="22"/>
          <w:szCs w:val="22"/>
        </w:rPr>
        <w:footnoteRef/>
      </w:r>
      <w:r w:rsidRPr="0005007E">
        <w:rPr>
          <w:sz w:val="22"/>
          <w:szCs w:val="22"/>
        </w:rPr>
        <w:t xml:space="preserve"> Traduction française : http://www.crepegeorgette.com/2014/10/14/charte-journalisme-violence-sexisme/</w:t>
      </w:r>
    </w:p>
  </w:footnote>
  <w:footnote w:id="18">
    <w:p w:rsidR="00360300" w:rsidRPr="0005007E" w:rsidRDefault="00360300" w:rsidP="0005007E">
      <w:pPr>
        <w:pStyle w:val="Notedebasdepage"/>
        <w:jc w:val="both"/>
        <w:rPr>
          <w:sz w:val="22"/>
          <w:szCs w:val="22"/>
        </w:rPr>
      </w:pPr>
      <w:r w:rsidRPr="0005007E">
        <w:rPr>
          <w:rStyle w:val="Appelnotedebasdep"/>
          <w:sz w:val="22"/>
          <w:szCs w:val="22"/>
        </w:rPr>
        <w:footnoteRef/>
      </w:r>
      <w:r w:rsidRPr="0005007E">
        <w:rPr>
          <w:sz w:val="22"/>
          <w:szCs w:val="22"/>
        </w:rPr>
        <w:t xml:space="preserve"> Traduction française : https://www.coe.int/t/dg2/equality/domesticviolencecampaign/countryinformationpages/spain/LeyViolenciadeGenerofrances_fr.pdf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A4641D"/>
    <w:multiLevelType w:val="hybridMultilevel"/>
    <w:tmpl w:val="F402A31E"/>
    <w:lvl w:ilvl="0" w:tplc="040C0001">
      <w:start w:val="1"/>
      <w:numFmt w:val="bullet"/>
      <w:lvlText w:val=""/>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1" w15:restartNumberingAfterBreak="0">
    <w:nsid w:val="38C1769D"/>
    <w:multiLevelType w:val="hybridMultilevel"/>
    <w:tmpl w:val="5CEAE87A"/>
    <w:lvl w:ilvl="0" w:tplc="3AC29B88">
      <w:start w:val="8"/>
      <w:numFmt w:val="bullet"/>
      <w:pStyle w:val="Sarahbulletpoin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3AA57ECE"/>
    <w:multiLevelType w:val="hybridMultilevel"/>
    <w:tmpl w:val="16587B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3A5"/>
    <w:rsid w:val="00000109"/>
    <w:rsid w:val="00012193"/>
    <w:rsid w:val="00022531"/>
    <w:rsid w:val="00022E0A"/>
    <w:rsid w:val="000233C8"/>
    <w:rsid w:val="00024439"/>
    <w:rsid w:val="00024ED6"/>
    <w:rsid w:val="0005007E"/>
    <w:rsid w:val="0005292F"/>
    <w:rsid w:val="00052F4C"/>
    <w:rsid w:val="000644E4"/>
    <w:rsid w:val="00075190"/>
    <w:rsid w:val="00080272"/>
    <w:rsid w:val="00083EA4"/>
    <w:rsid w:val="00087B6F"/>
    <w:rsid w:val="000C7A95"/>
    <w:rsid w:val="000D33FB"/>
    <w:rsid w:val="000E157E"/>
    <w:rsid w:val="000E40A1"/>
    <w:rsid w:val="000F7490"/>
    <w:rsid w:val="00126F54"/>
    <w:rsid w:val="00134149"/>
    <w:rsid w:val="00144485"/>
    <w:rsid w:val="00146BE6"/>
    <w:rsid w:val="00147C60"/>
    <w:rsid w:val="00147F6C"/>
    <w:rsid w:val="00157678"/>
    <w:rsid w:val="00163863"/>
    <w:rsid w:val="00167BF3"/>
    <w:rsid w:val="00173448"/>
    <w:rsid w:val="0017393C"/>
    <w:rsid w:val="00182250"/>
    <w:rsid w:val="00184599"/>
    <w:rsid w:val="00184F97"/>
    <w:rsid w:val="00194D63"/>
    <w:rsid w:val="00196294"/>
    <w:rsid w:val="001A0B73"/>
    <w:rsid w:val="001B575E"/>
    <w:rsid w:val="001C0E9D"/>
    <w:rsid w:val="001D1338"/>
    <w:rsid w:val="001E1D3E"/>
    <w:rsid w:val="0022140F"/>
    <w:rsid w:val="00225CB7"/>
    <w:rsid w:val="00233D30"/>
    <w:rsid w:val="00240489"/>
    <w:rsid w:val="0026606C"/>
    <w:rsid w:val="002C0C36"/>
    <w:rsid w:val="002F03A5"/>
    <w:rsid w:val="002F2049"/>
    <w:rsid w:val="002F562D"/>
    <w:rsid w:val="00302A9F"/>
    <w:rsid w:val="00355BD9"/>
    <w:rsid w:val="0035725F"/>
    <w:rsid w:val="0035762F"/>
    <w:rsid w:val="00360300"/>
    <w:rsid w:val="00366E25"/>
    <w:rsid w:val="003736C4"/>
    <w:rsid w:val="0037373F"/>
    <w:rsid w:val="00373EC3"/>
    <w:rsid w:val="00377EBA"/>
    <w:rsid w:val="0039602F"/>
    <w:rsid w:val="003A21CA"/>
    <w:rsid w:val="003A6D01"/>
    <w:rsid w:val="003A7119"/>
    <w:rsid w:val="003B6521"/>
    <w:rsid w:val="003C2650"/>
    <w:rsid w:val="003C7814"/>
    <w:rsid w:val="003E3FF8"/>
    <w:rsid w:val="003F1D31"/>
    <w:rsid w:val="003F47F5"/>
    <w:rsid w:val="003F6ACF"/>
    <w:rsid w:val="0040430C"/>
    <w:rsid w:val="004106D6"/>
    <w:rsid w:val="00417EC6"/>
    <w:rsid w:val="00430031"/>
    <w:rsid w:val="00444AD7"/>
    <w:rsid w:val="00447A1A"/>
    <w:rsid w:val="00447F85"/>
    <w:rsid w:val="004512BF"/>
    <w:rsid w:val="00453028"/>
    <w:rsid w:val="00491DAE"/>
    <w:rsid w:val="004A60AE"/>
    <w:rsid w:val="004A7032"/>
    <w:rsid w:val="004A72D8"/>
    <w:rsid w:val="004B311D"/>
    <w:rsid w:val="004D7DA6"/>
    <w:rsid w:val="004E3102"/>
    <w:rsid w:val="004E426F"/>
    <w:rsid w:val="004E7C18"/>
    <w:rsid w:val="00501881"/>
    <w:rsid w:val="00512F44"/>
    <w:rsid w:val="00521988"/>
    <w:rsid w:val="00545863"/>
    <w:rsid w:val="00546FDB"/>
    <w:rsid w:val="00550FD9"/>
    <w:rsid w:val="005560BB"/>
    <w:rsid w:val="00564FC7"/>
    <w:rsid w:val="0056729B"/>
    <w:rsid w:val="00593431"/>
    <w:rsid w:val="00593D9A"/>
    <w:rsid w:val="005B3E9B"/>
    <w:rsid w:val="005C2B69"/>
    <w:rsid w:val="005C33D6"/>
    <w:rsid w:val="005D1BD8"/>
    <w:rsid w:val="005D2824"/>
    <w:rsid w:val="005F00B5"/>
    <w:rsid w:val="00601ACA"/>
    <w:rsid w:val="00610C5D"/>
    <w:rsid w:val="00627668"/>
    <w:rsid w:val="00664371"/>
    <w:rsid w:val="00683F18"/>
    <w:rsid w:val="006850F7"/>
    <w:rsid w:val="006870C4"/>
    <w:rsid w:val="0069599B"/>
    <w:rsid w:val="0069631E"/>
    <w:rsid w:val="00697AAF"/>
    <w:rsid w:val="006A1D83"/>
    <w:rsid w:val="006A3768"/>
    <w:rsid w:val="006A41F3"/>
    <w:rsid w:val="006B13A8"/>
    <w:rsid w:val="006C1F13"/>
    <w:rsid w:val="006C3C3C"/>
    <w:rsid w:val="006C457C"/>
    <w:rsid w:val="006C4F62"/>
    <w:rsid w:val="006C6D8B"/>
    <w:rsid w:val="006D0BF2"/>
    <w:rsid w:val="006E4B01"/>
    <w:rsid w:val="006E7590"/>
    <w:rsid w:val="006F2BAB"/>
    <w:rsid w:val="006F7F7E"/>
    <w:rsid w:val="00705159"/>
    <w:rsid w:val="00714D4D"/>
    <w:rsid w:val="00720FA7"/>
    <w:rsid w:val="00721791"/>
    <w:rsid w:val="0074509B"/>
    <w:rsid w:val="00750B56"/>
    <w:rsid w:val="00754312"/>
    <w:rsid w:val="0076468C"/>
    <w:rsid w:val="00764C8E"/>
    <w:rsid w:val="007810D5"/>
    <w:rsid w:val="0079331C"/>
    <w:rsid w:val="00794483"/>
    <w:rsid w:val="007A2DA9"/>
    <w:rsid w:val="007B46A6"/>
    <w:rsid w:val="007B4FBE"/>
    <w:rsid w:val="007C2EC3"/>
    <w:rsid w:val="007D334F"/>
    <w:rsid w:val="007D5E24"/>
    <w:rsid w:val="007E6C29"/>
    <w:rsid w:val="007E6FDC"/>
    <w:rsid w:val="00800413"/>
    <w:rsid w:val="0081042A"/>
    <w:rsid w:val="00833DB2"/>
    <w:rsid w:val="008421C1"/>
    <w:rsid w:val="00850213"/>
    <w:rsid w:val="008515ED"/>
    <w:rsid w:val="00855EBC"/>
    <w:rsid w:val="00881AB6"/>
    <w:rsid w:val="0088319C"/>
    <w:rsid w:val="0088392F"/>
    <w:rsid w:val="008861A8"/>
    <w:rsid w:val="008865EE"/>
    <w:rsid w:val="008877C0"/>
    <w:rsid w:val="00890E85"/>
    <w:rsid w:val="00892E5F"/>
    <w:rsid w:val="008B1872"/>
    <w:rsid w:val="008B223E"/>
    <w:rsid w:val="008C4CE5"/>
    <w:rsid w:val="008C6983"/>
    <w:rsid w:val="008D6158"/>
    <w:rsid w:val="008F7AF5"/>
    <w:rsid w:val="0092054E"/>
    <w:rsid w:val="009226B2"/>
    <w:rsid w:val="00956BA9"/>
    <w:rsid w:val="00963571"/>
    <w:rsid w:val="0098108A"/>
    <w:rsid w:val="00995D01"/>
    <w:rsid w:val="009973B3"/>
    <w:rsid w:val="009D72F0"/>
    <w:rsid w:val="009F01DB"/>
    <w:rsid w:val="009F1E29"/>
    <w:rsid w:val="009F38EF"/>
    <w:rsid w:val="00A0775C"/>
    <w:rsid w:val="00A3054D"/>
    <w:rsid w:val="00A35BCF"/>
    <w:rsid w:val="00A71C32"/>
    <w:rsid w:val="00A760D1"/>
    <w:rsid w:val="00A82EA7"/>
    <w:rsid w:val="00A9222F"/>
    <w:rsid w:val="00A950E3"/>
    <w:rsid w:val="00A955F1"/>
    <w:rsid w:val="00A95A37"/>
    <w:rsid w:val="00AA51A9"/>
    <w:rsid w:val="00AB3814"/>
    <w:rsid w:val="00AB4A9C"/>
    <w:rsid w:val="00AC1D91"/>
    <w:rsid w:val="00AD2205"/>
    <w:rsid w:val="00AF6626"/>
    <w:rsid w:val="00B035E6"/>
    <w:rsid w:val="00B14909"/>
    <w:rsid w:val="00B155DA"/>
    <w:rsid w:val="00B24936"/>
    <w:rsid w:val="00B510F5"/>
    <w:rsid w:val="00B5165B"/>
    <w:rsid w:val="00B77AFE"/>
    <w:rsid w:val="00B95A3D"/>
    <w:rsid w:val="00BA3125"/>
    <w:rsid w:val="00BB64D9"/>
    <w:rsid w:val="00BD6651"/>
    <w:rsid w:val="00BE28C6"/>
    <w:rsid w:val="00BF1989"/>
    <w:rsid w:val="00C11ABD"/>
    <w:rsid w:val="00C22E88"/>
    <w:rsid w:val="00C34432"/>
    <w:rsid w:val="00C4397A"/>
    <w:rsid w:val="00C467EA"/>
    <w:rsid w:val="00C70438"/>
    <w:rsid w:val="00C7554A"/>
    <w:rsid w:val="00C9242A"/>
    <w:rsid w:val="00CA73C8"/>
    <w:rsid w:val="00CB3923"/>
    <w:rsid w:val="00CC0747"/>
    <w:rsid w:val="00CC3B72"/>
    <w:rsid w:val="00CD1CCF"/>
    <w:rsid w:val="00CD37E2"/>
    <w:rsid w:val="00CE7704"/>
    <w:rsid w:val="00CF11C9"/>
    <w:rsid w:val="00D22590"/>
    <w:rsid w:val="00D2299D"/>
    <w:rsid w:val="00D37E11"/>
    <w:rsid w:val="00D74F73"/>
    <w:rsid w:val="00D75DAE"/>
    <w:rsid w:val="00D77B61"/>
    <w:rsid w:val="00D826AB"/>
    <w:rsid w:val="00D8467A"/>
    <w:rsid w:val="00DA3FED"/>
    <w:rsid w:val="00DA765E"/>
    <w:rsid w:val="00DB423D"/>
    <w:rsid w:val="00DD01AB"/>
    <w:rsid w:val="00DE0D6E"/>
    <w:rsid w:val="00DE355D"/>
    <w:rsid w:val="00E01B33"/>
    <w:rsid w:val="00E02B2B"/>
    <w:rsid w:val="00E05397"/>
    <w:rsid w:val="00E06F96"/>
    <w:rsid w:val="00E20457"/>
    <w:rsid w:val="00E438A3"/>
    <w:rsid w:val="00E45E09"/>
    <w:rsid w:val="00E62158"/>
    <w:rsid w:val="00E63BE5"/>
    <w:rsid w:val="00E73C4E"/>
    <w:rsid w:val="00E80C04"/>
    <w:rsid w:val="00E907E9"/>
    <w:rsid w:val="00E913FA"/>
    <w:rsid w:val="00E951E3"/>
    <w:rsid w:val="00ED4DF7"/>
    <w:rsid w:val="00EE556B"/>
    <w:rsid w:val="00EE68F9"/>
    <w:rsid w:val="00EF0984"/>
    <w:rsid w:val="00EF699C"/>
    <w:rsid w:val="00F0730D"/>
    <w:rsid w:val="00F2032C"/>
    <w:rsid w:val="00F26C45"/>
    <w:rsid w:val="00F43A46"/>
    <w:rsid w:val="00F56687"/>
    <w:rsid w:val="00F703C5"/>
    <w:rsid w:val="00F72611"/>
    <w:rsid w:val="00F76DBC"/>
    <w:rsid w:val="00FA0CCC"/>
    <w:rsid w:val="00FA5291"/>
    <w:rsid w:val="00FB270C"/>
    <w:rsid w:val="00FB378A"/>
    <w:rsid w:val="00FC12E9"/>
    <w:rsid w:val="00FD28B2"/>
    <w:rsid w:val="00FD37FD"/>
    <w:rsid w:val="00FD3BF4"/>
    <w:rsid w:val="00FF28E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1B8810"/>
  <w14:defaultImageDpi w14:val="32767"/>
  <w15:chartTrackingRefBased/>
  <w15:docId w15:val="{1EAA1E63-73AC-D94A-A02C-B8D2A4E0F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A21CA"/>
    <w:rPr>
      <w:rFonts w:ascii="Times New Roman" w:eastAsia="Times New Roman" w:hAnsi="Times New Roman" w:cs="Times New Roman"/>
      <w:lang w:val="fr-BE" w:eastAsia="fr-FR"/>
    </w:rPr>
  </w:style>
  <w:style w:type="paragraph" w:styleId="Titre1">
    <w:name w:val="heading 1"/>
    <w:basedOn w:val="Normal"/>
    <w:link w:val="Titre1Car"/>
    <w:uiPriority w:val="9"/>
    <w:qFormat/>
    <w:rsid w:val="004E3102"/>
    <w:pPr>
      <w:spacing w:before="100" w:beforeAutospacing="1" w:after="100" w:afterAutospacing="1"/>
      <w:outlineLvl w:val="0"/>
    </w:pPr>
    <w:rPr>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AD2205"/>
    <w:rPr>
      <w:sz w:val="20"/>
      <w:szCs w:val="20"/>
    </w:rPr>
  </w:style>
  <w:style w:type="character" w:customStyle="1" w:styleId="NotedebasdepageCar">
    <w:name w:val="Note de bas de page Car"/>
    <w:basedOn w:val="Policepardfaut"/>
    <w:link w:val="Notedebasdepage"/>
    <w:uiPriority w:val="99"/>
    <w:rsid w:val="00AD2205"/>
    <w:rPr>
      <w:sz w:val="20"/>
      <w:szCs w:val="20"/>
    </w:rPr>
  </w:style>
  <w:style w:type="character" w:styleId="Appelnotedebasdep">
    <w:name w:val="footnote reference"/>
    <w:basedOn w:val="Policepardfaut"/>
    <w:uiPriority w:val="99"/>
    <w:unhideWhenUsed/>
    <w:rsid w:val="00AD2205"/>
    <w:rPr>
      <w:vertAlign w:val="superscript"/>
    </w:rPr>
  </w:style>
  <w:style w:type="character" w:styleId="lev">
    <w:name w:val="Strong"/>
    <w:basedOn w:val="Policepardfaut"/>
    <w:uiPriority w:val="22"/>
    <w:qFormat/>
    <w:rsid w:val="00593431"/>
    <w:rPr>
      <w:b/>
      <w:bCs/>
    </w:rPr>
  </w:style>
  <w:style w:type="character" w:customStyle="1" w:styleId="normal10">
    <w:name w:val="normal10"/>
    <w:basedOn w:val="Policepardfaut"/>
    <w:rsid w:val="00593431"/>
  </w:style>
  <w:style w:type="character" w:styleId="Lienhypertexte">
    <w:name w:val="Hyperlink"/>
    <w:basedOn w:val="Policepardfaut"/>
    <w:uiPriority w:val="99"/>
    <w:unhideWhenUsed/>
    <w:rsid w:val="004E3102"/>
    <w:rPr>
      <w:color w:val="0000FF"/>
      <w:u w:val="single"/>
    </w:rPr>
  </w:style>
  <w:style w:type="character" w:customStyle="1" w:styleId="Titre1Car">
    <w:name w:val="Titre 1 Car"/>
    <w:basedOn w:val="Policepardfaut"/>
    <w:link w:val="Titre1"/>
    <w:uiPriority w:val="9"/>
    <w:rsid w:val="004E3102"/>
    <w:rPr>
      <w:rFonts w:ascii="Times New Roman" w:eastAsia="Times New Roman" w:hAnsi="Times New Roman" w:cs="Times New Roman"/>
      <w:b/>
      <w:bCs/>
      <w:kern w:val="36"/>
      <w:sz w:val="48"/>
      <w:szCs w:val="48"/>
      <w:lang w:val="fr-BE" w:eastAsia="fr-FR"/>
    </w:rPr>
  </w:style>
  <w:style w:type="paragraph" w:styleId="NormalWeb">
    <w:name w:val="Normal (Web)"/>
    <w:basedOn w:val="Normal"/>
    <w:uiPriority w:val="99"/>
    <w:semiHidden/>
    <w:unhideWhenUsed/>
    <w:rsid w:val="004E3102"/>
    <w:pPr>
      <w:spacing w:before="100" w:beforeAutospacing="1" w:after="100" w:afterAutospacing="1"/>
    </w:pPr>
  </w:style>
  <w:style w:type="paragraph" w:customStyle="1" w:styleId="Sarahtexte">
    <w:name w:val="Sarah texte"/>
    <w:basedOn w:val="Normal"/>
    <w:qFormat/>
    <w:rsid w:val="00355BD9"/>
    <w:pPr>
      <w:spacing w:after="120"/>
      <w:jc w:val="both"/>
    </w:pPr>
    <w:rPr>
      <w:rFonts w:ascii="Helvetica Neue Light" w:hAnsi="Helvetica Neue Light"/>
      <w:sz w:val="22"/>
    </w:rPr>
  </w:style>
  <w:style w:type="paragraph" w:customStyle="1" w:styleId="Sarahnotes">
    <w:name w:val="Sarah notes"/>
    <w:basedOn w:val="Notedebasdepage"/>
    <w:link w:val="SarahnotesCar"/>
    <w:qFormat/>
    <w:rsid w:val="00355BD9"/>
    <w:pPr>
      <w:jc w:val="both"/>
    </w:pPr>
    <w:rPr>
      <w:rFonts w:ascii="Helvetica Neue Light" w:hAnsi="Helvetica Neue Light"/>
      <w:sz w:val="16"/>
    </w:rPr>
  </w:style>
  <w:style w:type="character" w:customStyle="1" w:styleId="SarahnotesCar">
    <w:name w:val="Sarah notes Car"/>
    <w:basedOn w:val="NotedebasdepageCar"/>
    <w:link w:val="Sarahnotes"/>
    <w:rsid w:val="00355BD9"/>
    <w:rPr>
      <w:rFonts w:ascii="Helvetica Neue Light" w:hAnsi="Helvetica Neue Light"/>
      <w:sz w:val="16"/>
      <w:szCs w:val="20"/>
      <w:lang w:val="fr-BE"/>
    </w:rPr>
  </w:style>
  <w:style w:type="paragraph" w:customStyle="1" w:styleId="Sarahcitation">
    <w:name w:val="Sarah citation"/>
    <w:basedOn w:val="Normal"/>
    <w:qFormat/>
    <w:rsid w:val="00C4397A"/>
    <w:pPr>
      <w:ind w:left="567" w:right="567"/>
      <w:jc w:val="both"/>
    </w:pPr>
    <w:rPr>
      <w:rFonts w:ascii="Helvetica Neue Light" w:hAnsi="Helvetica Neue Light"/>
      <w:i/>
      <w:sz w:val="22"/>
    </w:rPr>
  </w:style>
  <w:style w:type="paragraph" w:customStyle="1" w:styleId="Sarahbulletpoint">
    <w:name w:val="Sarah bullet point"/>
    <w:basedOn w:val="Paragraphedeliste"/>
    <w:qFormat/>
    <w:rsid w:val="003C2650"/>
    <w:pPr>
      <w:numPr>
        <w:numId w:val="1"/>
      </w:numPr>
      <w:spacing w:after="60"/>
      <w:ind w:left="714" w:hanging="357"/>
      <w:jc w:val="both"/>
    </w:pPr>
    <w:rPr>
      <w:rFonts w:ascii="Helvetica Neue Light" w:hAnsi="Helvetica Neue Light"/>
      <w:sz w:val="22"/>
    </w:rPr>
  </w:style>
  <w:style w:type="paragraph" w:styleId="Paragraphedeliste">
    <w:name w:val="List Paragraph"/>
    <w:basedOn w:val="Normal"/>
    <w:uiPriority w:val="34"/>
    <w:qFormat/>
    <w:rsid w:val="003C2650"/>
    <w:pPr>
      <w:ind w:left="720"/>
      <w:contextualSpacing/>
    </w:pPr>
  </w:style>
  <w:style w:type="table" w:styleId="Grilledutableau">
    <w:name w:val="Table Grid"/>
    <w:basedOn w:val="TableauNormal"/>
    <w:uiPriority w:val="59"/>
    <w:rsid w:val="00D74F73"/>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arahtableau">
    <w:name w:val="Sarah tableau"/>
    <w:basedOn w:val="Normal"/>
    <w:qFormat/>
    <w:rsid w:val="00D74F73"/>
    <w:pPr>
      <w:spacing w:before="360"/>
    </w:pPr>
    <w:rPr>
      <w:rFonts w:ascii="Arial Narrow" w:hAnsi="Arial Narrow"/>
      <w:b/>
    </w:rPr>
  </w:style>
  <w:style w:type="character" w:styleId="Mentionnonrsolue">
    <w:name w:val="Unresolved Mention"/>
    <w:basedOn w:val="Policepardfaut"/>
    <w:uiPriority w:val="99"/>
    <w:rsid w:val="007E6C29"/>
    <w:rPr>
      <w:color w:val="605E5C"/>
      <w:shd w:val="clear" w:color="auto" w:fill="E1DFDD"/>
    </w:rPr>
  </w:style>
  <w:style w:type="character" w:customStyle="1" w:styleId="systranseg">
    <w:name w:val="systran_seg"/>
    <w:basedOn w:val="Policepardfaut"/>
    <w:rsid w:val="00024439"/>
  </w:style>
  <w:style w:type="character" w:customStyle="1" w:styleId="systrantokenword">
    <w:name w:val="systran_token_word"/>
    <w:basedOn w:val="Policepardfaut"/>
    <w:rsid w:val="00024439"/>
  </w:style>
  <w:style w:type="character" w:customStyle="1" w:styleId="systrantokenpunctuation">
    <w:name w:val="systran_token_punctuation"/>
    <w:basedOn w:val="Policepardfaut"/>
    <w:rsid w:val="00024439"/>
  </w:style>
  <w:style w:type="character" w:customStyle="1" w:styleId="systrantokennumeric">
    <w:name w:val="systran_token_numeric"/>
    <w:basedOn w:val="Policepardfaut"/>
    <w:rsid w:val="00024439"/>
  </w:style>
  <w:style w:type="character" w:customStyle="1" w:styleId="systranud">
    <w:name w:val="systran_ud"/>
    <w:basedOn w:val="Policepardfaut"/>
    <w:rsid w:val="00024439"/>
  </w:style>
  <w:style w:type="character" w:customStyle="1" w:styleId="systrantokenentity">
    <w:name w:val="systran_token_entity"/>
    <w:basedOn w:val="Policepardfaut"/>
    <w:rsid w:val="00024439"/>
  </w:style>
  <w:style w:type="character" w:customStyle="1" w:styleId="familyname">
    <w:name w:val="familyname"/>
    <w:basedOn w:val="Policepardfaut"/>
    <w:rsid w:val="00B77AFE"/>
  </w:style>
  <w:style w:type="character" w:styleId="Accentuation">
    <w:name w:val="Emphasis"/>
    <w:basedOn w:val="Policepardfaut"/>
    <w:uiPriority w:val="20"/>
    <w:qFormat/>
    <w:rsid w:val="00B77AFE"/>
    <w:rPr>
      <w:i/>
      <w:iCs/>
    </w:rPr>
  </w:style>
  <w:style w:type="character" w:customStyle="1" w:styleId="uppercase">
    <w:name w:val="uppercase"/>
    <w:basedOn w:val="Policepardfaut"/>
    <w:rsid w:val="007450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63727">
      <w:bodyDiv w:val="1"/>
      <w:marLeft w:val="0"/>
      <w:marRight w:val="0"/>
      <w:marTop w:val="0"/>
      <w:marBottom w:val="0"/>
      <w:divBdr>
        <w:top w:val="none" w:sz="0" w:space="0" w:color="auto"/>
        <w:left w:val="none" w:sz="0" w:space="0" w:color="auto"/>
        <w:bottom w:val="none" w:sz="0" w:space="0" w:color="auto"/>
        <w:right w:val="none" w:sz="0" w:space="0" w:color="auto"/>
      </w:divBdr>
    </w:div>
    <w:div w:id="212080774">
      <w:bodyDiv w:val="1"/>
      <w:marLeft w:val="0"/>
      <w:marRight w:val="0"/>
      <w:marTop w:val="0"/>
      <w:marBottom w:val="0"/>
      <w:divBdr>
        <w:top w:val="none" w:sz="0" w:space="0" w:color="auto"/>
        <w:left w:val="none" w:sz="0" w:space="0" w:color="auto"/>
        <w:bottom w:val="none" w:sz="0" w:space="0" w:color="auto"/>
        <w:right w:val="none" w:sz="0" w:space="0" w:color="auto"/>
      </w:divBdr>
      <w:divsChild>
        <w:div w:id="1830515543">
          <w:marLeft w:val="0"/>
          <w:marRight w:val="0"/>
          <w:marTop w:val="0"/>
          <w:marBottom w:val="0"/>
          <w:divBdr>
            <w:top w:val="none" w:sz="0" w:space="0" w:color="auto"/>
            <w:left w:val="none" w:sz="0" w:space="0" w:color="auto"/>
            <w:bottom w:val="none" w:sz="0" w:space="0" w:color="auto"/>
            <w:right w:val="none" w:sz="0" w:space="0" w:color="auto"/>
          </w:divBdr>
          <w:divsChild>
            <w:div w:id="406343258">
              <w:marLeft w:val="0"/>
              <w:marRight w:val="0"/>
              <w:marTop w:val="0"/>
              <w:marBottom w:val="0"/>
              <w:divBdr>
                <w:top w:val="none" w:sz="0" w:space="0" w:color="auto"/>
                <w:left w:val="none" w:sz="0" w:space="0" w:color="auto"/>
                <w:bottom w:val="none" w:sz="0" w:space="0" w:color="auto"/>
                <w:right w:val="none" w:sz="0" w:space="0" w:color="auto"/>
              </w:divBdr>
              <w:divsChild>
                <w:div w:id="60157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275862">
      <w:bodyDiv w:val="1"/>
      <w:marLeft w:val="0"/>
      <w:marRight w:val="0"/>
      <w:marTop w:val="0"/>
      <w:marBottom w:val="0"/>
      <w:divBdr>
        <w:top w:val="none" w:sz="0" w:space="0" w:color="auto"/>
        <w:left w:val="none" w:sz="0" w:space="0" w:color="auto"/>
        <w:bottom w:val="none" w:sz="0" w:space="0" w:color="auto"/>
        <w:right w:val="none" w:sz="0" w:space="0" w:color="auto"/>
      </w:divBdr>
    </w:div>
    <w:div w:id="333188555">
      <w:bodyDiv w:val="1"/>
      <w:marLeft w:val="0"/>
      <w:marRight w:val="0"/>
      <w:marTop w:val="0"/>
      <w:marBottom w:val="0"/>
      <w:divBdr>
        <w:top w:val="none" w:sz="0" w:space="0" w:color="auto"/>
        <w:left w:val="none" w:sz="0" w:space="0" w:color="auto"/>
        <w:bottom w:val="none" w:sz="0" w:space="0" w:color="auto"/>
        <w:right w:val="none" w:sz="0" w:space="0" w:color="auto"/>
      </w:divBdr>
      <w:divsChild>
        <w:div w:id="1658879092">
          <w:marLeft w:val="0"/>
          <w:marRight w:val="0"/>
          <w:marTop w:val="0"/>
          <w:marBottom w:val="0"/>
          <w:divBdr>
            <w:top w:val="none" w:sz="0" w:space="0" w:color="auto"/>
            <w:left w:val="none" w:sz="0" w:space="0" w:color="auto"/>
            <w:bottom w:val="none" w:sz="0" w:space="0" w:color="auto"/>
            <w:right w:val="none" w:sz="0" w:space="0" w:color="auto"/>
          </w:divBdr>
          <w:divsChild>
            <w:div w:id="1987319969">
              <w:marLeft w:val="0"/>
              <w:marRight w:val="0"/>
              <w:marTop w:val="0"/>
              <w:marBottom w:val="0"/>
              <w:divBdr>
                <w:top w:val="none" w:sz="0" w:space="0" w:color="auto"/>
                <w:left w:val="none" w:sz="0" w:space="0" w:color="auto"/>
                <w:bottom w:val="none" w:sz="0" w:space="0" w:color="auto"/>
                <w:right w:val="none" w:sz="0" w:space="0" w:color="auto"/>
              </w:divBdr>
              <w:divsChild>
                <w:div w:id="111597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612866">
      <w:bodyDiv w:val="1"/>
      <w:marLeft w:val="0"/>
      <w:marRight w:val="0"/>
      <w:marTop w:val="0"/>
      <w:marBottom w:val="0"/>
      <w:divBdr>
        <w:top w:val="none" w:sz="0" w:space="0" w:color="auto"/>
        <w:left w:val="none" w:sz="0" w:space="0" w:color="auto"/>
        <w:bottom w:val="none" w:sz="0" w:space="0" w:color="auto"/>
        <w:right w:val="none" w:sz="0" w:space="0" w:color="auto"/>
      </w:divBdr>
    </w:div>
    <w:div w:id="361439092">
      <w:bodyDiv w:val="1"/>
      <w:marLeft w:val="0"/>
      <w:marRight w:val="0"/>
      <w:marTop w:val="0"/>
      <w:marBottom w:val="0"/>
      <w:divBdr>
        <w:top w:val="none" w:sz="0" w:space="0" w:color="auto"/>
        <w:left w:val="none" w:sz="0" w:space="0" w:color="auto"/>
        <w:bottom w:val="none" w:sz="0" w:space="0" w:color="auto"/>
        <w:right w:val="none" w:sz="0" w:space="0" w:color="auto"/>
      </w:divBdr>
    </w:div>
    <w:div w:id="525603843">
      <w:bodyDiv w:val="1"/>
      <w:marLeft w:val="0"/>
      <w:marRight w:val="0"/>
      <w:marTop w:val="0"/>
      <w:marBottom w:val="0"/>
      <w:divBdr>
        <w:top w:val="none" w:sz="0" w:space="0" w:color="auto"/>
        <w:left w:val="none" w:sz="0" w:space="0" w:color="auto"/>
        <w:bottom w:val="none" w:sz="0" w:space="0" w:color="auto"/>
        <w:right w:val="none" w:sz="0" w:space="0" w:color="auto"/>
      </w:divBdr>
    </w:div>
    <w:div w:id="691230220">
      <w:bodyDiv w:val="1"/>
      <w:marLeft w:val="0"/>
      <w:marRight w:val="0"/>
      <w:marTop w:val="0"/>
      <w:marBottom w:val="0"/>
      <w:divBdr>
        <w:top w:val="none" w:sz="0" w:space="0" w:color="auto"/>
        <w:left w:val="none" w:sz="0" w:space="0" w:color="auto"/>
        <w:bottom w:val="none" w:sz="0" w:space="0" w:color="auto"/>
        <w:right w:val="none" w:sz="0" w:space="0" w:color="auto"/>
      </w:divBdr>
    </w:div>
    <w:div w:id="736901164">
      <w:bodyDiv w:val="1"/>
      <w:marLeft w:val="0"/>
      <w:marRight w:val="0"/>
      <w:marTop w:val="0"/>
      <w:marBottom w:val="0"/>
      <w:divBdr>
        <w:top w:val="none" w:sz="0" w:space="0" w:color="auto"/>
        <w:left w:val="none" w:sz="0" w:space="0" w:color="auto"/>
        <w:bottom w:val="none" w:sz="0" w:space="0" w:color="auto"/>
        <w:right w:val="none" w:sz="0" w:space="0" w:color="auto"/>
      </w:divBdr>
    </w:div>
    <w:div w:id="923950050">
      <w:bodyDiv w:val="1"/>
      <w:marLeft w:val="0"/>
      <w:marRight w:val="0"/>
      <w:marTop w:val="0"/>
      <w:marBottom w:val="0"/>
      <w:divBdr>
        <w:top w:val="none" w:sz="0" w:space="0" w:color="auto"/>
        <w:left w:val="none" w:sz="0" w:space="0" w:color="auto"/>
        <w:bottom w:val="none" w:sz="0" w:space="0" w:color="auto"/>
        <w:right w:val="none" w:sz="0" w:space="0" w:color="auto"/>
      </w:divBdr>
      <w:divsChild>
        <w:div w:id="946892012">
          <w:marLeft w:val="0"/>
          <w:marRight w:val="0"/>
          <w:marTop w:val="0"/>
          <w:marBottom w:val="0"/>
          <w:divBdr>
            <w:top w:val="none" w:sz="0" w:space="0" w:color="auto"/>
            <w:left w:val="none" w:sz="0" w:space="0" w:color="auto"/>
            <w:bottom w:val="none" w:sz="0" w:space="0" w:color="auto"/>
            <w:right w:val="none" w:sz="0" w:space="0" w:color="auto"/>
          </w:divBdr>
          <w:divsChild>
            <w:div w:id="1223060856">
              <w:marLeft w:val="0"/>
              <w:marRight w:val="0"/>
              <w:marTop w:val="0"/>
              <w:marBottom w:val="0"/>
              <w:divBdr>
                <w:top w:val="none" w:sz="0" w:space="0" w:color="auto"/>
                <w:left w:val="none" w:sz="0" w:space="0" w:color="auto"/>
                <w:bottom w:val="none" w:sz="0" w:space="0" w:color="auto"/>
                <w:right w:val="none" w:sz="0" w:space="0" w:color="auto"/>
              </w:divBdr>
              <w:divsChild>
                <w:div w:id="168162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7234">
      <w:bodyDiv w:val="1"/>
      <w:marLeft w:val="0"/>
      <w:marRight w:val="0"/>
      <w:marTop w:val="0"/>
      <w:marBottom w:val="0"/>
      <w:divBdr>
        <w:top w:val="none" w:sz="0" w:space="0" w:color="auto"/>
        <w:left w:val="none" w:sz="0" w:space="0" w:color="auto"/>
        <w:bottom w:val="none" w:sz="0" w:space="0" w:color="auto"/>
        <w:right w:val="none" w:sz="0" w:space="0" w:color="auto"/>
      </w:divBdr>
    </w:div>
    <w:div w:id="942035850">
      <w:bodyDiv w:val="1"/>
      <w:marLeft w:val="0"/>
      <w:marRight w:val="0"/>
      <w:marTop w:val="0"/>
      <w:marBottom w:val="0"/>
      <w:divBdr>
        <w:top w:val="none" w:sz="0" w:space="0" w:color="auto"/>
        <w:left w:val="none" w:sz="0" w:space="0" w:color="auto"/>
        <w:bottom w:val="none" w:sz="0" w:space="0" w:color="auto"/>
        <w:right w:val="none" w:sz="0" w:space="0" w:color="auto"/>
      </w:divBdr>
    </w:div>
    <w:div w:id="969282708">
      <w:bodyDiv w:val="1"/>
      <w:marLeft w:val="0"/>
      <w:marRight w:val="0"/>
      <w:marTop w:val="0"/>
      <w:marBottom w:val="0"/>
      <w:divBdr>
        <w:top w:val="none" w:sz="0" w:space="0" w:color="auto"/>
        <w:left w:val="none" w:sz="0" w:space="0" w:color="auto"/>
        <w:bottom w:val="none" w:sz="0" w:space="0" w:color="auto"/>
        <w:right w:val="none" w:sz="0" w:space="0" w:color="auto"/>
      </w:divBdr>
    </w:div>
    <w:div w:id="1160996764">
      <w:bodyDiv w:val="1"/>
      <w:marLeft w:val="0"/>
      <w:marRight w:val="0"/>
      <w:marTop w:val="0"/>
      <w:marBottom w:val="0"/>
      <w:divBdr>
        <w:top w:val="none" w:sz="0" w:space="0" w:color="auto"/>
        <w:left w:val="none" w:sz="0" w:space="0" w:color="auto"/>
        <w:bottom w:val="none" w:sz="0" w:space="0" w:color="auto"/>
        <w:right w:val="none" w:sz="0" w:space="0" w:color="auto"/>
      </w:divBdr>
    </w:div>
    <w:div w:id="1182473913">
      <w:bodyDiv w:val="1"/>
      <w:marLeft w:val="0"/>
      <w:marRight w:val="0"/>
      <w:marTop w:val="0"/>
      <w:marBottom w:val="0"/>
      <w:divBdr>
        <w:top w:val="none" w:sz="0" w:space="0" w:color="auto"/>
        <w:left w:val="none" w:sz="0" w:space="0" w:color="auto"/>
        <w:bottom w:val="none" w:sz="0" w:space="0" w:color="auto"/>
        <w:right w:val="none" w:sz="0" w:space="0" w:color="auto"/>
      </w:divBdr>
    </w:div>
    <w:div w:id="1237783571">
      <w:bodyDiv w:val="1"/>
      <w:marLeft w:val="0"/>
      <w:marRight w:val="0"/>
      <w:marTop w:val="0"/>
      <w:marBottom w:val="0"/>
      <w:divBdr>
        <w:top w:val="none" w:sz="0" w:space="0" w:color="auto"/>
        <w:left w:val="none" w:sz="0" w:space="0" w:color="auto"/>
        <w:bottom w:val="none" w:sz="0" w:space="0" w:color="auto"/>
        <w:right w:val="none" w:sz="0" w:space="0" w:color="auto"/>
      </w:divBdr>
    </w:div>
    <w:div w:id="1461338631">
      <w:bodyDiv w:val="1"/>
      <w:marLeft w:val="0"/>
      <w:marRight w:val="0"/>
      <w:marTop w:val="0"/>
      <w:marBottom w:val="0"/>
      <w:divBdr>
        <w:top w:val="none" w:sz="0" w:space="0" w:color="auto"/>
        <w:left w:val="none" w:sz="0" w:space="0" w:color="auto"/>
        <w:bottom w:val="none" w:sz="0" w:space="0" w:color="auto"/>
        <w:right w:val="none" w:sz="0" w:space="0" w:color="auto"/>
      </w:divBdr>
      <w:divsChild>
        <w:div w:id="1125123158">
          <w:marLeft w:val="0"/>
          <w:marRight w:val="0"/>
          <w:marTop w:val="0"/>
          <w:marBottom w:val="0"/>
          <w:divBdr>
            <w:top w:val="none" w:sz="0" w:space="0" w:color="auto"/>
            <w:left w:val="none" w:sz="0" w:space="0" w:color="auto"/>
            <w:bottom w:val="none" w:sz="0" w:space="0" w:color="auto"/>
            <w:right w:val="none" w:sz="0" w:space="0" w:color="auto"/>
          </w:divBdr>
          <w:divsChild>
            <w:div w:id="939067494">
              <w:marLeft w:val="0"/>
              <w:marRight w:val="0"/>
              <w:marTop w:val="0"/>
              <w:marBottom w:val="0"/>
              <w:divBdr>
                <w:top w:val="none" w:sz="0" w:space="0" w:color="auto"/>
                <w:left w:val="none" w:sz="0" w:space="0" w:color="auto"/>
                <w:bottom w:val="none" w:sz="0" w:space="0" w:color="auto"/>
                <w:right w:val="none" w:sz="0" w:space="0" w:color="auto"/>
              </w:divBdr>
              <w:divsChild>
                <w:div w:id="150288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786787">
      <w:bodyDiv w:val="1"/>
      <w:marLeft w:val="0"/>
      <w:marRight w:val="0"/>
      <w:marTop w:val="0"/>
      <w:marBottom w:val="0"/>
      <w:divBdr>
        <w:top w:val="none" w:sz="0" w:space="0" w:color="auto"/>
        <w:left w:val="none" w:sz="0" w:space="0" w:color="auto"/>
        <w:bottom w:val="none" w:sz="0" w:space="0" w:color="auto"/>
        <w:right w:val="none" w:sz="0" w:space="0" w:color="auto"/>
      </w:divBdr>
      <w:divsChild>
        <w:div w:id="160237647">
          <w:marLeft w:val="0"/>
          <w:marRight w:val="0"/>
          <w:marTop w:val="0"/>
          <w:marBottom w:val="0"/>
          <w:divBdr>
            <w:top w:val="none" w:sz="0" w:space="0" w:color="auto"/>
            <w:left w:val="none" w:sz="0" w:space="0" w:color="auto"/>
            <w:bottom w:val="none" w:sz="0" w:space="0" w:color="auto"/>
            <w:right w:val="none" w:sz="0" w:space="0" w:color="auto"/>
          </w:divBdr>
          <w:divsChild>
            <w:div w:id="88070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601920">
      <w:bodyDiv w:val="1"/>
      <w:marLeft w:val="0"/>
      <w:marRight w:val="0"/>
      <w:marTop w:val="0"/>
      <w:marBottom w:val="0"/>
      <w:divBdr>
        <w:top w:val="none" w:sz="0" w:space="0" w:color="auto"/>
        <w:left w:val="none" w:sz="0" w:space="0" w:color="auto"/>
        <w:bottom w:val="none" w:sz="0" w:space="0" w:color="auto"/>
        <w:right w:val="none" w:sz="0" w:space="0" w:color="auto"/>
      </w:divBdr>
    </w:div>
    <w:div w:id="1534884100">
      <w:bodyDiv w:val="1"/>
      <w:marLeft w:val="0"/>
      <w:marRight w:val="0"/>
      <w:marTop w:val="0"/>
      <w:marBottom w:val="0"/>
      <w:divBdr>
        <w:top w:val="none" w:sz="0" w:space="0" w:color="auto"/>
        <w:left w:val="none" w:sz="0" w:space="0" w:color="auto"/>
        <w:bottom w:val="none" w:sz="0" w:space="0" w:color="auto"/>
        <w:right w:val="none" w:sz="0" w:space="0" w:color="auto"/>
      </w:divBdr>
      <w:divsChild>
        <w:div w:id="1827163340">
          <w:marLeft w:val="0"/>
          <w:marRight w:val="0"/>
          <w:marTop w:val="0"/>
          <w:marBottom w:val="0"/>
          <w:divBdr>
            <w:top w:val="none" w:sz="0" w:space="0" w:color="auto"/>
            <w:left w:val="none" w:sz="0" w:space="0" w:color="auto"/>
            <w:bottom w:val="none" w:sz="0" w:space="0" w:color="auto"/>
            <w:right w:val="none" w:sz="0" w:space="0" w:color="auto"/>
          </w:divBdr>
          <w:divsChild>
            <w:div w:id="254940271">
              <w:marLeft w:val="0"/>
              <w:marRight w:val="0"/>
              <w:marTop w:val="0"/>
              <w:marBottom w:val="0"/>
              <w:divBdr>
                <w:top w:val="none" w:sz="0" w:space="0" w:color="auto"/>
                <w:left w:val="none" w:sz="0" w:space="0" w:color="auto"/>
                <w:bottom w:val="none" w:sz="0" w:space="0" w:color="auto"/>
                <w:right w:val="none" w:sz="0" w:space="0" w:color="auto"/>
              </w:divBdr>
              <w:divsChild>
                <w:div w:id="689573215">
                  <w:marLeft w:val="0"/>
                  <w:marRight w:val="0"/>
                  <w:marTop w:val="0"/>
                  <w:marBottom w:val="0"/>
                  <w:divBdr>
                    <w:top w:val="none" w:sz="0" w:space="0" w:color="auto"/>
                    <w:left w:val="none" w:sz="0" w:space="0" w:color="auto"/>
                    <w:bottom w:val="none" w:sz="0" w:space="0" w:color="auto"/>
                    <w:right w:val="none" w:sz="0" w:space="0" w:color="auto"/>
                  </w:divBdr>
                  <w:divsChild>
                    <w:div w:id="56572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081708">
      <w:bodyDiv w:val="1"/>
      <w:marLeft w:val="0"/>
      <w:marRight w:val="0"/>
      <w:marTop w:val="0"/>
      <w:marBottom w:val="0"/>
      <w:divBdr>
        <w:top w:val="none" w:sz="0" w:space="0" w:color="auto"/>
        <w:left w:val="none" w:sz="0" w:space="0" w:color="auto"/>
        <w:bottom w:val="none" w:sz="0" w:space="0" w:color="auto"/>
        <w:right w:val="none" w:sz="0" w:space="0" w:color="auto"/>
      </w:divBdr>
      <w:divsChild>
        <w:div w:id="253633244">
          <w:marLeft w:val="0"/>
          <w:marRight w:val="0"/>
          <w:marTop w:val="0"/>
          <w:marBottom w:val="0"/>
          <w:divBdr>
            <w:top w:val="none" w:sz="0" w:space="0" w:color="auto"/>
            <w:left w:val="none" w:sz="0" w:space="0" w:color="auto"/>
            <w:bottom w:val="none" w:sz="0" w:space="0" w:color="auto"/>
            <w:right w:val="none" w:sz="0" w:space="0" w:color="auto"/>
          </w:divBdr>
          <w:divsChild>
            <w:div w:id="54739372">
              <w:marLeft w:val="0"/>
              <w:marRight w:val="0"/>
              <w:marTop w:val="0"/>
              <w:marBottom w:val="0"/>
              <w:divBdr>
                <w:top w:val="none" w:sz="0" w:space="0" w:color="auto"/>
                <w:left w:val="none" w:sz="0" w:space="0" w:color="auto"/>
                <w:bottom w:val="none" w:sz="0" w:space="0" w:color="auto"/>
                <w:right w:val="none" w:sz="0" w:space="0" w:color="auto"/>
              </w:divBdr>
              <w:divsChild>
                <w:div w:id="141335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688236">
      <w:bodyDiv w:val="1"/>
      <w:marLeft w:val="0"/>
      <w:marRight w:val="0"/>
      <w:marTop w:val="0"/>
      <w:marBottom w:val="0"/>
      <w:divBdr>
        <w:top w:val="none" w:sz="0" w:space="0" w:color="auto"/>
        <w:left w:val="none" w:sz="0" w:space="0" w:color="auto"/>
        <w:bottom w:val="none" w:sz="0" w:space="0" w:color="auto"/>
        <w:right w:val="none" w:sz="0" w:space="0" w:color="auto"/>
      </w:divBdr>
    </w:div>
    <w:div w:id="1821266947">
      <w:bodyDiv w:val="1"/>
      <w:marLeft w:val="0"/>
      <w:marRight w:val="0"/>
      <w:marTop w:val="0"/>
      <w:marBottom w:val="0"/>
      <w:divBdr>
        <w:top w:val="none" w:sz="0" w:space="0" w:color="auto"/>
        <w:left w:val="none" w:sz="0" w:space="0" w:color="auto"/>
        <w:bottom w:val="none" w:sz="0" w:space="0" w:color="auto"/>
        <w:right w:val="none" w:sz="0" w:space="0" w:color="auto"/>
      </w:divBdr>
      <w:divsChild>
        <w:div w:id="1732345274">
          <w:marLeft w:val="0"/>
          <w:marRight w:val="0"/>
          <w:marTop w:val="0"/>
          <w:marBottom w:val="0"/>
          <w:divBdr>
            <w:top w:val="none" w:sz="0" w:space="0" w:color="auto"/>
            <w:left w:val="none" w:sz="0" w:space="0" w:color="auto"/>
            <w:bottom w:val="none" w:sz="0" w:space="0" w:color="auto"/>
            <w:right w:val="none" w:sz="0" w:space="0" w:color="auto"/>
          </w:divBdr>
          <w:divsChild>
            <w:div w:id="1806702977">
              <w:marLeft w:val="0"/>
              <w:marRight w:val="0"/>
              <w:marTop w:val="0"/>
              <w:marBottom w:val="0"/>
              <w:divBdr>
                <w:top w:val="none" w:sz="0" w:space="0" w:color="auto"/>
                <w:left w:val="none" w:sz="0" w:space="0" w:color="auto"/>
                <w:bottom w:val="none" w:sz="0" w:space="0" w:color="auto"/>
                <w:right w:val="none" w:sz="0" w:space="0" w:color="auto"/>
              </w:divBdr>
              <w:divsChild>
                <w:div w:id="1438525022">
                  <w:marLeft w:val="0"/>
                  <w:marRight w:val="0"/>
                  <w:marTop w:val="0"/>
                  <w:marBottom w:val="0"/>
                  <w:divBdr>
                    <w:top w:val="none" w:sz="0" w:space="0" w:color="auto"/>
                    <w:left w:val="none" w:sz="0" w:space="0" w:color="auto"/>
                    <w:bottom w:val="none" w:sz="0" w:space="0" w:color="auto"/>
                    <w:right w:val="none" w:sz="0" w:space="0" w:color="auto"/>
                  </w:divBdr>
                  <w:divsChild>
                    <w:div w:id="16614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903780">
      <w:bodyDiv w:val="1"/>
      <w:marLeft w:val="0"/>
      <w:marRight w:val="0"/>
      <w:marTop w:val="0"/>
      <w:marBottom w:val="0"/>
      <w:divBdr>
        <w:top w:val="none" w:sz="0" w:space="0" w:color="auto"/>
        <w:left w:val="none" w:sz="0" w:space="0" w:color="auto"/>
        <w:bottom w:val="none" w:sz="0" w:space="0" w:color="auto"/>
        <w:right w:val="none" w:sz="0" w:space="0" w:color="auto"/>
      </w:divBdr>
    </w:div>
    <w:div w:id="1914705715">
      <w:bodyDiv w:val="1"/>
      <w:marLeft w:val="0"/>
      <w:marRight w:val="0"/>
      <w:marTop w:val="0"/>
      <w:marBottom w:val="0"/>
      <w:divBdr>
        <w:top w:val="none" w:sz="0" w:space="0" w:color="auto"/>
        <w:left w:val="none" w:sz="0" w:space="0" w:color="auto"/>
        <w:bottom w:val="none" w:sz="0" w:space="0" w:color="auto"/>
        <w:right w:val="none" w:sz="0" w:space="0" w:color="auto"/>
      </w:divBdr>
    </w:div>
    <w:div w:id="1923948455">
      <w:bodyDiv w:val="1"/>
      <w:marLeft w:val="0"/>
      <w:marRight w:val="0"/>
      <w:marTop w:val="0"/>
      <w:marBottom w:val="0"/>
      <w:divBdr>
        <w:top w:val="none" w:sz="0" w:space="0" w:color="auto"/>
        <w:left w:val="none" w:sz="0" w:space="0" w:color="auto"/>
        <w:bottom w:val="none" w:sz="0" w:space="0" w:color="auto"/>
        <w:right w:val="none" w:sz="0" w:space="0" w:color="auto"/>
      </w:divBdr>
    </w:div>
    <w:div w:id="2028481113">
      <w:bodyDiv w:val="1"/>
      <w:marLeft w:val="0"/>
      <w:marRight w:val="0"/>
      <w:marTop w:val="0"/>
      <w:marBottom w:val="0"/>
      <w:divBdr>
        <w:top w:val="none" w:sz="0" w:space="0" w:color="auto"/>
        <w:left w:val="none" w:sz="0" w:space="0" w:color="auto"/>
        <w:bottom w:val="none" w:sz="0" w:space="0" w:color="auto"/>
        <w:right w:val="none" w:sz="0" w:space="0" w:color="auto"/>
      </w:divBdr>
    </w:div>
    <w:div w:id="2055159309">
      <w:bodyDiv w:val="1"/>
      <w:marLeft w:val="0"/>
      <w:marRight w:val="0"/>
      <w:marTop w:val="0"/>
      <w:marBottom w:val="0"/>
      <w:divBdr>
        <w:top w:val="none" w:sz="0" w:space="0" w:color="auto"/>
        <w:left w:val="none" w:sz="0" w:space="0" w:color="auto"/>
        <w:bottom w:val="none" w:sz="0" w:space="0" w:color="auto"/>
        <w:right w:val="none" w:sz="0" w:space="0" w:color="auto"/>
      </w:divBdr>
      <w:divsChild>
        <w:div w:id="1161969892">
          <w:marLeft w:val="0"/>
          <w:marRight w:val="0"/>
          <w:marTop w:val="0"/>
          <w:marBottom w:val="0"/>
          <w:divBdr>
            <w:top w:val="none" w:sz="0" w:space="0" w:color="auto"/>
            <w:left w:val="none" w:sz="0" w:space="0" w:color="auto"/>
            <w:bottom w:val="none" w:sz="0" w:space="0" w:color="auto"/>
            <w:right w:val="none" w:sz="0" w:space="0" w:color="auto"/>
          </w:divBdr>
          <w:divsChild>
            <w:div w:id="1386562446">
              <w:marLeft w:val="0"/>
              <w:marRight w:val="0"/>
              <w:marTop w:val="0"/>
              <w:marBottom w:val="0"/>
              <w:divBdr>
                <w:top w:val="none" w:sz="0" w:space="0" w:color="auto"/>
                <w:left w:val="none" w:sz="0" w:space="0" w:color="auto"/>
                <w:bottom w:val="none" w:sz="0" w:space="0" w:color="auto"/>
                <w:right w:val="none" w:sz="0" w:space="0" w:color="auto"/>
              </w:divBdr>
              <w:divsChild>
                <w:div w:id="129401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011013">
      <w:bodyDiv w:val="1"/>
      <w:marLeft w:val="0"/>
      <w:marRight w:val="0"/>
      <w:marTop w:val="0"/>
      <w:marBottom w:val="0"/>
      <w:divBdr>
        <w:top w:val="none" w:sz="0" w:space="0" w:color="auto"/>
        <w:left w:val="none" w:sz="0" w:space="0" w:color="auto"/>
        <w:bottom w:val="none" w:sz="0" w:space="0" w:color="auto"/>
        <w:right w:val="none" w:sz="0" w:space="0" w:color="auto"/>
      </w:divBdr>
    </w:div>
    <w:div w:id="208282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alyc.org/html/3150/31502534000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sa.be/documents/2820%2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fra.europa.eu/fr/publication/2014/la-violence-lgard-des-femmes-une-enqute-lchelle-de-lue-les-rsultats-en-bref" TargetMode="External"/><Relationship Id="rId5" Type="http://schemas.openxmlformats.org/officeDocument/2006/relationships/footnotes" Target="footnotes.xml"/><Relationship Id="rId10" Type="http://schemas.openxmlformats.org/officeDocument/2006/relationships/hyperlink" Target="https://www.iweps.be/les-violences-contre-les-femmes-en-wallonie-des-chiffres-qui-font-mal" TargetMode="External"/><Relationship Id="rId4" Type="http://schemas.openxmlformats.org/officeDocument/2006/relationships/webSettings" Target="webSettings.xml"/><Relationship Id="rId9" Type="http://schemas.openxmlformats.org/officeDocument/2006/relationships/hyperlink" Target="http://www.who.int/violence_injury_prevention/violence/world_report/fr/full_fr.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lesmotstuent.tumblr.com/" TargetMode="External"/><Relationship Id="rId2" Type="http://schemas.openxmlformats.org/officeDocument/2006/relationships/hyperlink" Target="http://www.ajp.be/journalistesfemmes" TargetMode="External"/><Relationship Id="rId1" Type="http://schemas.openxmlformats.org/officeDocument/2006/relationships/hyperlink" Target="http://www.ajp.be/diversit&#233;" TargetMode="External"/><Relationship Id="rId5" Type="http://schemas.openxmlformats.org/officeDocument/2006/relationships/hyperlink" Target="http://www.ajp.be/violencesfemmes-recommandations/" TargetMode="External"/><Relationship Id="rId4" Type="http://schemas.openxmlformats.org/officeDocument/2006/relationships/hyperlink" Target="https://www.liberation.fr/apps/2018/02/meurtres-conjugaux-derriere-les-chiffres/"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11130</Words>
  <Characters>61215</Characters>
  <Application>Microsoft Office Word</Application>
  <DocSecurity>0</DocSecurity>
  <Lines>510</Lines>
  <Paragraphs>144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Sepulchre</dc:creator>
  <cp:keywords/>
  <dc:description/>
  <cp:lastModifiedBy>Sarah Sepulchre</cp:lastModifiedBy>
  <cp:revision>2</cp:revision>
  <dcterms:created xsi:type="dcterms:W3CDTF">2019-01-14T09:59:00Z</dcterms:created>
  <dcterms:modified xsi:type="dcterms:W3CDTF">2019-01-14T09:59:00Z</dcterms:modified>
</cp:coreProperties>
</file>