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514A" w14:textId="26640A77" w:rsidR="00BC08C9" w:rsidRDefault="00470EC1">
      <w:pPr>
        <w:pStyle w:val="Titre"/>
      </w:pPr>
      <w:r>
        <w:t xml:space="preserve">Politique de </w:t>
      </w:r>
      <w:r w:rsidR="00E24BDF">
        <w:t>féminisation et de non-discrimination des genres</w:t>
      </w:r>
      <w:r>
        <w:t xml:space="preserve"> en Belgique francophone : </w:t>
      </w:r>
      <w:r w:rsidR="00E24BDF">
        <w:br/>
      </w:r>
      <w:r>
        <w:t>re</w:t>
      </w:r>
      <w:r w:rsidR="00E24BDF">
        <w:t>tour</w:t>
      </w:r>
      <w:r>
        <w:t xml:space="preserve"> </w:t>
      </w:r>
      <w:r w:rsidR="00E24BDF">
        <w:t xml:space="preserve">sur </w:t>
      </w:r>
      <w:r w:rsidR="00F60009">
        <w:t>deux</w:t>
      </w:r>
      <w:r>
        <w:t xml:space="preserve"> décrets</w:t>
      </w:r>
      <w:r w:rsidR="00E24BDF">
        <w:t xml:space="preserve"> (1993 et 2021)</w:t>
      </w:r>
    </w:p>
    <w:p w14:paraId="59C9B0EF" w14:textId="579930FE" w:rsidR="00AC00A3" w:rsidRPr="004A1EDE" w:rsidRDefault="43991A67" w:rsidP="71E733AF">
      <w:pPr>
        <w:pStyle w:val="Auteurs"/>
      </w:pPr>
      <w:r>
        <w:t>Simon, Anne Catherine</w:t>
      </w:r>
    </w:p>
    <w:p w14:paraId="6EBC3D17" w14:textId="59BA7340" w:rsidR="43991A67" w:rsidRDefault="43991A67" w:rsidP="71E733AF">
      <w:pPr>
        <w:pStyle w:val="Affiliation"/>
      </w:pPr>
      <w:r>
        <w:t>UCLouvain</w:t>
      </w:r>
      <w:r w:rsidR="0036149D">
        <w:t>, Institut Langage &amp; Communication</w:t>
      </w:r>
    </w:p>
    <w:p w14:paraId="08A31445" w14:textId="3DFAD2BB" w:rsidR="43991A67" w:rsidRPr="000F4883" w:rsidRDefault="00441FD0" w:rsidP="71E733AF">
      <w:pPr>
        <w:pStyle w:val="Affiliation"/>
        <w:rPr>
          <w:lang w:val="es-ES"/>
        </w:rPr>
      </w:pPr>
      <w:hyperlink r:id="rId11">
        <w:r w:rsidR="43991A67" w:rsidRPr="000F4883">
          <w:rPr>
            <w:rStyle w:val="Lienhypertexte"/>
            <w:lang w:val="es-ES"/>
          </w:rPr>
          <w:t>anne-catherine.simon@uclouvain.be</w:t>
        </w:r>
      </w:hyperlink>
    </w:p>
    <w:p w14:paraId="44DD072E" w14:textId="488F2E54" w:rsidR="43991A67" w:rsidRPr="000F4883" w:rsidRDefault="43991A67" w:rsidP="71E733AF">
      <w:pPr>
        <w:pStyle w:val="Auteurs"/>
        <w:rPr>
          <w:lang w:val="es-ES"/>
        </w:rPr>
      </w:pPr>
      <w:r w:rsidRPr="000F4883">
        <w:rPr>
          <w:lang w:val="es-ES"/>
        </w:rPr>
        <w:t>Van Raemdonck, Dan</w:t>
      </w:r>
    </w:p>
    <w:p w14:paraId="75EE5D4D" w14:textId="05175B5A" w:rsidR="43991A67" w:rsidRPr="00687DFF" w:rsidRDefault="43991A67" w:rsidP="71E733AF">
      <w:pPr>
        <w:pStyle w:val="Affiliation"/>
        <w:rPr>
          <w:lang w:val="nl-BE"/>
        </w:rPr>
      </w:pPr>
      <w:r w:rsidRPr="00687DFF">
        <w:rPr>
          <w:lang w:val="nl-BE"/>
        </w:rPr>
        <w:t>Université libre de Bruxelles</w:t>
      </w:r>
      <w:r w:rsidR="00BC3851" w:rsidRPr="00687DFF">
        <w:rPr>
          <w:lang w:val="nl-BE"/>
        </w:rPr>
        <w:t xml:space="preserve"> &amp; Vrij</w:t>
      </w:r>
      <w:r w:rsidR="0062736D" w:rsidRPr="00687DFF">
        <w:rPr>
          <w:lang w:val="nl-BE"/>
        </w:rPr>
        <w:t>e</w:t>
      </w:r>
      <w:r w:rsidR="00BC3851" w:rsidRPr="00687DFF">
        <w:rPr>
          <w:lang w:val="nl-BE"/>
        </w:rPr>
        <w:t xml:space="preserve"> Universiteit Brussel</w:t>
      </w:r>
    </w:p>
    <w:p w14:paraId="79C1FA67" w14:textId="5169721C" w:rsidR="43991A67" w:rsidRPr="00687DFF" w:rsidRDefault="00687DFF" w:rsidP="71E733AF">
      <w:pPr>
        <w:pStyle w:val="Affiliation"/>
        <w:rPr>
          <w:lang w:val="nl-BE"/>
        </w:rPr>
      </w:pPr>
      <w:hyperlink r:id="rId12" w:history="1">
        <w:r w:rsidRPr="00687DFF">
          <w:rPr>
            <w:rStyle w:val="Lienhypertexte"/>
            <w:lang w:val="nl-BE"/>
          </w:rPr>
          <w:t>dan.van.raemdonck@ulb.be</w:t>
        </w:r>
      </w:hyperlink>
      <w:r w:rsidRPr="00687DFF">
        <w:rPr>
          <w:lang w:val="nl-BE"/>
        </w:rPr>
        <w:t xml:space="preserve">  </w:t>
      </w:r>
    </w:p>
    <w:p w14:paraId="7909277D" w14:textId="5B5A97B4" w:rsidR="71E733AF" w:rsidRPr="00687DFF" w:rsidRDefault="71E733AF" w:rsidP="71E733AF">
      <w:pPr>
        <w:pStyle w:val="Affiliation"/>
        <w:rPr>
          <w:highlight w:val="yellow"/>
          <w:lang w:val="nl-BE"/>
        </w:rPr>
      </w:pPr>
    </w:p>
    <w:p w14:paraId="1F301EEE" w14:textId="56BC1AF7" w:rsidR="009E62B7" w:rsidRDefault="00470EC1" w:rsidP="009E62B7">
      <w:pPr>
        <w:pStyle w:val="Titre1"/>
      </w:pPr>
      <w:r>
        <w:t>Introduction</w:t>
      </w:r>
      <w:r w:rsidR="007E1A7A">
        <w:rPr>
          <w:rStyle w:val="Appeldenotedefin"/>
        </w:rPr>
        <w:endnoteReference w:id="1"/>
      </w:r>
    </w:p>
    <w:p w14:paraId="4D324E2F" w14:textId="46478377" w:rsidR="00063478" w:rsidRDefault="00A8E40C" w:rsidP="072A0277">
      <w:r>
        <w:t xml:space="preserve">En Belgique, </w:t>
      </w:r>
      <w:r w:rsidR="603471DE">
        <w:t xml:space="preserve">les questions </w:t>
      </w:r>
      <w:r w:rsidR="000F4883">
        <w:t>de langue</w:t>
      </w:r>
      <w:r w:rsidR="603471DE">
        <w:t xml:space="preserve"> relèvent des matières communautaires et sont traitées au sein des trois communautés linguistiques : </w:t>
      </w:r>
      <w:r w:rsidR="007064EF">
        <w:t xml:space="preserve">la Communauté </w:t>
      </w:r>
      <w:r w:rsidR="603471DE">
        <w:t xml:space="preserve">flamande, </w:t>
      </w:r>
      <w:r w:rsidR="007064EF">
        <w:t xml:space="preserve">la Communauté </w:t>
      </w:r>
      <w:r w:rsidR="603471DE">
        <w:t>germanophone et</w:t>
      </w:r>
      <w:r w:rsidR="007064EF">
        <w:t xml:space="preserve"> la</w:t>
      </w:r>
      <w:r w:rsidR="603471DE">
        <w:t xml:space="preserve"> </w:t>
      </w:r>
      <w:r w:rsidR="007064EF">
        <w:t xml:space="preserve">Fédération </w:t>
      </w:r>
      <w:r w:rsidR="603471DE">
        <w:t xml:space="preserve">Wallonie-Bruxelles (anciennement dénommée Communauté française de Belgique). Pour le français, c’est le ministère de la culture qui se charge d’élaborer une politique et, le cas échéant, de la faire appliquer. </w:t>
      </w:r>
      <w:r w:rsidR="2C437B2D">
        <w:t xml:space="preserve">Lorsque des questions d’équité sont en jeu, le ministère en charge des Droits des femmes est également impliqué. </w:t>
      </w:r>
    </w:p>
    <w:p w14:paraId="74A1C3C6" w14:textId="408B3690" w:rsidR="00063478" w:rsidRDefault="00063478" w:rsidP="00865BF3">
      <w:r>
        <w:t xml:space="preserve">En matière de féminisation, la Belgique francophone a suivi le mouvement des initiatives prises au Québec par l’Office québécois de la langue française (premier avis publié en 1979), en France </w:t>
      </w:r>
      <w:r w:rsidR="007064EF">
        <w:t>par</w:t>
      </w:r>
      <w:r>
        <w:t xml:space="preserve"> la ministre des Droits des femmes Yvette Roudy (circulaire du 11 mars 1986</w:t>
      </w:r>
      <w:r w:rsidR="000F4883">
        <w:rPr>
          <w:rStyle w:val="Appeldenotedefin"/>
        </w:rPr>
        <w:endnoteReference w:id="2"/>
      </w:r>
      <w:r>
        <w:t xml:space="preserve">) ou en Suisse romande, où le Conseil de Genève s’est prononcé sur cette matière en 1992. </w:t>
      </w:r>
    </w:p>
    <w:p w14:paraId="135DA7BC" w14:textId="516EC152" w:rsidR="00865BF3" w:rsidRDefault="00063478" w:rsidP="00F066A3">
      <w:r>
        <w:t>C’est en 1993 que la Communauté française</w:t>
      </w:r>
      <w:r w:rsidR="125A9803">
        <w:t xml:space="preserve"> de Belgique</w:t>
      </w:r>
      <w:r>
        <w:t xml:space="preserve">, comme on la nommait alors, s’est engagée </w:t>
      </w:r>
      <w:r w:rsidR="00F066A3">
        <w:t xml:space="preserve">par voie d’initiative parlementaire à recommander la féminisation des noms de métier, </w:t>
      </w:r>
      <w:r w:rsidR="6F5B55A5">
        <w:t xml:space="preserve">de </w:t>
      </w:r>
      <w:r w:rsidR="00F066A3">
        <w:t xml:space="preserve">fonction, </w:t>
      </w:r>
      <w:r w:rsidR="55B750D2">
        <w:t xml:space="preserve">de </w:t>
      </w:r>
      <w:r w:rsidR="00F066A3">
        <w:t xml:space="preserve">grade ou </w:t>
      </w:r>
      <w:r w:rsidR="3C613DDB">
        <w:t xml:space="preserve">de </w:t>
      </w:r>
      <w:r w:rsidR="00F066A3">
        <w:t>titre (section 2). Près de 30 ans plus tard, en 2021, à l’initiative cette fois du Conseil de la langue française et de la politique linguistique</w:t>
      </w:r>
      <w:r w:rsidR="00F066A3">
        <w:rPr>
          <w:rStyle w:val="Appeldenotedefin"/>
        </w:rPr>
        <w:endnoteReference w:id="3"/>
      </w:r>
      <w:r w:rsidR="00F066A3">
        <w:t xml:space="preserve">, le gouvernement de la Fédération Wallonie-Bruxelles a publié un nouveau décret, relatif au renforcement de la féminisation et aux bonnes pratiques non discriminatoires quant au genre, </w:t>
      </w:r>
      <w:r w:rsidR="007064EF">
        <w:t xml:space="preserve">décret </w:t>
      </w:r>
      <w:r w:rsidR="00F066A3">
        <w:t>qui abroge le précédent</w:t>
      </w:r>
      <w:r w:rsidR="0036149D">
        <w:t>.</w:t>
      </w:r>
    </w:p>
    <w:p w14:paraId="60A0ED49" w14:textId="0F9B0AAC" w:rsidR="00F066A3" w:rsidRPr="006A0DBD" w:rsidRDefault="00F066A3" w:rsidP="00F066A3">
      <w:r>
        <w:t>Dans cette contribution, nous rendons compte des évolutions entre le décret de 1993 et celui de 2021</w:t>
      </w:r>
      <w:r w:rsidR="0036149D">
        <w:t xml:space="preserve"> (section 3)</w:t>
      </w:r>
      <w:r>
        <w:t xml:space="preserve">. </w:t>
      </w:r>
      <w:r w:rsidR="0036149D">
        <w:t>L</w:t>
      </w:r>
      <w:r w:rsidR="00F27A19">
        <w:t>’arrêté d’exécution du décret</w:t>
      </w:r>
      <w:r w:rsidR="000F4883">
        <w:t xml:space="preserve"> de 2021</w:t>
      </w:r>
      <w:r w:rsidR="0036149D">
        <w:t xml:space="preserve"> et le guide destiné à en diffuser le contenu vers le grand public comportent </w:t>
      </w:r>
      <w:r w:rsidR="00F27A19">
        <w:t>une liste des formes féminines recommandées ainsi que des recommandations générales touchant</w:t>
      </w:r>
      <w:r w:rsidR="3308256A">
        <w:t xml:space="preserve"> au discours grammatical et</w:t>
      </w:r>
      <w:r w:rsidR="00F27A19">
        <w:t xml:space="preserve"> à ce que l’on peut appeler </w:t>
      </w:r>
      <w:r w:rsidR="007064EF">
        <w:t>la</w:t>
      </w:r>
      <w:r w:rsidR="00F27A19">
        <w:t xml:space="preserve"> communication inclusive</w:t>
      </w:r>
      <w:r w:rsidR="0036149D">
        <w:t xml:space="preserve">. Dans la section 4, nous discutons </w:t>
      </w:r>
      <w:r w:rsidR="009C4E56">
        <w:t>l’évolution des formes féminines recommandées et deux</w:t>
      </w:r>
      <w:r w:rsidR="00F27A19">
        <w:t xml:space="preserve"> techniques</w:t>
      </w:r>
      <w:r w:rsidR="009C4E56" w:rsidRPr="009C4E56">
        <w:t xml:space="preserve"> </w:t>
      </w:r>
      <w:r w:rsidR="009C4E56">
        <w:t>qui font encore débat :</w:t>
      </w:r>
      <w:r w:rsidR="00F27A19">
        <w:t xml:space="preserve"> les doublets abrégés </w:t>
      </w:r>
      <w:r w:rsidR="009C4E56">
        <w:t>et</w:t>
      </w:r>
      <w:r w:rsidR="00F27A19">
        <w:t xml:space="preserve"> l’utilisation du masculin </w:t>
      </w:r>
      <w:r w:rsidR="008A48B1">
        <w:t>dans son acception dite</w:t>
      </w:r>
      <w:r w:rsidR="00F27A19">
        <w:t xml:space="preserve"> générique. </w:t>
      </w:r>
      <w:r w:rsidR="0036149D">
        <w:t xml:space="preserve">Dans la section 5, nous discutons </w:t>
      </w:r>
      <w:r w:rsidR="009C4E56">
        <w:t>un concept (le genre non marqué), une règle (l’accord de proximité) et une forme</w:t>
      </w:r>
      <w:r w:rsidR="0036149D">
        <w:t xml:space="preserve"> (</w:t>
      </w:r>
      <w:r w:rsidR="009C4E56">
        <w:t xml:space="preserve">le pronom </w:t>
      </w:r>
      <w:r w:rsidR="009C4E56">
        <w:rPr>
          <w:i/>
        </w:rPr>
        <w:t>iel</w:t>
      </w:r>
      <w:r w:rsidR="0036149D">
        <w:t>) qui n’ont pas été recommandés par le décret, mais</w:t>
      </w:r>
      <w:r w:rsidR="009C4E56">
        <w:t xml:space="preserve"> qui</w:t>
      </w:r>
      <w:r w:rsidR="0036149D">
        <w:t xml:space="preserve"> sont néanmoins présents dans les usages. En conclusion (section 6), nous envisageons les perspectives pour la communication inclusive, </w:t>
      </w:r>
      <w:r w:rsidR="007E1A7A">
        <w:t>au plan</w:t>
      </w:r>
      <w:r w:rsidR="009C4E56">
        <w:t xml:space="preserve"> des avancées utiles dans</w:t>
      </w:r>
      <w:r w:rsidR="0036149D">
        <w:t xml:space="preserve"> la recherche scientifique </w:t>
      </w:r>
      <w:r w:rsidR="007E1A7A">
        <w:t>et de</w:t>
      </w:r>
      <w:r w:rsidR="009C4E56">
        <w:t xml:space="preserve"> l’</w:t>
      </w:r>
      <w:r w:rsidR="007E1A7A">
        <w:t>évolution</w:t>
      </w:r>
      <w:r w:rsidR="009C4E56">
        <w:t xml:space="preserve"> des </w:t>
      </w:r>
      <w:r w:rsidR="007E1A7A">
        <w:t>usages et des normes</w:t>
      </w:r>
      <w:r w:rsidR="0036149D">
        <w:t xml:space="preserve">.  </w:t>
      </w:r>
    </w:p>
    <w:p w14:paraId="0AF898DD" w14:textId="3376F3DE" w:rsidR="009E62B7" w:rsidRPr="009D7DE1" w:rsidRDefault="00470EC1" w:rsidP="009E62B7">
      <w:pPr>
        <w:pStyle w:val="Titre1"/>
      </w:pPr>
      <w:r>
        <w:lastRenderedPageBreak/>
        <w:t xml:space="preserve">Décret </w:t>
      </w:r>
      <w:r w:rsidR="00980C0A">
        <w:t>‘</w:t>
      </w:r>
      <w:r>
        <w:t>féminisation</w:t>
      </w:r>
      <w:r w:rsidR="00980C0A">
        <w:t>’</w:t>
      </w:r>
      <w:r>
        <w:t xml:space="preserve"> en 1993 : effets et limites</w:t>
      </w:r>
    </w:p>
    <w:p w14:paraId="2E58B536" w14:textId="44F6AE5A" w:rsidR="009E62B7" w:rsidRDefault="00F066A3">
      <w:r>
        <w:t>Le décret du 21 juin 1993</w:t>
      </w:r>
      <w:r w:rsidRPr="71E733AF">
        <w:rPr>
          <w:rStyle w:val="Appeldenotedefin"/>
        </w:rPr>
        <w:endnoteReference w:id="4"/>
      </w:r>
      <w:r w:rsidR="614F928C">
        <w:t xml:space="preserve"> </w:t>
      </w:r>
      <w:r w:rsidR="02815216">
        <w:t xml:space="preserve">était centré sur l’emploi de formes féminines pour désigner des femmes occupant certaines fonctions ou métiers ou portant certains titres ou grades. </w:t>
      </w:r>
    </w:p>
    <w:p w14:paraId="559E952C" w14:textId="56691B4E" w:rsidR="009E62B7" w:rsidRDefault="187AE842">
      <w:r>
        <w:t>À l’époque, le Conseil supérieur de la Langue française</w:t>
      </w:r>
      <w:r w:rsidR="5E7E6954">
        <w:t>, instance d’avis de la Communauté française de Belgique,</w:t>
      </w:r>
      <w:r>
        <w:t xml:space="preserve"> a été chargé d’établir des règles de féminisation, ainsi que des listes de termes</w:t>
      </w:r>
      <w:r w:rsidR="5817D2F0">
        <w:t xml:space="preserve"> féminins en vue de l’arrêté d’exécution du décret du 13 décembre 1993</w:t>
      </w:r>
      <w:r>
        <w:t>.</w:t>
      </w:r>
      <w:r w:rsidR="3E8DD827">
        <w:t xml:space="preserve"> </w:t>
      </w:r>
      <w:r w:rsidR="1A868B4B">
        <w:t>Une</w:t>
      </w:r>
      <w:r w:rsidR="31CF6285">
        <w:t xml:space="preserve"> </w:t>
      </w:r>
      <w:r w:rsidR="3E8DD827">
        <w:t xml:space="preserve">brochure </w:t>
      </w:r>
      <w:r w:rsidR="3DD0DBED">
        <w:t xml:space="preserve">illustrative à visée pédagogique </w:t>
      </w:r>
      <w:r w:rsidR="3B096537">
        <w:t xml:space="preserve">a </w:t>
      </w:r>
      <w:r w:rsidR="3E8DD827">
        <w:t>été</w:t>
      </w:r>
      <w:r w:rsidR="3DCAC1CF">
        <w:t xml:space="preserve"> éditée par le Service de la Langue</w:t>
      </w:r>
      <w:r w:rsidR="3E8DD827">
        <w:t xml:space="preserve"> en 1994</w:t>
      </w:r>
      <w:r w:rsidR="769E9624">
        <w:t xml:space="preserve"> (</w:t>
      </w:r>
      <w:r w:rsidR="769E9624" w:rsidRPr="2C81A273">
        <w:rPr>
          <w:i/>
          <w:iCs/>
        </w:rPr>
        <w:t>Mettre au féminin, Guide d’aide à la féminisation des noms de métier, titre, grade, et fonction</w:t>
      </w:r>
      <w:r w:rsidR="769E9624">
        <w:t>)</w:t>
      </w:r>
      <w:r w:rsidR="3E8DD827">
        <w:t xml:space="preserve">, </w:t>
      </w:r>
      <w:r w:rsidR="4EF4ECD1">
        <w:t xml:space="preserve">sur la base des travaux </w:t>
      </w:r>
      <w:r w:rsidR="07B76DC1">
        <w:t xml:space="preserve">des membres </w:t>
      </w:r>
      <w:r w:rsidR="4EF4ECD1">
        <w:t xml:space="preserve">du Conseil, notamment Marie-Louise Moreau et Marc Wilmet, </w:t>
      </w:r>
      <w:r w:rsidR="3B3418B2">
        <w:t>réédité</w:t>
      </w:r>
      <w:r w:rsidR="62E38D31">
        <w:t>e</w:t>
      </w:r>
      <w:r w:rsidR="3B3418B2">
        <w:t xml:space="preserve"> </w:t>
      </w:r>
      <w:r w:rsidR="3F963EDB">
        <w:t xml:space="preserve">en </w:t>
      </w:r>
      <w:r w:rsidR="3E8DD827">
        <w:t>200</w:t>
      </w:r>
      <w:r w:rsidR="7886843F">
        <w:t>5</w:t>
      </w:r>
      <w:r w:rsidR="3E8DD827">
        <w:t xml:space="preserve"> et </w:t>
      </w:r>
      <w:r w:rsidR="0F351837">
        <w:t xml:space="preserve">en </w:t>
      </w:r>
      <w:r w:rsidR="3E8DD827">
        <w:t>2014</w:t>
      </w:r>
      <w:r w:rsidR="13998BBF">
        <w:t xml:space="preserve"> </w:t>
      </w:r>
      <w:r w:rsidR="3E8DD827">
        <w:t xml:space="preserve">pour actualiser les listes de mots féminins et proposer, </w:t>
      </w:r>
      <w:r w:rsidR="705AEC96">
        <w:t xml:space="preserve">déjà </w:t>
      </w:r>
      <w:r w:rsidR="3E8DD827">
        <w:t>en 2014</w:t>
      </w:r>
      <w:r w:rsidR="039953BD">
        <w:t xml:space="preserve">, des règles en ce qui concerne les groupes mixtes. </w:t>
      </w:r>
      <w:r w:rsidR="7C6FA700">
        <w:t>Pour la rédaction de</w:t>
      </w:r>
      <w:r w:rsidR="0EA12007">
        <w:t xml:space="preserve"> la</w:t>
      </w:r>
      <w:r w:rsidR="7C6FA700">
        <w:t xml:space="preserve"> brochure, Marie-Louise Moreau a été rejointe par Anne Dister. </w:t>
      </w:r>
      <w:r w:rsidR="039953BD">
        <w:t>À l’époque, le point médian n’était pas évoqué</w:t>
      </w:r>
      <w:r w:rsidR="5703C7B3">
        <w:t xml:space="preserve"> pour rendre compte des groupes mixtes</w:t>
      </w:r>
      <w:r w:rsidR="00853388">
        <w:t xml:space="preserve"> ou </w:t>
      </w:r>
      <w:r w:rsidR="00853388" w:rsidRPr="00853388">
        <w:t>de</w:t>
      </w:r>
      <w:r w:rsidR="00853388">
        <w:t>s</w:t>
      </w:r>
      <w:r w:rsidR="00853388" w:rsidRPr="00853388">
        <w:t xml:space="preserve"> personnes </w:t>
      </w:r>
      <w:r w:rsidR="00853388">
        <w:t>de</w:t>
      </w:r>
      <w:r w:rsidR="00853388" w:rsidRPr="00853388">
        <w:t xml:space="preserve"> genre indéterminé</w:t>
      </w:r>
      <w:r w:rsidR="039953BD">
        <w:t>. L’acception générique du masculin était proposée en parallèle avec d’autres</w:t>
      </w:r>
      <w:r w:rsidR="6709E059">
        <w:t xml:space="preserve"> techniques, notamment l’usage des doublets complets ou des noms épicènes ou collectifs.</w:t>
      </w:r>
      <w:r w:rsidR="006132A0">
        <w:t xml:space="preserve"> </w:t>
      </w:r>
      <w:r w:rsidR="385D4055">
        <w:t>Le décret a été largement suivi d’effets, comme le montre</w:t>
      </w:r>
      <w:r w:rsidR="006132A0">
        <w:t xml:space="preserve"> pour la Belgique l’étude</w:t>
      </w:r>
      <w:r w:rsidR="385D4055">
        <w:t xml:space="preserve"> sur corpus (Simon &amp; Vanhal 2021).</w:t>
      </w:r>
    </w:p>
    <w:p w14:paraId="4F29B8B8" w14:textId="31E5975E" w:rsidR="009E62B7" w:rsidRDefault="385D4055" w:rsidP="61049135">
      <w:r>
        <w:t>Cela étant, au tournant des années 20</w:t>
      </w:r>
      <w:r w:rsidR="493454B8">
        <w:t>1</w:t>
      </w:r>
      <w:r w:rsidR="0A942421">
        <w:t>0-</w:t>
      </w:r>
      <w:r w:rsidR="493454B8">
        <w:t>2020</w:t>
      </w:r>
      <w:r>
        <w:t xml:space="preserve">, une mise à jour </w:t>
      </w:r>
      <w:r w:rsidR="4C11F9B6">
        <w:t xml:space="preserve">du décret </w:t>
      </w:r>
      <w:r>
        <w:t>est apparue nécessaire</w:t>
      </w:r>
      <w:r w:rsidR="3A0CFDC1">
        <w:t xml:space="preserve"> </w:t>
      </w:r>
      <w:r w:rsidR="3A177D9A">
        <w:t xml:space="preserve">– </w:t>
      </w:r>
      <w:r w:rsidR="3A5A44E4">
        <w:t xml:space="preserve">le champ d’application n’était pas suffisamment clair et extensif </w:t>
      </w:r>
      <w:r w:rsidR="5E49C0B2">
        <w:t xml:space="preserve">: </w:t>
      </w:r>
      <w:r w:rsidR="3A5A44E4">
        <w:t>À qui et dans quelles circonstances le décret s’applique-t-il ?</w:t>
      </w:r>
      <w:r w:rsidR="49B886DA">
        <w:t xml:space="preserve"> Que faire </w:t>
      </w:r>
      <w:r w:rsidR="00F226DF">
        <w:t>en</w:t>
      </w:r>
      <w:r w:rsidR="49B886DA">
        <w:t xml:space="preserve"> cas de dénomination de groupes mixtes ? Comment accorder lorsque ce à quoi se rapporte un adjectif est un groupe mixte ?</w:t>
      </w:r>
      <w:r w:rsidR="69E696B9">
        <w:t xml:space="preserve"> </w:t>
      </w:r>
      <w:r w:rsidR="43795FD7">
        <w:t>Quelle form</w:t>
      </w:r>
      <w:r w:rsidR="192AD44D">
        <w:t>e</w:t>
      </w:r>
      <w:r w:rsidR="43795FD7">
        <w:t xml:space="preserve"> ou technique privilégier ? </w:t>
      </w:r>
      <w:r w:rsidR="69E696B9">
        <w:t>Quelle position prendre à l’égard de la langue ou de l’écriture inclusive</w:t>
      </w:r>
      <w:r w:rsidR="462F9574">
        <w:t>s</w:t>
      </w:r>
      <w:r w:rsidR="00853388">
        <w:t> </w:t>
      </w:r>
      <w:r w:rsidR="427F34AD">
        <w:t>?</w:t>
      </w:r>
      <w:r w:rsidR="00853388">
        <w:t xml:space="preserve"> Comment rendre compte de personnes non binaires</w:t>
      </w:r>
      <w:r w:rsidR="00D02853">
        <w:t>, qui ne s’identifient ni au genre masculin ni au genre féminin et ne se reconnaissent pas dans cette opposition</w:t>
      </w:r>
      <w:r w:rsidR="00853388">
        <w:t> ?</w:t>
      </w:r>
      <w:r w:rsidR="69E696B9">
        <w:t xml:space="preserve"> </w:t>
      </w:r>
      <w:r w:rsidR="7B4AA1F5">
        <w:t>P</w:t>
      </w:r>
      <w:r>
        <w:t>lusieurs proposition</w:t>
      </w:r>
      <w:r w:rsidR="3B1AA650">
        <w:t>s de décret</w:t>
      </w:r>
      <w:r w:rsidR="36AC330F">
        <w:t>, en 2017 et 2020,</w:t>
      </w:r>
      <w:r w:rsidR="3B1AA650">
        <w:t xml:space="preserve"> s</w:t>
      </w:r>
      <w:r w:rsidR="63A2BB1C">
        <w:t xml:space="preserve">e sont </w:t>
      </w:r>
      <w:r w:rsidR="3B1AA650">
        <w:t>inspir</w:t>
      </w:r>
      <w:r w:rsidR="4271229A">
        <w:t>ée</w:t>
      </w:r>
      <w:r w:rsidR="00D02853">
        <w:t>s</w:t>
      </w:r>
      <w:r w:rsidR="3B1AA650">
        <w:t xml:space="preserve"> des travaux </w:t>
      </w:r>
      <w:r w:rsidR="3AD9959A">
        <w:t xml:space="preserve">et des avis récurrents </w:t>
      </w:r>
      <w:r w:rsidR="3B1AA650">
        <w:t>du Conseil</w:t>
      </w:r>
      <w:r w:rsidR="2EF6DC54">
        <w:t>, qui a toujours été pionnier en la matière</w:t>
      </w:r>
      <w:r w:rsidR="1F916AB1">
        <w:t xml:space="preserve"> et s’est prononcé en faveur d’un nouveau décret (15 mars 2010, 17 avril 2020)</w:t>
      </w:r>
      <w:r w:rsidR="00F066A3" w:rsidRPr="2C81A273">
        <w:rPr>
          <w:rStyle w:val="Appeldenotedefin"/>
        </w:rPr>
        <w:endnoteReference w:id="5"/>
      </w:r>
      <w:r w:rsidR="1F916AB1">
        <w:t xml:space="preserve">, et a remis sur ces questions divers avis (4 octobre 2017, 14 mars 2018, 19 juin 2019). </w:t>
      </w:r>
      <w:r w:rsidR="3BD3CD1A">
        <w:t>L</w:t>
      </w:r>
      <w:r w:rsidR="70B1203C">
        <w:t xml:space="preserve">e dernier décret </w:t>
      </w:r>
      <w:r w:rsidR="19AF066F">
        <w:t>e</w:t>
      </w:r>
      <w:r w:rsidR="2F6F4CF5">
        <w:t>n matière de féminisation et de non-discrimination quant au genre</w:t>
      </w:r>
      <w:r w:rsidR="00D02853">
        <w:t>, qui a pris pour base des propositions du Conseil,</w:t>
      </w:r>
      <w:r w:rsidR="19AF066F">
        <w:t xml:space="preserve"> </w:t>
      </w:r>
      <w:r w:rsidR="1ECA79C2">
        <w:t xml:space="preserve">fut donc adopté </w:t>
      </w:r>
      <w:r w:rsidR="26E8ADAD">
        <w:t>en</w:t>
      </w:r>
      <w:r w:rsidR="70B1203C">
        <w:t xml:space="preserve"> 2021.</w:t>
      </w:r>
      <w:r w:rsidR="308226BE">
        <w:t xml:space="preserve"> </w:t>
      </w:r>
    </w:p>
    <w:p w14:paraId="047CA6A4" w14:textId="6DCC9308" w:rsidR="009E62B7" w:rsidRDefault="04106533" w:rsidP="61049135">
      <w:r>
        <w:t>Dans l’intervalle, Le Service de la Langue a édité une autre brochure</w:t>
      </w:r>
      <w:r w:rsidR="25E7817F">
        <w:t xml:space="preserve"> de Moreau et Dister (</w:t>
      </w:r>
      <w:r w:rsidR="25E7817F" w:rsidRPr="2C81A273">
        <w:rPr>
          <w:i/>
          <w:iCs/>
        </w:rPr>
        <w:t>Inclure sans exclure</w:t>
      </w:r>
      <w:r w:rsidR="3AFE339E" w:rsidRPr="2C81A273">
        <w:rPr>
          <w:i/>
          <w:iCs/>
        </w:rPr>
        <w:t xml:space="preserve">, </w:t>
      </w:r>
      <w:r w:rsidR="3AFE339E" w:rsidRPr="2C81A273">
        <w:t>2020</w:t>
      </w:r>
      <w:r w:rsidR="25E7817F">
        <w:t xml:space="preserve">), sans implication du Conseil de la langue de l’époque, et qui a suscité </w:t>
      </w:r>
      <w:r w:rsidR="012419DF">
        <w:t xml:space="preserve">de nombreux remous, eu égard à la dynamique argumentative choisie et au positionnement parfois </w:t>
      </w:r>
      <w:r w:rsidR="006132A0">
        <w:t xml:space="preserve">perçu comme </w:t>
      </w:r>
      <w:r w:rsidR="012419DF">
        <w:t>normatif.</w:t>
      </w:r>
    </w:p>
    <w:p w14:paraId="54DD73C7" w14:textId="25D20165" w:rsidR="00BC08C9" w:rsidRPr="006132A0" w:rsidRDefault="00470EC1" w:rsidP="007270D3">
      <w:pPr>
        <w:pStyle w:val="Titre1"/>
      </w:pPr>
      <w:r w:rsidRPr="006132A0">
        <w:t xml:space="preserve">Décret </w:t>
      </w:r>
      <w:r w:rsidR="006132A0">
        <w:t>« R</w:t>
      </w:r>
      <w:r w:rsidRPr="006132A0">
        <w:t>enforcement de la féminisation</w:t>
      </w:r>
      <w:r w:rsidR="006132A0">
        <w:t> »</w:t>
      </w:r>
      <w:r w:rsidRPr="006132A0">
        <w:t xml:space="preserve"> : </w:t>
      </w:r>
      <w:r w:rsidR="00BC773A" w:rsidRPr="006132A0">
        <w:t xml:space="preserve">changements et </w:t>
      </w:r>
      <w:r w:rsidR="6174261B" w:rsidRPr="006132A0">
        <w:t>apports principaux</w:t>
      </w:r>
      <w:r w:rsidR="1E3ED453" w:rsidRPr="006132A0">
        <w:t xml:space="preserve"> </w:t>
      </w:r>
    </w:p>
    <w:p w14:paraId="59B20002" w14:textId="01E8A6F7" w:rsidR="00BC773A" w:rsidRDefault="00BC773A" w:rsidP="00BC773A">
      <w:r>
        <w:t xml:space="preserve">La boussole </w:t>
      </w:r>
      <w:r w:rsidR="00B53C6F">
        <w:t>du</w:t>
      </w:r>
      <w:r w:rsidR="00E915A3">
        <w:t xml:space="preserve"> Conseil de la Langue française, des Langues régionales endogènes et des Politiques linguistiques (ci-après « le Conseil de </w:t>
      </w:r>
      <w:r w:rsidR="004944CA">
        <w:t xml:space="preserve">la </w:t>
      </w:r>
      <w:r w:rsidR="00E915A3">
        <w:t>Langue française »</w:t>
      </w:r>
      <w:r w:rsidR="002A3AB4">
        <w:t xml:space="preserve"> ou « le Conseil »</w:t>
      </w:r>
      <w:r w:rsidR="00E915A3">
        <w:t>)</w:t>
      </w:r>
      <w:r w:rsidR="004944CA">
        <w:t xml:space="preserve"> </w:t>
      </w:r>
      <w:r>
        <w:t xml:space="preserve">a toujours été posée sur un trépied dont ses membres ont </w:t>
      </w:r>
      <w:r w:rsidR="00687DFF">
        <w:t>continuellement</w:t>
      </w:r>
      <w:r w:rsidR="004944CA">
        <w:t xml:space="preserve"> </w:t>
      </w:r>
      <w:r>
        <w:t>essayé d’assurer l’équilibre, tant scientifiquement que politiquement : la visibilisation des femmes (via la question des représentations), le système de la langue et la lisibilité des textes.</w:t>
      </w:r>
    </w:p>
    <w:p w14:paraId="1CB730FC" w14:textId="77777777" w:rsidR="00BC773A" w:rsidRDefault="00BC773A" w:rsidP="00BC773A">
      <w:r>
        <w:lastRenderedPageBreak/>
        <w:t>Par ailleurs, l’irruption du mouvement #</w:t>
      </w:r>
      <w:r w:rsidRPr="00116E88">
        <w:rPr>
          <w:i/>
          <w:iCs/>
        </w:rPr>
        <w:t>MeToo</w:t>
      </w:r>
      <w:r>
        <w:t>, qui a permis de remettre à l’avant des débats la place de la représentation des femmes dans la langue, a également changé la donne. Aux morpho-syntacticiens, parfois jugés accrochés à leur système, se sont parfois opposés des analystes du discours ou des psycholinguistes, qui mettaient en avant l’exploitation sociale de la langue ainsi que les représentations qui émanaient de l’usage de certaines formes comme le masculin dit « générique ». La tribalisation opérée par les réseaux sociaux n’augurait rien de bon quant à la possibilité de construire un discours serein et équilibré au service du bien commun.</w:t>
      </w:r>
    </w:p>
    <w:p w14:paraId="192AA69B" w14:textId="4CFCC8EB" w:rsidR="00BC773A" w:rsidRDefault="00BC773A" w:rsidP="00BC773A">
      <w:r>
        <w:t>En outre, l’apparition dans le champ</w:t>
      </w:r>
      <w:r w:rsidR="00C746CE">
        <w:t xml:space="preserve"> social de la question de l’identité de genre et l’importance que cette question a prise, en particulier chez les jeunes citoyen</w:t>
      </w:r>
      <w:r w:rsidR="00A526D4">
        <w:t>ne</w:t>
      </w:r>
      <w:r w:rsidR="00C746CE">
        <w:t>s</w:t>
      </w:r>
      <w:r w:rsidR="00A526D4">
        <w:t xml:space="preserve"> et citoyens</w:t>
      </w:r>
      <w:r w:rsidR="00C746CE">
        <w:t xml:space="preserve">, ont eu pour effet la nécessaire prise en compte de la fluidité dans l’identification du genre des personnes et de la non-binarité. Cela oblige également à questionner la binarité des moyens linguistiques à disposition : deux seuls genres grammaticaux (masculin et féminin), </w:t>
      </w:r>
      <w:r w:rsidR="00510581">
        <w:t xml:space="preserve">des techniques de visibilisation encore très binaires, liées à la lutte pour les droits de femmes, </w:t>
      </w:r>
      <w:r w:rsidR="00C746CE">
        <w:t xml:space="preserve">alors que la réalité se révèle davantage complexe. </w:t>
      </w:r>
      <w:r w:rsidR="00510581">
        <w:t xml:space="preserve">Le combat féministe pouvait être dépassé par le combat pour le respect de toutes les identités de genre. </w:t>
      </w:r>
      <w:r w:rsidR="00C746CE">
        <w:t xml:space="preserve">Le combat pour visibiliser les femmes </w:t>
      </w:r>
      <w:r w:rsidR="00510581">
        <w:t>devait donc se doubler</w:t>
      </w:r>
      <w:r w:rsidR="00C746CE">
        <w:t xml:space="preserve"> d’un combat pour visibiliser les identités de genre</w:t>
      </w:r>
      <w:r w:rsidR="00A526D4">
        <w:t xml:space="preserve"> dans leur complexité</w:t>
      </w:r>
      <w:r w:rsidR="00C746CE">
        <w:t xml:space="preserve">, ou, en tout cas, </w:t>
      </w:r>
      <w:r w:rsidR="00510581">
        <w:t>pour</w:t>
      </w:r>
      <w:r w:rsidR="00C746CE">
        <w:t xml:space="preserve"> développer des moyens qui permettent réellement une communication officielle ou formelle non discriminatoire quant au genre.</w:t>
      </w:r>
    </w:p>
    <w:p w14:paraId="3ADEE85F" w14:textId="4858F586" w:rsidR="00BC773A" w:rsidRDefault="00BC773A" w:rsidP="00BC773A">
      <w:r>
        <w:t>Le cabinet écologiste de la ministre Linard, en charge des Droits des Femmes, s’est emparé politiquement du sujet, se faisant le porte-parole des demandes militantes de terrain. Pour des raisons politiques, il a abrogé le décret de 1993</w:t>
      </w:r>
      <w:r w:rsidR="000F59FE">
        <w:t>, qui émanait d’un autre parti,</w:t>
      </w:r>
      <w:r>
        <w:t xml:space="preserve"> et a fait adopter celui de 2021. Dans son chef, il s’agissait de supprimer</w:t>
      </w:r>
      <w:r w:rsidR="000F59FE">
        <w:t>, dans la désignation des groupes mixtes,</w:t>
      </w:r>
      <w:r>
        <w:t xml:space="preserve"> l’usage de la forme masculine dans son acception générique et de privilégier les autres techniques de visibilisation des femmes (doublets complets, accord de proximité…). </w:t>
      </w:r>
    </w:p>
    <w:p w14:paraId="14856087" w14:textId="16857F99" w:rsidR="00BC773A" w:rsidRDefault="00BC773A" w:rsidP="00BC773A">
      <w:r>
        <w:t xml:space="preserve">Le Conseil </w:t>
      </w:r>
      <w:r w:rsidR="00E915A3">
        <w:t>de la Langue française,</w:t>
      </w:r>
      <w:r>
        <w:t xml:space="preserve"> refondu, renouvelé et diversement composé en 2021, a pris le projet de décret à bras le corps et remis un avis sur son élaboration</w:t>
      </w:r>
      <w:r>
        <w:rPr>
          <w:rStyle w:val="Appeldenotedefin"/>
        </w:rPr>
        <w:endnoteReference w:id="6"/>
      </w:r>
      <w:r>
        <w:t>. Il a pris acte d’un déplacement social du trépied vers la question de la représentation et de la visibilisation des femmes. Mais il s’est opposé</w:t>
      </w:r>
      <w:r w:rsidR="000F59FE">
        <w:t>, pour la désignation des groupes mixtes,</w:t>
      </w:r>
      <w:r>
        <w:t xml:space="preserve"> à la suppression</w:t>
      </w:r>
      <w:r w:rsidR="002A3AB4">
        <w:t xml:space="preserve"> pure et simple</w:t>
      </w:r>
      <w:r>
        <w:t xml:space="preserve"> de l’usage du masculin dans son acception générique, dans la mesure où il s’agit d’une ressource de la langue que les usagers </w:t>
      </w:r>
      <w:r w:rsidR="004944CA">
        <w:t xml:space="preserve">et usagères </w:t>
      </w:r>
      <w:r>
        <w:t>mobilisent dans leur ensemble. Il ne pouvait s’agir d’interdire cet usage. La position du Conseil</w:t>
      </w:r>
      <w:r w:rsidR="002A3AB4">
        <w:t xml:space="preserve"> de la Langue française</w:t>
      </w:r>
      <w:r>
        <w:t xml:space="preserve"> a été celle de reconnaitre tant l’existence de cet usage que celle des risques d’invisibilisation des femmes que cet usage pouvait provoquer</w:t>
      </w:r>
      <w:r w:rsidR="000F59FE">
        <w:t xml:space="preserve">, et donc </w:t>
      </w:r>
      <w:r w:rsidR="00EE5338">
        <w:t xml:space="preserve">de le </w:t>
      </w:r>
      <w:r w:rsidR="000F59FE">
        <w:t>limiter</w:t>
      </w:r>
      <w:r>
        <w:t xml:space="preserve">. Il a proposé d’intégrer </w:t>
      </w:r>
      <w:r w:rsidR="002A3AB4">
        <w:t xml:space="preserve">une </w:t>
      </w:r>
      <w:r>
        <w:t>nouvelle dynamique argumentative : d’abord une visibilisation manifeste (</w:t>
      </w:r>
      <w:r w:rsidR="002A3AB4">
        <w:t xml:space="preserve">ex. </w:t>
      </w:r>
      <w:r>
        <w:t>doublets complets) et</w:t>
      </w:r>
      <w:r w:rsidR="002A3AB4">
        <w:t>,</w:t>
      </w:r>
      <w:r>
        <w:t xml:space="preserve"> seulement quand la visibilisation des femmes est assurée</w:t>
      </w:r>
      <w:r w:rsidR="002A3AB4">
        <w:t xml:space="preserve"> dans un texte</w:t>
      </w:r>
      <w:r w:rsidR="00F678AB">
        <w:t xml:space="preserve"> ou un discours</w:t>
      </w:r>
      <w:r>
        <w:t>, la possibilité d’user de techniques de neutralisation de l’opposition en genre</w:t>
      </w:r>
      <w:r w:rsidR="002A3AB4">
        <w:t xml:space="preserve">, </w:t>
      </w:r>
      <w:r>
        <w:t>dont fait partie l’usage du masculin dans son acception générique.</w:t>
      </w:r>
    </w:p>
    <w:p w14:paraId="32B2E978" w14:textId="1CC105D3" w:rsidR="00F27A19" w:rsidRDefault="1E3ED453" w:rsidP="003B12B2">
      <w:r>
        <w:t>Alors que l</w:t>
      </w:r>
      <w:r w:rsidR="00800F5A">
        <w:t xml:space="preserve">e décret de 1993 </w:t>
      </w:r>
      <w:r w:rsidR="7C770938">
        <w:t xml:space="preserve">incitait </w:t>
      </w:r>
      <w:r w:rsidR="5E995CEF">
        <w:t>à employer des</w:t>
      </w:r>
      <w:r w:rsidR="00800F5A">
        <w:t xml:space="preserve"> formes féminines </w:t>
      </w:r>
      <w:r w:rsidR="4879EA2B">
        <w:t xml:space="preserve">pour désigner </w:t>
      </w:r>
      <w:r w:rsidR="7148EDF9">
        <w:t>des</w:t>
      </w:r>
      <w:r w:rsidR="4879EA2B">
        <w:t xml:space="preserve"> femmes dans les communications officielles</w:t>
      </w:r>
      <w:r w:rsidR="000F59FE">
        <w:t xml:space="preserve"> écrites</w:t>
      </w:r>
      <w:r w:rsidR="4879EA2B">
        <w:t>, l</w:t>
      </w:r>
      <w:r w:rsidR="00800F5A">
        <w:t xml:space="preserve">e décret de 2021 engrange des avancées </w:t>
      </w:r>
      <w:r w:rsidR="36505624">
        <w:t xml:space="preserve">significatives </w:t>
      </w:r>
      <w:r w:rsidR="00800F5A">
        <w:t>qu</w:t>
      </w:r>
      <w:r w:rsidR="002A3AB4">
        <w:t>e l</w:t>
      </w:r>
      <w:r w:rsidR="00800F5A">
        <w:t xml:space="preserve">’on peut résumer en </w:t>
      </w:r>
      <w:r w:rsidR="3B3FABAB">
        <w:t xml:space="preserve">neuf </w:t>
      </w:r>
      <w:r w:rsidR="00800F5A">
        <w:t>points</w:t>
      </w:r>
      <w:r w:rsidR="00272EE2">
        <w:t xml:space="preserve">. </w:t>
      </w:r>
    </w:p>
    <w:p w14:paraId="3328D56C" w14:textId="35156CC6" w:rsidR="00800F5A" w:rsidRDefault="313FC7D5" w:rsidP="007270D3">
      <w:pPr>
        <w:pStyle w:val="Paragraphedeliste"/>
        <w:numPr>
          <w:ilvl w:val="0"/>
          <w:numId w:val="33"/>
        </w:numPr>
      </w:pPr>
      <w:r>
        <w:t>É</w:t>
      </w:r>
      <w:r w:rsidR="00800F5A">
        <w:t>largissement du domaine d’application à l’ensemble des communications officielles et formelles</w:t>
      </w:r>
      <w:r w:rsidR="51ED553C">
        <w:t>, orales et écrites,</w:t>
      </w:r>
      <w:r w:rsidR="490B5EDE">
        <w:t xml:space="preserve"> dans un large ensemble de </w:t>
      </w:r>
      <w:r w:rsidR="69F30859">
        <w:t>domaines :</w:t>
      </w:r>
      <w:r w:rsidR="490B5EDE">
        <w:t xml:space="preserve"> </w:t>
      </w:r>
      <w:r w:rsidR="00800F5A">
        <w:t>administration, enseignement, institutions culturelles, organismes</w:t>
      </w:r>
      <w:r w:rsidR="48853012">
        <w:t xml:space="preserve"> </w:t>
      </w:r>
      <w:r w:rsidR="00800F5A">
        <w:t>sportifs, etc.</w:t>
      </w:r>
    </w:p>
    <w:p w14:paraId="11FAB1BD" w14:textId="583B27B5" w:rsidR="007270D3" w:rsidRPr="002A3AB4" w:rsidRDefault="001873DA" w:rsidP="007270D3">
      <w:pPr>
        <w:pStyle w:val="Paragraphedeliste"/>
        <w:numPr>
          <w:ilvl w:val="0"/>
          <w:numId w:val="33"/>
        </w:numPr>
      </w:pPr>
      <w:r w:rsidRPr="002A3AB4">
        <w:lastRenderedPageBreak/>
        <w:t>Prise en compte de la fluidité ou de la non-binarité des personnes, en particulier dans le cadre des offres d’emploi et des annonces, qui doivent intégrer la mention « </w:t>
      </w:r>
      <w:r w:rsidRPr="002A3AB4">
        <w:rPr>
          <w:i/>
          <w:iCs/>
        </w:rPr>
        <w:t>(F/H/X)</w:t>
      </w:r>
      <w:r w:rsidRPr="002A3AB4">
        <w:t> ».</w:t>
      </w:r>
    </w:p>
    <w:p w14:paraId="72E119C3" w14:textId="1D79AF9A" w:rsidR="00800F5A" w:rsidRPr="00441FD0" w:rsidRDefault="0147B102" w:rsidP="007270D3">
      <w:pPr>
        <w:pStyle w:val="Paragraphedeliste"/>
        <w:numPr>
          <w:ilvl w:val="0"/>
          <w:numId w:val="33"/>
        </w:numPr>
        <w:rPr>
          <w:iCs/>
        </w:rPr>
      </w:pPr>
      <w:r w:rsidRPr="00441FD0">
        <w:t>P</w:t>
      </w:r>
      <w:r w:rsidR="00800F5A" w:rsidRPr="00441FD0">
        <w:t xml:space="preserve">référence pour </w:t>
      </w:r>
      <w:r w:rsidR="290265E7" w:rsidRPr="00441FD0">
        <w:t xml:space="preserve">les formes féminines </w:t>
      </w:r>
      <w:r w:rsidR="00800F5A" w:rsidRPr="00441FD0">
        <w:t>qui visibilise</w:t>
      </w:r>
      <w:r w:rsidR="36A61900" w:rsidRPr="00441FD0">
        <w:t>nt</w:t>
      </w:r>
      <w:r w:rsidR="00800F5A" w:rsidRPr="00441FD0">
        <w:t xml:space="preserve"> le féminin</w:t>
      </w:r>
      <w:r w:rsidR="00FB29F8" w:rsidRPr="00441FD0">
        <w:t xml:space="preserve"> </w:t>
      </w:r>
      <w:r w:rsidR="002A3AB4" w:rsidRPr="00441FD0">
        <w:t>et</w:t>
      </w:r>
      <w:r w:rsidR="00FB29F8" w:rsidRPr="00441FD0">
        <w:t xml:space="preserve"> le rend</w:t>
      </w:r>
      <w:r w:rsidR="002A3AB4" w:rsidRPr="00441FD0">
        <w:t>e</w:t>
      </w:r>
      <w:r w:rsidR="00FB29F8" w:rsidRPr="00441FD0">
        <w:t>nt audible</w:t>
      </w:r>
      <w:r w:rsidR="00800F5A" w:rsidRPr="00441FD0">
        <w:t xml:space="preserve"> (</w:t>
      </w:r>
      <w:r w:rsidR="00800F5A" w:rsidRPr="00441FD0">
        <w:rPr>
          <w:i/>
          <w:iCs/>
        </w:rPr>
        <w:t>entrepreneuse</w:t>
      </w:r>
      <w:r w:rsidR="00800F5A" w:rsidRPr="00441FD0">
        <w:t xml:space="preserve"> plutôt </w:t>
      </w:r>
      <w:r w:rsidR="4E965EB2" w:rsidRPr="00441FD0">
        <w:t>qu</w:t>
      </w:r>
      <w:r w:rsidR="002A3AB4" w:rsidRPr="00441FD0">
        <w:t>’</w:t>
      </w:r>
      <w:r w:rsidR="4E965EB2" w:rsidRPr="00441FD0">
        <w:rPr>
          <w:i/>
          <w:iCs/>
        </w:rPr>
        <w:t>entrepreneure</w:t>
      </w:r>
      <w:r w:rsidR="00800F5A" w:rsidRPr="00441FD0">
        <w:t>) et</w:t>
      </w:r>
      <w:r w:rsidR="00272EE2" w:rsidRPr="00441FD0">
        <w:t>,</w:t>
      </w:r>
      <w:r w:rsidR="00800F5A" w:rsidRPr="00441FD0">
        <w:t xml:space="preserve"> par conséquent, récession des formes </w:t>
      </w:r>
      <w:r w:rsidR="002A3AB4" w:rsidRPr="00441FD0">
        <w:t xml:space="preserve">féminines </w:t>
      </w:r>
      <w:r w:rsidR="00800F5A" w:rsidRPr="00441FD0">
        <w:t xml:space="preserve">récentes en </w:t>
      </w:r>
      <w:r w:rsidR="00800F5A" w:rsidRPr="00441FD0">
        <w:rPr>
          <w:i/>
          <w:iCs/>
        </w:rPr>
        <w:t>-eure</w:t>
      </w:r>
      <w:r w:rsidR="5B34C11C" w:rsidRPr="00441FD0">
        <w:rPr>
          <w:iCs/>
        </w:rPr>
        <w:t>.</w:t>
      </w:r>
    </w:p>
    <w:p w14:paraId="79CEC4A4" w14:textId="03609F6C" w:rsidR="00800F5A" w:rsidRDefault="4F27D365" w:rsidP="007270D3">
      <w:pPr>
        <w:pStyle w:val="Paragraphedeliste"/>
        <w:numPr>
          <w:ilvl w:val="0"/>
          <w:numId w:val="33"/>
        </w:numPr>
      </w:pPr>
      <w:r>
        <w:t>Conception large d’un langage inclusif qui repose sur deux stratégies permettant de désigner des femmes ou des groupes mixtes, à combiner pour produire des textes à la fois non discriminatoires et lisibles : visibilisation des femmes à côté des hommes et/ou neutralisation du genre (formes épicènes, collectives, etc.).</w:t>
      </w:r>
    </w:p>
    <w:p w14:paraId="329C4BAC" w14:textId="6B13C163" w:rsidR="00800F5A" w:rsidRDefault="00EE5338" w:rsidP="007270D3">
      <w:pPr>
        <w:pStyle w:val="Paragraphedeliste"/>
        <w:numPr>
          <w:ilvl w:val="0"/>
          <w:numId w:val="33"/>
        </w:numPr>
      </w:pPr>
      <w:r>
        <w:t xml:space="preserve">Limitation de l’usage </w:t>
      </w:r>
      <w:r w:rsidR="4F27D365">
        <w:t>du point médian à des contextes où l’on manque de place et où une abréviation est de mise (ex. tableaux).</w:t>
      </w:r>
    </w:p>
    <w:p w14:paraId="5F111093" w14:textId="53474D38" w:rsidR="00800F5A" w:rsidRDefault="00EE5338" w:rsidP="007270D3">
      <w:pPr>
        <w:pStyle w:val="Paragraphedeliste"/>
        <w:numPr>
          <w:ilvl w:val="0"/>
          <w:numId w:val="33"/>
        </w:numPr>
      </w:pPr>
      <w:r>
        <w:t>Limitation de l’u</w:t>
      </w:r>
      <w:r w:rsidR="4F27D365">
        <w:t xml:space="preserve">sage </w:t>
      </w:r>
      <w:r>
        <w:t>du masculin générique</w:t>
      </w:r>
      <w:r w:rsidDel="00EE5338">
        <w:t xml:space="preserve"> </w:t>
      </w:r>
      <w:r w:rsidR="4F27D365">
        <w:t>à des contextes où</w:t>
      </w:r>
      <w:r w:rsidR="002A3AB4">
        <w:t xml:space="preserve"> est assurée</w:t>
      </w:r>
      <w:r w:rsidR="4F27D365">
        <w:t xml:space="preserve"> la mixité du groupe que l’on désigne</w:t>
      </w:r>
      <w:r w:rsidR="66A70949">
        <w:t>.</w:t>
      </w:r>
    </w:p>
    <w:p w14:paraId="7E6E5908" w14:textId="4A353707" w:rsidR="00800F5A" w:rsidRDefault="00800F5A" w:rsidP="007270D3">
      <w:pPr>
        <w:pStyle w:val="Paragraphedeliste"/>
        <w:numPr>
          <w:ilvl w:val="0"/>
          <w:numId w:val="33"/>
        </w:numPr>
      </w:pPr>
      <w:r>
        <w:t>Modification du discours grammatical pour éviter toute formulation qui présuppose une domination du genre grammatical masculin sur le féminin (règles d’accord</w:t>
      </w:r>
      <w:r w:rsidR="00272EE2">
        <w:t xml:space="preserve"> ou</w:t>
      </w:r>
      <w:r>
        <w:t xml:space="preserve"> de formation du féminin)</w:t>
      </w:r>
    </w:p>
    <w:p w14:paraId="33053E3D" w14:textId="25B0D178" w:rsidR="00800F5A" w:rsidRDefault="00800F5A" w:rsidP="007270D3">
      <w:pPr>
        <w:pStyle w:val="Paragraphedeliste"/>
        <w:numPr>
          <w:ilvl w:val="0"/>
          <w:numId w:val="33"/>
        </w:numPr>
      </w:pPr>
      <w:r>
        <w:t xml:space="preserve">Pour les accords des déterminants, des adjectifs </w:t>
      </w:r>
      <w:r w:rsidR="5217F51B">
        <w:t>et</w:t>
      </w:r>
      <w:r>
        <w:t xml:space="preserve"> des participes passés, recommandation d’utiliser le masculin</w:t>
      </w:r>
      <w:r w:rsidR="2E377A41">
        <w:t xml:space="preserve"> dans</w:t>
      </w:r>
      <w:r>
        <w:t xml:space="preserve"> sa valeur non marquée</w:t>
      </w:r>
    </w:p>
    <w:p w14:paraId="7B3A4564" w14:textId="654A3F71" w:rsidR="00800F5A" w:rsidRDefault="00800F5A" w:rsidP="007270D3">
      <w:pPr>
        <w:pStyle w:val="Paragraphedeliste"/>
        <w:numPr>
          <w:ilvl w:val="0"/>
          <w:numId w:val="33"/>
        </w:numPr>
      </w:pPr>
      <w:r>
        <w:t xml:space="preserve">Pour les accords, recommandation d’utiliser un principe de proximité qui </w:t>
      </w:r>
      <w:r w:rsidR="00272EE2">
        <w:t xml:space="preserve">permet de placer le terme au masculin du doublet à </w:t>
      </w:r>
      <w:r w:rsidR="6577B6F4">
        <w:t>proximité</w:t>
      </w:r>
      <w:r w:rsidR="00272EE2">
        <w:t xml:space="preserve"> immédiate de l’élément accordé au masculin. </w:t>
      </w:r>
    </w:p>
    <w:p w14:paraId="7FF9E322" w14:textId="25AD4ECA" w:rsidR="007270D3" w:rsidRDefault="007270D3" w:rsidP="00272EE2">
      <w:pPr>
        <w:ind w:left="360"/>
      </w:pPr>
      <w:r>
        <w:t xml:space="preserve">L’adoption de ce décret par le Parlement </w:t>
      </w:r>
      <w:r w:rsidR="0034167E">
        <w:t>de la Communauté française a fait l’objet d’une discussion en commission parlementaire le 28 septembre 2021</w:t>
      </w:r>
      <w:r w:rsidR="0034167E">
        <w:rPr>
          <w:rStyle w:val="Appeldenotedefin"/>
        </w:rPr>
        <w:endnoteReference w:id="7"/>
      </w:r>
      <w:r w:rsidR="0034167E">
        <w:t xml:space="preserve">. Aucune voix ne s’est opposée au projet et certaines interventions montrent que le décret est perçu comme offrant un large éventail de techniques permettant tantôt de visibiliser les femmes à côté des hommes, tantôt de neutraliser la question du genre, en laissant aux usagères et aux usagers le soin de mener la réflexion sur la meilleure technique à adopter en fonction du texte et du contexte. </w:t>
      </w:r>
    </w:p>
    <w:p w14:paraId="7640E2D2" w14:textId="51267687" w:rsidR="00EA4032" w:rsidRPr="00EA4032" w:rsidRDefault="75D8B8DC" w:rsidP="00EA4032">
      <w:pPr>
        <w:pStyle w:val="Citation"/>
      </w:pPr>
      <w:r>
        <w:t>Le décret propose ici une sorte de couteau suisse</w:t>
      </w:r>
      <w:r w:rsidR="00A453AE">
        <w:t> </w:t>
      </w:r>
      <w:r>
        <w:t xml:space="preserve">: en fonction du contexte, des personnes à qui on s’adresse, du support de communication, il propose d’utiliser tel ou tel procédé. Aucun n’a en effet vocation à s’appliquer en toutes situations, et chacun présente des avantages et des inconvénients, explique la parlementaire qui estime que le point médian est un outil parmi d’autres, qui ne résume pas à lui seul l’écriture inclusive, loin de là. </w:t>
      </w:r>
      <w:r w:rsidR="00A453AE">
        <w:t>(Intervention de Mme de Ré, p. 13 du rapport de la Commission parlementaire cité dans les références)</w:t>
      </w:r>
    </w:p>
    <w:p w14:paraId="1DBADFC6" w14:textId="52F85211" w:rsidR="00A453AE" w:rsidRPr="002A3AB4" w:rsidRDefault="00D911FD" w:rsidP="00A453AE">
      <w:r w:rsidRPr="002A3AB4">
        <w:t>Le cabinet de la Ministre Linard a chargé le Conseil des Langues et des Politiques linguistique de rédiger l’Arrêté d’exécution du décret</w:t>
      </w:r>
      <w:r w:rsidR="00DE646E" w:rsidRPr="002A3AB4">
        <w:t xml:space="preserve"> (</w:t>
      </w:r>
      <w:r w:rsidR="002A3AB4" w:rsidRPr="002A3AB4">
        <w:t>adopté</w:t>
      </w:r>
      <w:r w:rsidR="00DE646E" w:rsidRPr="002A3AB4">
        <w:t xml:space="preserve"> le 14/07/2022 et publié au </w:t>
      </w:r>
      <w:r w:rsidR="00DE646E" w:rsidRPr="002A3AB4">
        <w:rPr>
          <w:i/>
        </w:rPr>
        <w:t xml:space="preserve">Moniteur belge </w:t>
      </w:r>
      <w:r w:rsidR="00DE646E" w:rsidRPr="002A3AB4">
        <w:t>le 22/08/2022)</w:t>
      </w:r>
      <w:r w:rsidR="00907C35" w:rsidRPr="002A3AB4">
        <w:rPr>
          <w:rStyle w:val="Appeldenotedefin"/>
        </w:rPr>
        <w:endnoteReference w:id="8"/>
      </w:r>
      <w:r w:rsidRPr="002A3AB4">
        <w:t xml:space="preserve">. </w:t>
      </w:r>
      <w:r w:rsidR="00242F95" w:rsidRPr="002A3AB4">
        <w:t xml:space="preserve">Le Conseil a proposé de mettre en œuvre un certain nombre de techniques </w:t>
      </w:r>
      <w:r w:rsidR="00DE646E" w:rsidRPr="002A3AB4">
        <w:t>de communication inclusive (</w:t>
      </w:r>
      <w:r w:rsidR="00242F95" w:rsidRPr="002A3AB4">
        <w:t>de visibilisation et de neutralisation</w:t>
      </w:r>
      <w:r w:rsidR="00DE646E" w:rsidRPr="002A3AB4">
        <w:t>)</w:t>
      </w:r>
      <w:r w:rsidR="00242F95" w:rsidRPr="002A3AB4">
        <w:t xml:space="preserve">. Certaines ont été contestée par le cabinet (le genre non marqué) </w:t>
      </w:r>
      <w:r w:rsidR="00DE646E" w:rsidRPr="002A3AB4">
        <w:t>du fait de leur trop grande nouveauté ; d’autres ont été proposées par le cabinet (accord de proximité et féminin générique), qui ont été refusée</w:t>
      </w:r>
      <w:r w:rsidR="004536EB" w:rsidRPr="002A3AB4">
        <w:t>s</w:t>
      </w:r>
      <w:r w:rsidR="00DE646E" w:rsidRPr="002A3AB4">
        <w:t xml:space="preserve"> par le Conseil parce que non suffisamment répandues</w:t>
      </w:r>
      <w:r w:rsidR="00F226DF" w:rsidRPr="002A3AB4">
        <w:t xml:space="preserve"> – et parfois même à contre-courant du fonctionnement du système de la langue –</w:t>
      </w:r>
      <w:r w:rsidR="00DE646E" w:rsidRPr="002A3AB4">
        <w:t xml:space="preserve"> pour être de mise dans la communication officielle ou formelle</w:t>
      </w:r>
      <w:r w:rsidR="004536EB" w:rsidRPr="002A3AB4">
        <w:rPr>
          <w:rStyle w:val="Appeldenotedefin"/>
        </w:rPr>
        <w:endnoteReference w:id="9"/>
      </w:r>
      <w:r w:rsidR="00DE646E" w:rsidRPr="002A3AB4">
        <w:t> ; d’autres enfin qui ont été rejetées par des partenaires de gouvernement (</w:t>
      </w:r>
      <w:r w:rsidR="004536EB" w:rsidRPr="002A3AB4">
        <w:t xml:space="preserve">accord de proximité, </w:t>
      </w:r>
      <w:r w:rsidR="00DE646E" w:rsidRPr="002A3AB4">
        <w:t xml:space="preserve">utilisation du pronom </w:t>
      </w:r>
      <w:r w:rsidR="00DE646E" w:rsidRPr="002A3AB4">
        <w:rPr>
          <w:i/>
          <w:iCs/>
        </w:rPr>
        <w:t>iel</w:t>
      </w:r>
      <w:r w:rsidR="00DE646E" w:rsidRPr="002A3AB4">
        <w:t xml:space="preserve">) </w:t>
      </w:r>
      <w:r w:rsidR="00140C81">
        <w:t>pour des raisons moins linguistiques qu’idéologiques à visées électoralistes</w:t>
      </w:r>
      <w:r w:rsidR="00DE646E" w:rsidRPr="002A3AB4">
        <w:t xml:space="preserve">. </w:t>
      </w:r>
      <w:commentRangeStart w:id="0"/>
      <w:commentRangeEnd w:id="0"/>
      <w:r w:rsidR="00A453AE" w:rsidRPr="002A3AB4">
        <w:t xml:space="preserve">Ces </w:t>
      </w:r>
      <w:r w:rsidR="00A453AE" w:rsidRPr="002A3AB4">
        <w:lastRenderedPageBreak/>
        <w:t xml:space="preserve">techniques, faute de consensus politique suffisant, n’ont </w:t>
      </w:r>
      <w:r w:rsidR="004536EB" w:rsidRPr="002A3AB4">
        <w:t xml:space="preserve">donc </w:t>
      </w:r>
      <w:r w:rsidR="00A453AE" w:rsidRPr="002A3AB4">
        <w:t>pas été retenues</w:t>
      </w:r>
      <w:r w:rsidR="004536EB" w:rsidRPr="002A3AB4">
        <w:t xml:space="preserve"> dans l’arrêté</w:t>
      </w:r>
      <w:r w:rsidR="00A453AE" w:rsidRPr="002A3AB4">
        <w:t xml:space="preserve">. Le Conseil a cependant souhaité les mentionner à titre informatif </w:t>
      </w:r>
      <w:r w:rsidR="00867F7A">
        <w:t xml:space="preserve">et pédagogique </w:t>
      </w:r>
      <w:r w:rsidR="00A453AE" w:rsidRPr="002A3AB4">
        <w:t xml:space="preserve">dans le guide </w:t>
      </w:r>
      <w:r w:rsidR="00A453AE" w:rsidRPr="002A3AB4">
        <w:rPr>
          <w:i/>
        </w:rPr>
        <w:t xml:space="preserve">Quand dire, c’est inclure </w:t>
      </w:r>
      <w:r w:rsidR="00A453AE" w:rsidRPr="002A3AB4">
        <w:t>(202</w:t>
      </w:r>
      <w:r w:rsidR="004536EB" w:rsidRPr="002A3AB4">
        <w:t>4</w:t>
      </w:r>
      <w:r w:rsidR="00A453AE" w:rsidRPr="002A3AB4">
        <w:t xml:space="preserve">), car certaines d’entre elles sont présentes dans les usages </w:t>
      </w:r>
      <w:r w:rsidRPr="002A3AB4">
        <w:t xml:space="preserve">et dans les débats sur la place publique </w:t>
      </w:r>
      <w:r w:rsidR="00A453AE" w:rsidRPr="002A3AB4">
        <w:t xml:space="preserve">et méritent d’être explicitées dans leurs enjeux et dans leur portée.  </w:t>
      </w:r>
    </w:p>
    <w:p w14:paraId="64CF4116" w14:textId="5CD0CC32" w:rsidR="007270D3" w:rsidRPr="002A3AB4" w:rsidRDefault="00EE4ACD" w:rsidP="00A453AE">
      <w:r w:rsidRPr="002A3AB4">
        <w:t>La section suivante présente le nouveau guide de mise en application du décret.</w:t>
      </w:r>
      <w:r w:rsidR="007270D3" w:rsidRPr="002A3AB4">
        <w:t xml:space="preserve"> </w:t>
      </w:r>
      <w:r w:rsidRPr="002A3AB4">
        <w:t xml:space="preserve">On s’attarde sur les recommandations qui ont </w:t>
      </w:r>
      <w:r w:rsidR="00B53C6F">
        <w:t>été les plus débattues</w:t>
      </w:r>
      <w:r w:rsidRPr="002A3AB4">
        <w:t xml:space="preserve"> au cours de la rédaction du décret et de l’arrêté d’application, à la fois au sein du Conseil et des instances politiques impliquées. </w:t>
      </w:r>
    </w:p>
    <w:p w14:paraId="0D6370C3" w14:textId="0747708C" w:rsidR="00BC08C9" w:rsidRPr="002A3AB4" w:rsidRDefault="3FEC9633" w:rsidP="00EE4ACD">
      <w:pPr>
        <w:pStyle w:val="Titre1"/>
      </w:pPr>
      <w:r w:rsidRPr="002A3AB4">
        <w:t xml:space="preserve">Guide </w:t>
      </w:r>
      <w:r w:rsidRPr="002A3AB4">
        <w:rPr>
          <w:i/>
          <w:iCs/>
        </w:rPr>
        <w:t xml:space="preserve">Quand dire, c’est inclure </w:t>
      </w:r>
      <w:r w:rsidRPr="002A3AB4">
        <w:t>: recommandations qui font débat</w:t>
      </w:r>
      <w:r w:rsidR="2B880372" w:rsidRPr="002A3AB4">
        <w:t xml:space="preserve"> </w:t>
      </w:r>
    </w:p>
    <w:p w14:paraId="0A7C0E8F" w14:textId="113BCF41" w:rsidR="00EB0AE2" w:rsidRPr="007064EF" w:rsidRDefault="6BE084D6" w:rsidP="61049135">
      <w:r>
        <w:t xml:space="preserve">Le guide </w:t>
      </w:r>
      <w:r w:rsidRPr="61049135">
        <w:rPr>
          <w:i/>
          <w:iCs/>
        </w:rPr>
        <w:t>Quand dire, c’est inclure</w:t>
      </w:r>
      <w:r w:rsidRPr="61049135">
        <w:t xml:space="preserve"> (2024) a été </w:t>
      </w:r>
      <w:r w:rsidR="5CBA1329" w:rsidRPr="61049135">
        <w:t>édité par la Direction de la langue fr</w:t>
      </w:r>
      <w:r w:rsidR="61494840" w:rsidRPr="61049135">
        <w:t>an</w:t>
      </w:r>
      <w:r w:rsidR="5CBA1329" w:rsidRPr="61049135">
        <w:t xml:space="preserve">çaise et </w:t>
      </w:r>
      <w:r w:rsidRPr="61049135">
        <w:t xml:space="preserve">rédigé par </w:t>
      </w:r>
      <w:r w:rsidR="65D6DF2A" w:rsidRPr="61049135">
        <w:t>un groupe de travail du</w:t>
      </w:r>
      <w:r w:rsidRPr="61049135">
        <w:t xml:space="preserve"> Conseil de la </w:t>
      </w:r>
      <w:r w:rsidR="00B53C6F">
        <w:t>L</w:t>
      </w:r>
      <w:r w:rsidR="00B53C6F" w:rsidRPr="61049135">
        <w:t xml:space="preserve">angue </w:t>
      </w:r>
      <w:r w:rsidRPr="61049135">
        <w:t>française</w:t>
      </w:r>
      <w:r w:rsidR="36A72344" w:rsidRPr="61049135">
        <w:t xml:space="preserve"> de la </w:t>
      </w:r>
      <w:r w:rsidR="00867F7A">
        <w:t>Fédération</w:t>
      </w:r>
      <w:r w:rsidR="00867F7A" w:rsidRPr="61049135">
        <w:t xml:space="preserve"> </w:t>
      </w:r>
      <w:r w:rsidR="36A72344" w:rsidRPr="61049135">
        <w:t xml:space="preserve">Wallonie-Bruxelles. Ont participé à la rédaction Esther Baiwir, Christiane Buisseret, Philippe Hambye, Benjamin Heyden, Arnaud Hoedt, François </w:t>
      </w:r>
      <w:r w:rsidR="247BC45C" w:rsidRPr="61049135">
        <w:t xml:space="preserve">Provenzano, Laurence Rosier, </w:t>
      </w:r>
      <w:r w:rsidR="73F8D94A" w:rsidRPr="61049135">
        <w:t xml:space="preserve">Anne Vervier, </w:t>
      </w:r>
      <w:r w:rsidR="247BC45C" w:rsidRPr="61049135">
        <w:t>Anne Catherine Simon et Dan Van Raemdonck</w:t>
      </w:r>
      <w:r w:rsidR="59FFE2F8" w:rsidRPr="61049135">
        <w:t>, les deux derniers assurant la coordination de l’ouvrage.</w:t>
      </w:r>
      <w:r w:rsidR="247BC45C" w:rsidRPr="61049135">
        <w:t xml:space="preserve"> </w:t>
      </w:r>
    </w:p>
    <w:p w14:paraId="46AE9451" w14:textId="43F95F87" w:rsidR="00EB0AE2" w:rsidRPr="007064EF" w:rsidRDefault="7295D2D8" w:rsidP="71E733AF">
      <w:r w:rsidRPr="71E733AF">
        <w:t>Le guide présente</w:t>
      </w:r>
      <w:r w:rsidR="00B53C6F">
        <w:t>,</w:t>
      </w:r>
      <w:r w:rsidRPr="71E733AF">
        <w:t xml:space="preserve"> à destination du public spécialisé (ex. administrations, institutions d’enseignement) et du grand public</w:t>
      </w:r>
      <w:r w:rsidR="00B53C6F">
        <w:t>,</w:t>
      </w:r>
      <w:r w:rsidRPr="71E733AF">
        <w:t xml:space="preserve"> la manière d’appliquer le décret dans la communication officielle ou formelle. Il ne prétend pas </w:t>
      </w:r>
      <w:r w:rsidR="436616F2" w:rsidRPr="71E733AF">
        <w:t xml:space="preserve">régenter les communications privées ou informelles, quoiqu’il puisse les informer. L’esprit de ce guide est d’expliquer les enjeux d’une communication non discriminatoire quant au genre et de donner </w:t>
      </w:r>
      <w:r w:rsidR="00B53C6F">
        <w:t>l’</w:t>
      </w:r>
      <w:r w:rsidR="436616F2" w:rsidRPr="71E733AF">
        <w:t>éventail</w:t>
      </w:r>
      <w:r w:rsidR="00B53C6F">
        <w:t xml:space="preserve"> le plus large</w:t>
      </w:r>
      <w:r w:rsidR="436616F2" w:rsidRPr="71E733AF">
        <w:t xml:space="preserve"> possible de</w:t>
      </w:r>
      <w:r w:rsidR="00B53C6F">
        <w:t>s</w:t>
      </w:r>
      <w:r w:rsidR="436616F2" w:rsidRPr="71E733AF">
        <w:t xml:space="preserve"> formes et de</w:t>
      </w:r>
      <w:r w:rsidR="00B53C6F">
        <w:t>s</w:t>
      </w:r>
      <w:r w:rsidR="436616F2" w:rsidRPr="71E733AF">
        <w:t xml:space="preserve"> techniques</w:t>
      </w:r>
      <w:r w:rsidR="00B53C6F">
        <w:t xml:space="preserve"> recommandées,</w:t>
      </w:r>
      <w:r w:rsidR="436616F2" w:rsidRPr="71E733AF">
        <w:t xml:space="preserve"> pour que chacun puisse écrire ou parler de la</w:t>
      </w:r>
      <w:r w:rsidR="19178B68" w:rsidRPr="71E733AF">
        <w:t xml:space="preserve"> manière la plus inclusive et la plus claire possibles. Tenir un langage clair est un enjeu aussi important que tenir un langage non discriminatoire</w:t>
      </w:r>
      <w:r w:rsidR="00EE4ACD">
        <w:t xml:space="preserve"> quant au genre</w:t>
      </w:r>
      <w:r w:rsidR="19178B68" w:rsidRPr="71E733AF">
        <w:t xml:space="preserve">. </w:t>
      </w:r>
    </w:p>
    <w:p w14:paraId="7AAFFF62" w14:textId="3A1944B5" w:rsidR="00EB0AE2" w:rsidRPr="007064EF" w:rsidRDefault="19178B68" w:rsidP="71E733AF">
      <w:r w:rsidRPr="71E733AF">
        <w:t xml:space="preserve">Le guide est structuré </w:t>
      </w:r>
      <w:r w:rsidR="44ECCE83" w:rsidRPr="71E733AF">
        <w:t>en</w:t>
      </w:r>
      <w:r w:rsidRPr="71E733AF">
        <w:t xml:space="preserve"> </w:t>
      </w:r>
      <w:r w:rsidR="03D5DADA" w:rsidRPr="71E733AF">
        <w:t xml:space="preserve">quatre </w:t>
      </w:r>
      <w:r w:rsidRPr="71E733AF">
        <w:t>types de contenus</w:t>
      </w:r>
      <w:r w:rsidR="7B14D2B3" w:rsidRPr="71E733AF">
        <w:t>.</w:t>
      </w:r>
    </w:p>
    <w:p w14:paraId="2730B884" w14:textId="62A84C15" w:rsidR="00EB0AE2" w:rsidRPr="007064EF" w:rsidRDefault="48B8E828" w:rsidP="71E733AF">
      <w:pPr>
        <w:pStyle w:val="Paragraphedeliste"/>
        <w:numPr>
          <w:ilvl w:val="0"/>
          <w:numId w:val="5"/>
        </w:numPr>
      </w:pPr>
      <w:r w:rsidRPr="71E733AF">
        <w:t>Une liste de 2075 formes féminines recommandées</w:t>
      </w:r>
      <w:r w:rsidR="7634A8C3" w:rsidRPr="71E733AF">
        <w:t xml:space="preserve"> (pp. </w:t>
      </w:r>
      <w:r w:rsidR="751DBE4F" w:rsidRPr="71E733AF">
        <w:t>33-95)</w:t>
      </w:r>
      <w:r w:rsidR="32028F15" w:rsidRPr="71E733AF">
        <w:t>.</w:t>
      </w:r>
    </w:p>
    <w:p w14:paraId="6774625F" w14:textId="16DF4498" w:rsidR="00EB0AE2" w:rsidRPr="007064EF" w:rsidRDefault="48B8E828" w:rsidP="71E733AF">
      <w:pPr>
        <w:pStyle w:val="Paragraphedeliste"/>
        <w:numPr>
          <w:ilvl w:val="0"/>
          <w:numId w:val="5"/>
        </w:numPr>
      </w:pPr>
      <w:r w:rsidRPr="71E733AF">
        <w:t xml:space="preserve">Une présentation des recommandations pour </w:t>
      </w:r>
      <w:r w:rsidR="0D3F2FFD" w:rsidRPr="71E733AF">
        <w:t xml:space="preserve">(i) </w:t>
      </w:r>
      <w:r w:rsidRPr="71E733AF">
        <w:t xml:space="preserve">désigner une femme ou un ensemble de </w:t>
      </w:r>
      <w:r w:rsidR="1290E3F8" w:rsidRPr="71E733AF">
        <w:t>femmes ;</w:t>
      </w:r>
      <w:r w:rsidR="34557E61" w:rsidRPr="71E733AF">
        <w:t xml:space="preserve"> (ii) désigner un </w:t>
      </w:r>
      <w:r w:rsidRPr="71E733AF">
        <w:t xml:space="preserve">ensemble mixte comprenant des femmes et des </w:t>
      </w:r>
      <w:r w:rsidR="263491A5" w:rsidRPr="71E733AF">
        <w:t>hommes ;</w:t>
      </w:r>
      <w:r w:rsidRPr="71E733AF">
        <w:t xml:space="preserve"> </w:t>
      </w:r>
      <w:r w:rsidR="5465B09B" w:rsidRPr="71E733AF">
        <w:t>(iii)</w:t>
      </w:r>
      <w:r w:rsidR="00EE4ACD">
        <w:t> </w:t>
      </w:r>
      <w:r w:rsidR="5465B09B" w:rsidRPr="71E733AF">
        <w:t xml:space="preserve">réaliser les accords ou la </w:t>
      </w:r>
      <w:r w:rsidR="0F796575" w:rsidRPr="71E733AF">
        <w:t>reprise pronominale avec les formes doubles</w:t>
      </w:r>
      <w:r w:rsidR="4957A435" w:rsidRPr="71E733AF">
        <w:t xml:space="preserve"> (pp. 7-29)</w:t>
      </w:r>
      <w:r w:rsidR="047427F6" w:rsidRPr="71E733AF">
        <w:t>.</w:t>
      </w:r>
    </w:p>
    <w:p w14:paraId="474983F4" w14:textId="6BDB1AFA" w:rsidR="00EB0AE2" w:rsidRPr="007064EF" w:rsidRDefault="047427F6" w:rsidP="71E733AF">
      <w:pPr>
        <w:pStyle w:val="Paragraphedeliste"/>
        <w:numPr>
          <w:ilvl w:val="0"/>
          <w:numId w:val="5"/>
        </w:numPr>
      </w:pPr>
      <w:r w:rsidRPr="71E733AF">
        <w:t>Un glossaire (pp. 30-32)</w:t>
      </w:r>
    </w:p>
    <w:p w14:paraId="4E14FA50" w14:textId="50735E22" w:rsidR="00EB0AE2" w:rsidRPr="007064EF" w:rsidRDefault="4957A435" w:rsidP="71E733AF">
      <w:pPr>
        <w:pStyle w:val="Paragraphedeliste"/>
        <w:numPr>
          <w:ilvl w:val="0"/>
          <w:numId w:val="5"/>
        </w:numPr>
      </w:pPr>
      <w:r w:rsidRPr="71E733AF">
        <w:t>Des encadrés qui permettent d’éclairer des</w:t>
      </w:r>
      <w:r w:rsidR="1FCCD96A" w:rsidRPr="71E733AF">
        <w:t xml:space="preserve"> recommandations (5 encadrés) </w:t>
      </w:r>
      <w:r w:rsidR="00EE4ACD">
        <w:t>et</w:t>
      </w:r>
      <w:r w:rsidR="1FCCD96A" w:rsidRPr="71E733AF">
        <w:t xml:space="preserve"> </w:t>
      </w:r>
      <w:r w:rsidR="00EE4ACD">
        <w:t xml:space="preserve">des encadrés qui présentent </w:t>
      </w:r>
      <w:r w:rsidR="1FCCD96A" w:rsidRPr="71E733AF">
        <w:t>des</w:t>
      </w:r>
      <w:r w:rsidRPr="71E733AF">
        <w:t xml:space="preserve"> pratiques qui ne sont pas recommandées par le décret, mais qui sont cependant observées dans les usages</w:t>
      </w:r>
      <w:r w:rsidR="00CD103F">
        <w:t xml:space="preserve"> et font partie du débat </w:t>
      </w:r>
      <w:r w:rsidR="00B53C6F">
        <w:t>public</w:t>
      </w:r>
      <w:r w:rsidRPr="71E733AF">
        <w:t xml:space="preserve"> (</w:t>
      </w:r>
      <w:r w:rsidR="76E85209" w:rsidRPr="71E733AF">
        <w:t xml:space="preserve">5 encadrés également). </w:t>
      </w:r>
    </w:p>
    <w:p w14:paraId="7814F864" w14:textId="74EF2F0A" w:rsidR="00DF7285" w:rsidRDefault="0FDAAE5B" w:rsidP="71E733AF">
      <w:r>
        <w:t xml:space="preserve">À côté du guide dans sa version longue, </w:t>
      </w:r>
      <w:r w:rsidR="00EE4ACD">
        <w:t xml:space="preserve">un dépliant de </w:t>
      </w:r>
      <w:r w:rsidR="00CD103F">
        <w:t xml:space="preserve">douze </w:t>
      </w:r>
      <w:r w:rsidR="00EE4ACD">
        <w:t xml:space="preserve">pages </w:t>
      </w:r>
      <w:r>
        <w:t xml:space="preserve">a été publié qui reprend les techniques principales recommandées. </w:t>
      </w:r>
      <w:r w:rsidR="00DF7285">
        <w:t xml:space="preserve">À titre d’exemple, le Tableau 1 reproduit l’éventail des techniques recommandées pour désigner un ensemble mixte composé de femmes et d’hommes. </w:t>
      </w:r>
    </w:p>
    <w:p w14:paraId="58DDB693" w14:textId="28272F34" w:rsidR="00DF7285" w:rsidRDefault="00DF7285" w:rsidP="71E733AF">
      <w:r w:rsidRPr="00DF7285">
        <w:rPr>
          <w:b/>
        </w:rPr>
        <w:t xml:space="preserve">Tableau </w:t>
      </w:r>
      <w:r>
        <w:rPr>
          <w:b/>
        </w:rPr>
        <w:t>1</w:t>
      </w:r>
      <w:r>
        <w:t xml:space="preserve">. Sept techniques pour désigner des groupes mixtes (guide </w:t>
      </w:r>
      <w:r>
        <w:rPr>
          <w:i/>
        </w:rPr>
        <w:t>Quand dire c’est inclure</w:t>
      </w:r>
      <w:r>
        <w:t>, Service de la langue,</w:t>
      </w:r>
      <w:r>
        <w:rPr>
          <w:i/>
        </w:rPr>
        <w:t xml:space="preserve"> </w:t>
      </w:r>
      <w:r>
        <w:t>p. 15)</w:t>
      </w:r>
      <w:r w:rsidRPr="001D301F">
        <w:t xml:space="preserve"> </w:t>
      </w:r>
    </w:p>
    <w:p w14:paraId="7695B3E3" w14:textId="4F44322A" w:rsidR="00DF7285" w:rsidRPr="007064EF" w:rsidRDefault="00DF7285" w:rsidP="00DF7285">
      <w:pPr>
        <w:jc w:val="center"/>
      </w:pPr>
      <w:r>
        <w:rPr>
          <w:noProof/>
          <w:lang w:val="fr-BE" w:eastAsia="fr-BE"/>
        </w:rPr>
        <w:lastRenderedPageBreak/>
        <w:drawing>
          <wp:inline distT="0" distB="0" distL="0" distR="0" wp14:anchorId="064543A3" wp14:editId="2A40778B">
            <wp:extent cx="4962525" cy="3524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62525" cy="3524250"/>
                    </a:xfrm>
                    <a:prstGeom prst="rect">
                      <a:avLst/>
                    </a:prstGeom>
                  </pic:spPr>
                </pic:pic>
              </a:graphicData>
            </a:graphic>
          </wp:inline>
        </w:drawing>
      </w:r>
    </w:p>
    <w:p w14:paraId="686949E3" w14:textId="086B149C" w:rsidR="0FDAAE5B" w:rsidRDefault="0FDAAE5B" w:rsidP="71E733AF">
      <w:r>
        <w:t xml:space="preserve">Dans </w:t>
      </w:r>
      <w:r w:rsidR="00B53C6F">
        <w:t>la suite</w:t>
      </w:r>
      <w:r>
        <w:t xml:space="preserve">, nous présentons les réflexions qui ont été menées au sein du Conseil </w:t>
      </w:r>
      <w:r w:rsidR="783F09C3">
        <w:t xml:space="preserve">pour </w:t>
      </w:r>
      <w:r>
        <w:t xml:space="preserve">aboutir à ces recommandations, en nous arrêtant sur trois aspects qui font polémique </w:t>
      </w:r>
      <w:r w:rsidR="18BE5456">
        <w:t>en Belgique, mais aussi en France</w:t>
      </w:r>
      <w:r>
        <w:t xml:space="preserve"> (voir </w:t>
      </w:r>
      <w:r w:rsidR="3A1B00CB">
        <w:t xml:space="preserve">Benzitoun, Simon &amp; Gygax 2020). </w:t>
      </w:r>
      <w:r w:rsidR="00157A99">
        <w:t xml:space="preserve">Nous insistons sur le fait que le Conseil a continuellement travaillé de manière à obtenir un consensus parmi l’ensemble de ses membres, même si sur certaines pratiques les avis divergeaient considérablement. Ce travail d’argumentation, de débat </w:t>
      </w:r>
      <w:r w:rsidR="00157A99" w:rsidRPr="00161F9C">
        <w:t>constructif et de recherche du bien commun nous semble avoir permis de formuler des recommandations qui sont équilibrées</w:t>
      </w:r>
      <w:r w:rsidR="3038314B" w:rsidRPr="00161F9C">
        <w:t xml:space="preserve"> et au service des usagères et usagers du français</w:t>
      </w:r>
      <w:r w:rsidR="00CD103F" w:rsidRPr="00161F9C">
        <w:t xml:space="preserve"> et </w:t>
      </w:r>
      <w:r w:rsidR="00867F7A" w:rsidRPr="00161F9C">
        <w:t>de la communauté</w:t>
      </w:r>
      <w:r w:rsidR="3038314B" w:rsidRPr="00161F9C">
        <w:t>.</w:t>
      </w:r>
      <w:r w:rsidR="3038314B">
        <w:t xml:space="preserve"> </w:t>
      </w:r>
    </w:p>
    <w:p w14:paraId="7BD7D4E1" w14:textId="0CCAA371" w:rsidR="007064EF" w:rsidRDefault="007064EF" w:rsidP="00EE4ACD">
      <w:pPr>
        <w:pStyle w:val="Titre2"/>
      </w:pPr>
      <w:r>
        <w:t xml:space="preserve">Des </w:t>
      </w:r>
      <w:r w:rsidRPr="007270D3">
        <w:t>formes</w:t>
      </w:r>
      <w:r>
        <w:t xml:space="preserve"> féminines plus visibles</w:t>
      </w:r>
      <w:r w:rsidR="00F226DF">
        <w:t xml:space="preserve"> et </w:t>
      </w:r>
      <w:r w:rsidR="0059715A">
        <w:t>audibles</w:t>
      </w:r>
    </w:p>
    <w:p w14:paraId="6118435D" w14:textId="5AA8DD0F" w:rsidR="04023E4F" w:rsidRDefault="04023E4F" w:rsidP="71E733AF">
      <w:r w:rsidRPr="71E733AF">
        <w:t>La liste</w:t>
      </w:r>
      <w:r w:rsidR="00B53C6F">
        <w:t xml:space="preserve"> des formes féminines</w:t>
      </w:r>
      <w:r w:rsidRPr="71E733AF">
        <w:t xml:space="preserve"> mise à jour</w:t>
      </w:r>
      <w:r w:rsidR="00DF7285">
        <w:t xml:space="preserve"> dans le guide</w:t>
      </w:r>
      <w:r w:rsidR="00B53C6F">
        <w:t xml:space="preserve"> </w:t>
      </w:r>
      <w:r w:rsidR="00B53C6F">
        <w:rPr>
          <w:i/>
        </w:rPr>
        <w:t xml:space="preserve">Quand dire, c’est inclure </w:t>
      </w:r>
      <w:r w:rsidR="00B53C6F">
        <w:t>(</w:t>
      </w:r>
      <w:r w:rsidR="00DF7285">
        <w:t>202</w:t>
      </w:r>
      <w:r w:rsidR="00B53C6F">
        <w:t>4)</w:t>
      </w:r>
      <w:r w:rsidRPr="71E733AF">
        <w:t xml:space="preserve"> compte 2071 entrées, dont 1642 formes inchangées (79%) par rapport à la liste de 2014</w:t>
      </w:r>
      <w:r w:rsidRPr="71E733AF">
        <w:rPr>
          <w:rStyle w:val="Appeldenotedefin"/>
        </w:rPr>
        <w:endnoteReference w:id="10"/>
      </w:r>
      <w:r w:rsidRPr="71E733AF">
        <w:t xml:space="preserve">, 365 ajouts (18%) et 64 formes pour lesquelles le féminin recommandé </w:t>
      </w:r>
      <w:r w:rsidR="6F9DAB8D" w:rsidRPr="71E733AF">
        <w:t xml:space="preserve">a été </w:t>
      </w:r>
      <w:r w:rsidRPr="71E733AF">
        <w:t>modifié (3%)</w:t>
      </w:r>
      <w:r w:rsidR="1DAAA2D9" w:rsidRPr="71E733AF">
        <w:t xml:space="preserve">. </w:t>
      </w:r>
    </w:p>
    <w:p w14:paraId="513FAC49" w14:textId="6EB8EFE0" w:rsidR="60DA8D27" w:rsidRDefault="60DA8D27" w:rsidP="71E733AF">
      <w:pPr>
        <w:rPr>
          <w:i/>
          <w:iCs/>
        </w:rPr>
      </w:pPr>
      <w:r w:rsidRPr="71E733AF">
        <w:t>Les ajouts proviennent de plusieurs sources : le dépouillement des mises à jour de dictionnaire de référence, un article de terminologie des noms de professions (Andreu &amp; Lanckriet</w:t>
      </w:r>
      <w:r w:rsidR="5C3CFC6E" w:rsidRPr="71E733AF">
        <w:t xml:space="preserve"> 2020</w:t>
      </w:r>
      <w:r w:rsidRPr="71E733AF">
        <w:t xml:space="preserve">) et les observations de plusieurs membres du conseil. </w:t>
      </w:r>
      <w:r w:rsidR="1DAAA2D9" w:rsidRPr="71E733AF">
        <w:t xml:space="preserve">Parmi les formes ajoutées, on peut citer </w:t>
      </w:r>
      <w:r w:rsidR="5DB45F22" w:rsidRPr="71E733AF">
        <w:rPr>
          <w:i/>
          <w:iCs/>
        </w:rPr>
        <w:t>escorte, fileuse, femme-orchestre, matinalière, pécheresse</w:t>
      </w:r>
      <w:r w:rsidR="5DB45F22" w:rsidRPr="71E733AF">
        <w:t xml:space="preserve">, </w:t>
      </w:r>
      <w:r w:rsidR="33E4051A" w:rsidRPr="71E733AF">
        <w:t xml:space="preserve">et aussi </w:t>
      </w:r>
      <w:r w:rsidR="33E4051A" w:rsidRPr="71E733AF">
        <w:rPr>
          <w:i/>
          <w:iCs/>
        </w:rPr>
        <w:t xml:space="preserve">un </w:t>
      </w:r>
      <w:r w:rsidR="33E4051A" w:rsidRPr="71E733AF">
        <w:t xml:space="preserve">et </w:t>
      </w:r>
      <w:r w:rsidR="33E4051A" w:rsidRPr="71E733AF">
        <w:rPr>
          <w:i/>
          <w:iCs/>
        </w:rPr>
        <w:t>une sage-femme.</w:t>
      </w:r>
      <w:r w:rsidR="5F692B13" w:rsidRPr="71E733AF">
        <w:rPr>
          <w:i/>
          <w:iCs/>
        </w:rPr>
        <w:t xml:space="preserve"> </w:t>
      </w:r>
      <w:r w:rsidR="5F692B13" w:rsidRPr="71E733AF">
        <w:t>À l’avenir, le Conseil pourrait décider quelle politique d’ajout il souhaite suivre, comme des extractions systématiques à partir de bases de données ou de dictionnaires</w:t>
      </w:r>
      <w:r w:rsidR="00B53C6F">
        <w:t>,</w:t>
      </w:r>
      <w:r w:rsidR="5F692B13" w:rsidRPr="71E733AF">
        <w:t xml:space="preserve"> pour tenir à jour une liste la plus exhaustive possible.</w:t>
      </w:r>
      <w:r w:rsidR="00B53C6F">
        <w:t xml:space="preserve"> Une consultation sous la forme d’une base de données disponible en ligne serait un atout. </w:t>
      </w:r>
    </w:p>
    <w:p w14:paraId="0018BE7E" w14:textId="0781935D" w:rsidR="072E6CF4" w:rsidRDefault="072E6CF4" w:rsidP="71E733AF">
      <w:r>
        <w:lastRenderedPageBreak/>
        <w:t xml:space="preserve">Les modifications de la forme recommandée touchent en majorité des </w:t>
      </w:r>
      <w:r w:rsidR="5E654771">
        <w:t xml:space="preserve">noms </w:t>
      </w:r>
      <w:r>
        <w:t>dont le masculin est</w:t>
      </w:r>
      <w:r w:rsidR="6A685A19">
        <w:t xml:space="preserve"> formé </w:t>
      </w:r>
      <w:r w:rsidR="471CABD3">
        <w:t xml:space="preserve">avec </w:t>
      </w:r>
      <w:r w:rsidR="6A685A19">
        <w:t>le suffixe</w:t>
      </w:r>
      <w:r>
        <w:t xml:space="preserve"> </w:t>
      </w:r>
      <w:r w:rsidR="1E264C63">
        <w:t>-</w:t>
      </w:r>
      <w:r w:rsidRPr="71E733AF">
        <w:rPr>
          <w:i/>
          <w:iCs/>
        </w:rPr>
        <w:t>eur</w:t>
      </w:r>
      <w:r w:rsidRPr="71E733AF">
        <w:t xml:space="preserve">, comme </w:t>
      </w:r>
      <w:r w:rsidRPr="71E733AF">
        <w:rPr>
          <w:i/>
          <w:iCs/>
        </w:rPr>
        <w:t xml:space="preserve">docteur, réviseur </w:t>
      </w:r>
      <w:r w:rsidRPr="71E733AF">
        <w:t xml:space="preserve">ou </w:t>
      </w:r>
      <w:r w:rsidRPr="71E733AF">
        <w:rPr>
          <w:i/>
          <w:iCs/>
        </w:rPr>
        <w:t>auteur</w:t>
      </w:r>
      <w:r w:rsidR="203D8BA6" w:rsidRPr="71E733AF">
        <w:rPr>
          <w:i/>
          <w:iCs/>
        </w:rPr>
        <w:t xml:space="preserve"> </w:t>
      </w:r>
      <w:r w:rsidR="203D8BA6" w:rsidRPr="71E733AF">
        <w:t>(</w:t>
      </w:r>
      <w:r w:rsidR="441747B2" w:rsidRPr="71E733AF">
        <w:t xml:space="preserve">avec </w:t>
      </w:r>
      <w:r w:rsidR="76B8F7F7" w:rsidRPr="71E733AF">
        <w:t>l’emblématique féminin</w:t>
      </w:r>
      <w:r w:rsidR="441747B2" w:rsidRPr="71E733AF">
        <w:t xml:space="preserve"> </w:t>
      </w:r>
      <w:r w:rsidR="203D8BA6" w:rsidRPr="71E733AF">
        <w:rPr>
          <w:i/>
          <w:iCs/>
        </w:rPr>
        <w:t>autrice</w:t>
      </w:r>
      <w:r w:rsidR="203D8BA6" w:rsidRPr="71E733AF">
        <w:t xml:space="preserve">, </w:t>
      </w:r>
      <w:r w:rsidR="2FD05A9C" w:rsidRPr="71E733AF">
        <w:t xml:space="preserve">voir </w:t>
      </w:r>
      <w:r w:rsidR="085B9343" w:rsidRPr="71E733AF">
        <w:t>Evain 2008</w:t>
      </w:r>
      <w:r w:rsidR="203D8BA6" w:rsidRPr="71E733AF">
        <w:t>)</w:t>
      </w:r>
      <w:r w:rsidRPr="71E733AF">
        <w:t xml:space="preserve">. </w:t>
      </w:r>
      <w:r w:rsidR="0F628F28" w:rsidRPr="71E733AF">
        <w:t xml:space="preserve">Pour les formes en </w:t>
      </w:r>
      <w:r w:rsidR="0F628F28" w:rsidRPr="71E733AF">
        <w:rPr>
          <w:i/>
          <w:iCs/>
        </w:rPr>
        <w:t>-eur</w:t>
      </w:r>
      <w:r w:rsidR="3DB7BA0A" w:rsidRPr="71E733AF">
        <w:t>, le guide belge</w:t>
      </w:r>
      <w:r w:rsidR="1D113547" w:rsidRPr="71E733AF">
        <w:t xml:space="preserve"> de 2014 indiquait l</w:t>
      </w:r>
      <w:r w:rsidR="19C47DF6" w:rsidRPr="71E733AF">
        <w:t>a possibilité de former le féminin par un déterminant féminin + nom masculin</w:t>
      </w:r>
      <w:r w:rsidR="3DB7BA0A" w:rsidRPr="71E733AF">
        <w:t xml:space="preserve"> </w:t>
      </w:r>
      <w:r w:rsidR="3DB7BA0A" w:rsidRPr="71E733AF">
        <w:rPr>
          <w:i/>
          <w:iCs/>
        </w:rPr>
        <w:t>(</w:t>
      </w:r>
      <w:r w:rsidR="19A931E1" w:rsidRPr="71E733AF">
        <w:rPr>
          <w:i/>
          <w:iCs/>
        </w:rPr>
        <w:t>la proviseur</w:t>
      </w:r>
      <w:r w:rsidR="3DB7BA0A" w:rsidRPr="71E733AF">
        <w:rPr>
          <w:i/>
          <w:iCs/>
        </w:rPr>
        <w:t>)</w:t>
      </w:r>
      <w:r w:rsidR="0F9B8D82" w:rsidRPr="71E733AF">
        <w:t xml:space="preserve">, même si la forme en </w:t>
      </w:r>
      <w:r w:rsidR="33F5071C" w:rsidRPr="71E733AF">
        <w:rPr>
          <w:i/>
          <w:iCs/>
        </w:rPr>
        <w:t>-</w:t>
      </w:r>
      <w:r w:rsidR="0F9B8D82" w:rsidRPr="71E733AF">
        <w:rPr>
          <w:i/>
          <w:iCs/>
        </w:rPr>
        <w:t>eure</w:t>
      </w:r>
      <w:r w:rsidR="0F9B8D82" w:rsidRPr="71E733AF">
        <w:t xml:space="preserve"> était </w:t>
      </w:r>
      <w:r w:rsidR="1BFFCF8A" w:rsidRPr="71E733AF">
        <w:t>préférée</w:t>
      </w:r>
      <w:r w:rsidR="0F9B8D82" w:rsidRPr="71E733AF">
        <w:t xml:space="preserve"> </w:t>
      </w:r>
      <w:r w:rsidR="0F9B8D82" w:rsidRPr="71E733AF">
        <w:rPr>
          <w:i/>
          <w:iCs/>
        </w:rPr>
        <w:t>(la proviseure)</w:t>
      </w:r>
      <w:r w:rsidR="0F9B8D82" w:rsidRPr="71E733AF">
        <w:t xml:space="preserve">. On sait que ces formes en </w:t>
      </w:r>
      <w:r w:rsidR="677B0AB6" w:rsidRPr="71E733AF">
        <w:t>-</w:t>
      </w:r>
      <w:r w:rsidR="0F9B8D82" w:rsidRPr="71E733AF">
        <w:rPr>
          <w:i/>
          <w:iCs/>
        </w:rPr>
        <w:t>eure</w:t>
      </w:r>
      <w:r w:rsidR="0F9B8D82" w:rsidRPr="71E733AF">
        <w:t xml:space="preserve"> ont été créées au Québec dans les années 1980 pour </w:t>
      </w:r>
      <w:r w:rsidR="13ED60A2" w:rsidRPr="71E733AF">
        <w:t>pallier l’absence de féminin pour certains noms de métier (</w:t>
      </w:r>
      <w:r w:rsidR="13ED60A2" w:rsidRPr="71E733AF">
        <w:rPr>
          <w:i/>
          <w:iCs/>
        </w:rPr>
        <w:t>la professeure, la docteure</w:t>
      </w:r>
      <w:r w:rsidR="13ED60A2" w:rsidRPr="71E733AF">
        <w:t>)</w:t>
      </w:r>
      <w:r w:rsidR="3BCD2E73" w:rsidRPr="71E733AF">
        <w:t>. Elles sont largement passées dans l’usage</w:t>
      </w:r>
      <w:commentRangeStart w:id="1"/>
      <w:commentRangeEnd w:id="1"/>
      <w:r w:rsidR="00106DE3">
        <w:t xml:space="preserve"> (Arbour et al. 2014)</w:t>
      </w:r>
      <w:commentRangeStart w:id="2"/>
      <w:commentRangeEnd w:id="2"/>
      <w:r w:rsidR="3BCD2E73" w:rsidRPr="71E733AF">
        <w:t xml:space="preserve">, même si elles n’ont pas été </w:t>
      </w:r>
      <w:r w:rsidR="13ED60A2" w:rsidRPr="71E733AF">
        <w:t xml:space="preserve">adoubées par des instances </w:t>
      </w:r>
      <w:r w:rsidR="11372B05" w:rsidRPr="71E733AF">
        <w:t xml:space="preserve">conservatrices </w:t>
      </w:r>
      <w:r w:rsidR="13ED60A2" w:rsidRPr="71E733AF">
        <w:t>comme l’Académie française.</w:t>
      </w:r>
    </w:p>
    <w:p w14:paraId="3E10467E" w14:textId="4A42A0C1" w:rsidR="588946CE" w:rsidRDefault="588946CE" w:rsidP="71E733AF">
      <w:pPr>
        <w:rPr>
          <w:i/>
          <w:iCs/>
        </w:rPr>
      </w:pPr>
      <w:r w:rsidRPr="71E733AF">
        <w:t>P</w:t>
      </w:r>
      <w:r w:rsidR="4E077459" w:rsidRPr="71E733AF">
        <w:t xml:space="preserve">our le guide de 2024, </w:t>
      </w:r>
      <w:r w:rsidR="00106DE3">
        <w:t>c</w:t>
      </w:r>
      <w:r w:rsidR="00106DE3" w:rsidRPr="71E733AF">
        <w:t xml:space="preserve">ontrairement à 2014, </w:t>
      </w:r>
      <w:r w:rsidR="00106DE3">
        <w:t>on</w:t>
      </w:r>
      <w:r w:rsidR="00106DE3" w:rsidRPr="71E733AF">
        <w:t xml:space="preserve"> ne mentionne plus la possibilité d’employer une forme comme </w:t>
      </w:r>
      <w:r w:rsidR="00106DE3" w:rsidRPr="71E733AF">
        <w:rPr>
          <w:i/>
          <w:iCs/>
        </w:rPr>
        <w:t xml:space="preserve">la gouverneur </w:t>
      </w:r>
      <w:r w:rsidR="00106DE3" w:rsidRPr="71E733AF">
        <w:t>(déterminant féminin + nom masculin).</w:t>
      </w:r>
      <w:r w:rsidR="00106DE3">
        <w:t xml:space="preserve"> En outre, l</w:t>
      </w:r>
      <w:r w:rsidR="4E077459" w:rsidRPr="71E733AF">
        <w:t>e</w:t>
      </w:r>
      <w:r w:rsidRPr="71E733AF">
        <w:t xml:space="preserve"> Conseil a observé l’évolution des usages et a constaté que certaines formes nouvelles en </w:t>
      </w:r>
      <w:r w:rsidRPr="71E733AF">
        <w:rPr>
          <w:i/>
          <w:iCs/>
        </w:rPr>
        <w:t>-euse</w:t>
      </w:r>
      <w:r w:rsidRPr="71E733AF">
        <w:t xml:space="preserve"> commençai</w:t>
      </w:r>
      <w:r w:rsidR="00106DE3">
        <w:t>en</w:t>
      </w:r>
      <w:r w:rsidRPr="71E733AF">
        <w:t xml:space="preserve">t à se diffuser (ex. </w:t>
      </w:r>
      <w:r w:rsidR="1885A3BC" w:rsidRPr="71E733AF">
        <w:rPr>
          <w:i/>
          <w:iCs/>
        </w:rPr>
        <w:t>la gouverneuse</w:t>
      </w:r>
      <w:r w:rsidRPr="71E733AF">
        <w:t xml:space="preserve">). </w:t>
      </w:r>
      <w:r w:rsidR="2B716FD3" w:rsidRPr="71E733AF">
        <w:t xml:space="preserve">Deux cas de figures se présentent. Lorsque la forme en </w:t>
      </w:r>
      <w:r w:rsidR="30166522" w:rsidRPr="71E733AF">
        <w:t>-</w:t>
      </w:r>
      <w:r w:rsidR="2B716FD3" w:rsidRPr="71E733AF">
        <w:rPr>
          <w:i/>
          <w:iCs/>
        </w:rPr>
        <w:t xml:space="preserve">euse </w:t>
      </w:r>
      <w:r w:rsidR="2B716FD3" w:rsidRPr="71E733AF">
        <w:t xml:space="preserve">est bien diffusée ou enregistrée dans un dictionnaire de référence, elle est recommandée de préférence à la forme en </w:t>
      </w:r>
      <w:r w:rsidR="47FE35C3" w:rsidRPr="71E733AF">
        <w:t>-</w:t>
      </w:r>
      <w:r w:rsidR="2B716FD3" w:rsidRPr="71E733AF">
        <w:rPr>
          <w:i/>
          <w:iCs/>
        </w:rPr>
        <w:t xml:space="preserve">eure (la gouverneuse </w:t>
      </w:r>
      <w:r w:rsidR="2B716FD3" w:rsidRPr="71E733AF">
        <w:t xml:space="preserve">est préféré à </w:t>
      </w:r>
      <w:r w:rsidR="2B716FD3" w:rsidRPr="71E733AF">
        <w:rPr>
          <w:i/>
          <w:iCs/>
        </w:rPr>
        <w:t>la gouverneure</w:t>
      </w:r>
      <w:r w:rsidR="2B716FD3" w:rsidRPr="71E733AF">
        <w:t>)</w:t>
      </w:r>
      <w:r w:rsidR="3854711D" w:rsidRPr="71E733AF">
        <w:rPr>
          <w:i/>
          <w:iCs/>
        </w:rPr>
        <w:t>.</w:t>
      </w:r>
      <w:r w:rsidR="3854711D" w:rsidRPr="71E733AF">
        <w:t xml:space="preserve"> </w:t>
      </w:r>
      <w:r w:rsidR="6D9F79A0" w:rsidRPr="71E733AF">
        <w:t xml:space="preserve">Lorsque la forme en </w:t>
      </w:r>
      <w:r w:rsidR="6D9F79A0" w:rsidRPr="71E733AF">
        <w:rPr>
          <w:i/>
          <w:iCs/>
        </w:rPr>
        <w:t xml:space="preserve">-euse </w:t>
      </w:r>
      <w:r w:rsidR="6D9F79A0" w:rsidRPr="71E733AF">
        <w:t xml:space="preserve">est moins diffusée ou absente des dictionnaires de référence, elle est signalée comme bien formée et disponible à l’usage, sans pour autant être recommandée de manière préférentielle (c’est le cas pour </w:t>
      </w:r>
      <w:r w:rsidR="6D9F79A0" w:rsidRPr="71E733AF">
        <w:rPr>
          <w:i/>
          <w:iCs/>
        </w:rPr>
        <w:t>la proviseuse</w:t>
      </w:r>
      <w:r w:rsidR="6D9F79A0" w:rsidRPr="71E733AF">
        <w:t xml:space="preserve">). Le travail de mise à jour a donc été fait au cas par cas. </w:t>
      </w:r>
      <w:r w:rsidR="59C88A0A" w:rsidRPr="71E733AF">
        <w:t>Mais il tient compte du fait que, si l’on excepte les formes épicènes (n</w:t>
      </w:r>
      <w:r w:rsidR="00106DE3">
        <w:t> </w:t>
      </w:r>
      <w:r w:rsidR="59C88A0A" w:rsidRPr="71E733AF">
        <w:t>=</w:t>
      </w:r>
      <w:r w:rsidR="00106DE3">
        <w:t> </w:t>
      </w:r>
      <w:r w:rsidR="59C88A0A" w:rsidRPr="71E733AF">
        <w:t>644, 31,6</w:t>
      </w:r>
      <w:r w:rsidR="00106DE3">
        <w:t> </w:t>
      </w:r>
      <w:r w:rsidR="59C88A0A" w:rsidRPr="71E733AF">
        <w:t>%</w:t>
      </w:r>
      <w:r w:rsidR="00106DE3">
        <w:t xml:space="preserve"> des formes dans la liste</w:t>
      </w:r>
      <w:r w:rsidR="59C88A0A" w:rsidRPr="71E733AF">
        <w:t xml:space="preserve">), les formes en </w:t>
      </w:r>
      <w:r w:rsidR="71594B70" w:rsidRPr="71E733AF">
        <w:t>-</w:t>
      </w:r>
      <w:r w:rsidR="59C88A0A" w:rsidRPr="71E733AF">
        <w:rPr>
          <w:i/>
          <w:iCs/>
        </w:rPr>
        <w:t>eur/-euse</w:t>
      </w:r>
      <w:r w:rsidR="59C88A0A" w:rsidRPr="71E733AF">
        <w:t xml:space="preserve"> constitue le paradigme le plus fréquent (n = 559) à éga</w:t>
      </w:r>
      <w:r w:rsidR="602F206E" w:rsidRPr="71E733AF">
        <w:t xml:space="preserve">lité avec les formes nécessitant l’ajout d’un -e final (et d’une consonne éventuelle) (n = 569). Tenir compte </w:t>
      </w:r>
      <w:r w:rsidR="65CFC177" w:rsidRPr="71E733AF">
        <w:t xml:space="preserve">du fonctionnement global des paradigmes des formes féminines permet d’aller vers une plus grande régularité des formes proposées et </w:t>
      </w:r>
      <w:r w:rsidR="00106DE3">
        <w:t xml:space="preserve">vers </w:t>
      </w:r>
      <w:r w:rsidR="65CFC177" w:rsidRPr="71E733AF">
        <w:t>des usages plus cohérents (moins d’exceptions). D’autres formes ont vu le féminin recommandé modifié</w:t>
      </w:r>
      <w:r w:rsidR="00DF7285">
        <w:t> </w:t>
      </w:r>
      <w:r w:rsidR="65CFC177" w:rsidRPr="71E733AF">
        <w:t xml:space="preserve">: </w:t>
      </w:r>
      <w:r w:rsidR="3B1AAD0E" w:rsidRPr="71E733AF">
        <w:rPr>
          <w:i/>
          <w:iCs/>
        </w:rPr>
        <w:t xml:space="preserve">autrice </w:t>
      </w:r>
      <w:r w:rsidR="3B1AAD0E" w:rsidRPr="71E733AF">
        <w:t>(qui n’était pas mentionnée en 2014) à côté d</w:t>
      </w:r>
      <w:r w:rsidR="11E7F4B7" w:rsidRPr="71E733AF">
        <w:t>’</w:t>
      </w:r>
      <w:r w:rsidR="3B1AAD0E" w:rsidRPr="71E733AF">
        <w:rPr>
          <w:i/>
          <w:iCs/>
        </w:rPr>
        <w:t xml:space="preserve">auteure, </w:t>
      </w:r>
      <w:r w:rsidR="65CFC177" w:rsidRPr="71E733AF">
        <w:rPr>
          <w:i/>
          <w:iCs/>
        </w:rPr>
        <w:t>mairesse</w:t>
      </w:r>
      <w:r w:rsidR="36074E79" w:rsidRPr="71E733AF">
        <w:rPr>
          <w:i/>
          <w:iCs/>
        </w:rPr>
        <w:t xml:space="preserve"> </w:t>
      </w:r>
      <w:r w:rsidR="36074E79" w:rsidRPr="71E733AF">
        <w:t xml:space="preserve">préféré à </w:t>
      </w:r>
      <w:r w:rsidR="36074E79" w:rsidRPr="71E733AF">
        <w:rPr>
          <w:i/>
          <w:iCs/>
        </w:rPr>
        <w:t>maire</w:t>
      </w:r>
      <w:r w:rsidR="65CFC177" w:rsidRPr="71E733AF">
        <w:rPr>
          <w:i/>
          <w:iCs/>
        </w:rPr>
        <w:t xml:space="preserve">, </w:t>
      </w:r>
      <w:r w:rsidR="5A79C19D" w:rsidRPr="71E733AF">
        <w:rPr>
          <w:i/>
          <w:iCs/>
        </w:rPr>
        <w:t>papesse, cheffe, mentore, séniore</w:t>
      </w:r>
      <w:r w:rsidR="5A79C19D" w:rsidRPr="71E733AF">
        <w:t>, etc.</w:t>
      </w:r>
    </w:p>
    <w:p w14:paraId="3AE99C04" w14:textId="191F4175" w:rsidR="008C7A44" w:rsidRDefault="00F27A19" w:rsidP="008C7A44">
      <w:pPr>
        <w:pStyle w:val="Titre2"/>
      </w:pPr>
      <w:r>
        <w:t>L’emploi de doublets abrégés par un point médian</w:t>
      </w:r>
    </w:p>
    <w:p w14:paraId="70C6C1EE" w14:textId="266B8A9F" w:rsidR="6C6818B9" w:rsidRDefault="6C6818B9" w:rsidP="71E733AF">
      <w:r>
        <w:t>Dans le débat public, voire parlementaire</w:t>
      </w:r>
      <w:r w:rsidRPr="00161F9C">
        <w:t xml:space="preserve">, </w:t>
      </w:r>
      <w:r w:rsidR="00106DE3" w:rsidRPr="00161F9C">
        <w:t>la communication</w:t>
      </w:r>
      <w:r w:rsidR="369EC7AF">
        <w:t xml:space="preserve"> inclusive est souvent à tort </w:t>
      </w:r>
      <w:r w:rsidR="00106DE3">
        <w:t>réduite</w:t>
      </w:r>
      <w:r w:rsidR="369EC7AF">
        <w:t xml:space="preserve"> au point médian</w:t>
      </w:r>
      <w:r w:rsidR="075DAABD">
        <w:t xml:space="preserve"> (Dasinière 2024)</w:t>
      </w:r>
      <w:r w:rsidR="369EC7AF">
        <w:t xml:space="preserve">. </w:t>
      </w:r>
      <w:r w:rsidR="1AEFFF44">
        <w:t>Il est vrai que le point médian est une innovation</w:t>
      </w:r>
      <w:r w:rsidR="4BE4F430">
        <w:t xml:space="preserve"> typographique</w:t>
      </w:r>
      <w:r w:rsidR="1AEFFF44">
        <w:t xml:space="preserve"> liée à</w:t>
      </w:r>
      <w:r w:rsidR="00CF3029">
        <w:t xml:space="preserve"> </w:t>
      </w:r>
      <w:r w:rsidR="653B08D7">
        <w:t xml:space="preserve">l’écriture inclusive, les deux termes se diffusant massivement </w:t>
      </w:r>
      <w:r w:rsidR="72828D3F">
        <w:t>à partir de</w:t>
      </w:r>
      <w:r w:rsidR="653B08D7">
        <w:t xml:space="preserve"> 2015-2017</w:t>
      </w:r>
      <w:r w:rsidR="6BC1988B">
        <w:t xml:space="preserve"> et faisant l’objet d’un certain nombre de polémiques (Elmiger 20</w:t>
      </w:r>
      <w:r w:rsidR="1FFD476F">
        <w:t>21</w:t>
      </w:r>
      <w:r w:rsidR="6BC1988B">
        <w:t>)</w:t>
      </w:r>
      <w:r w:rsidR="653B08D7">
        <w:t xml:space="preserve">. </w:t>
      </w:r>
    </w:p>
    <w:p w14:paraId="4CEC7106" w14:textId="24AF90EB" w:rsidR="1B9EFE2B" w:rsidRDefault="1B9EFE2B" w:rsidP="71E733AF">
      <w:r>
        <w:t xml:space="preserve">Le point médian est loin d’être le seul signe typographique utilisé pour abréger des doublets complets comme </w:t>
      </w:r>
      <w:r w:rsidRPr="71E733AF">
        <w:rPr>
          <w:i/>
          <w:iCs/>
        </w:rPr>
        <w:t xml:space="preserve">des collaborateurs et des collaboratrices </w:t>
      </w:r>
      <w:r w:rsidRPr="71E733AF">
        <w:t xml:space="preserve">dans une forme graphique </w:t>
      </w:r>
      <w:r w:rsidR="3F78BA37" w:rsidRPr="71E733AF">
        <w:t xml:space="preserve">plus courte et plus intégrée. Elmiger (2022) illustre une dizaine de manière différentes d’abréger ce doublet, dont l’usage du point </w:t>
      </w:r>
      <w:r w:rsidR="2DBC23F9" w:rsidRPr="71E733AF">
        <w:t>médian :</w:t>
      </w:r>
      <w:r w:rsidR="3F78BA37" w:rsidRPr="71E733AF">
        <w:t xml:space="preserve"> </w:t>
      </w:r>
      <w:r w:rsidR="3F78BA37" w:rsidRPr="71E733AF">
        <w:rPr>
          <w:i/>
          <w:iCs/>
        </w:rPr>
        <w:t>collaborateurs·rice·s</w:t>
      </w:r>
      <w:r w:rsidR="3F78BA37" w:rsidRPr="71E733AF">
        <w:t>.</w:t>
      </w:r>
      <w:r w:rsidR="59BE91F3" w:rsidRPr="71E733AF">
        <w:t xml:space="preserve"> L’avantage de ce signe typographique, si on le compare au tiret, à la parenthèse, à </w:t>
      </w:r>
      <w:r w:rsidR="578DADBF" w:rsidRPr="71E733AF">
        <w:t xml:space="preserve">la barre </w:t>
      </w:r>
      <w:r w:rsidR="693C0AE3" w:rsidRPr="71E733AF">
        <w:t>oblique, à</w:t>
      </w:r>
      <w:r w:rsidR="59BE91F3" w:rsidRPr="71E733AF">
        <w:t xml:space="preserve"> l’apostrophe ou au point, </w:t>
      </w:r>
      <w:r w:rsidR="2A51E51B" w:rsidRPr="71E733AF">
        <w:t xml:space="preserve">utilisés seuls ou en combinaison, </w:t>
      </w:r>
      <w:r w:rsidR="59BE91F3" w:rsidRPr="71E733AF">
        <w:t xml:space="preserve">est qu’il ne remplit pas d’autre fonction dans </w:t>
      </w:r>
      <w:r w:rsidR="00CF3029">
        <w:t>le système typographique</w:t>
      </w:r>
      <w:r w:rsidR="59BE91F3" w:rsidRPr="71E733AF">
        <w:t xml:space="preserve"> du français. </w:t>
      </w:r>
    </w:p>
    <w:p w14:paraId="251011C9" w14:textId="1BC3314C" w:rsidR="1B9EFE2B" w:rsidRDefault="1B9EFE2B" w:rsidP="71E733AF">
      <w:r>
        <w:t>L</w:t>
      </w:r>
      <w:r w:rsidR="7F36718C">
        <w:t>es premières occurrences du point médian remontent au début des années 2000 et on trouve déjà à cette date des « règles d’écriture des doublets sous forme tronquée » (Larivière 2000 : 77-78</w:t>
      </w:r>
      <w:r w:rsidR="65622236">
        <w:t>, cité par Elmiger 202</w:t>
      </w:r>
      <w:r w:rsidR="1B409F4E">
        <w:t>2</w:t>
      </w:r>
      <w:r w:rsidR="7F36718C">
        <w:t>)</w:t>
      </w:r>
      <w:r w:rsidR="3184C62F">
        <w:t>.</w:t>
      </w:r>
      <w:r w:rsidR="7500D367">
        <w:t xml:space="preserve"> Ce qui caractérise </w:t>
      </w:r>
      <w:r w:rsidR="02E2F59A">
        <w:t>l</w:t>
      </w:r>
      <w:r w:rsidR="23142718">
        <w:t>’</w:t>
      </w:r>
      <w:r w:rsidR="7500D367">
        <w:t>emploi</w:t>
      </w:r>
      <w:r w:rsidR="13856D67">
        <w:t xml:space="preserve"> du point médian</w:t>
      </w:r>
      <w:r w:rsidR="7500D367">
        <w:t>, c’est une grande variabilité dans la manière de réaliser les coupes (sur une base syllabique, morphologique, etc.)</w:t>
      </w:r>
      <w:r w:rsidR="2ED849C1">
        <w:t xml:space="preserve"> et</w:t>
      </w:r>
      <w:r w:rsidR="7500D367">
        <w:t xml:space="preserve"> de </w:t>
      </w:r>
      <w:r w:rsidR="351B3D5F">
        <w:t xml:space="preserve">séparer </w:t>
      </w:r>
      <w:r w:rsidR="351B3D5F">
        <w:lastRenderedPageBreak/>
        <w:t>ou non</w:t>
      </w:r>
      <w:r w:rsidR="7500D367">
        <w:t xml:space="preserve"> les suffixes </w:t>
      </w:r>
      <w:r w:rsidR="1C9D4B5C">
        <w:t>d</w:t>
      </w:r>
      <w:r w:rsidR="7500D367">
        <w:t>e genre d</w:t>
      </w:r>
      <w:r w:rsidR="27887454">
        <w:t xml:space="preserve">e celui </w:t>
      </w:r>
      <w:r w:rsidR="208A11E9">
        <w:t xml:space="preserve">marquant </w:t>
      </w:r>
      <w:r w:rsidR="4B046AF3">
        <w:t>le pluriel (</w:t>
      </w:r>
      <w:r w:rsidR="5583EF60" w:rsidRPr="71E733AF">
        <w:rPr>
          <w:i/>
          <w:iCs/>
        </w:rPr>
        <w:t>-s</w:t>
      </w:r>
      <w:r w:rsidR="5583EF60">
        <w:t xml:space="preserve">, </w:t>
      </w:r>
      <w:r w:rsidR="4B046AF3">
        <w:t>le cas échéant)</w:t>
      </w:r>
      <w:r w:rsidR="64805D24">
        <w:t xml:space="preserve"> (voir Elmiger 2022 pour une réflexion approfondie sur cette variabilité). </w:t>
      </w:r>
    </w:p>
    <w:p w14:paraId="67FB6345" w14:textId="7403A308" w:rsidR="5C5303F0" w:rsidRDefault="5C5303F0" w:rsidP="71E733AF">
      <w:r>
        <w:t xml:space="preserve">Le guide </w:t>
      </w:r>
      <w:r w:rsidRPr="71E733AF">
        <w:rPr>
          <w:i/>
          <w:iCs/>
        </w:rPr>
        <w:t>Quand dire, c’est inclure</w:t>
      </w:r>
      <w:r w:rsidR="00CF3029">
        <w:rPr>
          <w:i/>
          <w:iCs/>
        </w:rPr>
        <w:t xml:space="preserve"> </w:t>
      </w:r>
      <w:r w:rsidR="00CF3029">
        <w:rPr>
          <w:iCs/>
        </w:rPr>
        <w:t>(2024)</w:t>
      </w:r>
      <w:r w:rsidRPr="71E733AF">
        <w:rPr>
          <w:i/>
          <w:iCs/>
        </w:rPr>
        <w:t xml:space="preserve"> </w:t>
      </w:r>
      <w:r w:rsidRPr="71E733AF">
        <w:t xml:space="preserve">a suivi le décret pour recommander une utilisation très parcimonieuse et limitée du point médian. </w:t>
      </w:r>
      <w:r w:rsidR="6D7D2EF2" w:rsidRPr="71E733AF">
        <w:t>Partant du principe qu’il s’agit d’un signe abréviatif, les doublets abrégés ne sont recommandés que lorsqu’une limitation de l’espace graphique disponible l’exige, comme dans un tableau</w:t>
      </w:r>
      <w:r w:rsidR="15074BC6" w:rsidRPr="71E733AF">
        <w:t>, un tweet, un graphique ou une affiche</w:t>
      </w:r>
      <w:r w:rsidR="6D7D2EF2" w:rsidRPr="71E733AF">
        <w:t xml:space="preserve">. Dans cet usage, le point médian </w:t>
      </w:r>
      <w:r w:rsidR="00CF3029">
        <w:t>est moins susceptible d’être perçu</w:t>
      </w:r>
      <w:r w:rsidR="6D7D2EF2" w:rsidRPr="71E733AF">
        <w:t xml:space="preserve"> dans sa vale</w:t>
      </w:r>
      <w:r w:rsidR="533637EF" w:rsidRPr="71E733AF">
        <w:t>ur militante ou innovante, qui génère des clivages entre l</w:t>
      </w:r>
      <w:r w:rsidR="7CF2583D" w:rsidRPr="71E733AF">
        <w:t>es francophones</w:t>
      </w:r>
      <w:r w:rsidR="533637EF" w:rsidRPr="71E733AF">
        <w:t xml:space="preserve">. </w:t>
      </w:r>
    </w:p>
    <w:p w14:paraId="6865CEA5" w14:textId="2901C152" w:rsidR="533637EF" w:rsidRDefault="00CF3029" w:rsidP="71E733AF">
      <w:r>
        <w:t>En outre</w:t>
      </w:r>
      <w:r w:rsidR="533637EF" w:rsidRPr="71E733AF">
        <w:t xml:space="preserve">, </w:t>
      </w:r>
      <w:r w:rsidR="770FF3FB" w:rsidRPr="71E733AF">
        <w:t>le Conseil</w:t>
      </w:r>
      <w:r w:rsidR="533637EF" w:rsidRPr="71E733AF">
        <w:t xml:space="preserve"> </w:t>
      </w:r>
      <w:r>
        <w:t>a tenu</w:t>
      </w:r>
      <w:r w:rsidRPr="71E733AF">
        <w:t xml:space="preserve"> </w:t>
      </w:r>
      <w:r w:rsidR="533637EF" w:rsidRPr="71E733AF">
        <w:t>compte de cr</w:t>
      </w:r>
      <w:r w:rsidR="0C2F51D2" w:rsidRPr="71E733AF">
        <w:t xml:space="preserve">aintes souvent exprimées selon lesquelles le point médian pourrait entraver </w:t>
      </w:r>
      <w:r w:rsidR="533637EF" w:rsidRPr="71E733AF">
        <w:t>la lisibilité</w:t>
      </w:r>
      <w:r w:rsidR="7D768A5F" w:rsidRPr="71E733AF">
        <w:t xml:space="preserve">, même si ces craintes ne sont pas </w:t>
      </w:r>
      <w:r>
        <w:t xml:space="preserve">toujours </w:t>
      </w:r>
      <w:r w:rsidR="7D768A5F" w:rsidRPr="71E733AF">
        <w:t xml:space="preserve">confirmées par les études expérimentales de lecture du point médian (Liénardy, Tibblin, Gygax &amp; Simon 2023). </w:t>
      </w:r>
      <w:r>
        <w:t xml:space="preserve">Dans le guide, le Conseil </w:t>
      </w:r>
      <w:r w:rsidR="00BF1693">
        <w:t>donne des recommandations pour :</w:t>
      </w:r>
    </w:p>
    <w:p w14:paraId="0268D45F" w14:textId="6BB79267" w:rsidR="4D459A93" w:rsidRDefault="4D459A93" w:rsidP="71E733AF">
      <w:pPr>
        <w:pStyle w:val="Paragraphedeliste"/>
        <w:numPr>
          <w:ilvl w:val="0"/>
          <w:numId w:val="4"/>
        </w:numPr>
      </w:pPr>
      <w:r w:rsidRPr="71E733AF">
        <w:t xml:space="preserve">utiliser le point médian sans entraver la lisibilité d’un texte (p. 17) en </w:t>
      </w:r>
      <w:r w:rsidR="0E380DA9" w:rsidRPr="71E733AF">
        <w:t xml:space="preserve">tenant compte </w:t>
      </w:r>
      <w:r w:rsidRPr="71E733AF">
        <w:t xml:space="preserve">des types de morphèmes utilisés pour former le féminin (addition d’un -e ou </w:t>
      </w:r>
      <w:r w:rsidR="3F479E36" w:rsidRPr="71E733AF">
        <w:t>alternance entre deux suffixes)</w:t>
      </w:r>
      <w:r w:rsidR="2706BB84" w:rsidRPr="71E733AF">
        <w:t xml:space="preserve"> et de la présence ou non de lettres accentuées (ex. </w:t>
      </w:r>
      <w:r w:rsidR="2706BB84" w:rsidRPr="71E733AF">
        <w:rPr>
          <w:i/>
          <w:iCs/>
        </w:rPr>
        <w:t>cher et chère</w:t>
      </w:r>
      <w:r w:rsidR="2706BB84" w:rsidRPr="71E733AF">
        <w:t>)</w:t>
      </w:r>
      <w:r w:rsidR="00FB29F8">
        <w:rPr>
          <w:rStyle w:val="Appeldenotedefin"/>
        </w:rPr>
        <w:endnoteReference w:id="11"/>
      </w:r>
      <w:r w:rsidR="2706BB84" w:rsidRPr="71E733AF">
        <w:t xml:space="preserve"> ;</w:t>
      </w:r>
      <w:r w:rsidRPr="71E733AF">
        <w:t xml:space="preserve"> </w:t>
      </w:r>
    </w:p>
    <w:p w14:paraId="3083396B" w14:textId="2016134D" w:rsidR="4D459A93" w:rsidRDefault="4D459A93" w:rsidP="71E733AF">
      <w:pPr>
        <w:pStyle w:val="Paragraphedeliste"/>
        <w:numPr>
          <w:ilvl w:val="0"/>
          <w:numId w:val="4"/>
        </w:numPr>
      </w:pPr>
      <w:r w:rsidRPr="71E733AF">
        <w:t>oraliser les abréviations</w:t>
      </w:r>
      <w:r w:rsidR="00CF3029">
        <w:t xml:space="preserve"> écrites</w:t>
      </w:r>
      <w:r w:rsidRPr="71E733AF">
        <w:t xml:space="preserve"> formées avec le point médian (p. 18</w:t>
      </w:r>
      <w:r w:rsidR="56D85F9C" w:rsidRPr="71E733AF">
        <w:t>) ;</w:t>
      </w:r>
      <w:r w:rsidRPr="71E733AF">
        <w:t xml:space="preserve"> </w:t>
      </w:r>
    </w:p>
    <w:p w14:paraId="30A21655" w14:textId="13540AEA" w:rsidR="0D62F546" w:rsidRDefault="0D62F546" w:rsidP="71E733AF">
      <w:pPr>
        <w:pStyle w:val="Paragraphedeliste"/>
        <w:numPr>
          <w:ilvl w:val="0"/>
          <w:numId w:val="4"/>
        </w:numPr>
      </w:pPr>
      <w:r w:rsidRPr="71E733AF">
        <w:t>éviter les s</w:t>
      </w:r>
      <w:r w:rsidR="575C91BE" w:rsidRPr="71E733AF">
        <w:t xml:space="preserve">équences </w:t>
      </w:r>
      <w:r w:rsidRPr="71E733AF">
        <w:t>de mots</w:t>
      </w:r>
      <w:r w:rsidR="0DC51782" w:rsidRPr="71E733AF">
        <w:t xml:space="preserve"> contigus</w:t>
      </w:r>
      <w:r w:rsidRPr="71E733AF">
        <w:t xml:space="preserve"> abrégés par des points médians (typiquement déterminant + nom + adjectif </w:t>
      </w:r>
      <w:r w:rsidR="0351E5E6" w:rsidRPr="71E733AF">
        <w:t>/</w:t>
      </w:r>
      <w:r w:rsidRPr="71E733AF">
        <w:t xml:space="preserve"> participe passé) grâce à des recommandations concernant les accords (p. 23 et p. </w:t>
      </w:r>
      <w:r w:rsidR="29E1D78F" w:rsidRPr="71E733AF">
        <w:t>25</w:t>
      </w:r>
      <w:r w:rsidR="00CF3029">
        <w:t> ;</w:t>
      </w:r>
      <w:r w:rsidR="00CF3029" w:rsidRPr="71E733AF">
        <w:t xml:space="preserve"> </w:t>
      </w:r>
      <w:r w:rsidR="29E1D78F" w:rsidRPr="71E733AF">
        <w:t>voir section 5.1 de la présente contribution)</w:t>
      </w:r>
      <w:r w:rsidR="00BF1693">
        <w:t>.</w:t>
      </w:r>
    </w:p>
    <w:p w14:paraId="4D19083B" w14:textId="63E68BEA" w:rsidR="123964BE" w:rsidRDefault="123964BE" w:rsidP="71E733AF">
      <w:r w:rsidRPr="71E733AF">
        <w:t>Ce faisant, le Conseil continue d’appliquer le principe pédagogique selon lequel les personnes qui rédigent des textes</w:t>
      </w:r>
      <w:r w:rsidR="41F6CB17" w:rsidRPr="71E733AF">
        <w:t>, une fois bien informées,</w:t>
      </w:r>
      <w:r w:rsidRPr="71E733AF">
        <w:t xml:space="preserve"> œuvreront à trouver le meilleur équilibre possible entre équité entre les genres et lisibilité du texte. </w:t>
      </w:r>
    </w:p>
    <w:p w14:paraId="10410616" w14:textId="0480D454" w:rsidR="00EB0AE2" w:rsidRDefault="00F27A19" w:rsidP="00A453AE">
      <w:pPr>
        <w:pStyle w:val="Titre2"/>
      </w:pPr>
      <w:r>
        <w:t xml:space="preserve">L’emploi du masculin </w:t>
      </w:r>
      <w:r w:rsidR="006016F6">
        <w:t>dans son acception</w:t>
      </w:r>
      <w:r>
        <w:t xml:space="preserve"> dite </w:t>
      </w:r>
      <w:r w:rsidRPr="2C81A273">
        <w:rPr>
          <w:i/>
          <w:iCs/>
        </w:rPr>
        <w:t>générique</w:t>
      </w:r>
      <w:r>
        <w:t xml:space="preserve"> </w:t>
      </w:r>
    </w:p>
    <w:p w14:paraId="41ACCF74" w14:textId="07B32560" w:rsidR="00DF7285" w:rsidRDefault="16E2B444" w:rsidP="00EB0AE2">
      <w:r>
        <w:t>L’acception dite générique du masculin veut que ce genre grammatical puisse être utilisé pour renvoyer à des ensemble mixtes composés de femmes et d’hommes</w:t>
      </w:r>
      <w:r w:rsidR="1B1016CF">
        <w:t xml:space="preserve"> (ex. </w:t>
      </w:r>
      <w:r w:rsidR="1B1016CF" w:rsidRPr="71E733AF">
        <w:rPr>
          <w:i/>
          <w:iCs/>
        </w:rPr>
        <w:t>les citoyens</w:t>
      </w:r>
      <w:r w:rsidR="1B1016CF">
        <w:t>)</w:t>
      </w:r>
      <w:r>
        <w:t xml:space="preserve"> ou à une personne dont le genre est indéterminé</w:t>
      </w:r>
      <w:r w:rsidR="08E4B7E7">
        <w:t xml:space="preserve"> ou inconnu</w:t>
      </w:r>
      <w:r>
        <w:t xml:space="preserve"> (ex. </w:t>
      </w:r>
      <w:r w:rsidR="39846919" w:rsidRPr="71E733AF">
        <w:rPr>
          <w:i/>
          <w:iCs/>
        </w:rPr>
        <w:t>o</w:t>
      </w:r>
      <w:r w:rsidRPr="71E733AF">
        <w:rPr>
          <w:i/>
          <w:iCs/>
        </w:rPr>
        <w:t xml:space="preserve">n désignera un avocat pour </w:t>
      </w:r>
      <w:r w:rsidR="00CF3029">
        <w:rPr>
          <w:i/>
          <w:iCs/>
        </w:rPr>
        <w:t>la défense</w:t>
      </w:r>
      <w:r w:rsidRPr="71E733AF">
        <w:t>).</w:t>
      </w:r>
      <w:r w:rsidR="1A0EE2E9" w:rsidRPr="71E733AF">
        <w:t xml:space="preserve"> </w:t>
      </w:r>
      <w:r w:rsidR="300A5D8D">
        <w:t xml:space="preserve">La recommandation d’utiliser ou non le masculin dans son acception </w:t>
      </w:r>
      <w:r w:rsidR="00DF7285">
        <w:t xml:space="preserve">dite </w:t>
      </w:r>
      <w:r w:rsidR="300A5D8D">
        <w:t>générique est un point clivant entre les guides de rédaction ou de langage inclusif</w:t>
      </w:r>
      <w:r w:rsidR="00CF3029">
        <w:t>s</w:t>
      </w:r>
      <w:r w:rsidR="300A5D8D">
        <w:t xml:space="preserve">. </w:t>
      </w:r>
    </w:p>
    <w:p w14:paraId="5D5E5389" w14:textId="061B9864" w:rsidR="00EB0AE2" w:rsidRDefault="00DF7285" w:rsidP="00EB0AE2">
      <w:r>
        <w:t xml:space="preserve">Au cours de ses réflexions, le Conseil a été amené à distinguer cet usage du masculin pour le lexique, d’une part, </w:t>
      </w:r>
      <w:r w:rsidR="00CF3029">
        <w:t xml:space="preserve">et </w:t>
      </w:r>
      <w:r>
        <w:t>pour la grammaire, d’autre part. En effet, une chose est d’utiliser le masculin dans son acception dite générique pour désigner des personnes (ex. 1). Et une autre est de l’utiliser pour réaliser des accords avec des doublets complets (ex. 2)</w:t>
      </w:r>
      <w:r>
        <w:rPr>
          <w:i/>
        </w:rPr>
        <w:t xml:space="preserve">. </w:t>
      </w:r>
    </w:p>
    <w:p w14:paraId="7C4808AF" w14:textId="6A3A39A0" w:rsidR="00DF7285" w:rsidRDefault="0071084C" w:rsidP="0071084C">
      <w:pPr>
        <w:pStyle w:val="Exemple"/>
      </w:pPr>
      <w:r>
        <w:t xml:space="preserve">(1) </w:t>
      </w:r>
      <w:r w:rsidR="00DF7285">
        <w:rPr>
          <w:i/>
        </w:rPr>
        <w:t xml:space="preserve">des </w:t>
      </w:r>
      <w:r w:rsidR="00DF7285" w:rsidRPr="00DF7285">
        <w:rPr>
          <w:b/>
          <w:i/>
        </w:rPr>
        <w:t>députés</w:t>
      </w:r>
      <w:r w:rsidR="00DF7285">
        <w:rPr>
          <w:i/>
        </w:rPr>
        <w:t xml:space="preserve"> </w:t>
      </w:r>
      <w:r w:rsidR="00DF7285">
        <w:t xml:space="preserve">(employé pour désigner </w:t>
      </w:r>
      <w:r w:rsidR="00DF7285">
        <w:rPr>
          <w:i/>
        </w:rPr>
        <w:t>des député</w:t>
      </w:r>
      <w:r w:rsidR="00D02853">
        <w:rPr>
          <w:i/>
        </w:rPr>
        <w:t>e</w:t>
      </w:r>
      <w:r w:rsidR="00DF7285">
        <w:rPr>
          <w:i/>
        </w:rPr>
        <w:t xml:space="preserve">s et des députés </w:t>
      </w:r>
      <w:r w:rsidR="00DF7285">
        <w:t>= masculin à fonction référentielle dans une acception générique)</w:t>
      </w:r>
    </w:p>
    <w:p w14:paraId="2645351A" w14:textId="452587F1" w:rsidR="00DF7285" w:rsidRPr="00DF7285" w:rsidRDefault="0071084C" w:rsidP="0071084C">
      <w:pPr>
        <w:pStyle w:val="Exemple"/>
      </w:pPr>
      <w:r>
        <w:t xml:space="preserve">(2) </w:t>
      </w:r>
      <w:r w:rsidR="00DF7285">
        <w:rPr>
          <w:i/>
        </w:rPr>
        <w:t xml:space="preserve">des députées et des députés </w:t>
      </w:r>
      <w:r w:rsidR="00DF7285" w:rsidRPr="00DF7285">
        <w:rPr>
          <w:b/>
          <w:i/>
        </w:rPr>
        <w:t>engagés</w:t>
      </w:r>
      <w:r w:rsidR="00DF7285">
        <w:rPr>
          <w:i/>
        </w:rPr>
        <w:t xml:space="preserve"> pour défendre cette cause </w:t>
      </w:r>
      <w:r w:rsidR="00DF7285">
        <w:t>(accord au masculin = masculin à valeur générique dans un accord)</w:t>
      </w:r>
    </w:p>
    <w:p w14:paraId="5108D716" w14:textId="04A951EF" w:rsidR="00DF7285" w:rsidRDefault="00DF7285" w:rsidP="71E733AF">
      <w:r>
        <w:t xml:space="preserve">À la connaissance </w:t>
      </w:r>
      <w:r w:rsidR="00CF3029">
        <w:t xml:space="preserve">des membres du </w:t>
      </w:r>
      <w:r>
        <w:t>Conseil, les études de psycholinguistiques</w:t>
      </w:r>
      <w:r w:rsidR="00F74D15">
        <w:t xml:space="preserve"> portant sur l’interprétation du masculin générique se sont intéressées aux noms, et pas aux éléments accordés avec le nom (déterminants, adjectifs, participes passés). Cette distinction entre lexique et </w:t>
      </w:r>
      <w:r w:rsidR="00F74D15">
        <w:lastRenderedPageBreak/>
        <w:t xml:space="preserve">grammaire a amené le Conseil </w:t>
      </w:r>
      <w:r w:rsidR="00137A3D">
        <w:t>à</w:t>
      </w:r>
      <w:r w:rsidR="00F74D15">
        <w:t xml:space="preserve"> nuanc</w:t>
      </w:r>
      <w:r w:rsidR="00137A3D">
        <w:t>er</w:t>
      </w:r>
      <w:r w:rsidR="00F74D15">
        <w:t xml:space="preserve"> ses recommandations (voir ci-dessous pour ce qui concerne le lexique et voir sections 5.1 et 5.2 pour ce qui concerne les accords). </w:t>
      </w:r>
    </w:p>
    <w:p w14:paraId="32FB37C3" w14:textId="63D37BA1" w:rsidR="2CBE73F3" w:rsidRDefault="00F74D15" w:rsidP="71E733AF">
      <w:r>
        <w:t>En effet, l</w:t>
      </w:r>
      <w:r w:rsidR="2CBE73F3">
        <w:t xml:space="preserve">e Conseil a tenu compte d’une série d’études </w:t>
      </w:r>
      <w:r w:rsidR="095AB0EF">
        <w:t>en psycholinguistiques (</w:t>
      </w:r>
      <w:r>
        <w:t xml:space="preserve">voir </w:t>
      </w:r>
      <w:r w:rsidR="095AB0EF">
        <w:t>Liénardy et al. 2023</w:t>
      </w:r>
      <w:r>
        <w:t xml:space="preserve"> pour la plus récente</w:t>
      </w:r>
      <w:r w:rsidR="095AB0EF">
        <w:t>)</w:t>
      </w:r>
      <w:r w:rsidR="2CBE73F3">
        <w:t xml:space="preserve"> </w:t>
      </w:r>
      <w:r w:rsidR="2CBE73F3" w:rsidRPr="00C07EB8">
        <w:t>qui ont montré que l’emploi de noms masculin</w:t>
      </w:r>
      <w:r w:rsidR="062E824A" w:rsidRPr="00C07EB8">
        <w:t>s pour désigner des personnes</w:t>
      </w:r>
      <w:r w:rsidR="2CBE73F3" w:rsidRPr="00C07EB8">
        <w:t xml:space="preserve"> activait préférentiellement</w:t>
      </w:r>
      <w:r w:rsidR="00C07EB8">
        <w:t>, dans certains contextes,</w:t>
      </w:r>
      <w:r w:rsidR="2CBE73F3" w:rsidRPr="00C07EB8">
        <w:t xml:space="preserve"> des représentations mentales d’hommes</w:t>
      </w:r>
      <w:r w:rsidR="00C07EB8">
        <w:t>,</w:t>
      </w:r>
      <w:r w:rsidR="43609A80" w:rsidRPr="00C07EB8">
        <w:t xml:space="preserve"> au détriment de représentations mentales de </w:t>
      </w:r>
      <w:r w:rsidR="2CBE73F3" w:rsidRPr="00C07EB8">
        <w:t>groupes mixtes composés de femmes et d’hommes</w:t>
      </w:r>
      <w:r w:rsidR="3223D671" w:rsidRPr="00C07EB8">
        <w:t>.</w:t>
      </w:r>
      <w:r w:rsidR="3223D671">
        <w:t xml:space="preserve"> En outre, d’autres études ont montré </w:t>
      </w:r>
      <w:r w:rsidR="14A277AF">
        <w:t>que, lorsqu’</w:t>
      </w:r>
      <w:r w:rsidR="00C21710">
        <w:t>on</w:t>
      </w:r>
      <w:r w:rsidR="14A277AF">
        <w:t xml:space="preserve"> présente des</w:t>
      </w:r>
      <w:r w:rsidR="51925B29">
        <w:t xml:space="preserve"> noms de</w:t>
      </w:r>
      <w:r w:rsidR="14A277AF">
        <w:t xml:space="preserve"> professions, les jeunes femmes se sentent moins compétentes et moins motivées à entreprendre les études</w:t>
      </w:r>
      <w:r w:rsidR="5CACB6A2">
        <w:t xml:space="preserve"> qui conduisent à ces professions</w:t>
      </w:r>
      <w:r w:rsidR="14A277AF">
        <w:t xml:space="preserve"> lorsque les noms sont présentés au masculin uniquement (</w:t>
      </w:r>
      <w:r w:rsidR="7A5B80AB">
        <w:t xml:space="preserve">Chattard-Panetier et al. </w:t>
      </w:r>
      <w:r w:rsidR="5777A242">
        <w:t>2005</w:t>
      </w:r>
      <w:r w:rsidR="14A277AF">
        <w:t xml:space="preserve">). </w:t>
      </w:r>
      <w:r w:rsidR="2CBE73F3">
        <w:t xml:space="preserve"> </w:t>
      </w:r>
    </w:p>
    <w:p w14:paraId="171FA6D7" w14:textId="53A15ECD" w:rsidR="00C07EB8" w:rsidRDefault="00C07EB8" w:rsidP="2C81A273">
      <w:r>
        <w:t>Tenant compte de ces résultats et du paradigme scientifique dans lequel ils ont été produits</w:t>
      </w:r>
      <w:r w:rsidRPr="00C07EB8">
        <w:rPr>
          <w:rStyle w:val="Appeldenotedefin"/>
        </w:rPr>
        <w:endnoteReference w:id="12"/>
      </w:r>
      <w:r>
        <w:t xml:space="preserve">, </w:t>
      </w:r>
      <w:r w:rsidR="00137A3D">
        <w:t>l</w:t>
      </w:r>
      <w:r w:rsidR="0797761E">
        <w:t xml:space="preserve">a position du Conseil </w:t>
      </w:r>
      <w:r>
        <w:t xml:space="preserve">s’est voulue </w:t>
      </w:r>
      <w:r w:rsidR="0797761E">
        <w:t>extrêmement nuancée (voir</w:t>
      </w:r>
      <w:r>
        <w:t xml:space="preserve"> guide</w:t>
      </w:r>
      <w:r w:rsidR="0797761E">
        <w:t xml:space="preserve"> </w:t>
      </w:r>
      <w:r w:rsidR="0797761E" w:rsidRPr="2C81A273">
        <w:rPr>
          <w:i/>
          <w:iCs/>
        </w:rPr>
        <w:t xml:space="preserve">Quand dire, c’est inclure, </w:t>
      </w:r>
      <w:r w:rsidR="0797761E" w:rsidRPr="2C81A273">
        <w:t xml:space="preserve">pp. 21-22). </w:t>
      </w:r>
      <w:r w:rsidR="50912743" w:rsidRPr="2C81A273">
        <w:t xml:space="preserve">L’utilisation du masculin dans son acception dite </w:t>
      </w:r>
      <w:r w:rsidR="50912743" w:rsidRPr="2C81A273">
        <w:rPr>
          <w:i/>
          <w:iCs/>
        </w:rPr>
        <w:t xml:space="preserve">générique </w:t>
      </w:r>
      <w:r w:rsidR="50912743" w:rsidRPr="2C81A273">
        <w:t>n’est pas recommandée d’une manière générale</w:t>
      </w:r>
      <w:r w:rsidR="5AA81E6E" w:rsidRPr="2C81A273">
        <w:t>. Le</w:t>
      </w:r>
      <w:r w:rsidR="21E59D7F" w:rsidRPr="2C81A273">
        <w:t xml:space="preserve"> Conseil signale qu</w:t>
      </w:r>
      <w:r w:rsidR="2E118AF6" w:rsidRPr="2C81A273">
        <w:t>e</w:t>
      </w:r>
      <w:r w:rsidR="00137A3D">
        <w:t>, à moins d’un contexte très clair</w:t>
      </w:r>
      <w:r w:rsidR="00CE4A5D">
        <w:t xml:space="preserve"> déclarant la mixité</w:t>
      </w:r>
      <w:r w:rsidR="00137A3D">
        <w:t>,</w:t>
      </w:r>
      <w:r w:rsidR="2E118AF6" w:rsidRPr="2C81A273">
        <w:t xml:space="preserve"> </w:t>
      </w:r>
      <w:r>
        <w:t>le</w:t>
      </w:r>
      <w:r w:rsidR="2E118AF6" w:rsidRPr="2C81A273">
        <w:t xml:space="preserve"> masculin à valeur générique</w:t>
      </w:r>
      <w:r w:rsidR="21E59D7F" w:rsidRPr="2C81A273">
        <w:t xml:space="preserve"> peut toujours</w:t>
      </w:r>
      <w:r w:rsidR="00CE4A5D">
        <w:t xml:space="preserve"> s’avérer ambigu</w:t>
      </w:r>
      <w:r>
        <w:t xml:space="preserve">, quelle que soit l’intention de la personne qui l’utilise, </w:t>
      </w:r>
      <w:r w:rsidR="00CE4A5D">
        <w:t xml:space="preserve">et </w:t>
      </w:r>
      <w:r w:rsidR="21E59D7F" w:rsidRPr="2C81A273">
        <w:t>être</w:t>
      </w:r>
      <w:r>
        <w:t xml:space="preserve"> interprété comme un masculin spécifique (renvoyant à un homme). Par conséquent, cet usage </w:t>
      </w:r>
      <w:r w:rsidR="21E59D7F" w:rsidRPr="2C81A273">
        <w:t xml:space="preserve">(voir </w:t>
      </w:r>
      <w:r w:rsidR="21E59D7F" w:rsidRPr="2C81A273">
        <w:rPr>
          <w:i/>
          <w:iCs/>
        </w:rPr>
        <w:t xml:space="preserve">Quand dire, c’est inclure, </w:t>
      </w:r>
      <w:r w:rsidR="21E59D7F" w:rsidRPr="2C81A273">
        <w:t>p. 17)</w:t>
      </w:r>
      <w:r>
        <w:t xml:space="preserve"> ne permet pas toujours </w:t>
      </w:r>
      <w:r w:rsidR="6BD24970" w:rsidRPr="2C81A273">
        <w:t xml:space="preserve">de neutraliser </w:t>
      </w:r>
      <w:r>
        <w:t xml:space="preserve">complètement </w:t>
      </w:r>
      <w:r w:rsidR="6BD24970" w:rsidRPr="2C81A273">
        <w:t xml:space="preserve">l’opposition de genre, comme </w:t>
      </w:r>
      <w:r w:rsidR="6FFFABFB" w:rsidRPr="2C81A273">
        <w:t xml:space="preserve">il </w:t>
      </w:r>
      <w:r>
        <w:t>a parfois été</w:t>
      </w:r>
      <w:r w:rsidR="6FFFABFB" w:rsidRPr="2C81A273">
        <w:t xml:space="preserve"> défendu</w:t>
      </w:r>
      <w:r w:rsidR="6BD24970" w:rsidRPr="2C81A273">
        <w:t xml:space="preserve"> (guide </w:t>
      </w:r>
      <w:r w:rsidR="6BD24970" w:rsidRPr="2C81A273">
        <w:rPr>
          <w:i/>
          <w:iCs/>
        </w:rPr>
        <w:t xml:space="preserve">Inclure sans exclure, </w:t>
      </w:r>
      <w:r w:rsidR="6BD24970" w:rsidRPr="2C81A273">
        <w:t>Dister &amp; Moreau 2020)</w:t>
      </w:r>
      <w:r w:rsidR="21E59D7F" w:rsidRPr="2C81A273">
        <w:t xml:space="preserve">. </w:t>
      </w:r>
    </w:p>
    <w:p w14:paraId="6F8B7C3F" w14:textId="41B97BC6" w:rsidR="0797761E" w:rsidRDefault="21E59D7F" w:rsidP="2C81A273">
      <w:r w:rsidRPr="2C81A273">
        <w:t xml:space="preserve">Cependant, </w:t>
      </w:r>
      <w:r w:rsidR="00C07EB8">
        <w:t>l’emploi de noms au masculin dans son acception générique</w:t>
      </w:r>
      <w:r w:rsidRPr="2C81A273">
        <w:t xml:space="preserve"> </w:t>
      </w:r>
      <w:r w:rsidR="50912743" w:rsidRPr="2C81A273">
        <w:t>peut contribuer à rendre un texte plus lisible lorsque certaines conditions sont remplies.</w:t>
      </w:r>
    </w:p>
    <w:p w14:paraId="78D72AE6" w14:textId="4B990A93" w:rsidR="50912743" w:rsidRDefault="00C07EB8" w:rsidP="71E733AF">
      <w:pPr>
        <w:pStyle w:val="Paragraphedeliste"/>
        <w:numPr>
          <w:ilvl w:val="0"/>
          <w:numId w:val="3"/>
        </w:numPr>
      </w:pPr>
      <w:r>
        <w:t xml:space="preserve">S’il </w:t>
      </w:r>
      <w:r w:rsidR="50912743" w:rsidRPr="71E733AF">
        <w:t>s’agit d’un texte long où des noms renvoyant à des personnes se répètent</w:t>
      </w:r>
      <w:r>
        <w:t xml:space="preserve">, alors </w:t>
      </w:r>
      <w:r w:rsidR="50912743" w:rsidRPr="71E733AF">
        <w:t>l’utilisation de doublets complets peut produire un effet répétitif</w:t>
      </w:r>
      <w:r w:rsidR="00CF3029">
        <w:t xml:space="preserve">, </w:t>
      </w:r>
      <w:r w:rsidR="50912743" w:rsidRPr="71E733AF">
        <w:t>allonger inutilement le texte</w:t>
      </w:r>
      <w:r w:rsidR="6CD37D56" w:rsidRPr="71E733AF">
        <w:t xml:space="preserve"> et contrevenir à la </w:t>
      </w:r>
      <w:r w:rsidR="2E40DD61" w:rsidRPr="71E733AF">
        <w:t>lisibilité</w:t>
      </w:r>
      <w:r w:rsidR="68D9A2BD" w:rsidRPr="71E733AF">
        <w:t xml:space="preserve"> du texte</w:t>
      </w:r>
      <w:r>
        <w:t>. Le masculin dans son acception générique peut pallier cet inconvénient</w:t>
      </w:r>
      <w:r w:rsidR="2E40DD61" w:rsidRPr="71E733AF">
        <w:t>.</w:t>
      </w:r>
      <w:r>
        <w:t xml:space="preserve"> </w:t>
      </w:r>
    </w:p>
    <w:p w14:paraId="03471BBB" w14:textId="5E445712" w:rsidR="1BF50023" w:rsidRDefault="00C07EB8" w:rsidP="71E733AF">
      <w:pPr>
        <w:pStyle w:val="Paragraphedeliste"/>
        <w:numPr>
          <w:ilvl w:val="0"/>
          <w:numId w:val="3"/>
        </w:numPr>
      </w:pPr>
      <w:r>
        <w:t>Si l</w:t>
      </w:r>
      <w:r w:rsidR="1BF50023" w:rsidRPr="71E733AF">
        <w:t xml:space="preserve">e caractère mixte du groupe de personnes auquel on réfère </w:t>
      </w:r>
      <w:r>
        <w:t>a</w:t>
      </w:r>
      <w:r w:rsidR="1BF50023" w:rsidRPr="71E733AF">
        <w:t xml:space="preserve"> été préalablement établi de manière claire et explicite, par des passages antérieurs du texte, des illustrations ou des éléments du contexte qui sont saillants</w:t>
      </w:r>
      <w:r>
        <w:t>, alors le masculin à valeur générique peut être utilisé sans générer d’ambigüité</w:t>
      </w:r>
      <w:r w:rsidR="1BF50023" w:rsidRPr="71E733AF">
        <w:t>.</w:t>
      </w:r>
    </w:p>
    <w:p w14:paraId="406EC16A" w14:textId="2C22DF46" w:rsidR="09C9A13B" w:rsidRDefault="00C07EB8" w:rsidP="71E733AF">
      <w:pPr>
        <w:pStyle w:val="Paragraphedeliste"/>
        <w:numPr>
          <w:ilvl w:val="0"/>
          <w:numId w:val="3"/>
        </w:numPr>
      </w:pPr>
      <w:r>
        <w:t xml:space="preserve">D’une manière générale, on réservera son usage lorsqu’il </w:t>
      </w:r>
      <w:r w:rsidR="09C9A13B" w:rsidRPr="71E733AF">
        <w:t xml:space="preserve">n’y a aucun risque d’invisibilisation des femmes. </w:t>
      </w:r>
    </w:p>
    <w:p w14:paraId="2ED51384" w14:textId="1CC10F7B" w:rsidR="09C9A13B" w:rsidRDefault="00C07EB8" w:rsidP="71E733AF">
      <w:r>
        <w:t xml:space="preserve">Les conditions d’emploi visent à nouveau à </w:t>
      </w:r>
      <w:r w:rsidR="09C9A13B" w:rsidRPr="71E733AF">
        <w:t xml:space="preserve">inciter les rédacteurs et les rédactrices à ne pas utiliser une technique sans mesurer ses effets interprétatifs possibles et à varier les techniques à l’intérieur d’un même texte. </w:t>
      </w:r>
    </w:p>
    <w:p w14:paraId="550E58DC" w14:textId="7FB9B6CC" w:rsidR="09C9A13B" w:rsidRDefault="09C9A13B" w:rsidP="71E733AF">
      <w:r w:rsidRPr="71E733AF">
        <w:t xml:space="preserve">L’emploi du masculin pour neutraliser l’opposition de genre pose par ailleurs une série de questions qui n’ont pas encore trouvé leur réponse dans les recherches scientifiques actuelles : </w:t>
      </w:r>
    </w:p>
    <w:p w14:paraId="7DEEE6E9" w14:textId="703E3C33" w:rsidR="09C9A13B" w:rsidRDefault="09C9A13B" w:rsidP="71E733AF">
      <w:pPr>
        <w:pStyle w:val="Paragraphedeliste"/>
        <w:numPr>
          <w:ilvl w:val="0"/>
          <w:numId w:val="2"/>
        </w:numPr>
      </w:pPr>
      <w:r w:rsidRPr="71E733AF">
        <w:t>Comment est interprétée une forme au masculin à vi</w:t>
      </w:r>
      <w:r w:rsidR="57E3AFB7" w:rsidRPr="71E733AF">
        <w:t>sée générique lorsqu’elle se combine dans un même texte avec des doublets complets et/ou avec des formes qui neutralisent le genre (nom collectif, nom épicène, etc.) ? L’utilisation préalable de doublet</w:t>
      </w:r>
      <w:r w:rsidR="00CF3029">
        <w:t>s complets</w:t>
      </w:r>
      <w:r w:rsidR="57E3AFB7" w:rsidRPr="71E733AF">
        <w:t xml:space="preserve"> installe-t</w:t>
      </w:r>
      <w:r w:rsidR="3153BE0E" w:rsidRPr="71E733AF">
        <w:t xml:space="preserve">-elle une représentation mixte qui pourra contaminer les formes au masculin ; ou </w:t>
      </w:r>
      <w:r w:rsidR="3153BE0E" w:rsidRPr="71E733AF">
        <w:lastRenderedPageBreak/>
        <w:t xml:space="preserve">favorise-t-elle au contraire une interprétation spécifique des formes au masculin comme renvoyant à des groupes d’hommes ? La réponse à </w:t>
      </w:r>
      <w:r w:rsidR="00CF3029">
        <w:t>ces</w:t>
      </w:r>
      <w:r w:rsidR="3153BE0E" w:rsidRPr="71E733AF">
        <w:t xml:space="preserve"> question</w:t>
      </w:r>
      <w:r w:rsidR="00CF3029">
        <w:t>s</w:t>
      </w:r>
      <w:r w:rsidR="3153BE0E" w:rsidRPr="71E733AF">
        <w:t xml:space="preserve"> dépend probablement </w:t>
      </w:r>
      <w:r w:rsidR="00CF3029">
        <w:t xml:space="preserve">également </w:t>
      </w:r>
      <w:r w:rsidR="3153BE0E" w:rsidRPr="71E733AF">
        <w:t xml:space="preserve">des </w:t>
      </w:r>
      <w:r w:rsidR="00CF3029">
        <w:t>genres et des domaines des</w:t>
      </w:r>
      <w:r w:rsidR="3153BE0E" w:rsidRPr="71E733AF">
        <w:t xml:space="preserve"> textes. </w:t>
      </w:r>
    </w:p>
    <w:p w14:paraId="40C9A1BB" w14:textId="1E2CF7F2" w:rsidR="0E6CFCCE" w:rsidRDefault="0E6CFCCE" w:rsidP="71E733AF">
      <w:pPr>
        <w:pStyle w:val="Paragraphedeliste"/>
        <w:numPr>
          <w:ilvl w:val="0"/>
          <w:numId w:val="2"/>
        </w:numPr>
        <w:rPr>
          <w:i/>
          <w:iCs/>
        </w:rPr>
      </w:pPr>
      <w:r w:rsidRPr="71E733AF">
        <w:t xml:space="preserve">L’usage du masculin à valeur générique est-il interprété de la même manière lorsqu’il touche des noms ou lorsqu’il touche des éléments dépendants du nom et accordés en genre avec celui-ci ? Par exemple, </w:t>
      </w:r>
      <w:r w:rsidR="5B94107E" w:rsidRPr="71E733AF">
        <w:t xml:space="preserve">dans quelle mesure </w:t>
      </w:r>
      <w:r w:rsidRPr="71E733AF">
        <w:t xml:space="preserve">des formulations comme </w:t>
      </w:r>
      <w:r w:rsidR="2E9D8871" w:rsidRPr="71E733AF">
        <w:rPr>
          <w:i/>
          <w:iCs/>
        </w:rPr>
        <w:t xml:space="preserve">(1) </w:t>
      </w:r>
      <w:r w:rsidRPr="71E733AF">
        <w:rPr>
          <w:i/>
          <w:iCs/>
        </w:rPr>
        <w:t>l</w:t>
      </w:r>
      <w:r w:rsidR="1860591E" w:rsidRPr="71E733AF">
        <w:rPr>
          <w:i/>
          <w:iCs/>
        </w:rPr>
        <w:t xml:space="preserve">es étudiants internationaux </w:t>
      </w:r>
      <w:r w:rsidR="1860591E" w:rsidRPr="71E733AF">
        <w:t>vs</w:t>
      </w:r>
      <w:r w:rsidR="1860591E" w:rsidRPr="71E733AF">
        <w:rPr>
          <w:i/>
          <w:iCs/>
        </w:rPr>
        <w:t xml:space="preserve"> </w:t>
      </w:r>
      <w:r w:rsidR="031F75FA" w:rsidRPr="71E733AF">
        <w:rPr>
          <w:i/>
          <w:iCs/>
        </w:rPr>
        <w:t xml:space="preserve">(2) </w:t>
      </w:r>
      <w:r w:rsidR="1860591E" w:rsidRPr="71E733AF">
        <w:rPr>
          <w:i/>
          <w:iCs/>
        </w:rPr>
        <w:t>l</w:t>
      </w:r>
      <w:r w:rsidRPr="71E733AF">
        <w:rPr>
          <w:i/>
          <w:iCs/>
        </w:rPr>
        <w:t xml:space="preserve">es étudiantes et étudiants internationaux </w:t>
      </w:r>
      <w:r w:rsidRPr="71E733AF">
        <w:t xml:space="preserve">vs </w:t>
      </w:r>
      <w:r w:rsidR="01A70064" w:rsidRPr="71E733AF">
        <w:t xml:space="preserve">(3) </w:t>
      </w:r>
      <w:r w:rsidR="2B730FE3" w:rsidRPr="71E733AF">
        <w:rPr>
          <w:i/>
          <w:iCs/>
        </w:rPr>
        <w:t xml:space="preserve">les étudiantes internationales et étudiants internationaux </w:t>
      </w:r>
      <w:r w:rsidR="420E8BBD" w:rsidRPr="71E733AF">
        <w:t>génèrent-elles des représentations mentales différentes (surtout entre 2 et 3)</w:t>
      </w:r>
      <w:r w:rsidR="00CF3029">
        <w:t> ?</w:t>
      </w:r>
    </w:p>
    <w:p w14:paraId="3E4D4FF1" w14:textId="6B4E1278" w:rsidR="054DA25F" w:rsidRDefault="054DA25F" w:rsidP="71E733AF">
      <w:pPr>
        <w:rPr>
          <w:i/>
          <w:iCs/>
        </w:rPr>
      </w:pPr>
      <w:r w:rsidRPr="71E733AF">
        <w:t xml:space="preserve">La réflexion sur ces questions se poursuit à la section 5.1 de cette contribution. </w:t>
      </w:r>
    </w:p>
    <w:p w14:paraId="7C7669A8" w14:textId="0ED63518" w:rsidR="00EB0AE2" w:rsidRPr="00A96CC1" w:rsidRDefault="4620A07E" w:rsidP="00A453AE">
      <w:pPr>
        <w:pStyle w:val="Titre1"/>
      </w:pPr>
      <w:r w:rsidRPr="00404CEB">
        <w:t xml:space="preserve">Guide </w:t>
      </w:r>
      <w:r w:rsidRPr="00404CEB">
        <w:rPr>
          <w:i/>
          <w:iCs/>
        </w:rPr>
        <w:t xml:space="preserve">Quand dire, c’est inclure </w:t>
      </w:r>
      <w:r w:rsidRPr="00404CEB">
        <w:t>: autres points de discussion</w:t>
      </w:r>
    </w:p>
    <w:p w14:paraId="146E5060" w14:textId="5F67229A" w:rsidR="00E86C80" w:rsidRPr="00161F9C" w:rsidRDefault="00EB0AE2" w:rsidP="00E86C80">
      <w:pPr>
        <w:pStyle w:val="Titre2"/>
      </w:pPr>
      <w:r w:rsidRPr="00161F9C">
        <w:t>Accord et genre non marqué</w:t>
      </w:r>
      <w:r w:rsidR="172370B1" w:rsidRPr="00161F9C">
        <w:t xml:space="preserve"> </w:t>
      </w:r>
    </w:p>
    <w:p w14:paraId="26A8494D" w14:textId="697D8A75" w:rsidR="00E86C80" w:rsidRDefault="3FB20F45" w:rsidP="61049135">
      <w:r>
        <w:t>On entend parfois dire que la langue française est sexiste. Alors qu’à vrai dire, une langue n’est grammaticalement pas sexiste. Ce sont les usages qu’on en fait et les discours qu’on tient à son propos, en ce compris les discours grammaticaux, qui peuvent parfois apparaitre comme sexistes. C’est donc sur ces discours qu’il fau</w:t>
      </w:r>
      <w:r w:rsidR="7E56F476">
        <w:t>drai</w:t>
      </w:r>
      <w:r>
        <w:t>t agir pour faire disparaitre certains biais discriminatoires à l’égard des femmes. Il en va ainsi de l’expression « masculin générique » ou de la prétendue règle du « masculin qui l’emporte sur le féminin »</w:t>
      </w:r>
      <w:r w:rsidR="125DF9B0">
        <w:t xml:space="preserve">, qui font partie du discours grammatical qu’entendent les élèves et </w:t>
      </w:r>
      <w:r w:rsidR="099EBB37">
        <w:t>qui constitue un des premiers discours par lesquels l</w:t>
      </w:r>
      <w:r w:rsidR="550B3465">
        <w:t>es enfants</w:t>
      </w:r>
      <w:r w:rsidR="099EBB37">
        <w:t xml:space="preserve"> appréhende</w:t>
      </w:r>
      <w:r w:rsidR="6E226E74">
        <w:t>nt</w:t>
      </w:r>
      <w:r w:rsidR="099EBB37">
        <w:t xml:space="preserve"> la différence de genre</w:t>
      </w:r>
      <w:r>
        <w:t>.</w:t>
      </w:r>
    </w:p>
    <w:p w14:paraId="49B9B19F" w14:textId="5E04D44C" w:rsidR="00E86C80" w:rsidRDefault="006B4C7A" w:rsidP="61049135">
      <w:r>
        <w:t xml:space="preserve">En la matière, la réponse féministe a été double : pour contrer le sexisme apparent du « masculin générique », on a introduit le point médian ; pour contrer celui du « masculin </w:t>
      </w:r>
      <w:r w:rsidR="00291482">
        <w:t xml:space="preserve">qui </w:t>
      </w:r>
      <w:r>
        <w:t xml:space="preserve">l’emporte », on a introduit l’accord de proximité. Le Conseil a souhaité </w:t>
      </w:r>
      <w:r w:rsidR="00291482">
        <w:t>explorer</w:t>
      </w:r>
      <w:r>
        <w:t xml:space="preserve"> un</w:t>
      </w:r>
      <w:r w:rsidR="00291482">
        <w:t>e</w:t>
      </w:r>
      <w:r>
        <w:t xml:space="preserve"> autre </w:t>
      </w:r>
      <w:r w:rsidR="00291482">
        <w:t>voie</w:t>
      </w:r>
      <w:r>
        <w:t xml:space="preserve"> pour sortir de l’encombrant masculin, à partir d’une au</w:t>
      </w:r>
      <w:r w:rsidR="00291482">
        <w:t>t</w:t>
      </w:r>
      <w:r>
        <w:t xml:space="preserve">re </w:t>
      </w:r>
      <w:r w:rsidR="00291482">
        <w:t>description</w:t>
      </w:r>
      <w:r>
        <w:t xml:space="preserve"> grammaticale de la catégorie du genre.</w:t>
      </w:r>
      <w:r w:rsidR="00291482">
        <w:t xml:space="preserve"> </w:t>
      </w:r>
      <w:r w:rsidR="20ED6A20">
        <w:t xml:space="preserve">Le Conseil, à partir des travaux de Van Raemdonck (2019 et 2024), a </w:t>
      </w:r>
      <w:r w:rsidR="00291482">
        <w:t xml:space="preserve">dès lors </w:t>
      </w:r>
      <w:r w:rsidR="20ED6A20">
        <w:t>proposé</w:t>
      </w:r>
      <w:r w:rsidR="7A5D7876">
        <w:t xml:space="preserve"> une triangulation pour sortir de la quadrature du cercle</w:t>
      </w:r>
      <w:r w:rsidR="00C40EDB">
        <w:t xml:space="preserve"> que constitue la prise en compte des groupe</w:t>
      </w:r>
      <w:r w:rsidR="00161F9C">
        <w:t>s</w:t>
      </w:r>
      <w:r w:rsidR="00C40EDB">
        <w:t xml:space="preserve"> mixtes</w:t>
      </w:r>
      <w:r w:rsidR="009032B3">
        <w:t xml:space="preserve"> ou de personnes de genre indéterminé (non binaire ou dont le genre n’est pas connu)</w:t>
      </w:r>
      <w:r w:rsidR="7A5D7876">
        <w:t>.</w:t>
      </w:r>
    </w:p>
    <w:p w14:paraId="45C947B1" w14:textId="2544A89E" w:rsidR="00E86C80" w:rsidRDefault="3FB20F45" w:rsidP="61049135">
      <w:r>
        <w:t xml:space="preserve">L’emploi du masculin dans une acception dite générique est parfois ressenti comme le symbole d’une préséance du « masculin » sur le « féminin ». En effet, seul le premier peut exercer une fonction générique englobante. Bien qu’elle ait été parfois alimentée par le discours grammatical, cette représentation du fonctionnement des genres grammaticaux en français gagnerait à être abandonnée au profit d’une représentation ternaire du genre en français : genre non marqué, genre masculin, genre féminin. En effet, toute une série de formes dans la langue ne sont ni au genre masculin ni au genre féminin, et ne portent aucune marque de genre. Des pronoms comme </w:t>
      </w:r>
      <w:r w:rsidRPr="2C81A273">
        <w:rPr>
          <w:i/>
          <w:iCs/>
        </w:rPr>
        <w:t>ce</w:t>
      </w:r>
      <w:r>
        <w:t xml:space="preserve">, </w:t>
      </w:r>
      <w:r w:rsidRPr="2C81A273">
        <w:rPr>
          <w:i/>
          <w:iCs/>
        </w:rPr>
        <w:t>cela</w:t>
      </w:r>
      <w:r>
        <w:t xml:space="preserve">, </w:t>
      </w:r>
      <w:r w:rsidRPr="2C81A273">
        <w:rPr>
          <w:i/>
          <w:iCs/>
        </w:rPr>
        <w:t>ça</w:t>
      </w:r>
      <w:r>
        <w:t xml:space="preserve">, le pronom </w:t>
      </w:r>
      <w:r w:rsidRPr="2C81A273">
        <w:rPr>
          <w:i/>
          <w:iCs/>
        </w:rPr>
        <w:t>le</w:t>
      </w:r>
      <w:r>
        <w:t xml:space="preserve"> lorsqu’il reprend un attribut du sujet ou une proposition (</w:t>
      </w:r>
      <w:r w:rsidRPr="2C81A273">
        <w:rPr>
          <w:b/>
          <w:bCs/>
          <w:i/>
          <w:iCs/>
        </w:rPr>
        <w:t>C’</w:t>
      </w:r>
      <w:r w:rsidRPr="2C81A273">
        <w:rPr>
          <w:i/>
          <w:iCs/>
        </w:rPr>
        <w:t>est important</w:t>
      </w:r>
      <w:r>
        <w:t xml:space="preserve"> ; </w:t>
      </w:r>
      <w:r w:rsidRPr="2C81A273">
        <w:rPr>
          <w:i/>
          <w:iCs/>
        </w:rPr>
        <w:t>Sarah est heureuse</w:t>
      </w:r>
      <w:r>
        <w:t>/</w:t>
      </w:r>
      <w:r w:rsidRPr="2C81A273">
        <w:rPr>
          <w:i/>
          <w:iCs/>
        </w:rPr>
        <w:t xml:space="preserve">Elle </w:t>
      </w:r>
      <w:r w:rsidRPr="2C81A273">
        <w:rPr>
          <w:b/>
          <w:bCs/>
          <w:i/>
          <w:iCs/>
        </w:rPr>
        <w:t>l’</w:t>
      </w:r>
      <w:r w:rsidRPr="2C81A273">
        <w:rPr>
          <w:i/>
          <w:iCs/>
        </w:rPr>
        <w:t>est</w:t>
      </w:r>
      <w:r>
        <w:t xml:space="preserve"> ; </w:t>
      </w:r>
      <w:r w:rsidRPr="2C81A273">
        <w:rPr>
          <w:i/>
          <w:iCs/>
        </w:rPr>
        <w:t xml:space="preserve">Pierre est plus doué que je ne </w:t>
      </w:r>
      <w:r w:rsidRPr="2C81A273">
        <w:rPr>
          <w:b/>
          <w:bCs/>
          <w:i/>
          <w:iCs/>
        </w:rPr>
        <w:t>le</w:t>
      </w:r>
      <w:r w:rsidRPr="2C81A273">
        <w:rPr>
          <w:i/>
          <w:iCs/>
        </w:rPr>
        <w:t xml:space="preserve"> pensais/</w:t>
      </w:r>
      <w:r w:rsidRPr="2C81A273">
        <w:rPr>
          <w:b/>
          <w:bCs/>
          <w:i/>
          <w:iCs/>
        </w:rPr>
        <w:t>l’</w:t>
      </w:r>
      <w:r w:rsidRPr="2C81A273">
        <w:rPr>
          <w:i/>
          <w:iCs/>
        </w:rPr>
        <w:t>avais pensé</w:t>
      </w:r>
      <w:r>
        <w:t>) peuvent être vus comme non marqués en genre</w:t>
      </w:r>
      <w:r w:rsidR="007E6E35">
        <w:rPr>
          <w:rStyle w:val="Appeldenotedefin"/>
        </w:rPr>
        <w:endnoteReference w:id="13"/>
      </w:r>
      <w:r>
        <w:t>. On pourrait par conséquent considérer qu’à côté des genres masculin et féminin – qui étaient tous deux marqués</w:t>
      </w:r>
      <w:r w:rsidR="286E4727">
        <w:t xml:space="preserve"> en latin</w:t>
      </w:r>
      <w:r>
        <w:t xml:space="preserve"> jusqu'à ce que les marques du masculin disparaissent dans l’évolution vers le français –, certaines formes du français peuvent se présenter au genre non marqué. Ceci permettrait alors de penser que les formes dites invariables </w:t>
      </w:r>
      <w:r>
        <w:lastRenderedPageBreak/>
        <w:t>(</w:t>
      </w:r>
      <w:r w:rsidRPr="2C81A273">
        <w:rPr>
          <w:i/>
          <w:iCs/>
        </w:rPr>
        <w:t xml:space="preserve">Sarah a </w:t>
      </w:r>
      <w:r w:rsidRPr="2C81A273">
        <w:rPr>
          <w:b/>
          <w:bCs/>
          <w:i/>
          <w:iCs/>
        </w:rPr>
        <w:t>mangé</w:t>
      </w:r>
      <w:r w:rsidRPr="2C81A273">
        <w:rPr>
          <w:i/>
          <w:iCs/>
        </w:rPr>
        <w:t xml:space="preserve"> des pommes</w:t>
      </w:r>
      <w:r>
        <w:t xml:space="preserve">) sont en fait au genre non marqué, et non au masculin singulier, comme on l’entend parfois. On pourrait considérer alors que l’accord des termes qui se rapportent à des formes non marquées en genre se fait également au non-marqué (voir </w:t>
      </w:r>
      <w:r w:rsidR="2E50AB69" w:rsidRPr="2C81A273">
        <w:rPr>
          <w:i/>
          <w:iCs/>
        </w:rPr>
        <w:t xml:space="preserve">c’est </w:t>
      </w:r>
      <w:r w:rsidRPr="003D55E2">
        <w:rPr>
          <w:b/>
          <w:bCs/>
          <w:i/>
          <w:iCs/>
        </w:rPr>
        <w:t>important</w:t>
      </w:r>
      <w:r w:rsidRPr="003D55E2">
        <w:rPr>
          <w:b/>
          <w:bCs/>
        </w:rPr>
        <w:t xml:space="preserve"> </w:t>
      </w:r>
      <w:r>
        <w:t xml:space="preserve">et </w:t>
      </w:r>
      <w:r w:rsidR="3F697299" w:rsidRPr="2C81A273">
        <w:rPr>
          <w:i/>
          <w:iCs/>
        </w:rPr>
        <w:t xml:space="preserve">je l’avais </w:t>
      </w:r>
      <w:r w:rsidRPr="003D55E2">
        <w:rPr>
          <w:b/>
          <w:bCs/>
          <w:i/>
          <w:iCs/>
        </w:rPr>
        <w:t>pensé</w:t>
      </w:r>
      <w:r w:rsidRPr="003D55E2">
        <w:rPr>
          <w:b/>
          <w:bCs/>
        </w:rPr>
        <w:t xml:space="preserve"> </w:t>
      </w:r>
      <w:r>
        <w:t>ci-dessus). Enfin, en cas d’accord avec des formes doubles de genres différents, l’accord se ferait également au genre non marqué, et non au masculin ou au féminin. Dans cette conception, le masculin ne l’emporte pas sur le féminin. On évite donc le recours à la règle tant décriée</w:t>
      </w:r>
      <w:r w:rsidR="16BFEA03">
        <w:t xml:space="preserve"> et le maintien d’un discours grammatical biaisé en faveur du masculin</w:t>
      </w:r>
      <w:r>
        <w:t>. En outre, la prise en compte de l’existence d’un genre non marqué en français permettrait de ne plus devoir dire que le féminin est formé en ajoutant un -e au masculin, ce qui donne de ce féminin une appréhension secondaire. Le féminin</w:t>
      </w:r>
      <w:r w:rsidR="76AF3689">
        <w:t>, tout comme le masculin,</w:t>
      </w:r>
      <w:r>
        <w:t xml:space="preserve"> serait formé à partir du non-marqué. La prise en considération du genre non marqué permettrait un traitement plus égalitaire des genres masculin et féminin dans le discours grammatical</w:t>
      </w:r>
      <w:r w:rsidR="281314C5">
        <w:t>.</w:t>
      </w:r>
    </w:p>
    <w:p w14:paraId="4572719C" w14:textId="4E2BC2D6" w:rsidR="00E86C80" w:rsidRDefault="3FB20F45" w:rsidP="61049135">
      <w:r>
        <w:t xml:space="preserve">Le genre non marqué </w:t>
      </w:r>
      <w:r w:rsidR="00933F68">
        <w:t xml:space="preserve">fonderait </w:t>
      </w:r>
      <w:r>
        <w:t>aussi</w:t>
      </w:r>
      <w:r w:rsidR="402F8CE6">
        <w:t xml:space="preserve"> </w:t>
      </w:r>
      <w:r>
        <w:t xml:space="preserve">les interprétations </w:t>
      </w:r>
      <w:r w:rsidR="005B7E7F">
        <w:t>génériques : c’</w:t>
      </w:r>
      <w:r>
        <w:t>est parce qu</w:t>
      </w:r>
      <w:r w:rsidR="00A96CC1">
        <w:t>’</w:t>
      </w:r>
      <w:r>
        <w:t>il n</w:t>
      </w:r>
      <w:r w:rsidR="00A96CC1">
        <w:t>’</w:t>
      </w:r>
      <w:r>
        <w:t xml:space="preserve">y pas de marque de genre qu’un terme au genre non marqué peut valoir pour tout. En effet, si des formes comme </w:t>
      </w:r>
      <w:r w:rsidRPr="2C81A273">
        <w:rPr>
          <w:i/>
          <w:iCs/>
        </w:rPr>
        <w:t>les citoyens</w:t>
      </w:r>
      <w:r>
        <w:t xml:space="preserve"> ou </w:t>
      </w:r>
      <w:r w:rsidRPr="2C81A273">
        <w:rPr>
          <w:i/>
          <w:iCs/>
        </w:rPr>
        <w:t>les Wallons</w:t>
      </w:r>
      <w:r>
        <w:t xml:space="preserve"> peuvent avoir un sens générique, c’est parce qu’elles sont interprétées comme non marquées en genre et peuvent dès lors renvoyer à des ensembles mixtes.</w:t>
      </w:r>
      <w:commentRangeStart w:id="3"/>
      <w:commentRangeEnd w:id="3"/>
    </w:p>
    <w:p w14:paraId="4ED7AB6C" w14:textId="5803F87E" w:rsidR="00E86C80" w:rsidRDefault="00927260" w:rsidP="61049135">
      <w:r>
        <w:t>Cependant</w:t>
      </w:r>
      <w:r w:rsidR="3FB20F45">
        <w:t xml:space="preserve">, puisque le masculin a perdu ses marques au fil de l’histoire, sa forme se confond aujourd'hui avec la forme du genre non marqué, ce qui peut entrainer des confusions dommageables pour une politique linguistique qui vise à renforcer la visibilisation du féminin et des pratiques non discriminatoires quant au genre. Si le genre non marqué a bien une acception générique, sa ressemblance avec le masculin pourrait faire croire à un jeu de dupes : on change l’étiquette, mais le féminin resterait invisibilisé. </w:t>
      </w:r>
      <w:r w:rsidR="00003981">
        <w:t>Pour autant</w:t>
      </w:r>
      <w:r w:rsidR="3FB20F45">
        <w:t>, le fait de ne plus utiliser le terme «</w:t>
      </w:r>
      <w:r w:rsidR="00003981">
        <w:t> </w:t>
      </w:r>
      <w:r w:rsidR="3FB20F45">
        <w:t>masculin générique » serait déjà un gain considérable pour le discours grammatical.</w:t>
      </w:r>
    </w:p>
    <w:p w14:paraId="734C6ED4" w14:textId="1B6ED45D" w:rsidR="00003981" w:rsidRDefault="00003981" w:rsidP="61049135">
      <w:r>
        <w:t>Le cabinet de la ministre Linard n’a pas souhaité prendre en considération cette nouveauté grammaticale, du fait de sa… nouveauté. Son refus le place devant un paradoxe : se trouver dans l’obligation de garder un « masculin générique », susceptible de « l’emporter », alors qu’à l’origine, il voulait en supprimer l’usage.</w:t>
      </w:r>
    </w:p>
    <w:p w14:paraId="25603E5E" w14:textId="6937EEEB" w:rsidR="00E86C80" w:rsidRDefault="3FB20F45" w:rsidP="61049135">
      <w:r>
        <w:t xml:space="preserve">Afin </w:t>
      </w:r>
      <w:r w:rsidR="00003981">
        <w:t xml:space="preserve">néanmoins </w:t>
      </w:r>
      <w:r>
        <w:t xml:space="preserve">d’éviter toute confusion, qui tiendrait à l’existence même d’une acception générique, le Décret a prévu que, malgré l’existence d’une telle acception – attribuée jusqu’ici au masculin –, cette dernière ne pourra être utilisée pour désigner des groupes mixtes qu’après s’être préalablement assuré que la mixité de ce groupe est complètement explicite et après avoir envisagé toutes les autres techniques de visibilisation du féminin ou de neutralisation de l’opposition de genre </w:t>
      </w:r>
    </w:p>
    <w:p w14:paraId="1F234DE6" w14:textId="7722CC36" w:rsidR="006016F6" w:rsidRDefault="0078139B" w:rsidP="006016F6">
      <w:pPr>
        <w:pStyle w:val="Titre2"/>
      </w:pPr>
      <w:r>
        <w:t>Règles d’accord</w:t>
      </w:r>
      <w:r w:rsidR="006016F6">
        <w:t xml:space="preserve"> </w:t>
      </w:r>
      <w:r w:rsidR="00EB0AE2">
        <w:t>et</w:t>
      </w:r>
      <w:r w:rsidR="006016F6">
        <w:t xml:space="preserve"> </w:t>
      </w:r>
      <w:r w:rsidR="00EB0AE2" w:rsidRPr="0078139B">
        <w:rPr>
          <w:i/>
        </w:rPr>
        <w:t>principe</w:t>
      </w:r>
      <w:r>
        <w:t xml:space="preserve"> de proximité</w:t>
      </w:r>
    </w:p>
    <w:p w14:paraId="7570CAF7" w14:textId="666B879B" w:rsidR="00ED5D75" w:rsidRDefault="002A46E6" w:rsidP="00ED5D75">
      <w:r>
        <w:t>L’accord en français consiste, pour un élément comme le nom, à donner ses marques de genre et de nombre à d’autres éléments qui lui sont reliés, comme le déterminant, l’adjectif ou le participe passé. Lorsqu’un groupe nominal est composé de deux éléments coordonnés de genre</w:t>
      </w:r>
      <w:r w:rsidR="00797DF4">
        <w:t>s</w:t>
      </w:r>
      <w:r>
        <w:t xml:space="preserve"> différents</w:t>
      </w:r>
      <w:r w:rsidR="00ED5D75">
        <w:t xml:space="preserve"> (</w:t>
      </w:r>
      <w:r w:rsidR="00ED5D75">
        <w:rPr>
          <w:i/>
        </w:rPr>
        <w:t>les auteurs et les autrices</w:t>
      </w:r>
      <w:r w:rsidR="00ED5D75">
        <w:t>)</w:t>
      </w:r>
      <w:r>
        <w:t>,</w:t>
      </w:r>
      <w:r w:rsidR="00797DF4">
        <w:t xml:space="preserve"> on est en présence d’une sorte d’anacoluthe, une rupture de construction qui a pour conséquence qu’aucun</w:t>
      </w:r>
      <w:r w:rsidR="005C4802">
        <w:t>e</w:t>
      </w:r>
      <w:r w:rsidR="00797DF4">
        <w:t> </w:t>
      </w:r>
      <w:r w:rsidR="005C4802">
        <w:t xml:space="preserve">des solutions d’accord à disposition ne sera satisfaisante </w:t>
      </w:r>
      <w:r w:rsidR="00797DF4">
        <w:t xml:space="preserve">: il est impossible d’avoir une forme </w:t>
      </w:r>
      <w:r w:rsidR="005C4802">
        <w:t xml:space="preserve">pour l’élément à accorder </w:t>
      </w:r>
      <w:r w:rsidR="00797DF4">
        <w:t xml:space="preserve">qui dise en même </w:t>
      </w:r>
      <w:r w:rsidR="00797DF4">
        <w:lastRenderedPageBreak/>
        <w:t xml:space="preserve">temps le masculin et le féminin </w:t>
      </w:r>
      <w:r w:rsidR="005C4802">
        <w:t xml:space="preserve">et le </w:t>
      </w:r>
      <w:r w:rsidR="00797DF4">
        <w:t>pluriel</w:t>
      </w:r>
      <w:r w:rsidR="005C4802">
        <w:t>.</w:t>
      </w:r>
      <w:r>
        <w:t xml:space="preserve"> </w:t>
      </w:r>
      <w:r w:rsidR="005C4802">
        <w:t>D</w:t>
      </w:r>
      <w:r w:rsidR="00ED5D75">
        <w:t>eux</w:t>
      </w:r>
      <w:r>
        <w:t xml:space="preserve"> stratégies d’accord s’appliquent </w:t>
      </w:r>
      <w:r w:rsidR="00A96CC1">
        <w:t>dès lors </w:t>
      </w:r>
      <w:r>
        <w:t>: l’accord au masculin</w:t>
      </w:r>
      <w:r w:rsidR="00ED5D75">
        <w:t xml:space="preserve"> </w:t>
      </w:r>
      <w:r w:rsidR="00797DF4">
        <w:t xml:space="preserve">dans son acception générique </w:t>
      </w:r>
      <w:r w:rsidR="00ED5D75">
        <w:t>(</w:t>
      </w:r>
      <w:r w:rsidR="00ED5D75">
        <w:rPr>
          <w:i/>
        </w:rPr>
        <w:t>les auteurs et les autrices primés</w:t>
      </w:r>
      <w:r w:rsidR="00ED5D75">
        <w:t>) ou</w:t>
      </w:r>
      <w:r w:rsidR="00C04A2E">
        <w:t xml:space="preserve"> l’accord de proximité (ou de voisinage) avec le genre du nom le plus proche</w:t>
      </w:r>
      <w:r w:rsidR="00ED5D75">
        <w:t xml:space="preserve"> (</w:t>
      </w:r>
      <w:r w:rsidR="00ED5D75">
        <w:rPr>
          <w:i/>
        </w:rPr>
        <w:t>les auteurs et les autrices primées</w:t>
      </w:r>
      <w:r w:rsidR="00ED5D75">
        <w:t>)</w:t>
      </w:r>
      <w:r w:rsidR="00C04A2E">
        <w:t xml:space="preserve">. </w:t>
      </w:r>
    </w:p>
    <w:p w14:paraId="63C7F887" w14:textId="1C9BC632" w:rsidR="00C07EB8" w:rsidRDefault="00ED5D75" w:rsidP="00ED5D75">
      <w:r>
        <w:t>Une troisième stratégie, récente, est observée lorsque l’accord n’est pas résolu en faveur d’un des deux genres</w:t>
      </w:r>
      <w:r w:rsidR="00A96CC1">
        <w:t xml:space="preserve"> : </w:t>
      </w:r>
      <w:r>
        <w:t>l’élément accordé présente une double flexion</w:t>
      </w:r>
      <w:r w:rsidR="003444E3">
        <w:t xml:space="preserve"> abrégée par un point médian</w:t>
      </w:r>
      <w:r>
        <w:t xml:space="preserve"> (</w:t>
      </w:r>
      <w:r>
        <w:rPr>
          <w:i/>
        </w:rPr>
        <w:t>les auteurs et les autrices primé</w:t>
      </w:r>
      <w:r w:rsidR="00A17D94">
        <w:rPr>
          <w:i/>
        </w:rPr>
        <w:t>·es</w:t>
      </w:r>
      <w:r>
        <w:t>)</w:t>
      </w:r>
      <w:r w:rsidR="003444E3">
        <w:t>. Cette technique du double accord peut être perçue comme maladroite</w:t>
      </w:r>
      <w:r w:rsidR="00A17D94">
        <w:t>, en particulier si les noms sont eux-mêmes présentés sous la forme d’un doublet abrégé (</w:t>
      </w:r>
      <w:r w:rsidR="00A17D94">
        <w:rPr>
          <w:i/>
        </w:rPr>
        <w:t>les auteur·rice·s primé·es</w:t>
      </w:r>
      <w:r w:rsidR="00A17D94">
        <w:t>) et plus encore si le déterminant est également un doublet abrégé (</w:t>
      </w:r>
      <w:r w:rsidR="00A17D94">
        <w:rPr>
          <w:i/>
        </w:rPr>
        <w:t>certain·e·s auteur·rice·s primé·es</w:t>
      </w:r>
      <w:r w:rsidR="00A17D94">
        <w:t xml:space="preserve">). Ces usages ne sont pas recommandés. </w:t>
      </w:r>
      <w:r w:rsidR="003444E3">
        <w:t>L</w:t>
      </w:r>
      <w:r w:rsidR="0071084C">
        <w:t xml:space="preserve">’effet d’accumulation </w:t>
      </w:r>
      <w:r w:rsidR="003444E3">
        <w:t xml:space="preserve">de points médians dans des formes </w:t>
      </w:r>
      <w:r w:rsidR="00A17D94">
        <w:t>successives</w:t>
      </w:r>
      <w:r w:rsidR="003444E3">
        <w:t xml:space="preserve"> </w:t>
      </w:r>
      <w:r w:rsidR="0071084C">
        <w:t>peut produire une lourdeur du texte ou une difficulté de lecture</w:t>
      </w:r>
      <w:r w:rsidR="00A17D94">
        <w:t>, y compris lorsque ces formes sont réparties dans une phrase sans se suivre immédiatement</w:t>
      </w:r>
      <w:r w:rsidR="0071084C">
        <w:t>. C’est ainsi qu’on peut comparer (3), avec trois doublets abrégés au sein d’une phrase, à</w:t>
      </w:r>
      <w:r w:rsidR="00A96CC1">
        <w:t xml:space="preserve"> une version révisée</w:t>
      </w:r>
      <w:r w:rsidR="0071084C">
        <w:t xml:space="preserve"> (4), où l’on trouve un doublet complet, un accord au masculin et une forme épicène qui </w:t>
      </w:r>
      <w:r w:rsidR="00A17D94">
        <w:t>remplace</w:t>
      </w:r>
      <w:r w:rsidR="0071084C">
        <w:t xml:space="preserve"> le troisième doublet. </w:t>
      </w:r>
    </w:p>
    <w:p w14:paraId="33DEBAFF" w14:textId="246CFF59" w:rsidR="0071084C" w:rsidRDefault="0071084C" w:rsidP="0071084C">
      <w:pPr>
        <w:pStyle w:val="Exemple"/>
      </w:pPr>
      <w:r>
        <w:t xml:space="preserve">(3) je rencontre le plus souvent des </w:t>
      </w:r>
      <w:r w:rsidRPr="0071084C">
        <w:rPr>
          <w:b/>
        </w:rPr>
        <w:t xml:space="preserve">doctorants·tes qui sont </w:t>
      </w:r>
      <w:r w:rsidRPr="003444E3">
        <w:rPr>
          <w:b/>
        </w:rPr>
        <w:t>mis·es</w:t>
      </w:r>
      <w:r w:rsidRPr="0071084C">
        <w:t xml:space="preserve"> sous pression par leur</w:t>
      </w:r>
      <w:r>
        <w:t xml:space="preserve"> </w:t>
      </w:r>
      <w:r w:rsidRPr="0071084C">
        <w:rPr>
          <w:b/>
        </w:rPr>
        <w:t>promoteur·trice</w:t>
      </w:r>
      <w:r>
        <w:t xml:space="preserve"> (exemple issu d’un texte préparatoire à une publication académique)</w:t>
      </w:r>
    </w:p>
    <w:p w14:paraId="0DCF6881" w14:textId="4EA9376E" w:rsidR="0071084C" w:rsidRPr="00C07EB8" w:rsidRDefault="0071084C" w:rsidP="0071084C">
      <w:pPr>
        <w:pStyle w:val="Exemple"/>
      </w:pPr>
      <w:r>
        <w:t xml:space="preserve">(4) je rencontre le plus souvent </w:t>
      </w:r>
      <w:r w:rsidRPr="0071084C">
        <w:rPr>
          <w:b/>
        </w:rPr>
        <w:t>des doctorantes ou doctorants qui sont mis sous pression par l</w:t>
      </w:r>
      <w:r w:rsidR="003444E3">
        <w:rPr>
          <w:b/>
        </w:rPr>
        <w:t>’</w:t>
      </w:r>
      <w:r w:rsidRPr="0071084C">
        <w:rPr>
          <w:b/>
        </w:rPr>
        <w:t>académique</w:t>
      </w:r>
      <w:r>
        <w:t xml:space="preserve"> qui dirige leur thèse (version révisée)</w:t>
      </w:r>
    </w:p>
    <w:p w14:paraId="0C2C2156" w14:textId="37A63C1D" w:rsidR="00BD3E26" w:rsidRDefault="00A17D94" w:rsidP="71E733AF">
      <w:r>
        <w:t xml:space="preserve">Qu’en est-il des recommandations présentes dans le guide </w:t>
      </w:r>
      <w:r>
        <w:rPr>
          <w:i/>
        </w:rPr>
        <w:t xml:space="preserve">Quand dire, c’est inclure </w:t>
      </w:r>
      <w:r>
        <w:t xml:space="preserve">(2024) ? Dans la mesure où </w:t>
      </w:r>
      <w:r w:rsidR="00D02853">
        <w:t xml:space="preserve">la </w:t>
      </w:r>
      <w:r w:rsidR="003444E3">
        <w:t xml:space="preserve">communication inclusive </w:t>
      </w:r>
      <w:r>
        <w:t>doit</w:t>
      </w:r>
      <w:r w:rsidR="003444E3">
        <w:t xml:space="preserve"> assurer un équilibre entre la non-discrimination quant au genre et la lisibilité</w:t>
      </w:r>
      <w:r>
        <w:t xml:space="preserve"> des textes et des discours</w:t>
      </w:r>
      <w:r w:rsidR="003444E3">
        <w:t>, le Conseil de la langue</w:t>
      </w:r>
      <w:r w:rsidR="00A96CC1">
        <w:t xml:space="preserve"> française</w:t>
      </w:r>
      <w:r w:rsidR="003444E3">
        <w:t xml:space="preserve"> a souhaité faire des recommandations </w:t>
      </w:r>
      <w:r>
        <w:t xml:space="preserve">ne recourant pas au point médian (cf. section 4.2) et tenant compte du fait que le masculin peut présenter une valeur non marquée </w:t>
      </w:r>
      <w:r w:rsidR="005C4802">
        <w:t>sur le</w:t>
      </w:r>
      <w:r>
        <w:t xml:space="preserve"> plan grammatical (plus qu</w:t>
      </w:r>
      <w:r w:rsidR="005C4802">
        <w:t>e sur le</w:t>
      </w:r>
      <w:r>
        <w:t xml:space="preserve"> plan lexical, cf. section 5.1). Les recommandations sont présentées dans le Tableau 2.</w:t>
      </w:r>
    </w:p>
    <w:p w14:paraId="0275A31D" w14:textId="0BF20343" w:rsidR="00BD3E26" w:rsidRDefault="00BD3E26" w:rsidP="71E733AF">
      <w:r w:rsidRPr="00BD3E26">
        <w:rPr>
          <w:b/>
        </w:rPr>
        <w:t>Tableau 2</w:t>
      </w:r>
      <w:r>
        <w:t>. Recommandations pour l’accord des déterminants, adjectifs et participes passés en relation avec des groupes mixtes</w:t>
      </w:r>
    </w:p>
    <w:tbl>
      <w:tblPr>
        <w:tblStyle w:val="Grilledutableau"/>
        <w:tblW w:w="8780" w:type="dxa"/>
        <w:tblLook w:val="04A0" w:firstRow="1" w:lastRow="0" w:firstColumn="1" w:lastColumn="0" w:noHBand="0" w:noVBand="1"/>
      </w:tblPr>
      <w:tblGrid>
        <w:gridCol w:w="1413"/>
        <w:gridCol w:w="4536"/>
        <w:gridCol w:w="2831"/>
      </w:tblGrid>
      <w:tr w:rsidR="00BD3E26" w:rsidRPr="00BD3E26" w14:paraId="4DCDF9EB" w14:textId="77777777" w:rsidTr="00BD3E26">
        <w:tc>
          <w:tcPr>
            <w:tcW w:w="1413" w:type="dxa"/>
          </w:tcPr>
          <w:p w14:paraId="6FA8AD29" w14:textId="76F371A9" w:rsidR="00BD3E26" w:rsidRPr="00BD3E26" w:rsidRDefault="00BD3E26" w:rsidP="0078139B">
            <w:pPr>
              <w:rPr>
                <w:b/>
              </w:rPr>
            </w:pPr>
            <w:r w:rsidRPr="00BD3E26">
              <w:rPr>
                <w:b/>
              </w:rPr>
              <w:t>Ca</w:t>
            </w:r>
            <w:r>
              <w:rPr>
                <w:b/>
              </w:rPr>
              <w:t>tégorie</w:t>
            </w:r>
            <w:r w:rsidR="0078139B">
              <w:rPr>
                <w:b/>
              </w:rPr>
              <w:t>s</w:t>
            </w:r>
          </w:p>
        </w:tc>
        <w:tc>
          <w:tcPr>
            <w:tcW w:w="4536" w:type="dxa"/>
          </w:tcPr>
          <w:p w14:paraId="3508031E" w14:textId="0A8C2CF3" w:rsidR="00BD3E26" w:rsidRPr="00BD3E26" w:rsidRDefault="00BD3E26" w:rsidP="71E733AF">
            <w:pPr>
              <w:rPr>
                <w:b/>
              </w:rPr>
            </w:pPr>
            <w:r w:rsidRPr="00BD3E26">
              <w:rPr>
                <w:b/>
              </w:rPr>
              <w:t>Recommandation</w:t>
            </w:r>
            <w:r w:rsidR="0078139B">
              <w:rPr>
                <w:b/>
              </w:rPr>
              <w:t>s</w:t>
            </w:r>
          </w:p>
        </w:tc>
        <w:tc>
          <w:tcPr>
            <w:tcW w:w="2831" w:type="dxa"/>
          </w:tcPr>
          <w:p w14:paraId="0F6C6E3E" w14:textId="33543FA1" w:rsidR="00BD3E26" w:rsidRPr="00BD3E26" w:rsidRDefault="00BD3E26" w:rsidP="71E733AF">
            <w:pPr>
              <w:rPr>
                <w:b/>
              </w:rPr>
            </w:pPr>
            <w:r w:rsidRPr="00BD3E26">
              <w:rPr>
                <w:b/>
              </w:rPr>
              <w:t>Exemples</w:t>
            </w:r>
          </w:p>
        </w:tc>
      </w:tr>
      <w:tr w:rsidR="00BD3E26" w14:paraId="0E46F8DA" w14:textId="77777777" w:rsidTr="00BD3E26">
        <w:tc>
          <w:tcPr>
            <w:tcW w:w="1413" w:type="dxa"/>
          </w:tcPr>
          <w:p w14:paraId="71F98B74" w14:textId="41CCD08C" w:rsidR="00BD3E26" w:rsidRDefault="00BD3E26" w:rsidP="71E733AF">
            <w:r>
              <w:t>Déterminant</w:t>
            </w:r>
          </w:p>
        </w:tc>
        <w:tc>
          <w:tcPr>
            <w:tcW w:w="4536" w:type="dxa"/>
          </w:tcPr>
          <w:p w14:paraId="0D67CE3D" w14:textId="51AD1EE7" w:rsidR="00BD3E26" w:rsidRDefault="003444E3" w:rsidP="007F3A08">
            <w:r>
              <w:t>Répéter le déterminant devant chaque nom</w:t>
            </w:r>
          </w:p>
        </w:tc>
        <w:tc>
          <w:tcPr>
            <w:tcW w:w="2831" w:type="dxa"/>
          </w:tcPr>
          <w:p w14:paraId="6FBDB3EF" w14:textId="77777777" w:rsidR="00BD3E26" w:rsidRDefault="003444E3" w:rsidP="007F3A08">
            <w:pPr>
              <w:jc w:val="left"/>
              <w:rPr>
                <w:i/>
              </w:rPr>
            </w:pPr>
            <w:r w:rsidRPr="007F3A08">
              <w:rPr>
                <w:b/>
                <w:i/>
              </w:rPr>
              <w:t>certains</w:t>
            </w:r>
            <w:r>
              <w:rPr>
                <w:i/>
              </w:rPr>
              <w:t xml:space="preserve"> hommes et </w:t>
            </w:r>
            <w:r w:rsidRPr="007F3A08">
              <w:rPr>
                <w:b/>
                <w:i/>
              </w:rPr>
              <w:t>certaines</w:t>
            </w:r>
            <w:r>
              <w:rPr>
                <w:i/>
              </w:rPr>
              <w:t xml:space="preserve"> femmes</w:t>
            </w:r>
          </w:p>
          <w:p w14:paraId="625FBF9E" w14:textId="1E843E66" w:rsidR="003444E3" w:rsidRPr="003444E3" w:rsidRDefault="003444E3" w:rsidP="007F3A08">
            <w:pPr>
              <w:jc w:val="left"/>
              <w:rPr>
                <w:i/>
              </w:rPr>
            </w:pPr>
            <w:r w:rsidRPr="007F3A08">
              <w:rPr>
                <w:b/>
                <w:i/>
              </w:rPr>
              <w:t>tous</w:t>
            </w:r>
            <w:r>
              <w:rPr>
                <w:i/>
              </w:rPr>
              <w:t xml:space="preserve"> les sportifs et </w:t>
            </w:r>
            <w:r w:rsidRPr="007F3A08">
              <w:rPr>
                <w:b/>
                <w:i/>
              </w:rPr>
              <w:t>toutes</w:t>
            </w:r>
            <w:r>
              <w:rPr>
                <w:i/>
              </w:rPr>
              <w:t xml:space="preserve"> les sportives</w:t>
            </w:r>
          </w:p>
        </w:tc>
      </w:tr>
      <w:tr w:rsidR="00BD3E26" w14:paraId="7B1C2273" w14:textId="77777777" w:rsidTr="00BD3E26">
        <w:tc>
          <w:tcPr>
            <w:tcW w:w="1413" w:type="dxa"/>
          </w:tcPr>
          <w:p w14:paraId="53C57E9D" w14:textId="0C994992" w:rsidR="00BD3E26" w:rsidRDefault="00BD3E26" w:rsidP="71E733AF">
            <w:r>
              <w:t>Adjectif</w:t>
            </w:r>
          </w:p>
        </w:tc>
        <w:tc>
          <w:tcPr>
            <w:tcW w:w="4536" w:type="dxa"/>
          </w:tcPr>
          <w:p w14:paraId="3A1D759C" w14:textId="7F9760CD" w:rsidR="00BD3E26" w:rsidRDefault="003444E3" w:rsidP="007F3A08">
            <w:r>
              <w:t>S’il précède le nom, le répéter devant chaque nom</w:t>
            </w:r>
            <w:r>
              <w:br/>
            </w:r>
          </w:p>
          <w:p w14:paraId="5A972872" w14:textId="134EB1BB" w:rsidR="003444E3" w:rsidRDefault="003444E3" w:rsidP="007F3A08">
            <w:r>
              <w:t>S’il suit le nom, accorder au masculin et rapprocher le nom au masculin de l’adjectif accordé</w:t>
            </w:r>
          </w:p>
        </w:tc>
        <w:tc>
          <w:tcPr>
            <w:tcW w:w="2831" w:type="dxa"/>
          </w:tcPr>
          <w:p w14:paraId="655817D6" w14:textId="0926BE99" w:rsidR="003444E3" w:rsidRDefault="003444E3" w:rsidP="007F3A08">
            <w:pPr>
              <w:jc w:val="left"/>
              <w:rPr>
                <w:i/>
              </w:rPr>
            </w:pPr>
            <w:r>
              <w:rPr>
                <w:i/>
              </w:rPr>
              <w:t xml:space="preserve">les </w:t>
            </w:r>
            <w:r w:rsidRPr="007F3A08">
              <w:rPr>
                <w:b/>
                <w:i/>
              </w:rPr>
              <w:t>meilleurs</w:t>
            </w:r>
            <w:r>
              <w:rPr>
                <w:i/>
              </w:rPr>
              <w:t xml:space="preserve"> footballeurs et les </w:t>
            </w:r>
            <w:r w:rsidRPr="007F3A08">
              <w:rPr>
                <w:b/>
                <w:i/>
              </w:rPr>
              <w:t>meilleures</w:t>
            </w:r>
            <w:r>
              <w:rPr>
                <w:i/>
              </w:rPr>
              <w:t xml:space="preserve"> footballeuses</w:t>
            </w:r>
          </w:p>
          <w:p w14:paraId="73F78E54" w14:textId="44D97486" w:rsidR="00BD3E26" w:rsidRPr="003444E3" w:rsidRDefault="003444E3" w:rsidP="007F3A08">
            <w:pPr>
              <w:jc w:val="left"/>
              <w:rPr>
                <w:i/>
              </w:rPr>
            </w:pPr>
            <w:r>
              <w:rPr>
                <w:i/>
              </w:rPr>
              <w:t xml:space="preserve">les actrices et les acteurs </w:t>
            </w:r>
            <w:r w:rsidRPr="007F3A08">
              <w:rPr>
                <w:b/>
                <w:i/>
              </w:rPr>
              <w:t>engagés</w:t>
            </w:r>
          </w:p>
        </w:tc>
      </w:tr>
      <w:tr w:rsidR="00BD3E26" w14:paraId="141EAD21" w14:textId="77777777" w:rsidTr="00BD3E26">
        <w:tc>
          <w:tcPr>
            <w:tcW w:w="1413" w:type="dxa"/>
          </w:tcPr>
          <w:p w14:paraId="01629263" w14:textId="63F8D9EC" w:rsidR="00BD3E26" w:rsidRDefault="00BD3E26" w:rsidP="71E733AF">
            <w:r>
              <w:lastRenderedPageBreak/>
              <w:t>Participe passé</w:t>
            </w:r>
          </w:p>
        </w:tc>
        <w:tc>
          <w:tcPr>
            <w:tcW w:w="4536" w:type="dxa"/>
          </w:tcPr>
          <w:p w14:paraId="3D969623" w14:textId="1892204D" w:rsidR="00BD3E26" w:rsidRDefault="003444E3" w:rsidP="007F3A08">
            <w:r>
              <w:t>Accorder au masculin et rapprocher le nom au masculin de l’adjectif accordé</w:t>
            </w:r>
          </w:p>
        </w:tc>
        <w:tc>
          <w:tcPr>
            <w:tcW w:w="2831" w:type="dxa"/>
          </w:tcPr>
          <w:p w14:paraId="550AA311" w14:textId="04564B18" w:rsidR="00BD3E26" w:rsidRPr="003444E3" w:rsidRDefault="003444E3" w:rsidP="007F3A08">
            <w:pPr>
              <w:jc w:val="left"/>
              <w:rPr>
                <w:i/>
              </w:rPr>
            </w:pPr>
            <w:r>
              <w:rPr>
                <w:i/>
              </w:rPr>
              <w:t xml:space="preserve">les étudiantes et les étudiants ont été </w:t>
            </w:r>
            <w:r w:rsidRPr="007F3A08">
              <w:rPr>
                <w:b/>
                <w:i/>
              </w:rPr>
              <w:t>invités</w:t>
            </w:r>
            <w:r>
              <w:rPr>
                <w:i/>
              </w:rPr>
              <w:t xml:space="preserve"> à la cérémonie</w:t>
            </w:r>
          </w:p>
        </w:tc>
      </w:tr>
    </w:tbl>
    <w:p w14:paraId="6C76901B" w14:textId="77777777" w:rsidR="00A17D94" w:rsidRPr="00A17D94" w:rsidRDefault="00A17D94" w:rsidP="00A17D94"/>
    <w:p w14:paraId="69CB7207" w14:textId="57C1F239" w:rsidR="00A17D94" w:rsidRDefault="00A17D94" w:rsidP="00A17D94">
      <w:r>
        <w:t xml:space="preserve">Les recommandations visent soit à produire un doublet complet en répétant le déterminant ou l’adjectif auprès de chaque nom, soit à accorder au masculin dans son acception générique (ou de genre non marqué). </w:t>
      </w:r>
      <w:r w:rsidR="0078139B">
        <w:t>L</w:t>
      </w:r>
      <w:r>
        <w:t>orsque l’accord</w:t>
      </w:r>
      <w:r w:rsidR="0078139B">
        <w:t xml:space="preserve"> avec un doublet mixte</w:t>
      </w:r>
      <w:r>
        <w:t xml:space="preserve"> se fait au masculin, on veille à rapprocher le nom masculin de l’adjectif accordé</w:t>
      </w:r>
      <w:r w:rsidR="00A96CC1">
        <w:t xml:space="preserve"> (5)</w:t>
      </w:r>
      <w:r>
        <w:t>, selon un principe de pro</w:t>
      </w:r>
      <w:r w:rsidR="005C4802">
        <w:t>xi</w:t>
      </w:r>
      <w:r>
        <w:t xml:space="preserve">mité (et non une règle de proximité), </w:t>
      </w:r>
      <w:r w:rsidR="0078139B">
        <w:t>pour</w:t>
      </w:r>
      <w:r>
        <w:t xml:space="preserve"> éviter la perception d’une rupture de construction entre le nom et l’adjectif</w:t>
      </w:r>
      <w:r w:rsidR="00A96CC1">
        <w:t xml:space="preserve"> (6)</w:t>
      </w:r>
      <w:r>
        <w:t xml:space="preserve">. </w:t>
      </w:r>
    </w:p>
    <w:p w14:paraId="137A7E3E" w14:textId="47F19184" w:rsidR="0078139B" w:rsidRDefault="0078139B" w:rsidP="0078139B">
      <w:pPr>
        <w:pStyle w:val="Exemple"/>
      </w:pPr>
      <w:r>
        <w:t>(5)</w:t>
      </w:r>
      <w:r w:rsidRPr="0078139B">
        <w:t xml:space="preserve"> les citoyennes et les citoyens </w:t>
      </w:r>
      <w:r w:rsidRPr="0078139B">
        <w:rPr>
          <w:b/>
        </w:rPr>
        <w:t>engagés</w:t>
      </w:r>
      <w:r w:rsidRPr="0078139B">
        <w:t xml:space="preserve"> ont donné de leur temps pour leur commune</w:t>
      </w:r>
      <w:r>
        <w:t xml:space="preserve"> (accord au masculin et principe de proximité)</w:t>
      </w:r>
    </w:p>
    <w:p w14:paraId="1968595C" w14:textId="7DDA63E2" w:rsidR="00A96CC1" w:rsidRDefault="00A96CC1" w:rsidP="0078139B">
      <w:pPr>
        <w:pStyle w:val="Exemple"/>
      </w:pPr>
      <w:r>
        <w:t xml:space="preserve">(6) </w:t>
      </w:r>
      <w:r w:rsidRPr="0078139B">
        <w:t>les citoyens et les citoyen</w:t>
      </w:r>
      <w:r>
        <w:t>ne</w:t>
      </w:r>
      <w:r w:rsidRPr="0078139B">
        <w:t xml:space="preserve">s </w:t>
      </w:r>
      <w:r w:rsidRPr="0078139B">
        <w:rPr>
          <w:b/>
        </w:rPr>
        <w:t>engagés</w:t>
      </w:r>
      <w:r w:rsidRPr="0078139B">
        <w:t xml:space="preserve"> ont donné de leur temps pour leur commune</w:t>
      </w:r>
      <w:r>
        <w:t xml:space="preserve"> (accord au masculin)</w:t>
      </w:r>
    </w:p>
    <w:p w14:paraId="3DC0508B" w14:textId="137459FF" w:rsidR="0078139B" w:rsidRDefault="0078139B" w:rsidP="00A17D94">
      <w:r>
        <w:t>L’accord de proximité n’a donc pas été retenu, et cela s’explique aussi par des raisons politiques</w:t>
      </w:r>
      <w:r w:rsidR="00A96CC1">
        <w:t xml:space="preserve"> évoquées plus haut (section 3) dans la mesure où il</w:t>
      </w:r>
      <w:r>
        <w:t xml:space="preserve"> n’a pas été possible, au sein du Gouvernement de la Fédération Wallonie-Bruxelles, de trouver un consensus au sujet de certains usages plus polémiques comme l’accord de proximité, le féminin générique ou l’emploi du pronom </w:t>
      </w:r>
      <w:r w:rsidRPr="0078139B">
        <w:rPr>
          <w:i/>
        </w:rPr>
        <w:t>iel</w:t>
      </w:r>
      <w:r>
        <w:t xml:space="preserve">. </w:t>
      </w:r>
    </w:p>
    <w:p w14:paraId="6558E0B1" w14:textId="48E62988" w:rsidR="00FA3854" w:rsidRDefault="0078139B" w:rsidP="00BF1693">
      <w:r>
        <w:t xml:space="preserve">Cette position politique au sujet de l’accord de proximité peut sembler décalée par rapport aux usages observés dans la langue actuelle ou dans des états de langue plus anciens. </w:t>
      </w:r>
      <w:r w:rsidR="00BF1693">
        <w:t>Pour l’écrit contemporain (depuis 1950), Abeillé et al. (2018) ont montré que l’accord avec le féminin le plus proche est quasi obligatoire quand le déterminant précède le nom (</w:t>
      </w:r>
      <w:r w:rsidR="00BF1693">
        <w:rPr>
          <w:i/>
        </w:rPr>
        <w:t>certaines régions et départements</w:t>
      </w:r>
      <w:r w:rsidR="00BF1693">
        <w:t>). Selon An &amp; Abeillé (2021), l’accord au féminin atteint 95 % des occurrences pour l’adjectif placé avant le nom (</w:t>
      </w:r>
      <w:r w:rsidR="00BF1693">
        <w:rPr>
          <w:i/>
        </w:rPr>
        <w:t>les différentes villes et pays</w:t>
      </w:r>
      <w:r w:rsidR="00BF1693">
        <w:t>) et 46 % pour l’adjectif placé après le nom (</w:t>
      </w:r>
      <w:r w:rsidR="00BF1693">
        <w:rPr>
          <w:i/>
        </w:rPr>
        <w:t>les objectifs et caractéristiques essentielles</w:t>
      </w:r>
      <w:r w:rsidR="00BF1693">
        <w:t>). La tendance historique, comme le montrent Abeillé et al. (2022)</w:t>
      </w:r>
      <w:r>
        <w:t>,</w:t>
      </w:r>
      <w:r w:rsidR="00BF1693">
        <w:t xml:space="preserve"> est que l’accord au féminin pour l’adjectif placé après le nom </w:t>
      </w:r>
      <w:r>
        <w:t>devient plus fréquent</w:t>
      </w:r>
      <w:r w:rsidR="00BF1693">
        <w:t xml:space="preserve"> à l’époque contemporaine par rapport à l’époque classique</w:t>
      </w:r>
      <w:r w:rsidR="00525B52">
        <w:rPr>
          <w:rStyle w:val="Appeldenotedefin"/>
        </w:rPr>
        <w:endnoteReference w:id="14"/>
      </w:r>
      <w:r w:rsidR="00BF1693">
        <w:t>, mais que l’accord au féminin de l’attribut a quasiment disparu</w:t>
      </w:r>
      <w:r w:rsidR="00F226DF">
        <w:rPr>
          <w:rStyle w:val="Appeldenotedefin"/>
        </w:rPr>
        <w:endnoteReference w:id="15"/>
      </w:r>
      <w:r w:rsidR="00BF1693">
        <w:t xml:space="preserve">. </w:t>
      </w:r>
    </w:p>
    <w:p w14:paraId="3F464D61" w14:textId="441E1D56" w:rsidR="00C00A7E" w:rsidRDefault="00FA3854" w:rsidP="001148D5">
      <w:r>
        <w:t xml:space="preserve">Cela étant d’autres arguments que politiques ont pu être avancés pour ne pas intégrer l’accord de proximité ou le féminin générique. </w:t>
      </w:r>
    </w:p>
    <w:p w14:paraId="57515081" w14:textId="0B03A3C6" w:rsidR="00C00A7E" w:rsidRDefault="00FA3854" w:rsidP="00C00A7E">
      <w:r>
        <w:t xml:space="preserve">Le facteur de position </w:t>
      </w:r>
      <w:r w:rsidR="00BE4F2C">
        <w:t>n’est pas un critère</w:t>
      </w:r>
      <w:r>
        <w:t xml:space="preserve"> d</w:t>
      </w:r>
      <w:r w:rsidR="00BE4F2C">
        <w:t>’</w:t>
      </w:r>
      <w:r>
        <w:t xml:space="preserve">accord en français, </w:t>
      </w:r>
      <w:r w:rsidR="00BE4F2C">
        <w:t xml:space="preserve">hormis pour l’accord du participe passé employé avec l’auxiliaire </w:t>
      </w:r>
      <w:r w:rsidR="00BE4F2C" w:rsidRPr="0043144C">
        <w:rPr>
          <w:i/>
          <w:iCs/>
        </w:rPr>
        <w:t>avoir</w:t>
      </w:r>
      <w:r w:rsidR="00BE4F2C">
        <w:t>, et encore, là également l’invariabilité tend à l’emporter dans l’usage jusqu’à provoquer des velléités de réformes. I</w:t>
      </w:r>
      <w:r>
        <w:t xml:space="preserve">l apparait </w:t>
      </w:r>
      <w:r w:rsidR="00BE4F2C">
        <w:t xml:space="preserve">dès lors </w:t>
      </w:r>
      <w:r>
        <w:t>difficile de</w:t>
      </w:r>
      <w:r w:rsidR="00BE4F2C">
        <w:t xml:space="preserve"> </w:t>
      </w:r>
      <w:r>
        <w:t xml:space="preserve">faire intervenir </w:t>
      </w:r>
      <w:r w:rsidR="00BE4F2C">
        <w:t xml:space="preserve">ce facteur </w:t>
      </w:r>
      <w:r>
        <w:t>pour régler un problème d’anacoluthe. Doit-on changer le système de l’accord pour une construction qui est marginale</w:t>
      </w:r>
      <w:r w:rsidR="00BE4F2C">
        <w:t xml:space="preserve">. En outre, l’évolution historique montre bien une tendance nette à la neutralisation des marques d’accord (comme en anglais) : les marques du masculin ont disparu et il ne reste pour le féminin qu’un </w:t>
      </w:r>
      <w:r w:rsidR="00BE4F2C" w:rsidRPr="0043144C">
        <w:rPr>
          <w:i/>
        </w:rPr>
        <w:t>-e</w:t>
      </w:r>
      <w:r w:rsidR="00BE4F2C">
        <w:t xml:space="preserve"> muet à l’oral</w:t>
      </w:r>
      <w:r w:rsidR="00C00A7E">
        <w:t>. Faut-il dès lors surmarqu</w:t>
      </w:r>
      <w:r w:rsidR="0043144C">
        <w:t>er</w:t>
      </w:r>
      <w:r w:rsidR="00C00A7E">
        <w:t xml:space="preserve"> artificiellement l’accord ? Cependant, si les tendances observées ci-dessus en matière d’accord de proximité se confirment, il n’est pas impossible que les recommandations sur les accords évoluent dans les prochaines années. </w:t>
      </w:r>
    </w:p>
    <w:p w14:paraId="5BB81C8B" w14:textId="5E99C0BA" w:rsidR="00C00A7E" w:rsidRDefault="00C00A7E" w:rsidP="00C00A7E">
      <w:r>
        <w:t xml:space="preserve">En ce qui concerne le féminin générique, dont l’usage est peu répandu et circonscrit dans les milieux militants, il apparait d’un point de vue systémique comme contradictoire. Le féminin </w:t>
      </w:r>
      <w:r>
        <w:lastRenderedPageBreak/>
        <w:t>étant la seule forme marquée, il se présente avec une condition supplémentaire (la valeur de sa marque)</w:t>
      </w:r>
      <w:r w:rsidR="00525B52">
        <w:t xml:space="preserve">. Il lui est dès lors impossible de prétendre à une acception générique, vu qu’il se présente comme conditionné. Cependant, là également, si l’usage venait à se répandre, il faudra faire évoluer </w:t>
      </w:r>
      <w:r w:rsidR="00E55732">
        <w:t>l</w:t>
      </w:r>
      <w:r w:rsidR="00525B52">
        <w:t>es recommandations.</w:t>
      </w:r>
    </w:p>
    <w:p w14:paraId="0E25FAA0" w14:textId="1E97B89A" w:rsidR="00A453AE" w:rsidRPr="00D61584" w:rsidRDefault="00A453AE" w:rsidP="00A453AE">
      <w:pPr>
        <w:pStyle w:val="Titre2"/>
      </w:pPr>
      <w:r w:rsidRPr="00426D91">
        <w:t xml:space="preserve">Le pronom </w:t>
      </w:r>
      <w:r w:rsidRPr="00D61584">
        <w:rPr>
          <w:i/>
        </w:rPr>
        <w:t xml:space="preserve">iel </w:t>
      </w:r>
    </w:p>
    <w:p w14:paraId="1DC38B4A" w14:textId="0F8D2370" w:rsidR="00F925FF" w:rsidRDefault="00F925FF" w:rsidP="00F925FF">
      <w:r>
        <w:t xml:space="preserve">La prise en compte, dans le champ social, de la fluidité de l’identité de genre et de la non-binarité de certaines personnes, force à reconsidérer et la question de cette identité de genre, notamment en termes d’assignation, et la question de sa représentation. Alors que la revendication de leurs droits par les femmes se fait vis-à-vis des seuls hommes, la </w:t>
      </w:r>
      <w:r w:rsidR="00E73927">
        <w:t>remise en question</w:t>
      </w:r>
      <w:r>
        <w:t xml:space="preserve"> de la binarité change le rapport de force. En langue, l’apparition d’un « ni, ni » interroge la capacité à rendre compte de cette nouvelle réalité dans la mesure où la catégorie grammaticale </w:t>
      </w:r>
      <w:r w:rsidR="00E73927">
        <w:t xml:space="preserve">du genre </w:t>
      </w:r>
      <w:r>
        <w:t xml:space="preserve">ne comporte que deux cases. D’où la difficile percée des personnes non-binaires dans le domaine langagier, et cela, sans même tenir compte des oppositions </w:t>
      </w:r>
      <w:r w:rsidR="00103AA1">
        <w:t>idéologiques</w:t>
      </w:r>
      <w:r>
        <w:t xml:space="preserve"> qui </w:t>
      </w:r>
      <w:r w:rsidR="00851D05">
        <w:t>provoquent des réactions excessives dans</w:t>
      </w:r>
      <w:r>
        <w:t xml:space="preserve"> le débat.</w:t>
      </w:r>
    </w:p>
    <w:p w14:paraId="71C35F03" w14:textId="37102A43" w:rsidR="00F925FF" w:rsidRDefault="00F925FF" w:rsidP="00F925FF">
      <w:pPr>
        <w:rPr>
          <w:rFonts w:cs="Times New Roman"/>
        </w:rPr>
      </w:pPr>
      <w:r w:rsidRPr="005651FC">
        <w:rPr>
          <w:rFonts w:cs="Times New Roman"/>
        </w:rPr>
        <w:t xml:space="preserve">Une résolution émise en 2015 par le Conseil de l’Europe </w:t>
      </w:r>
      <w:r w:rsidR="00140C81">
        <w:rPr>
          <w:rFonts w:cs="Times New Roman"/>
        </w:rPr>
        <w:t>a</w:t>
      </w:r>
      <w:r w:rsidRPr="005651FC">
        <w:rPr>
          <w:rFonts w:cs="Times New Roman"/>
        </w:rPr>
        <w:t xml:space="preserve"> appel</w:t>
      </w:r>
      <w:r w:rsidR="00140C81">
        <w:rPr>
          <w:rFonts w:cs="Times New Roman"/>
        </w:rPr>
        <w:t>é</w:t>
      </w:r>
      <w:r w:rsidRPr="005651FC">
        <w:rPr>
          <w:rFonts w:cs="Times New Roman"/>
        </w:rPr>
        <w:t xml:space="preserve"> les États membres à, notamment, « </w:t>
      </w:r>
      <w:r w:rsidRPr="00671EEB">
        <w:rPr>
          <w:rFonts w:cs="Times New Roman"/>
        </w:rPr>
        <w:t>faire figurer une troisième option de genre sur les papiers d’identité des personnes qui le souhaitent »</w:t>
      </w:r>
      <w:r>
        <w:rPr>
          <w:rStyle w:val="Appeldenotedefin"/>
          <w:rFonts w:cs="Times New Roman"/>
        </w:rPr>
        <w:endnoteReference w:id="16"/>
      </w:r>
      <w:r w:rsidRPr="00671EEB">
        <w:rPr>
          <w:rFonts w:cs="Times New Roman"/>
        </w:rPr>
        <w:t xml:space="preserve"> et « </w:t>
      </w:r>
      <w:r w:rsidRPr="005651FC">
        <w:rPr>
          <w:rFonts w:cs="Times New Roman"/>
        </w:rPr>
        <w:t>à apporter une protection effective [aux personnes transgenres] contre la discrimination fondée sur l’identité de genre en matière d’accès à l’emploi tant dans le secteur public que dans le secteur privé »</w:t>
      </w:r>
      <w:r>
        <w:rPr>
          <w:rStyle w:val="Appeldenotedefin"/>
          <w:rFonts w:cs="Times New Roman"/>
        </w:rPr>
        <w:endnoteReference w:id="17"/>
      </w:r>
      <w:r w:rsidRPr="005651FC">
        <w:rPr>
          <w:rFonts w:cs="Times New Roman"/>
        </w:rPr>
        <w:t>.</w:t>
      </w:r>
      <w:r w:rsidR="00140C81">
        <w:rPr>
          <w:rFonts w:cs="Times New Roman"/>
        </w:rPr>
        <w:t xml:space="preserve"> Le décret a intégré cette résolution et</w:t>
      </w:r>
      <w:r w:rsidR="00851D05">
        <w:rPr>
          <w:rFonts w:cs="Times New Roman"/>
        </w:rPr>
        <w:t>,</w:t>
      </w:r>
      <w:r w:rsidR="00140C81">
        <w:rPr>
          <w:rFonts w:cs="Times New Roman"/>
        </w:rPr>
        <w:t xml:space="preserve"> dès lors, il est recommandé</w:t>
      </w:r>
      <w:r w:rsidR="00103AA1">
        <w:rPr>
          <w:rFonts w:cs="Times New Roman"/>
        </w:rPr>
        <w:t>, dans les offres et les demandes d’emploi, les annonces de recrutement ou de possibilité de promotion et les possibilités de formation</w:t>
      </w:r>
      <w:r w:rsidR="00233046">
        <w:rPr>
          <w:rFonts w:cs="Times New Roman"/>
        </w:rPr>
        <w:t>,</w:t>
      </w:r>
      <w:r w:rsidR="00103AA1">
        <w:rPr>
          <w:rFonts w:cs="Times New Roman"/>
        </w:rPr>
        <w:t xml:space="preserve"> de faire suivre le nom des postes, formulés au masculin et au féminin en toutes lettres, d’une mention « F/H/X »</w:t>
      </w:r>
      <w:r w:rsidR="00233046">
        <w:rPr>
          <w:rFonts w:cs="Times New Roman"/>
        </w:rPr>
        <w:t>.</w:t>
      </w:r>
    </w:p>
    <w:p w14:paraId="6C7AAB46" w14:textId="02323000" w:rsidR="001D3DDB" w:rsidRPr="005B7E7F" w:rsidRDefault="00233046" w:rsidP="001D3DDB">
      <w:pPr>
        <w:rPr>
          <w:rFonts w:eastAsia="Times New Roman" w:cs="Times New Roman"/>
          <w:lang w:eastAsia="fr-FR"/>
        </w:rPr>
      </w:pPr>
      <w:r>
        <w:rPr>
          <w:rFonts w:cs="Times New Roman"/>
        </w:rPr>
        <w:t>Au niveau du matériel lexical, la créativité n’est pas en reste.</w:t>
      </w:r>
      <w:r>
        <w:rPr>
          <w:rFonts w:eastAsia="Times New Roman" w:cs="Times New Roman"/>
          <w:lang w:eastAsia="fr-FR"/>
        </w:rPr>
        <w:t xml:space="preserve"> </w:t>
      </w:r>
      <w:r w:rsidR="001D3DDB">
        <w:t xml:space="preserve">Depuis le milieu des années 2000, le pronom </w:t>
      </w:r>
      <w:r w:rsidR="001D3DDB" w:rsidRPr="005B7E7F">
        <w:rPr>
          <w:i/>
        </w:rPr>
        <w:t>iel</w:t>
      </w:r>
      <w:r w:rsidR="001D3DDB">
        <w:t xml:space="preserve"> (contraction de </w:t>
      </w:r>
      <w:r w:rsidR="001D3DDB" w:rsidRPr="00D61584">
        <w:rPr>
          <w:i/>
          <w:iCs/>
        </w:rPr>
        <w:t>il</w:t>
      </w:r>
      <w:r w:rsidR="001D3DDB">
        <w:t xml:space="preserve"> et </w:t>
      </w:r>
      <w:r w:rsidR="001D3DDB" w:rsidRPr="00D61584">
        <w:rPr>
          <w:i/>
          <w:iCs/>
        </w:rPr>
        <w:t>elle</w:t>
      </w:r>
      <w:r w:rsidR="001D3DDB">
        <w:t>) est apparu comme nouvelle forme d’expression non binaire en français. Le</w:t>
      </w:r>
      <w:r w:rsidR="00040670">
        <w:t xml:space="preserve"> dictionnaire Le</w:t>
      </w:r>
      <w:r w:rsidR="001D3DDB">
        <w:t xml:space="preserve"> Robert, qui l’a fait entrer dans </w:t>
      </w:r>
      <w:r w:rsidR="00040670">
        <w:t>sa version</w:t>
      </w:r>
      <w:r w:rsidR="001D3DDB">
        <w:t xml:space="preserve"> en ligne à la fin de l’année 2021, le définit comme suit : « Pronom personnel sujet de la troisième personne du singulier et du pluriel, employé pour évoquer une personne quel que soit son genre. » </w:t>
      </w:r>
      <w:r w:rsidR="00872270">
        <w:rPr>
          <w:rStyle w:val="Appeldenotedefin"/>
        </w:rPr>
        <w:endnoteReference w:id="18"/>
      </w:r>
    </w:p>
    <w:p w14:paraId="6DBA6F65" w14:textId="0D7FD4E1" w:rsidR="001D3DDB" w:rsidRDefault="00F97ADF" w:rsidP="001D3DDB">
      <w:r>
        <w:t xml:space="preserve">La circulation du pronom </w:t>
      </w:r>
      <w:r w:rsidRPr="009D27DC">
        <w:rPr>
          <w:i/>
          <w:iCs/>
        </w:rPr>
        <w:t>iel</w:t>
      </w:r>
      <w:r w:rsidR="00762410">
        <w:t xml:space="preserve"> a déjà produit une diversification de sa signification selon les contextes d’emploi :</w:t>
      </w:r>
      <w:r w:rsidR="001D3DDB">
        <w:t xml:space="preserve"> au singulier</w:t>
      </w:r>
      <w:r w:rsidR="00762410">
        <w:t>,</w:t>
      </w:r>
      <w:r w:rsidR="001D3DDB">
        <w:t xml:space="preserve"> </w:t>
      </w:r>
      <w:r w:rsidR="00762410">
        <w:t xml:space="preserve">il peut </w:t>
      </w:r>
      <w:r w:rsidR="001D3DDB">
        <w:t>désigner une personne non-binaire</w:t>
      </w:r>
      <w:r w:rsidR="00762410">
        <w:t>, reprenant la valeur du neutre « ni l’un, ni l’autre »</w:t>
      </w:r>
      <w:r w:rsidR="00851D05">
        <w:t>,</w:t>
      </w:r>
      <w:r w:rsidR="009D27DC">
        <w:t xml:space="preserve"> ou encore une personne dont on ne connait pas le genre</w:t>
      </w:r>
      <w:r w:rsidR="007F1A58">
        <w:t> ;</w:t>
      </w:r>
      <w:r w:rsidR="001D3DDB">
        <w:t xml:space="preserve"> </w:t>
      </w:r>
      <w:r w:rsidR="001D3DDB" w:rsidRPr="009D27DC">
        <w:t>au pluriel (</w:t>
      </w:r>
      <w:r w:rsidR="001D3DDB" w:rsidRPr="009D27DC">
        <w:rPr>
          <w:i/>
          <w:iCs/>
        </w:rPr>
        <w:t>iels</w:t>
      </w:r>
      <w:r w:rsidR="001D3DDB" w:rsidRPr="009D27DC">
        <w:t>)</w:t>
      </w:r>
      <w:r w:rsidR="007F1A58" w:rsidRPr="009D27DC">
        <w:t>,</w:t>
      </w:r>
      <w:r w:rsidR="001D3DDB" w:rsidRPr="009D27DC">
        <w:t xml:space="preserve"> </w:t>
      </w:r>
      <w:r w:rsidR="00762410" w:rsidRPr="009D27DC">
        <w:t>il peut désigner</w:t>
      </w:r>
      <w:r w:rsidR="001D3DDB" w:rsidRPr="009D27DC">
        <w:t xml:space="preserve"> un groupe mixte</w:t>
      </w:r>
      <w:r w:rsidR="009D27DC">
        <w:t xml:space="preserve">, </w:t>
      </w:r>
      <w:r w:rsidR="001D3DDB" w:rsidRPr="009D27DC">
        <w:t>un groupe de personnes non-binaires ou fluides</w:t>
      </w:r>
      <w:r w:rsidR="00851D05">
        <w:t>,</w:t>
      </w:r>
      <w:r w:rsidR="009D27DC">
        <w:t xml:space="preserve"> ou dont on ne connait pas le genre</w:t>
      </w:r>
      <w:r w:rsidR="001D3DDB" w:rsidRPr="009D27DC">
        <w:t>.</w:t>
      </w:r>
      <w:r w:rsidR="00233046" w:rsidRPr="009D27DC">
        <w:rPr>
          <w:rStyle w:val="Appeldenotedefin"/>
        </w:rPr>
        <w:endnoteReference w:id="19"/>
      </w:r>
      <w:r w:rsidR="001D3DDB">
        <w:t xml:space="preserve"> </w:t>
      </w:r>
    </w:p>
    <w:p w14:paraId="2450669C" w14:textId="22267300" w:rsidR="001D3DDB" w:rsidRDefault="001D3DDB" w:rsidP="001D3DDB">
      <w:r>
        <w:t>Parfois perçues comme militantes</w:t>
      </w:r>
      <w:r w:rsidR="0048179D">
        <w:t xml:space="preserve"> et encore peu répandue</w:t>
      </w:r>
      <w:r w:rsidR="00851D05">
        <w:t>s</w:t>
      </w:r>
      <w:r w:rsidR="0048179D">
        <w:t xml:space="preserve"> dans l’usage commun</w:t>
      </w:r>
      <w:r>
        <w:t xml:space="preserve">, ces formes ne sont pas recommandées </w:t>
      </w:r>
      <w:r w:rsidR="00AF0848">
        <w:t xml:space="preserve">par le Conseil </w:t>
      </w:r>
      <w:r>
        <w:t>en contexte scolaire, officiel, formel ou administratif, lorsqu’elles désignent des groupes mixtes. On leur préfèrera les doublets non abrégés (</w:t>
      </w:r>
      <w:r w:rsidRPr="00D61584">
        <w:rPr>
          <w:i/>
          <w:iCs/>
        </w:rPr>
        <w:t>ils et elles</w:t>
      </w:r>
      <w:r w:rsidR="00851D05">
        <w:rPr>
          <w:i/>
          <w:iCs/>
        </w:rPr>
        <w:t>, lui ou elle</w:t>
      </w:r>
      <w:r>
        <w:t xml:space="preserve">, </w:t>
      </w:r>
      <w:r w:rsidRPr="00D61584">
        <w:rPr>
          <w:i/>
          <w:iCs/>
        </w:rPr>
        <w:t>celles et ceux qui</w:t>
      </w:r>
      <w:r>
        <w:t>…) ou, dans les strictes conditions du décret, la forme masculine du pronom dans son acception générique (</w:t>
      </w:r>
      <w:r w:rsidRPr="00D61584">
        <w:rPr>
          <w:i/>
          <w:iCs/>
        </w:rPr>
        <w:t>ils</w:t>
      </w:r>
      <w:r>
        <w:t xml:space="preserve">, </w:t>
      </w:r>
      <w:r w:rsidRPr="00D61584">
        <w:rPr>
          <w:i/>
          <w:iCs/>
        </w:rPr>
        <w:t>ceux qui…</w:t>
      </w:r>
      <w:r>
        <w:t xml:space="preserve">). Cette recommandation sera peut-être amenée à évoluer en fonction de la diffusion de ces nouvelles formes et de leur stabilisation. </w:t>
      </w:r>
    </w:p>
    <w:p w14:paraId="5DBD52EA" w14:textId="611E4A4D" w:rsidR="001D3DDB" w:rsidRDefault="001D3DDB" w:rsidP="001D3DDB">
      <w:r>
        <w:t xml:space="preserve">Lorsque le pronom </w:t>
      </w:r>
      <w:r w:rsidRPr="00D61584">
        <w:rPr>
          <w:i/>
          <w:iCs/>
        </w:rPr>
        <w:t>iel</w:t>
      </w:r>
      <w:r>
        <w:t>(</w:t>
      </w:r>
      <w:r w:rsidRPr="00D61584">
        <w:rPr>
          <w:i/>
          <w:iCs/>
        </w:rPr>
        <w:t>s</w:t>
      </w:r>
      <w:r>
        <w:t>) désigne une personne ou un groupe de personnes non-binaire(s) ou fluide(s), le recours à ce pronom est recommandé</w:t>
      </w:r>
      <w:r w:rsidR="00AF0848">
        <w:t xml:space="preserve"> par le Conseil</w:t>
      </w:r>
      <w:r>
        <w:t xml:space="preserve"> </w:t>
      </w:r>
      <w:r w:rsidR="00040670">
        <w:t>d</w:t>
      </w:r>
      <w:r>
        <w:t xml:space="preserve">ans la mesure où il répond à un besoin de visibilisation de minorités non binaires pour lesquelles il permet une communication </w:t>
      </w:r>
      <w:r>
        <w:lastRenderedPageBreak/>
        <w:t xml:space="preserve">non discriminatoire quant au genre. Il apparait comme le pendant pronominal du </w:t>
      </w:r>
      <w:r w:rsidRPr="00D61584">
        <w:rPr>
          <w:i/>
          <w:iCs/>
        </w:rPr>
        <w:t>X</w:t>
      </w:r>
      <w:r>
        <w:t xml:space="preserve"> de la mention </w:t>
      </w:r>
      <w:r w:rsidRPr="00D61584">
        <w:rPr>
          <w:i/>
          <w:iCs/>
        </w:rPr>
        <w:t>(F/H/X)</w:t>
      </w:r>
      <w:r>
        <w:t xml:space="preserve"> des offres d’emplois ou autres annonces.</w:t>
      </w:r>
    </w:p>
    <w:p w14:paraId="286BB209" w14:textId="4DE7A4AA" w:rsidR="00AF0848" w:rsidRPr="001D3DDB" w:rsidRDefault="00AF0848" w:rsidP="00D61584">
      <w:pPr>
        <w:rPr>
          <w:highlight w:val="yellow"/>
        </w:rPr>
      </w:pPr>
      <w:r>
        <w:t xml:space="preserve">Le Conseil avait donc recommandé pour le décret l’usage du pronom </w:t>
      </w:r>
      <w:r w:rsidRPr="00D61584">
        <w:rPr>
          <w:i/>
          <w:iCs/>
        </w:rPr>
        <w:t>iel</w:t>
      </w:r>
      <w:r>
        <w:t xml:space="preserve"> dans un contexte particulier, ce qui aurait permis aux personnes non binaires de trouver une voie de représentation dans la langue</w:t>
      </w:r>
      <w:r w:rsidR="007846C8">
        <w:t xml:space="preserve"> et au mot ainsi créé de vivre sa vie estampillé d’une reconnaissance officielle</w:t>
      </w:r>
      <w:r w:rsidR="00CB762F">
        <w:t>, la reconnaissance symbolique du mot renforçant la reconnaissance sociale des individus</w:t>
      </w:r>
      <w:r>
        <w:t xml:space="preserve">. L’agenda politique de certains partenaires de gouvernement qui </w:t>
      </w:r>
      <w:r w:rsidR="00103AA1">
        <w:t xml:space="preserve">y ont </w:t>
      </w:r>
      <w:r>
        <w:t>trouv</w:t>
      </w:r>
      <w:r w:rsidR="00103AA1">
        <w:t xml:space="preserve">é </w:t>
      </w:r>
      <w:r>
        <w:t xml:space="preserve">prétexte </w:t>
      </w:r>
      <w:r w:rsidR="00103AA1">
        <w:t xml:space="preserve">à combat </w:t>
      </w:r>
      <w:r>
        <w:t>électoral</w:t>
      </w:r>
      <w:r w:rsidR="00103AA1">
        <w:t>iste</w:t>
      </w:r>
      <w:r>
        <w:t xml:space="preserve"> en aura décidé autrement. Le Conseil a néanmoins intégré cette question</w:t>
      </w:r>
      <w:r w:rsidR="0080375E">
        <w:t>, rejetée du décret,</w:t>
      </w:r>
      <w:r>
        <w:t xml:space="preserve"> </w:t>
      </w:r>
      <w:r w:rsidR="00851D05">
        <w:t xml:space="preserve">dans un encadré, </w:t>
      </w:r>
      <w:r>
        <w:t>au ti</w:t>
      </w:r>
      <w:r w:rsidR="0080375E">
        <w:t>t</w:t>
      </w:r>
      <w:r>
        <w:t xml:space="preserve">re de </w:t>
      </w:r>
      <w:r w:rsidR="002E1AF8">
        <w:t>réflexion</w:t>
      </w:r>
      <w:r>
        <w:t xml:space="preserve"> sociétal</w:t>
      </w:r>
      <w:r w:rsidR="0080375E">
        <w:t>e digne d’intérêt dans une brochure à visée pédagogique.</w:t>
      </w:r>
    </w:p>
    <w:p w14:paraId="11671B8B" w14:textId="01936212" w:rsidR="00BC08C9" w:rsidRDefault="00F27A19">
      <w:pPr>
        <w:pStyle w:val="Titre1"/>
      </w:pPr>
      <w:r>
        <w:t>Conclusions</w:t>
      </w:r>
      <w:r w:rsidR="006016F6">
        <w:t xml:space="preserve"> et perspectives</w:t>
      </w:r>
    </w:p>
    <w:p w14:paraId="59440AEB" w14:textId="64113400" w:rsidR="00C57A4A" w:rsidRDefault="00851D05" w:rsidP="003B12B2">
      <w:r>
        <w:t>S</w:t>
      </w:r>
      <w:r w:rsidR="00EB3CDF">
        <w:t xml:space="preserve">ur </w:t>
      </w:r>
      <w:r w:rsidR="00B60EAF">
        <w:t>trente ans</w:t>
      </w:r>
      <w:r w:rsidR="00EB3CDF">
        <w:t>, les usages et l</w:t>
      </w:r>
      <w:bookmarkStart w:id="4" w:name="_GoBack"/>
      <w:bookmarkEnd w:id="4"/>
      <w:r w:rsidR="00EB3CDF">
        <w:t xml:space="preserve">es discours normatifs relatifs à la féminisation et à la communication inclusive ont évolué. </w:t>
      </w:r>
      <w:r>
        <w:t>Certains usages vont encore se modifier</w:t>
      </w:r>
      <w:r w:rsidR="00EB3CDF">
        <w:t>, qu’il s’agisse des formes féminines recommandées, de l’usage du masculin dans son acception dite générique</w:t>
      </w:r>
      <w:r w:rsidR="00131EF2">
        <w:t xml:space="preserve"> </w:t>
      </w:r>
      <w:r w:rsidR="00EB3CDF">
        <w:t xml:space="preserve">et des règles d’accord. </w:t>
      </w:r>
      <w:r w:rsidR="00441FD0">
        <w:t xml:space="preserve">Il n’est pas possible de prédire </w:t>
      </w:r>
      <w:r w:rsidR="00C57A4A">
        <w:t>comment se diffuse</w:t>
      </w:r>
      <w:r w:rsidR="00441FD0">
        <w:t>ro</w:t>
      </w:r>
      <w:r w:rsidR="00C57A4A">
        <w:t xml:space="preserve">nt les doublets abrégés par un point médian, dans quels types de textes, </w:t>
      </w:r>
      <w:r w:rsidR="00441FD0">
        <w:t xml:space="preserve">et </w:t>
      </w:r>
      <w:r w:rsidR="00C57A4A">
        <w:t>avec quels effets.</w:t>
      </w:r>
      <w:r w:rsidR="00131EF2">
        <w:t xml:space="preserve"> </w:t>
      </w:r>
      <w:r w:rsidR="00441FD0">
        <w:t>Ni</w:t>
      </w:r>
      <w:r w:rsidR="00131EF2">
        <w:t xml:space="preserve"> si l’exploitation </w:t>
      </w:r>
      <w:r w:rsidR="00BA365B">
        <w:t xml:space="preserve">du genre non marqué </w:t>
      </w:r>
      <w:r w:rsidR="00131EF2">
        <w:t>dans le discours grammatical arrive</w:t>
      </w:r>
      <w:r w:rsidR="00441FD0">
        <w:t>ra</w:t>
      </w:r>
      <w:r w:rsidR="00131EF2">
        <w:t xml:space="preserve"> à s’imposer.</w:t>
      </w:r>
    </w:p>
    <w:p w14:paraId="64DC5DAD" w14:textId="5C4A21E7" w:rsidR="00C57A4A" w:rsidRDefault="00441FD0" w:rsidP="003B12B2">
      <w:r>
        <w:t>En lien avec l’évolution des usages, celle du discours grammatical importe. N</w:t>
      </w:r>
      <w:r w:rsidR="00C57A4A">
        <w:t>ous avons insisté sur une distinction importante</w:t>
      </w:r>
      <w:r>
        <w:t xml:space="preserve"> de la communication inclusive : </w:t>
      </w:r>
      <w:r w:rsidR="00C57A4A">
        <w:t>la dimension lexicale et la dimension grammaticale. En termes d’effets interprétatifs, il reste de nombreuses recherches à planifier. En effet, on connait encore mal la réception et l’interprétation de textes longs rédigés de manière inclusive. Après la dimension lexicale, puis grammaticale, c’est la dimension textuelle qu’il faudra analyser, pour répondre à des questions du type :</w:t>
      </w:r>
    </w:p>
    <w:p w14:paraId="4012B57C" w14:textId="1769DABA" w:rsidR="00C57A4A" w:rsidRDefault="00C57A4A" w:rsidP="00C57A4A">
      <w:pPr>
        <w:pStyle w:val="Paragraphedeliste"/>
        <w:numPr>
          <w:ilvl w:val="0"/>
          <w:numId w:val="35"/>
        </w:numPr>
      </w:pPr>
      <w:r>
        <w:t xml:space="preserve">Comment sont interprétés </w:t>
      </w:r>
      <w:r w:rsidR="001D3DDB">
        <w:t>les masculins à acception générique </w:t>
      </w:r>
      <w:r>
        <w:t>lorsqu’ils cohabitent avec</w:t>
      </w:r>
      <w:r w:rsidR="001D3DDB" w:rsidRPr="001D3DDB">
        <w:t xml:space="preserve"> </w:t>
      </w:r>
      <w:r w:rsidR="001D3DDB">
        <w:t>des doublets (complets ou abrégés) ?</w:t>
      </w:r>
    </w:p>
    <w:p w14:paraId="35C54A1F" w14:textId="0776319F" w:rsidR="00C57A4A" w:rsidRDefault="00C57A4A" w:rsidP="00C57A4A">
      <w:pPr>
        <w:pStyle w:val="Paragraphedeliste"/>
        <w:numPr>
          <w:ilvl w:val="0"/>
          <w:numId w:val="35"/>
        </w:numPr>
      </w:pPr>
      <w:r>
        <w:t>Quel est l’effet des termes accordés (les déterminants, les adjectifs) sur les représentations mentales formées à partir de phrases ou de textes, par rapport à l’effet des noms ?</w:t>
      </w:r>
    </w:p>
    <w:p w14:paraId="5C5A4AB8" w14:textId="01653A99" w:rsidR="00C57A4A" w:rsidRDefault="00C57A4A" w:rsidP="00C57A4A">
      <w:pPr>
        <w:pStyle w:val="Paragraphedeliste"/>
        <w:numPr>
          <w:ilvl w:val="0"/>
          <w:numId w:val="35"/>
        </w:numPr>
      </w:pPr>
      <w:r>
        <w:t>Avec la diffusion de l’usage des doublets abrégés, leur lecture devient-elle plus rapide et plus aisée ?</w:t>
      </w:r>
    </w:p>
    <w:p w14:paraId="22550A67" w14:textId="6400F3EB" w:rsidR="00C57A4A" w:rsidRDefault="00C57A4A" w:rsidP="00C57A4A">
      <w:r>
        <w:t xml:space="preserve">Il </w:t>
      </w:r>
      <w:r w:rsidR="00B60EAF">
        <w:t>faudra</w:t>
      </w:r>
      <w:r>
        <w:t xml:space="preserve"> refaire un point sur ces différentes questions dans une trentaine d’années. </w:t>
      </w:r>
    </w:p>
    <w:p w14:paraId="141B24E6" w14:textId="62F9AC9C" w:rsidR="00B60EAF" w:rsidRPr="007F14C5" w:rsidRDefault="00B60EAF" w:rsidP="00C57A4A">
      <w:r>
        <w:t>La question de la communication inclusive montre, si besoin en était, la nécessité d’investissement des spécialistes de la langue dans des questions de représentations</w:t>
      </w:r>
      <w:r w:rsidR="00441FD0">
        <w:t xml:space="preserve"> langagières</w:t>
      </w:r>
      <w:r w:rsidRPr="00B60EAF">
        <w:t xml:space="preserve"> </w:t>
      </w:r>
      <w:r>
        <w:t>de</w:t>
      </w:r>
      <w:r>
        <w:t>s</w:t>
      </w:r>
      <w:r>
        <w:t xml:space="preserve"> communautés</w:t>
      </w:r>
      <w:r>
        <w:t xml:space="preserve"> de genre dans toute leur diversité. Il est primordial de trouver des lieux où ces spécialistes, de quelque orientation qu’ils soient (sociolinguistique, psycholinguistique, analyse du discours, morphosyntaxe, grammaire, etc.), puissent échanger pour élaborer des politiques linguistiques à l’abri des tensions tribalisantes des discours ambiants.</w:t>
      </w:r>
    </w:p>
    <w:p w14:paraId="601FE708" w14:textId="77777777" w:rsidR="00BC08C9" w:rsidRPr="009E62B7" w:rsidRDefault="00BC08C9" w:rsidP="71E733AF">
      <w:pPr>
        <w:pStyle w:val="Titre1-Centered"/>
      </w:pPr>
      <w:r w:rsidRPr="007F14C5">
        <w:t>R</w:t>
      </w:r>
      <w:r w:rsidR="007F14C5" w:rsidRPr="007F14C5">
        <w:t>éfé</w:t>
      </w:r>
      <w:r w:rsidRPr="007F14C5">
        <w:t xml:space="preserve">rences </w:t>
      </w:r>
      <w:r w:rsidR="007F14C5" w:rsidRPr="007F14C5">
        <w:t>bibliographiques</w:t>
      </w:r>
      <w:r w:rsidRPr="009E62B7">
        <w:t xml:space="preserve"> </w:t>
      </w:r>
    </w:p>
    <w:p w14:paraId="5727C584" w14:textId="42385FC8" w:rsidR="3F116906" w:rsidRPr="002A46E6" w:rsidRDefault="3F116906" w:rsidP="2C81A273">
      <w:pPr>
        <w:pStyle w:val="Biblio"/>
      </w:pPr>
      <w:r w:rsidRPr="002A46E6">
        <w:t xml:space="preserve">Abeillé, </w:t>
      </w:r>
      <w:r w:rsidR="002A46E6">
        <w:t>A., A</w:t>
      </w:r>
      <w:r w:rsidRPr="002A46E6">
        <w:t>n</w:t>
      </w:r>
      <w:r w:rsidR="002A46E6">
        <w:t xml:space="preserve">, A. et </w:t>
      </w:r>
      <w:r w:rsidRPr="002A46E6">
        <w:t>Hu</w:t>
      </w:r>
      <w:r w:rsidR="002E1AF8">
        <w:t>,</w:t>
      </w:r>
      <w:r w:rsidR="002A46E6">
        <w:t xml:space="preserve"> Y. (2022).</w:t>
      </w:r>
      <w:r w:rsidRPr="002A46E6">
        <w:t xml:space="preserve"> L’accord de proximité en genre : quelques considérations diachroniques, </w:t>
      </w:r>
      <w:r w:rsidRPr="002A46E6">
        <w:rPr>
          <w:i/>
        </w:rPr>
        <w:t>Discours [Online], 31</w:t>
      </w:r>
      <w:r w:rsidR="002A46E6" w:rsidRPr="002A46E6">
        <w:t>.</w:t>
      </w:r>
      <w:r w:rsidR="002A46E6">
        <w:t xml:space="preserve"> DOI</w:t>
      </w:r>
      <w:r w:rsidR="007D601C">
        <w:t> </w:t>
      </w:r>
      <w:r w:rsidR="002A46E6">
        <w:t xml:space="preserve">: </w:t>
      </w:r>
      <w:r w:rsidR="002A46E6" w:rsidRPr="00C04A2E">
        <w:t>10.4000/discours.12363</w:t>
      </w:r>
      <w:r w:rsidR="002A46E6">
        <w:t xml:space="preserve"> </w:t>
      </w:r>
    </w:p>
    <w:p w14:paraId="499F1733" w14:textId="17BB6B17" w:rsidR="00C04A2E" w:rsidRDefault="00C04A2E" w:rsidP="00C04A2E">
      <w:pPr>
        <w:pStyle w:val="Biblio"/>
      </w:pPr>
      <w:r>
        <w:t xml:space="preserve">Abeillé, A., An, A. et Shiraïshi, A. (2018). L’accord de proximité du déterminant en français. </w:t>
      </w:r>
      <w:r w:rsidRPr="00C04A2E">
        <w:rPr>
          <w:i/>
        </w:rPr>
        <w:t>Discours 22</w:t>
      </w:r>
      <w:r w:rsidR="007D601C">
        <w:t xml:space="preserve"> : 1-23. DOI </w:t>
      </w:r>
      <w:r>
        <w:t xml:space="preserve">: 10.4000/discours.9542  </w:t>
      </w:r>
    </w:p>
    <w:p w14:paraId="0D14B697" w14:textId="493F1F18" w:rsidR="009D27DC" w:rsidRPr="00682730" w:rsidRDefault="009D27DC" w:rsidP="009D27DC">
      <w:pPr>
        <w:pStyle w:val="Biblio"/>
        <w:rPr>
          <w:lang w:val="fr-BE"/>
        </w:rPr>
      </w:pPr>
      <w:r>
        <w:rPr>
          <w:lang w:val="fr-BE"/>
        </w:rPr>
        <w:lastRenderedPageBreak/>
        <w:t>Abeillé,</w:t>
      </w:r>
      <w:r w:rsidRPr="00682730">
        <w:rPr>
          <w:lang w:val="fr-BE"/>
        </w:rPr>
        <w:t xml:space="preserve"> A. </w:t>
      </w:r>
      <w:r>
        <w:rPr>
          <w:lang w:val="fr-BE"/>
        </w:rPr>
        <w:t>et</w:t>
      </w:r>
      <w:r w:rsidRPr="00682730">
        <w:rPr>
          <w:lang w:val="fr-BE"/>
        </w:rPr>
        <w:t xml:space="preserve"> G</w:t>
      </w:r>
      <w:r>
        <w:rPr>
          <w:lang w:val="fr-BE"/>
        </w:rPr>
        <w:t xml:space="preserve">odard, </w:t>
      </w:r>
      <w:r w:rsidRPr="00682730">
        <w:rPr>
          <w:lang w:val="fr-BE"/>
        </w:rPr>
        <w:t>D. (dir), en collaboration avec Delaveau</w:t>
      </w:r>
      <w:r>
        <w:rPr>
          <w:lang w:val="fr-BE"/>
        </w:rPr>
        <w:t>,</w:t>
      </w:r>
      <w:r w:rsidRPr="00682730">
        <w:rPr>
          <w:lang w:val="fr-BE"/>
        </w:rPr>
        <w:t xml:space="preserve"> A. &amp; Gautier</w:t>
      </w:r>
      <w:r>
        <w:rPr>
          <w:lang w:val="fr-BE"/>
        </w:rPr>
        <w:t>, A. (2021).</w:t>
      </w:r>
      <w:r w:rsidRPr="00682730">
        <w:rPr>
          <w:lang w:val="fr-BE"/>
        </w:rPr>
        <w:t xml:space="preserve"> </w:t>
      </w:r>
      <w:r w:rsidRPr="00682730">
        <w:rPr>
          <w:i/>
          <w:iCs/>
          <w:lang w:val="fr-BE"/>
        </w:rPr>
        <w:t xml:space="preserve">La Grande Grammaire du </w:t>
      </w:r>
      <w:r w:rsidR="00CA1C61">
        <w:rPr>
          <w:i/>
          <w:iCs/>
          <w:lang w:val="fr-BE"/>
        </w:rPr>
        <w:t>f</w:t>
      </w:r>
      <w:r w:rsidRPr="00682730">
        <w:rPr>
          <w:i/>
          <w:iCs/>
          <w:lang w:val="fr-BE"/>
        </w:rPr>
        <w:t>rançais</w:t>
      </w:r>
      <w:r>
        <w:rPr>
          <w:lang w:val="fr-BE"/>
        </w:rPr>
        <w:t>.</w:t>
      </w:r>
      <w:r w:rsidRPr="00682730">
        <w:rPr>
          <w:lang w:val="fr-BE"/>
        </w:rPr>
        <w:t xml:space="preserve"> Arles</w:t>
      </w:r>
      <w:r>
        <w:rPr>
          <w:lang w:val="fr-BE"/>
        </w:rPr>
        <w:t xml:space="preserve"> : </w:t>
      </w:r>
      <w:r w:rsidRPr="00682730">
        <w:rPr>
          <w:lang w:val="fr-BE"/>
        </w:rPr>
        <w:t>Actes Sud</w:t>
      </w:r>
      <w:r w:rsidR="00CA1C61">
        <w:rPr>
          <w:lang w:val="fr-BE"/>
        </w:rPr>
        <w:t xml:space="preserve"> – Imprimerie nationale Éditions</w:t>
      </w:r>
      <w:r w:rsidRPr="00682730">
        <w:rPr>
          <w:lang w:val="fr-BE"/>
        </w:rPr>
        <w:t>.</w:t>
      </w:r>
    </w:p>
    <w:p w14:paraId="6ACC6180" w14:textId="0A55A359" w:rsidR="00C04A2E" w:rsidRPr="00662005" w:rsidRDefault="00C04A2E" w:rsidP="00C04A2E">
      <w:pPr>
        <w:pStyle w:val="Biblio"/>
        <w:rPr>
          <w:lang w:val="en-US"/>
        </w:rPr>
      </w:pPr>
      <w:r w:rsidRPr="009D27DC">
        <w:rPr>
          <w:lang w:val="fr-BE"/>
        </w:rPr>
        <w:t xml:space="preserve">An, A. et Abeillé, A. (2021). </w:t>
      </w:r>
      <w:r w:rsidRPr="00662005">
        <w:rPr>
          <w:lang w:val="en-US"/>
        </w:rPr>
        <w:t xml:space="preserve">Closest Conjunct Agreement with Attributive Adjectives. </w:t>
      </w:r>
      <w:r w:rsidRPr="00662005">
        <w:rPr>
          <w:i/>
          <w:lang w:val="en-US"/>
        </w:rPr>
        <w:t>Journal of French Language Studies, 32 (3)</w:t>
      </w:r>
      <w:r w:rsidRPr="00662005">
        <w:rPr>
          <w:lang w:val="en-US"/>
        </w:rPr>
        <w:t>, 273-300.</w:t>
      </w:r>
    </w:p>
    <w:p w14:paraId="482B76C5" w14:textId="41B3FB34" w:rsidR="00BC08C9" w:rsidRDefault="442B3036" w:rsidP="00865BF3">
      <w:pPr>
        <w:pStyle w:val="Biblio"/>
      </w:pPr>
      <w:r>
        <w:t>Andreu, J. et Lanckriet</w:t>
      </w:r>
      <w:r w:rsidR="147B4B3C">
        <w:t>, N</w:t>
      </w:r>
      <w:r>
        <w:t xml:space="preserve">. (2020). Description et analyse de nouveaux noms de métiers et d’activités dans le cadre d’une politique d’aménagement linguistique. </w:t>
      </w:r>
      <w:r w:rsidRPr="71E733AF">
        <w:rPr>
          <w:i/>
          <w:iCs/>
        </w:rPr>
        <w:t>Neologica, 14,</w:t>
      </w:r>
      <w:r w:rsidRPr="71E733AF">
        <w:t xml:space="preserve"> 109-126.</w:t>
      </w:r>
    </w:p>
    <w:p w14:paraId="23A3D93B" w14:textId="6BD1925D" w:rsidR="00106DE3" w:rsidRDefault="00106DE3" w:rsidP="00106DE3">
      <w:pPr>
        <w:pStyle w:val="Biblio"/>
      </w:pPr>
      <w:r>
        <w:t xml:space="preserve">Arbour, M.-È., De Nayves, H. et Royer A. (2014), Féminisation linguistique : étude comparative de l’implantation de variantes féminines marquées au Canada et en Europe, </w:t>
      </w:r>
      <w:r w:rsidRPr="00106DE3">
        <w:rPr>
          <w:i/>
        </w:rPr>
        <w:t>Langage et société</w:t>
      </w:r>
      <w:r>
        <w:rPr>
          <w:i/>
        </w:rPr>
        <w:t>,</w:t>
      </w:r>
      <w:r w:rsidRPr="00106DE3">
        <w:rPr>
          <w:i/>
        </w:rPr>
        <w:t xml:space="preserve"> 148</w:t>
      </w:r>
      <w:r>
        <w:t>, 31-51.</w:t>
      </w:r>
    </w:p>
    <w:p w14:paraId="7F479B85" w14:textId="10FF0D09" w:rsidR="00BC08C9" w:rsidRDefault="0D2478BE" w:rsidP="00865BF3">
      <w:pPr>
        <w:pStyle w:val="Biblio"/>
      </w:pPr>
      <w:r>
        <w:t>Benzitoun, C., Simon, A.C. et Gygax</w:t>
      </w:r>
      <w:r w:rsidR="1E35152F">
        <w:t>, P</w:t>
      </w:r>
      <w:r>
        <w:t xml:space="preserve">. (2020). Écriture </w:t>
      </w:r>
      <w:r w:rsidR="43181203">
        <w:t>inclusive :</w:t>
      </w:r>
      <w:r>
        <w:t xml:space="preserve"> un premier bilan de la controverse. </w:t>
      </w:r>
      <w:r w:rsidRPr="2C81A273">
        <w:rPr>
          <w:i/>
          <w:iCs/>
        </w:rPr>
        <w:t>The Conversation</w:t>
      </w:r>
      <w:r w:rsidRPr="2C81A273">
        <w:t xml:space="preserve">, publié le 11 octobre 2020. </w:t>
      </w:r>
      <w:hyperlink r:id="rId14">
        <w:r w:rsidRPr="2C81A273">
          <w:rPr>
            <w:rStyle w:val="Lienhypertexte"/>
          </w:rPr>
          <w:t>https://theconversation.com/ecriture-inclusive-un-premier-bilan-de-la-controverse-147630</w:t>
        </w:r>
      </w:hyperlink>
      <w:r w:rsidRPr="2C81A273">
        <w:t xml:space="preserve"> </w:t>
      </w:r>
    </w:p>
    <w:p w14:paraId="7BCDACBB" w14:textId="58403AF0" w:rsidR="7B328528" w:rsidRPr="00BD3E26" w:rsidRDefault="7B328528" w:rsidP="2C81A273">
      <w:pPr>
        <w:pStyle w:val="Biblio"/>
        <w:rPr>
          <w:lang w:val="fr-BE"/>
        </w:rPr>
      </w:pPr>
      <w:r w:rsidRPr="000F4883">
        <w:rPr>
          <w:lang w:val="en-US"/>
        </w:rPr>
        <w:t xml:space="preserve">Burnett, H., &amp; Bonami, O. (2019). Linguistic prescription, ideological structure, and the actuation of linguistic </w:t>
      </w:r>
      <w:r w:rsidR="000F4883" w:rsidRPr="000F4883">
        <w:rPr>
          <w:lang w:val="en-US"/>
        </w:rPr>
        <w:t>changes:</w:t>
      </w:r>
      <w:r w:rsidRPr="000F4883">
        <w:rPr>
          <w:lang w:val="en-US"/>
        </w:rPr>
        <w:t xml:space="preserve"> Grammatical gender in French parliamentary debates. </w:t>
      </w:r>
      <w:r w:rsidRPr="00BD3E26">
        <w:rPr>
          <w:i/>
          <w:lang w:val="fr-BE"/>
        </w:rPr>
        <w:t>Language in Society, 48(1),</w:t>
      </w:r>
      <w:r w:rsidRPr="00BD3E26">
        <w:rPr>
          <w:lang w:val="fr-BE"/>
        </w:rPr>
        <w:t xml:space="preserve"> 65‑93. </w:t>
      </w:r>
    </w:p>
    <w:p w14:paraId="573064EE" w14:textId="2CED2C16" w:rsidR="00BC08C9" w:rsidRDefault="2C7BC546" w:rsidP="00865BF3">
      <w:pPr>
        <w:pStyle w:val="Biblio"/>
      </w:pPr>
      <w:r w:rsidRPr="000F4883">
        <w:rPr>
          <w:lang w:val="fr-BE"/>
        </w:rPr>
        <w:t xml:space="preserve">Chatard-Pannetier, A., Guimont, S. et Martinot, D. (2005). </w:t>
      </w:r>
      <w:r>
        <w:t xml:space="preserve">Impact de la féminisation lexicale des professions sur l’auto-efficacité des élèves : une remise en cause de l’universalisme masculin ? </w:t>
      </w:r>
      <w:r w:rsidRPr="71E733AF">
        <w:rPr>
          <w:i/>
          <w:iCs/>
        </w:rPr>
        <w:t xml:space="preserve">L’année </w:t>
      </w:r>
      <w:r w:rsidRPr="002E1AF8">
        <w:rPr>
          <w:i/>
          <w:iCs/>
        </w:rPr>
        <w:t>psychologiqu</w:t>
      </w:r>
      <w:r w:rsidRPr="002E1AF8">
        <w:rPr>
          <w:i/>
        </w:rPr>
        <w:t>e, 105/2,</w:t>
      </w:r>
      <w:r>
        <w:t xml:space="preserve"> 249-272.</w:t>
      </w:r>
    </w:p>
    <w:p w14:paraId="40EA64AC" w14:textId="10568AB4" w:rsidR="00BC08C9" w:rsidRDefault="155BA71A" w:rsidP="71E733AF">
      <w:pPr>
        <w:pStyle w:val="Biblio"/>
      </w:pPr>
      <w:r>
        <w:t xml:space="preserve">Dasinière, L. (2024). L’écriture inclusive par-delà le point médian. </w:t>
      </w:r>
      <w:r w:rsidRPr="61049135">
        <w:rPr>
          <w:i/>
          <w:iCs/>
        </w:rPr>
        <w:t>CNRS Le journal</w:t>
      </w:r>
      <w:r w:rsidR="3F17C768" w:rsidRPr="61049135">
        <w:rPr>
          <w:i/>
          <w:iCs/>
        </w:rPr>
        <w:t xml:space="preserve"> </w:t>
      </w:r>
      <w:r w:rsidR="3F17C768" w:rsidRPr="61049135">
        <w:t xml:space="preserve">[en ligne], </w:t>
      </w:r>
      <w:hyperlink r:id="rId15">
        <w:r w:rsidR="3F17C768" w:rsidRPr="61049135">
          <w:rPr>
            <w:rStyle w:val="Lienhypertexte"/>
          </w:rPr>
          <w:t>https://lejournal.cnrs.fr/articles/lecriture-inclusive-par-dela-le-point-median</w:t>
        </w:r>
      </w:hyperlink>
      <w:r w:rsidR="3F17C768" w:rsidRPr="61049135">
        <w:t xml:space="preserve"> </w:t>
      </w:r>
    </w:p>
    <w:p w14:paraId="018E219C" w14:textId="41FB9044" w:rsidR="00BC08C9" w:rsidRDefault="5B91567B" w:rsidP="00865BF3">
      <w:pPr>
        <w:pStyle w:val="Biblio"/>
      </w:pPr>
      <w:r>
        <w:t xml:space="preserve">Elmiger, D. (2021). Y a-t-il un guide dans la rédaction ? </w:t>
      </w:r>
      <w:r w:rsidRPr="61049135">
        <w:rPr>
          <w:i/>
          <w:iCs/>
        </w:rPr>
        <w:t>GLAD!. Revue sur le langage, le genre, les sexualités, 10,</w:t>
      </w:r>
      <w:r>
        <w:t xml:space="preserve"> Art. 10. https://doi.org/10.4000/glad.2800</w:t>
      </w:r>
    </w:p>
    <w:p w14:paraId="2192E0A7" w14:textId="59C243D7" w:rsidR="00BC08C9" w:rsidRDefault="086601D9" w:rsidP="00865BF3">
      <w:pPr>
        <w:pStyle w:val="Biblio"/>
      </w:pPr>
      <w:r>
        <w:t xml:space="preserve">Elmiger, D. (2022). Variété inclusive et vérité morphologique : Petite typologie des noms communs de personne abrégés. </w:t>
      </w:r>
      <w:r w:rsidRPr="71E733AF">
        <w:rPr>
          <w:i/>
          <w:iCs/>
        </w:rPr>
        <w:t xml:space="preserve">GLAD!. Revue sur le langage, le genre, les </w:t>
      </w:r>
      <w:r w:rsidRPr="002E1AF8">
        <w:rPr>
          <w:i/>
          <w:iCs/>
        </w:rPr>
        <w:t>sexualité</w:t>
      </w:r>
      <w:r w:rsidRPr="002E1AF8">
        <w:rPr>
          <w:i/>
        </w:rPr>
        <w:t>s, 13</w:t>
      </w:r>
      <w:r w:rsidRPr="71E733AF">
        <w:t>,</w:t>
      </w:r>
      <w:r>
        <w:t xml:space="preserve"> Art. 13. https://doi.org/10.4000/glad.5689</w:t>
      </w:r>
    </w:p>
    <w:p w14:paraId="3411B4EC" w14:textId="58909CBE" w:rsidR="00BC08C9" w:rsidRDefault="74985BD6" w:rsidP="00865BF3">
      <w:pPr>
        <w:pStyle w:val="Biblio"/>
      </w:pPr>
      <w:r>
        <w:t>Evain, A. (2008). Histoire d’</w:t>
      </w:r>
      <w:r w:rsidR="280C5C88" w:rsidRPr="71E733AF">
        <w:rPr>
          <w:i/>
          <w:iCs/>
        </w:rPr>
        <w:t>a</w:t>
      </w:r>
      <w:r w:rsidRPr="71E733AF">
        <w:rPr>
          <w:i/>
          <w:iCs/>
        </w:rPr>
        <w:t>utrice</w:t>
      </w:r>
      <w:r>
        <w:t xml:space="preserve">, de l’époque latine à nos jours. </w:t>
      </w:r>
      <w:r w:rsidRPr="71E733AF">
        <w:rPr>
          <w:i/>
          <w:iCs/>
        </w:rPr>
        <w:t>SÊMÉION</w:t>
      </w:r>
      <w:r w:rsidRPr="002E1AF8">
        <w:rPr>
          <w:i/>
        </w:rPr>
        <w:t>, 6</w:t>
      </w:r>
      <w:r w:rsidR="57576212" w:rsidRPr="002E1AF8">
        <w:rPr>
          <w:i/>
        </w:rPr>
        <w:t>,</w:t>
      </w:r>
      <w:r w:rsidR="57576212" w:rsidRPr="71E733AF">
        <w:t xml:space="preserve"> </w:t>
      </w:r>
      <w:r w:rsidR="57576212">
        <w:t>53-62</w:t>
      </w:r>
      <w:r>
        <w:t xml:space="preserve">. </w:t>
      </w:r>
    </w:p>
    <w:p w14:paraId="6E6C2AD1" w14:textId="39F2F545" w:rsidR="00BC08C9" w:rsidRPr="000F4883" w:rsidRDefault="1DBF43B0" w:rsidP="00865BF3">
      <w:pPr>
        <w:pStyle w:val="Biblio"/>
        <w:rPr>
          <w:lang w:val="en-US"/>
        </w:rPr>
      </w:pPr>
      <w:r>
        <w:t xml:space="preserve">Gygax, P., Gabriel, U., Lévy, A., Pool, E., Grivel, M. et Pedrazzini, E. (2012). </w:t>
      </w:r>
      <w:r w:rsidRPr="000F4883">
        <w:rPr>
          <w:lang w:val="en-US"/>
        </w:rPr>
        <w:t xml:space="preserve">The Masculine Form and Its Competing Interpretations in French: When Linking Grammatically Masculine Role Names to Female Referents Is Difficult. </w:t>
      </w:r>
      <w:r w:rsidRPr="000F4883">
        <w:rPr>
          <w:i/>
          <w:iCs/>
          <w:lang w:val="en-US"/>
        </w:rPr>
        <w:t>Journal of Cognitive Psychology</w:t>
      </w:r>
      <w:r w:rsidR="0299FB30" w:rsidRPr="000F4883">
        <w:rPr>
          <w:i/>
          <w:iCs/>
          <w:lang w:val="en-US"/>
        </w:rPr>
        <w:t>,</w:t>
      </w:r>
      <w:r w:rsidRPr="000F4883">
        <w:rPr>
          <w:i/>
          <w:iCs/>
          <w:lang w:val="en-US"/>
        </w:rPr>
        <w:t xml:space="preserve"> 24</w:t>
      </w:r>
      <w:r w:rsidR="523AAC1C" w:rsidRPr="000F4883">
        <w:rPr>
          <w:i/>
          <w:iCs/>
          <w:lang w:val="en-US"/>
        </w:rPr>
        <w:t>/</w:t>
      </w:r>
      <w:r w:rsidRPr="000F4883">
        <w:rPr>
          <w:i/>
          <w:iCs/>
          <w:lang w:val="en-US"/>
        </w:rPr>
        <w:t>4</w:t>
      </w:r>
      <w:r w:rsidR="496D9CC2" w:rsidRPr="000F4883">
        <w:rPr>
          <w:i/>
          <w:iCs/>
          <w:lang w:val="en-US"/>
        </w:rPr>
        <w:t xml:space="preserve">, </w:t>
      </w:r>
      <w:r w:rsidRPr="000F4883">
        <w:rPr>
          <w:lang w:val="en-US"/>
        </w:rPr>
        <w:t>395-408.</w:t>
      </w:r>
    </w:p>
    <w:p w14:paraId="49DDCB7B" w14:textId="5F0C2388" w:rsidR="00BC08C9" w:rsidRDefault="1DBF43B0" w:rsidP="00865BF3">
      <w:pPr>
        <w:pStyle w:val="Biblio"/>
      </w:pPr>
      <w:r w:rsidRPr="00A96CC1">
        <w:rPr>
          <w:lang w:val="en-US"/>
        </w:rPr>
        <w:t xml:space="preserve">Gygax, P., Gabriel, U., Sarrasin, O., Oakhill, J. et Garnham, A. </w:t>
      </w:r>
      <w:r w:rsidR="74F61E2D" w:rsidRPr="00A96CC1">
        <w:rPr>
          <w:lang w:val="en-US"/>
        </w:rPr>
        <w:t>(</w:t>
      </w:r>
      <w:r w:rsidRPr="00A96CC1">
        <w:rPr>
          <w:lang w:val="en-US"/>
        </w:rPr>
        <w:t>2008</w:t>
      </w:r>
      <w:r w:rsidR="101E51CD" w:rsidRPr="00A96CC1">
        <w:rPr>
          <w:lang w:val="en-US"/>
        </w:rPr>
        <w:t>)</w:t>
      </w:r>
      <w:r w:rsidRPr="00A96CC1">
        <w:rPr>
          <w:lang w:val="en-US"/>
        </w:rPr>
        <w:t xml:space="preserve">. </w:t>
      </w:r>
      <w:r w:rsidRPr="000F4883">
        <w:rPr>
          <w:lang w:val="en-US"/>
        </w:rPr>
        <w:t xml:space="preserve">Generically Intended, but Specifically Interpreted: When Beauticians, Musicians, and Mechanics Are All Men. </w:t>
      </w:r>
      <w:r w:rsidRPr="71E733AF">
        <w:rPr>
          <w:i/>
          <w:iCs/>
        </w:rPr>
        <w:t>Language and Cognitive Processes</w:t>
      </w:r>
      <w:r w:rsidR="55C76FFA" w:rsidRPr="71E733AF">
        <w:rPr>
          <w:i/>
          <w:iCs/>
        </w:rPr>
        <w:t>,</w:t>
      </w:r>
      <w:r w:rsidRPr="71E733AF">
        <w:rPr>
          <w:i/>
          <w:iCs/>
        </w:rPr>
        <w:t xml:space="preserve"> 23</w:t>
      </w:r>
      <w:r w:rsidR="3A33BAA8" w:rsidRPr="71E733AF">
        <w:rPr>
          <w:i/>
          <w:iCs/>
        </w:rPr>
        <w:t>/</w:t>
      </w:r>
      <w:r w:rsidRPr="71E733AF">
        <w:rPr>
          <w:i/>
          <w:iCs/>
        </w:rPr>
        <w:t>3</w:t>
      </w:r>
      <w:r w:rsidR="5CCBB581" w:rsidRPr="71E733AF">
        <w:rPr>
          <w:i/>
          <w:iCs/>
        </w:rPr>
        <w:t>,</w:t>
      </w:r>
      <w:r w:rsidRPr="71E733AF">
        <w:rPr>
          <w:i/>
          <w:iCs/>
        </w:rPr>
        <w:t xml:space="preserve"> </w:t>
      </w:r>
      <w:r>
        <w:t>464-485.</w:t>
      </w:r>
    </w:p>
    <w:p w14:paraId="7E254F28" w14:textId="6CB84960" w:rsidR="00BC08C9" w:rsidRDefault="7BAF69BF" w:rsidP="00865BF3">
      <w:pPr>
        <w:pStyle w:val="Biblio"/>
      </w:pPr>
      <w:r>
        <w:t>Liénardy, C., Tibblin, J., Gygax, P. et Simon</w:t>
      </w:r>
      <w:r w:rsidR="4930F22B">
        <w:t>, A.C</w:t>
      </w:r>
      <w:r>
        <w:t xml:space="preserve">. (2023). Écriture inclusive, lisibilité textuelle et représentations mentales, </w:t>
      </w:r>
      <w:r w:rsidRPr="002E1AF8">
        <w:rPr>
          <w:i/>
          <w:iCs/>
        </w:rPr>
        <w:t>Discours</w:t>
      </w:r>
      <w:r w:rsidRPr="002E1AF8">
        <w:rPr>
          <w:i/>
        </w:rPr>
        <w:t xml:space="preserve"> [Online], 33,</w:t>
      </w:r>
      <w:r>
        <w:t xml:space="preserve"> </w:t>
      </w:r>
      <w:hyperlink r:id="rId16">
        <w:r w:rsidRPr="71E733AF">
          <w:rPr>
            <w:rStyle w:val="Lienhypertexte"/>
          </w:rPr>
          <w:t>http://journals.openedition.org/discours/12636</w:t>
        </w:r>
      </w:hyperlink>
      <w:r>
        <w:t xml:space="preserve"> </w:t>
      </w:r>
    </w:p>
    <w:p w14:paraId="22600076" w14:textId="6B9D2CA0" w:rsidR="00BC08C9" w:rsidRDefault="3764CB2E" w:rsidP="00865BF3">
      <w:pPr>
        <w:pStyle w:val="Biblio"/>
      </w:pPr>
      <w:r>
        <w:t>Simon, A.C. et Vanhal</w:t>
      </w:r>
      <w:r w:rsidR="39BE31C4">
        <w:t>, C</w:t>
      </w:r>
      <w:r>
        <w:t xml:space="preserve">. (2022). Renforcement de la féminisation et écriture inclusive : étude sur un corpus de presse et de textes politiques. </w:t>
      </w:r>
      <w:r w:rsidRPr="61049135">
        <w:rPr>
          <w:i/>
          <w:iCs/>
        </w:rPr>
        <w:t>Langue française</w:t>
      </w:r>
      <w:r w:rsidRPr="002E1AF8">
        <w:rPr>
          <w:i/>
        </w:rPr>
        <w:t xml:space="preserve">, </w:t>
      </w:r>
      <w:r w:rsidR="7609B05F" w:rsidRPr="002E1AF8">
        <w:rPr>
          <w:i/>
        </w:rPr>
        <w:t>215,</w:t>
      </w:r>
      <w:r w:rsidR="7609B05F">
        <w:t xml:space="preserve"> </w:t>
      </w:r>
      <w:r>
        <w:t>81-102</w:t>
      </w:r>
      <w:r w:rsidR="0AA0B4EA">
        <w:t>.</w:t>
      </w:r>
    </w:p>
    <w:p w14:paraId="71024C6E" w14:textId="6D6E9E29" w:rsidR="05A10EAB" w:rsidRDefault="05A10EAB" w:rsidP="61049135">
      <w:pPr>
        <w:pStyle w:val="Biblio"/>
      </w:pPr>
      <w:r>
        <w:t xml:space="preserve">Van Raemdonck, D. (2019). L’inclusif, entre accord et désaccord : Ou « Jusqu’à ce que la proximité nous sépare ». </w:t>
      </w:r>
      <w:r w:rsidRPr="61049135">
        <w:rPr>
          <w:i/>
          <w:iCs/>
        </w:rPr>
        <w:t xml:space="preserve">Le discours et la </w:t>
      </w:r>
      <w:r w:rsidRPr="002E1AF8">
        <w:rPr>
          <w:i/>
          <w:iCs/>
        </w:rPr>
        <w:t>langue</w:t>
      </w:r>
      <w:r w:rsidRPr="002E1AF8">
        <w:rPr>
          <w:i/>
        </w:rPr>
        <w:t>, 11</w:t>
      </w:r>
      <w:r>
        <w:t xml:space="preserve">, 75-95. </w:t>
      </w:r>
    </w:p>
    <w:p w14:paraId="428F54ED" w14:textId="4CD8B4F9" w:rsidR="66D7305F" w:rsidRDefault="66D7305F" w:rsidP="61049135">
      <w:pPr>
        <w:pStyle w:val="Biblio"/>
      </w:pPr>
      <w:r>
        <w:t>Van Raemdonck, D. (</w:t>
      </w:r>
      <w:r w:rsidR="74F0B725">
        <w:t>à paraitre</w:t>
      </w:r>
      <w:r w:rsidR="4445F3DC">
        <w:t xml:space="preserve"> 2024</w:t>
      </w:r>
      <w:r>
        <w:t xml:space="preserve">). Le genre grammatical : une catégorie à géométrie variable </w:t>
      </w:r>
      <w:r w:rsidR="171075EB">
        <w:t>O</w:t>
      </w:r>
      <w:r>
        <w:t>u de la quadrature du cercle à la t</w:t>
      </w:r>
      <w:r w:rsidR="2D97ADAC">
        <w:t>riangulation</w:t>
      </w:r>
      <w:r w:rsidR="00F75189">
        <w:t xml:space="preserve">, dans </w:t>
      </w:r>
      <w:r w:rsidR="00F75189" w:rsidRPr="00F75189">
        <w:t>Aleksandrova A., Cappeau</w:t>
      </w:r>
      <w:r w:rsidR="00F75189">
        <w:t>,</w:t>
      </w:r>
      <w:r w:rsidR="00F75189" w:rsidRPr="00F75189">
        <w:t xml:space="preserve"> P &amp; Meyer</w:t>
      </w:r>
      <w:r w:rsidR="00F75189">
        <w:t>,</w:t>
      </w:r>
      <w:r w:rsidR="00F75189" w:rsidRPr="00F75189">
        <w:t xml:space="preserve"> J.-P. (</w:t>
      </w:r>
      <w:r w:rsidR="00F75189">
        <w:t>d</w:t>
      </w:r>
      <w:r w:rsidR="00F75189" w:rsidRPr="00F75189">
        <w:t xml:space="preserve">ir.) </w:t>
      </w:r>
      <w:r w:rsidR="00F75189" w:rsidRPr="00A96CC1">
        <w:rPr>
          <w:i/>
          <w:iCs/>
        </w:rPr>
        <w:t xml:space="preserve">Des mots et des humains. Pour une </w:t>
      </w:r>
      <w:r w:rsidR="00A96CC1" w:rsidRPr="00A96CC1">
        <w:rPr>
          <w:i/>
          <w:iCs/>
        </w:rPr>
        <w:t>sémantique</w:t>
      </w:r>
      <w:r w:rsidR="00F75189" w:rsidRPr="00A96CC1">
        <w:rPr>
          <w:i/>
          <w:iCs/>
        </w:rPr>
        <w:t xml:space="preserve"> </w:t>
      </w:r>
      <w:r w:rsidR="00A96CC1" w:rsidRPr="00A96CC1">
        <w:rPr>
          <w:i/>
          <w:iCs/>
        </w:rPr>
        <w:t>référentielle</w:t>
      </w:r>
      <w:r w:rsidR="00F75189" w:rsidRPr="00A96CC1">
        <w:rPr>
          <w:i/>
          <w:iCs/>
        </w:rPr>
        <w:t xml:space="preserve"> et textuelle</w:t>
      </w:r>
      <w:r w:rsidR="00F75189" w:rsidRPr="00F75189">
        <w:t>.</w:t>
      </w:r>
      <w:r w:rsidR="38C522F3">
        <w:t xml:space="preserve"> </w:t>
      </w:r>
      <w:r w:rsidR="00F75189">
        <w:t xml:space="preserve">Paris : </w:t>
      </w:r>
      <w:r w:rsidR="38C522F3">
        <w:t>L’H</w:t>
      </w:r>
      <w:r w:rsidR="716B708F">
        <w:t>armattan</w:t>
      </w:r>
      <w:r w:rsidR="00F75189">
        <w:t>, 71-88.</w:t>
      </w:r>
    </w:p>
    <w:p w14:paraId="6F1D7CE0" w14:textId="0EC27B5C" w:rsidR="61049135" w:rsidRPr="0034167E" w:rsidRDefault="0034167E" w:rsidP="61049135">
      <w:pPr>
        <w:pStyle w:val="Biblio"/>
        <w:rPr>
          <w:b/>
        </w:rPr>
      </w:pPr>
      <w:r w:rsidRPr="0034167E">
        <w:rPr>
          <w:b/>
        </w:rPr>
        <w:t xml:space="preserve">Documents administratifs </w:t>
      </w:r>
      <w:r w:rsidR="002E1AF8">
        <w:rPr>
          <w:b/>
        </w:rPr>
        <w:t>et guides de communication inclusive</w:t>
      </w:r>
    </w:p>
    <w:p w14:paraId="3204D825" w14:textId="6FBA1381" w:rsidR="002A4DC2" w:rsidRDefault="002A4DC2" w:rsidP="002A4DC2">
      <w:pPr>
        <w:pStyle w:val="Biblio"/>
      </w:pPr>
      <w:r>
        <w:t>Conseil des Langues et des Politiques linguistiques de la FWB</w:t>
      </w:r>
      <w:r>
        <w:t xml:space="preserve">. </w:t>
      </w:r>
      <w:r>
        <w:t>(19 mai 2021)</w:t>
      </w:r>
      <w:r>
        <w:t>.</w:t>
      </w:r>
      <w:r>
        <w:t xml:space="preserve"> </w:t>
      </w:r>
      <w:r w:rsidRPr="002A4DC2">
        <w:rPr>
          <w:i/>
        </w:rPr>
        <w:t xml:space="preserve">Avis n°2 </w:t>
      </w:r>
      <w:r w:rsidRPr="002A4DC2">
        <w:rPr>
          <w:i/>
        </w:rPr>
        <w:t>relatif à l’«</w:t>
      </w:r>
      <w:r w:rsidRPr="002A4DC2">
        <w:rPr>
          <w:i/>
        </w:rPr>
        <w:t> Avant-projet de décret renforçant et modernisant les règles relatives à la féminisation des noms de métier, fonction, grade ou ti</w:t>
      </w:r>
      <w:r w:rsidRPr="002A4DC2">
        <w:rPr>
          <w:i/>
        </w:rPr>
        <w:t>tre</w:t>
      </w:r>
      <w:r w:rsidRPr="002A4DC2">
        <w:rPr>
          <w:i/>
        </w:rPr>
        <w:t> »</w:t>
      </w:r>
      <w:r>
        <w:t xml:space="preserve">, </w:t>
      </w:r>
      <w:r>
        <w:t xml:space="preserve"> </w:t>
      </w:r>
      <w:hyperlink r:id="rId17" w:history="1">
        <w:r w:rsidRPr="00D15983">
          <w:rPr>
            <w:rStyle w:val="Lienhypertexte"/>
          </w:rPr>
          <w:t>https://www.culture.be/administration/gouvernance-culturelle/conseil-de-la-langue-francaise-des-langues-regionales-endogenes-et-des-politiques-linguistiques/</w:t>
        </w:r>
      </w:hyperlink>
      <w:r>
        <w:t xml:space="preserve"> </w:t>
      </w:r>
    </w:p>
    <w:p w14:paraId="1D85AB9E" w14:textId="391897A0" w:rsidR="00CA1C61" w:rsidRDefault="002A4DC2" w:rsidP="002A4DC2">
      <w:pPr>
        <w:pStyle w:val="Biblio"/>
      </w:pPr>
      <w:r>
        <w:lastRenderedPageBreak/>
        <w:t>Conseil des Langues et des Politiques linguistiques de la FWB</w:t>
      </w:r>
      <w:r>
        <w:t xml:space="preserve">. </w:t>
      </w:r>
      <w:r>
        <w:t>(26 janvier 2022)</w:t>
      </w:r>
      <w:r>
        <w:t>.</w:t>
      </w:r>
      <w:r>
        <w:t xml:space="preserve"> </w:t>
      </w:r>
      <w:r w:rsidRPr="002A4DC2">
        <w:rPr>
          <w:i/>
        </w:rPr>
        <w:t>Avis n°3 concernant l’élaboration des arrêtés d’exécution du décret relatif au renforcement de la féminisation des noms de métier, fonction, grade ou titre et aux bonnes pratiques non discriminatoires quant au genre dans le cadre des communications officielles ou formelles</w:t>
      </w:r>
      <w:r>
        <w:t xml:space="preserve">, </w:t>
      </w:r>
      <w:hyperlink r:id="rId18" w:history="1">
        <w:r w:rsidRPr="00D15983">
          <w:rPr>
            <w:rStyle w:val="Lienhypertexte"/>
          </w:rPr>
          <w:t>https://www.culture.be/administration/gouvernance-culturelle/conseil-de-la-langue-francaise-des-langues-regionales-endogenes-et-des-politiques-linguistiques/</w:t>
        </w:r>
      </w:hyperlink>
      <w:r>
        <w:t xml:space="preserve"> </w:t>
      </w:r>
      <w:r w:rsidR="00CA1C61">
        <w:t xml:space="preserve"> </w:t>
      </w:r>
    </w:p>
    <w:p w14:paraId="3F29619A" w14:textId="7F7DA3F2" w:rsidR="002E1AF8" w:rsidRDefault="002E1AF8" w:rsidP="002E1AF8">
      <w:pPr>
        <w:pStyle w:val="Biblio"/>
      </w:pPr>
      <w:r>
        <w:t xml:space="preserve">Direction de la langue française. (2014). </w:t>
      </w:r>
      <w:r>
        <w:rPr>
          <w:i/>
        </w:rPr>
        <w:t>Mettre au féminin. Guide de féminisation des noms de métier, fonction, grade ou titre</w:t>
      </w:r>
      <w:r>
        <w:t xml:space="preserve">. Bruxelles : </w:t>
      </w:r>
      <w:r w:rsidRPr="61049135">
        <w:t xml:space="preserve">Service général des Lettres et du Livre </w:t>
      </w:r>
      <w:r>
        <w:t>–</w:t>
      </w:r>
      <w:r w:rsidRPr="61049135">
        <w:t xml:space="preserve"> Fédération Wallonie-Bruxelles</w:t>
      </w:r>
      <w:r>
        <w:t xml:space="preserve"> (3</w:t>
      </w:r>
      <w:r w:rsidRPr="007D601C">
        <w:rPr>
          <w:vertAlign w:val="superscript"/>
        </w:rPr>
        <w:t>e</w:t>
      </w:r>
      <w:r>
        <w:t xml:space="preserve"> édition). Autrices : A. Dister et </w:t>
      </w:r>
      <w:r w:rsidRPr="61049135">
        <w:t>M.-L.</w:t>
      </w:r>
      <w:r>
        <w:t xml:space="preserve"> Moreau</w:t>
      </w:r>
      <w:r w:rsidR="002A4DC2">
        <w:t>.</w:t>
      </w:r>
    </w:p>
    <w:p w14:paraId="31921A87" w14:textId="77777777" w:rsidR="002E1AF8" w:rsidRDefault="002E1AF8" w:rsidP="002E1AF8">
      <w:pPr>
        <w:pStyle w:val="Biblio"/>
      </w:pPr>
      <w:r>
        <w:t xml:space="preserve">Direction de la langue française. (2020). </w:t>
      </w:r>
      <w:r w:rsidRPr="61049135">
        <w:rPr>
          <w:i/>
          <w:iCs/>
        </w:rPr>
        <w:t>Inclure sans exclure. Les bonnes pratiques de rédaction inclusive</w:t>
      </w:r>
      <w:r>
        <w:t>. Bruxelles </w:t>
      </w:r>
      <w:r w:rsidRPr="61049135">
        <w:t xml:space="preserve">: Service général des Lettres et du Livre </w:t>
      </w:r>
      <w:r>
        <w:t>–</w:t>
      </w:r>
      <w:r w:rsidRPr="61049135">
        <w:t xml:space="preserve"> Fédération Wallonie-Bruxelles</w:t>
      </w:r>
      <w:r>
        <w:t xml:space="preserve">. Autrices : A. Dister et </w:t>
      </w:r>
      <w:r w:rsidRPr="61049135">
        <w:t>A. et M.-L.</w:t>
      </w:r>
      <w:r>
        <w:t xml:space="preserve"> Moreau.</w:t>
      </w:r>
    </w:p>
    <w:p w14:paraId="4D106EC1" w14:textId="77777777" w:rsidR="002E1AF8" w:rsidRDefault="002E1AF8" w:rsidP="002E1AF8">
      <w:pPr>
        <w:pStyle w:val="Biblio"/>
      </w:pPr>
      <w:r>
        <w:t xml:space="preserve">Direction de la langue française. (2024). </w:t>
      </w:r>
      <w:r>
        <w:rPr>
          <w:i/>
        </w:rPr>
        <w:t xml:space="preserve">Quand dire, c’est inclure. Pour une communication officielle et formelle non discriminatoire quant au genre. </w:t>
      </w:r>
      <w:r>
        <w:t xml:space="preserve">Bruxelles : </w:t>
      </w:r>
      <w:r w:rsidRPr="61049135">
        <w:t xml:space="preserve">Service général des Lettres et du Livre </w:t>
      </w:r>
      <w:r>
        <w:t>– F</w:t>
      </w:r>
      <w:r w:rsidRPr="61049135">
        <w:t>édération Wallonie-Bruxelles</w:t>
      </w:r>
      <w:r>
        <w:t xml:space="preserve"> Coordination : A.C.</w:t>
      </w:r>
      <w:r w:rsidRPr="61049135">
        <w:t xml:space="preserve"> Simon et </w:t>
      </w:r>
      <w:r>
        <w:t>D.</w:t>
      </w:r>
      <w:r w:rsidRPr="61049135">
        <w:t xml:space="preserve"> Van Raemdonck</w:t>
      </w:r>
      <w:r>
        <w:t>.</w:t>
      </w:r>
    </w:p>
    <w:p w14:paraId="60D5451F" w14:textId="1EBDC301" w:rsidR="00BA365B" w:rsidRDefault="00BA365B" w:rsidP="00BA365B">
      <w:pPr>
        <w:pStyle w:val="Biblio"/>
      </w:pPr>
      <w:r>
        <w:t xml:space="preserve">Gouvernement de la Communauté française. (2021). </w:t>
      </w:r>
      <w:r w:rsidRPr="00BA365B">
        <w:rPr>
          <w:i/>
        </w:rPr>
        <w:t>Arrêté du Gouvernement de la Communauté française portant exécution du décret du 14 octobre 2021 relatif au renforcement de la féminisation des noms de métier, fonction, grade ou titre et aux bonnes pratiques non discriminatoires quant au genre dans le cadre des communications officielles ou formelles</w:t>
      </w:r>
      <w:r>
        <w:t xml:space="preserve">, adopté en séance le </w:t>
      </w:r>
      <w:r>
        <w:t>14.07.2022</w:t>
      </w:r>
      <w:r>
        <w:t xml:space="preserve"> et publié au </w:t>
      </w:r>
      <w:r>
        <w:rPr>
          <w:i/>
        </w:rPr>
        <w:t xml:space="preserve">Moniteur belge </w:t>
      </w:r>
      <w:r>
        <w:t xml:space="preserve">le </w:t>
      </w:r>
      <w:r>
        <w:t>19</w:t>
      </w:r>
      <w:r>
        <w:t>.</w:t>
      </w:r>
      <w:r>
        <w:t>08</w:t>
      </w:r>
      <w:r>
        <w:t>.</w:t>
      </w:r>
      <w:r>
        <w:t>2022.</w:t>
      </w:r>
      <w:r>
        <w:t xml:space="preserve"> </w:t>
      </w:r>
      <w:hyperlink r:id="rId19" w:history="1">
        <w:r w:rsidRPr="00CD2AB5">
          <w:rPr>
            <w:rStyle w:val="Lienhypertexte"/>
            <w:lang w:val="fr-BE"/>
          </w:rPr>
          <w:t>https://www.gallilex.cfwb.be/document/pdf/50439_000.pdf</w:t>
        </w:r>
      </w:hyperlink>
    </w:p>
    <w:p w14:paraId="36C40216" w14:textId="234CBF03" w:rsidR="002E1AF8" w:rsidRDefault="002E1AF8" w:rsidP="00BA365B">
      <w:pPr>
        <w:pStyle w:val="Biblio"/>
      </w:pPr>
      <w:r>
        <w:t xml:space="preserve">Ministère de la communauté française. (2021). </w:t>
      </w:r>
      <w:r>
        <w:rPr>
          <w:i/>
        </w:rPr>
        <w:t>Décret relatif au renforcement de la féminisation des noms de métier, fonction, grade ou titre et aux bonnes pratiques non discriminatoires quant au genre dans le cadre des communications officielles ou formelles</w:t>
      </w:r>
      <w:r>
        <w:t xml:space="preserve">, adopté en séance le 13.10.2021 et publié au </w:t>
      </w:r>
      <w:r>
        <w:rPr>
          <w:i/>
        </w:rPr>
        <w:t xml:space="preserve">Moniteur belge </w:t>
      </w:r>
      <w:r>
        <w:t xml:space="preserve">317 du 26.11.2021, p. 114753, </w:t>
      </w:r>
      <w:hyperlink r:id="rId20" w:anchor="page=114753" w:history="1">
        <w:r w:rsidRPr="00064481">
          <w:rPr>
            <w:rStyle w:val="Lienhypertexte"/>
          </w:rPr>
          <w:t>http://archive.pfwb.be/1000000020cf0b2#page=114753</w:t>
        </w:r>
      </w:hyperlink>
      <w:r>
        <w:t xml:space="preserve"> </w:t>
      </w:r>
    </w:p>
    <w:p w14:paraId="1890D14C" w14:textId="77777777" w:rsidR="002E1AF8" w:rsidRDefault="002E1AF8" w:rsidP="002E1AF8">
      <w:pPr>
        <w:pStyle w:val="Biblio"/>
      </w:pPr>
      <w:r>
        <w:t xml:space="preserve">Parlement de la Communauté française. (2021). </w:t>
      </w:r>
      <w:r w:rsidRPr="00B410C8">
        <w:rPr>
          <w:i/>
        </w:rPr>
        <w:t>Rapport de</w:t>
      </w:r>
      <w:r>
        <w:rPr>
          <w:i/>
        </w:rPr>
        <w:t xml:space="preserve"> la</w:t>
      </w:r>
      <w:r w:rsidRPr="00B410C8">
        <w:rPr>
          <w:i/>
        </w:rPr>
        <w:t xml:space="preserve"> commission</w:t>
      </w:r>
      <w:r>
        <w:rPr>
          <w:i/>
        </w:rPr>
        <w:t xml:space="preserve"> de l’Enfance, de la Santé, de la Culture, des Médias et des Droits des femmes</w:t>
      </w:r>
      <w:r w:rsidRPr="00B410C8">
        <w:rPr>
          <w:i/>
        </w:rPr>
        <w:t xml:space="preserve"> sur le Projet de décret relatif au renforcement de la féminisation des noms de métier, fonction, grade ou titre et aux bonnes pratiques non discriminatoires quant au genre dans le cadre des communications officielles ou formelles présenté par Mme Margaux De Ré</w:t>
      </w:r>
      <w:r>
        <w:t xml:space="preserve">, 28 septembre 2021. </w:t>
      </w:r>
    </w:p>
    <w:p w14:paraId="6B7B7798" w14:textId="77777777" w:rsidR="00BA365B" w:rsidRDefault="00BA365B">
      <w:pPr>
        <w:pStyle w:val="Biblio"/>
      </w:pPr>
    </w:p>
    <w:sectPr w:rsidR="00BA365B" w:rsidSect="00AD488C">
      <w:endnotePr>
        <w:numFmt w:val="decimal"/>
      </w:endnotePr>
      <w:pgSz w:w="11905" w:h="16837"/>
      <w:pgMar w:top="2835" w:right="1701" w:bottom="1701" w:left="1701" w:header="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8D2B11" w16cex:dateUtc="2024-03-21T16:52:00Z"/>
  <w16cex:commentExtensible w16cex:durableId="1C9657AE" w16cex:dateUtc="2024-03-21T16:52:00Z"/>
  <w16cex:commentExtensible w16cex:durableId="3F15A051" w16cex:dateUtc="2024-03-21T16:52:00Z"/>
  <w16cex:commentExtensible w16cex:durableId="4012F2A9" w16cex:dateUtc="2024-03-21T16:52:00Z"/>
  <w16cex:commentExtensible w16cex:durableId="3D45FCFD" w16cex:dateUtc="2024-03-20T17:51:00Z"/>
  <w16cex:commentExtensible w16cex:durableId="6816C8D8" w16cex:dateUtc="2024-03-21T16:46:00Z"/>
  <w16cex:commentExtensible w16cex:durableId="6EFB265E" w16cex:dateUtc="2024-03-21T16:52:00Z"/>
  <w16cex:commentExtensible w16cex:durableId="31F56F56" w16cex:dateUtc="2024-03-20T17:55:00Z"/>
  <w16cex:commentExtensible w16cex:durableId="485925E8" w16cex:dateUtc="2024-03-21T16:52:00Z"/>
  <w16cex:commentExtensible w16cex:durableId="62CD7E46" w16cex:dateUtc="2024-03-15T07:49:00Z"/>
  <w16cex:commentExtensible w16cex:durableId="4031B971" w16cex:dateUtc="2024-03-15T07:51:00Z"/>
  <w16cex:commentExtensible w16cex:durableId="4AD031FB" w16cex:dateUtc="2024-03-15T08:04:00Z"/>
  <w16cex:commentExtensible w16cex:durableId="458CF049" w16cex:dateUtc="2024-03-15T07:54:00Z"/>
  <w16cex:commentExtensible w16cex:durableId="0B48C290" w16cex:dateUtc="2024-03-21T17:03:00Z"/>
  <w16cex:commentExtensible w16cex:durableId="0B8F3A2D" w16cex:dateUtc="2024-03-21T17:07:00Z"/>
  <w16cex:commentExtensible w16cex:durableId="598327EE" w16cex:dateUtc="2024-03-21T17:06:00Z"/>
  <w16cex:commentExtensible w16cex:durableId="56526A4B" w16cex:dateUtc="2024-03-20T1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5F390E" w16cid:durableId="29A6A8B2"/>
  <w16cid:commentId w16cid:paraId="2B814887" w16cid:durableId="598D2B11"/>
  <w16cid:commentId w16cid:paraId="47A83D74" w16cid:durableId="29A696B5"/>
  <w16cid:commentId w16cid:paraId="1C5EBD75" w16cid:durableId="1C9657AE"/>
  <w16cid:commentId w16cid:paraId="4648DAAF" w16cid:durableId="29A6A1FA"/>
  <w16cid:commentId w16cid:paraId="3E36B3F1" w16cid:durableId="3F15A051"/>
  <w16cid:commentId w16cid:paraId="5046394D" w16cid:durableId="29A6A5ED"/>
  <w16cid:commentId w16cid:paraId="5398FDDF" w16cid:durableId="4012F2A9"/>
  <w16cid:commentId w16cid:paraId="234B813D" w16cid:durableId="3D45FCFD"/>
  <w16cid:commentId w16cid:paraId="75850C0A" w16cid:durableId="29A6A73D"/>
  <w16cid:commentId w16cid:paraId="2116CDDB" w16cid:durableId="29A6A7DD"/>
  <w16cid:commentId w16cid:paraId="3B2B1089" w16cid:durableId="6816C8D8"/>
  <w16cid:commentId w16cid:paraId="2FCF8066" w16cid:durableId="16DCDA94"/>
  <w16cid:commentId w16cid:paraId="0DEE3328" w16cid:durableId="29A6AA01"/>
  <w16cid:commentId w16cid:paraId="6F7253C7" w16cid:durableId="5DDE1EA0"/>
  <w16cid:commentId w16cid:paraId="7E581B71" w16cid:durableId="2C4D450D"/>
  <w16cid:commentId w16cid:paraId="4F2AD6B1" w16cid:durableId="6EFB265E"/>
  <w16cid:commentId w16cid:paraId="13C91607" w16cid:durableId="31F56F56"/>
  <w16cid:commentId w16cid:paraId="791DEFBA" w16cid:durableId="29A6ACA6"/>
  <w16cid:commentId w16cid:paraId="0F852AD5" w16cid:durableId="485925E8"/>
  <w16cid:commentId w16cid:paraId="35DDE184" w16cid:durableId="62CD7E46"/>
  <w16cid:commentId w16cid:paraId="42542ECE" w16cid:durableId="4031B971"/>
  <w16cid:commentId w16cid:paraId="221CE614" w16cid:durableId="4AD031FB"/>
  <w16cid:commentId w16cid:paraId="4E4779D6" w16cid:durableId="458CF049"/>
  <w16cid:commentId w16cid:paraId="4838D712" w16cid:durableId="2EEF62EA"/>
  <w16cid:commentId w16cid:paraId="78AE7953" w16cid:durableId="29A6AF78"/>
  <w16cid:commentId w16cid:paraId="287A11E4" w16cid:durableId="0B48C290"/>
  <w16cid:commentId w16cid:paraId="1D7B022B" w16cid:durableId="29A6B777"/>
  <w16cid:commentId w16cid:paraId="062FCAA4" w16cid:durableId="0B8F3A2D"/>
  <w16cid:commentId w16cid:paraId="5CA8F3D9" w16cid:durableId="29A6B7C8"/>
  <w16cid:commentId w16cid:paraId="0A224958" w16cid:durableId="29A6B7FE"/>
  <w16cid:commentId w16cid:paraId="3D029A07" w16cid:durableId="598327EE"/>
  <w16cid:commentId w16cid:paraId="63701D86" w16cid:durableId="6992AF64"/>
  <w16cid:commentId w16cid:paraId="5F298CB9" w16cid:durableId="56526A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92E20" w14:textId="77777777" w:rsidR="00AD488C" w:rsidRDefault="00AD488C">
      <w:r>
        <w:separator/>
      </w:r>
    </w:p>
  </w:endnote>
  <w:endnote w:type="continuationSeparator" w:id="0">
    <w:p w14:paraId="3B3D8B51" w14:textId="77777777" w:rsidR="00AD488C" w:rsidRDefault="00AD488C">
      <w:r>
        <w:continuationSeparator/>
      </w:r>
    </w:p>
  </w:endnote>
  <w:endnote w:id="1">
    <w:p w14:paraId="096365AD" w14:textId="67E0F03D" w:rsidR="00106DE3" w:rsidRDefault="00106DE3">
      <w:pPr>
        <w:pStyle w:val="Notedefin"/>
      </w:pPr>
      <w:r>
        <w:rPr>
          <w:rStyle w:val="Appeldenotedefin"/>
        </w:rPr>
        <w:endnoteRef/>
      </w:r>
      <w:r>
        <w:t xml:space="preserve"> Cette contribution rend compte du travail mené au sein du Conseil de la </w:t>
      </w:r>
      <w:r w:rsidR="00662005">
        <w:t>L</w:t>
      </w:r>
      <w:r>
        <w:t xml:space="preserve">angue française, des Langues régionales endogènes et des </w:t>
      </w:r>
      <w:r w:rsidR="00662005">
        <w:t>P</w:t>
      </w:r>
      <w:r>
        <w:t xml:space="preserve">olitiques linguistiques (Fédération Wallonie-Bruxelles) </w:t>
      </w:r>
      <w:r w:rsidRPr="002A4DC2">
        <w:t xml:space="preserve">entre </w:t>
      </w:r>
      <w:r w:rsidR="00662005" w:rsidRPr="002A4DC2">
        <w:t xml:space="preserve">mars </w:t>
      </w:r>
      <w:r w:rsidRPr="002A4DC2">
        <w:t>2021 et février 2024</w:t>
      </w:r>
      <w:r>
        <w:t xml:space="preserve"> sous la présidence de Dan Van Raemdonck.</w:t>
      </w:r>
    </w:p>
  </w:endnote>
  <w:endnote w:id="2">
    <w:p w14:paraId="37B903FC" w14:textId="3522DF6A" w:rsidR="00106DE3" w:rsidRDefault="00106DE3" w:rsidP="000F4883">
      <w:pPr>
        <w:pStyle w:val="Notedefin"/>
      </w:pPr>
      <w:r>
        <w:rPr>
          <w:rStyle w:val="Appeldenotedefin"/>
        </w:rPr>
        <w:endnoteRef/>
      </w:r>
      <w:r>
        <w:t xml:space="preserve"> À cause d’un changement de majorité gouvernementale survenu quelques mois plus tard, cette circulaire envoyée aux ministres par le premier ministre Laurence Fabius n’a pas été suivie d’effet. Comme le montre l’étude de Burnett &amp; Bonami (2019), c’est seulement à partir de 1998, soit 12 ans plus tard, qu’une nouvelle circulaire pour la généralisation de la féminisation dans les administrations, envoyée par le premier ministre Lionel Jospin, a été suivie d’effet. </w:t>
      </w:r>
    </w:p>
  </w:endnote>
  <w:endnote w:id="3">
    <w:p w14:paraId="35423D70" w14:textId="71154932" w:rsidR="00106DE3" w:rsidRDefault="00106DE3">
      <w:pPr>
        <w:pStyle w:val="Notedefin"/>
      </w:pPr>
      <w:r>
        <w:rPr>
          <w:rStyle w:val="Appeldenotedefin"/>
        </w:rPr>
        <w:endnoteRef/>
      </w:r>
      <w:r>
        <w:t xml:space="preserve"> Le Conseil s’est prononcé en faveur d’un nouveau décret (15 mars 2010, 17 avril 2020) et a remis sur ces questions divers avis (4 octobre 2017, 14 mars 2018, 19 juin 2019).</w:t>
      </w:r>
    </w:p>
  </w:endnote>
  <w:endnote w:id="4">
    <w:p w14:paraId="2B20E7D4" w14:textId="0E7A310C" w:rsidR="00106DE3" w:rsidRDefault="00106DE3" w:rsidP="71E733AF">
      <w:pPr>
        <w:pStyle w:val="Notedefin"/>
      </w:pPr>
      <w:r w:rsidRPr="71E733AF">
        <w:rPr>
          <w:rStyle w:val="Appeldenotedefin"/>
        </w:rPr>
        <w:endnoteRef/>
      </w:r>
      <w:r>
        <w:t xml:space="preserve"> Ce décret a été exécuté par l’arrêté du Gouvernement de la Communauté française du 13 décembre 1993 contenant les recommandations du Conseil de la langue française, instance d’avis de la Communauté française.</w:t>
      </w:r>
    </w:p>
  </w:endnote>
  <w:endnote w:id="5">
    <w:p w14:paraId="67DC6B9D" w14:textId="60380EB1" w:rsidR="00106DE3" w:rsidRPr="0034167E" w:rsidRDefault="00106DE3" w:rsidP="2C81A273">
      <w:pPr>
        <w:rPr>
          <w:sz w:val="18"/>
          <w:szCs w:val="18"/>
        </w:rPr>
      </w:pPr>
      <w:r w:rsidRPr="2C81A273">
        <w:rPr>
          <w:rStyle w:val="Appeldenotedefin"/>
        </w:rPr>
        <w:endnoteRef/>
      </w:r>
      <w:r>
        <w:t xml:space="preserve"> </w:t>
      </w:r>
      <w:r w:rsidRPr="0034167E">
        <w:rPr>
          <w:sz w:val="18"/>
          <w:szCs w:val="18"/>
        </w:rPr>
        <w:t xml:space="preserve">Tous ces avis sont disponibles sur le site </w:t>
      </w:r>
      <w:hyperlink r:id="rId1">
        <w:r w:rsidRPr="0034167E">
          <w:rPr>
            <w:rStyle w:val="Lienhypertexte"/>
            <w:sz w:val="18"/>
            <w:szCs w:val="18"/>
          </w:rPr>
          <w:t>http://www.languefrancaise.cfwb.be/</w:t>
        </w:r>
      </w:hyperlink>
      <w:r w:rsidRPr="0034167E">
        <w:rPr>
          <w:sz w:val="18"/>
          <w:szCs w:val="18"/>
        </w:rPr>
        <w:t xml:space="preserve"> C’est de l’avis du 15 mars 2010 que s’inspirèrent plusieurs parlementaires lorsqu’ils déposèrent, le 19 juillet 2017, une proposition de décret modifiant le décret du 21 juin 1993, proposition qui n’a pas abouti.</w:t>
      </w:r>
    </w:p>
  </w:endnote>
  <w:endnote w:id="6">
    <w:p w14:paraId="5BD4D09E" w14:textId="04BBEC1A" w:rsidR="00106DE3" w:rsidRPr="005372F6" w:rsidRDefault="00106DE3" w:rsidP="00BC773A">
      <w:pPr>
        <w:pStyle w:val="Notedefin"/>
      </w:pPr>
      <w:r w:rsidRPr="002A4DC2">
        <w:rPr>
          <w:rStyle w:val="Appeldenotedefin"/>
        </w:rPr>
        <w:endnoteRef/>
      </w:r>
      <w:r w:rsidRPr="002A4DC2">
        <w:t xml:space="preserve"> Conseil des Langues et des Politiques linguistiques</w:t>
      </w:r>
      <w:r>
        <w:t xml:space="preserve"> de la FWB, </w:t>
      </w:r>
      <w:hyperlink r:id="rId2" w:tgtFrame="_blank" w:tooltip="Initiates file download" w:history="1">
        <w:r>
          <w:rPr>
            <w:rStyle w:val="Lienhypertexte"/>
          </w:rPr>
          <w:t>Avis n°2 (.pdf)</w:t>
        </w:r>
      </w:hyperlink>
      <w:r>
        <w:t xml:space="preserve"> (19 mai 2021) relatif à relatif à l’«</w:t>
      </w:r>
      <w:r w:rsidR="002E1AF8">
        <w:t> A</w:t>
      </w:r>
      <w:r>
        <w:t xml:space="preserve">vant-projet de décret renforçant et modernisant les règles relatives à la féminisation des noms de métier, fonction, grade ou titre » : </w:t>
      </w:r>
      <w:hyperlink r:id="rId3" w:history="1">
        <w:r w:rsidRPr="006B7234">
          <w:rPr>
            <w:rStyle w:val="Lienhypertexte"/>
          </w:rPr>
          <w:t>https://www.culture.be/administration/gouvernance-culturelle/conseil-de-la-langue-francaise-des-langues-regionales-endogenes-et-des-politiques-linguistiques/</w:t>
        </w:r>
      </w:hyperlink>
      <w:r>
        <w:t xml:space="preserve"> </w:t>
      </w:r>
    </w:p>
  </w:endnote>
  <w:endnote w:id="7">
    <w:p w14:paraId="0CE0244C" w14:textId="75A46DC3" w:rsidR="00106DE3" w:rsidRDefault="00106DE3">
      <w:pPr>
        <w:pStyle w:val="Notedefin"/>
      </w:pPr>
      <w:r>
        <w:rPr>
          <w:rStyle w:val="Appeldenotedefin"/>
        </w:rPr>
        <w:endnoteRef/>
      </w:r>
      <w:r>
        <w:t xml:space="preserve"> Le rapport de cette commission est consultable en ligne : </w:t>
      </w:r>
      <w:hyperlink r:id="rId4" w:history="1">
        <w:r w:rsidRPr="00721018">
          <w:rPr>
            <w:rStyle w:val="Lienhypertexte"/>
          </w:rPr>
          <w:t>https://archive.pfwb.be/1000000020ce0ec</w:t>
        </w:r>
      </w:hyperlink>
      <w:r>
        <w:t xml:space="preserve"> </w:t>
      </w:r>
    </w:p>
  </w:endnote>
  <w:endnote w:id="8">
    <w:p w14:paraId="3CDCE610" w14:textId="469ADA16" w:rsidR="00106DE3" w:rsidRPr="00907C35" w:rsidRDefault="00106DE3">
      <w:pPr>
        <w:pStyle w:val="Notedefin"/>
      </w:pPr>
      <w:r w:rsidRPr="002A4DC2">
        <w:rPr>
          <w:rStyle w:val="Appeldenotedefin"/>
        </w:rPr>
        <w:endnoteRef/>
      </w:r>
      <w:r w:rsidRPr="002A4DC2">
        <w:t xml:space="preserve"> Conseil des Langues et des Politiques linguistiques de la</w:t>
      </w:r>
      <w:r>
        <w:t xml:space="preserve"> FWB, </w:t>
      </w:r>
      <w:hyperlink r:id="rId5" w:tgtFrame="_blank" w:tooltip="Initiates file download" w:history="1">
        <w:r w:rsidRPr="00D919EC">
          <w:rPr>
            <w:rStyle w:val="Lienhypertexte"/>
          </w:rPr>
          <w:t>Avis n°3 (.pdf)</w:t>
        </w:r>
      </w:hyperlink>
      <w:r w:rsidRPr="00D919EC">
        <w:t xml:space="preserve"> (26 janvier 2022) concernant l’élaboration des arrêtés d’exécution du décret relatif au renforcement de la féminisation des noms de métier, fonction, grade ou titre et aux bonnes pratiques non discriminatoires quant au genre dans le cadre des communications officielles ou formelles</w:t>
      </w:r>
      <w:r>
        <w:t xml:space="preserve"> : </w:t>
      </w:r>
      <w:hyperlink r:id="rId6" w:history="1">
        <w:r w:rsidR="003D55E2" w:rsidRPr="00073F69">
          <w:rPr>
            <w:rStyle w:val="Lienhypertexte"/>
          </w:rPr>
          <w:t>https://www.culture.be/administration/gouvernance-culturelle/conseil-de-la-langue-francaise-des-langues-regionales-endogenes-et-des-politiques-linguistiques/</w:t>
        </w:r>
      </w:hyperlink>
      <w:r w:rsidR="003D55E2">
        <w:t xml:space="preserve"> </w:t>
      </w:r>
    </w:p>
  </w:endnote>
  <w:endnote w:id="9">
    <w:p w14:paraId="23B11310" w14:textId="0481F2AA" w:rsidR="00106DE3" w:rsidRPr="004536EB" w:rsidRDefault="00106DE3">
      <w:pPr>
        <w:pStyle w:val="Notedefin"/>
      </w:pPr>
      <w:r>
        <w:rPr>
          <w:rStyle w:val="Appeldenotedefin"/>
        </w:rPr>
        <w:endnoteRef/>
      </w:r>
      <w:r>
        <w:t xml:space="preserve"> Le Conseil avait néanmoins intégré l’accord de proximité dans sa proposition d’arrêté, non pas pour en recommander l’usage, mais pour recommander de ne pas le sanctionner à l’école.</w:t>
      </w:r>
    </w:p>
  </w:endnote>
  <w:endnote w:id="10">
    <w:p w14:paraId="21064FDD" w14:textId="3EB5C9A5" w:rsidR="00106DE3" w:rsidRDefault="00106DE3" w:rsidP="71E733AF">
      <w:pPr>
        <w:pStyle w:val="Notedefin"/>
      </w:pPr>
      <w:r w:rsidRPr="71E733AF">
        <w:rPr>
          <w:rStyle w:val="Appeldenotedefin"/>
        </w:rPr>
        <w:endnoteRef/>
      </w:r>
      <w:r>
        <w:t xml:space="preserve"> Par rapport à la liste des formes féminines recommandées dans le précédent guide du Conseil de la langue (</w:t>
      </w:r>
      <w:r w:rsidRPr="71E733AF">
        <w:rPr>
          <w:i/>
          <w:iCs/>
        </w:rPr>
        <w:t>Mettre au féminin</w:t>
      </w:r>
      <w:r w:rsidRPr="71E733AF">
        <w:t>, 3</w:t>
      </w:r>
      <w:r w:rsidRPr="002E1AF8">
        <w:rPr>
          <w:vertAlign w:val="superscript"/>
        </w:rPr>
        <w:t>e</w:t>
      </w:r>
      <w:r w:rsidRPr="71E733AF">
        <w:t xml:space="preserve"> édition 2014</w:t>
      </w:r>
      <w:r>
        <w:t>, les deux éditions précédentes datant de 1993 et 2005</w:t>
      </w:r>
      <w:r w:rsidRPr="71E733AF">
        <w:t>).</w:t>
      </w:r>
    </w:p>
  </w:endnote>
  <w:endnote w:id="11">
    <w:p w14:paraId="7C7861F1" w14:textId="7E77E62C" w:rsidR="00106DE3" w:rsidRPr="00FB29F8" w:rsidRDefault="00106DE3">
      <w:pPr>
        <w:pStyle w:val="Notedefin"/>
      </w:pPr>
      <w:r>
        <w:rPr>
          <w:rStyle w:val="Appeldenotedefin"/>
        </w:rPr>
        <w:endnoteRef/>
      </w:r>
      <w:r>
        <w:t xml:space="preserve"> Le Conseil ne tranche cependant pas quant à la pratique du simple ou double point médian : citoyen·ne·s ou citoyen·nes. La seconde solution est plus aisée (un seul point) ; la première n’amalgame pas les terminaisons de genre et de nombre.</w:t>
      </w:r>
    </w:p>
  </w:endnote>
  <w:endnote w:id="12">
    <w:p w14:paraId="40757F89" w14:textId="77777777" w:rsidR="00106DE3" w:rsidRDefault="00106DE3" w:rsidP="00C07EB8">
      <w:pPr>
        <w:pStyle w:val="Notedefin"/>
      </w:pPr>
      <w:r>
        <w:rPr>
          <w:rStyle w:val="Appeldenotedefin"/>
        </w:rPr>
        <w:endnoteRef/>
      </w:r>
      <w:r>
        <w:t xml:space="preserve"> De nombreuses discussions scientifiques ont eu lieu au sein du groupe de travail en charge de la rédaction du guide à propos des études sur l’interprétation du masculin à valeur générique (</w:t>
      </w:r>
      <w:r w:rsidRPr="00F74D15">
        <w:t>Gygax et al. 2008, Gygax et al. 2012</w:t>
      </w:r>
      <w:r>
        <w:t xml:space="preserve">). Ce qui pose problème à certains membres, c’est d’une part l’écologie des stimulus qui sont présentés dans les dispositifs expérimentaux (des phrases décontextualisées, en grand nombre pour assurer le croisement des différentes conditions expérimentales à tester) et d’autre part les conclusions qui ne mettent pas toujours en avant les nuances observées dans les résultats (par ex. l’impact du rappel ou de l’absence de rappel de la règle selon laquelle le masculin peut avoir une valeur générique). Enfin, le paradigme qui permet d’utiliser des mesures de durée (pour lire une phrase, pour répondre à une question) pour estimer la difficulté d’une tâche ou le caractère ambigu d’une phrase à interpréter, bien que valide dans le champ de la psychologie expérimentale, n’est pas toujours jugé fiable par des linguistes habitués à travailler sur corpus. </w:t>
      </w:r>
    </w:p>
  </w:endnote>
  <w:endnote w:id="13">
    <w:p w14:paraId="24C96F17" w14:textId="70C498B9" w:rsidR="007E6E35" w:rsidRPr="005B7E7F" w:rsidRDefault="007E6E35">
      <w:pPr>
        <w:pStyle w:val="Notedefin"/>
        <w:rPr>
          <w:lang w:val="fr-BE"/>
        </w:rPr>
      </w:pPr>
      <w:r>
        <w:rPr>
          <w:rStyle w:val="Appeldenotedefin"/>
        </w:rPr>
        <w:endnoteRef/>
      </w:r>
      <w:r>
        <w:t xml:space="preserve"> </w:t>
      </w:r>
      <w:r w:rsidRPr="007E6E35">
        <w:rPr>
          <w:lang w:val="fr-BE"/>
        </w:rPr>
        <w:t xml:space="preserve">Le neutre est réputé absent en français : les mots neutres latins ont été répartis, selon leur terminaison, soit dans la catégorie des masculins : </w:t>
      </w:r>
      <w:r w:rsidRPr="007E6E35">
        <w:rPr>
          <w:i/>
          <w:lang w:val="fr-BE"/>
        </w:rPr>
        <w:t>templum</w:t>
      </w:r>
      <w:r w:rsidRPr="007E6E35">
        <w:rPr>
          <w:lang w:val="fr-BE"/>
        </w:rPr>
        <w:t xml:space="preserve"> (temple) ; soit dans la catégorie des féminins (à partir de l’accusatif pluriel en -</w:t>
      </w:r>
      <w:r w:rsidRPr="007E6E35">
        <w:rPr>
          <w:i/>
          <w:lang w:val="fr-BE"/>
        </w:rPr>
        <w:t>a</w:t>
      </w:r>
      <w:r w:rsidRPr="007E6E35">
        <w:rPr>
          <w:lang w:val="fr-BE"/>
        </w:rPr>
        <w:t xml:space="preserve">) : </w:t>
      </w:r>
      <w:r w:rsidRPr="007E6E35">
        <w:rPr>
          <w:i/>
          <w:lang w:val="fr-BE"/>
        </w:rPr>
        <w:t>folia</w:t>
      </w:r>
      <w:r w:rsidRPr="007E6E35">
        <w:rPr>
          <w:lang w:val="fr-BE"/>
        </w:rPr>
        <w:t xml:space="preserve"> (feuille). Pour autant, des traces de neutre subsistent, </w:t>
      </w:r>
      <w:r>
        <w:rPr>
          <w:lang w:val="fr-BE"/>
        </w:rPr>
        <w:t xml:space="preserve">qui sont </w:t>
      </w:r>
      <w:r w:rsidRPr="007E6E35">
        <w:rPr>
          <w:lang w:val="fr-BE"/>
        </w:rPr>
        <w:t xml:space="preserve">reconnues </w:t>
      </w:r>
      <w:r>
        <w:rPr>
          <w:lang w:val="fr-BE"/>
        </w:rPr>
        <w:t xml:space="preserve">comme tel </w:t>
      </w:r>
      <w:r w:rsidRPr="007E6E35">
        <w:rPr>
          <w:lang w:val="fr-BE"/>
        </w:rPr>
        <w:t>par la grammaire scolaire</w:t>
      </w:r>
      <w:r w:rsidR="007846C8">
        <w:rPr>
          <w:lang w:val="fr-BE"/>
        </w:rPr>
        <w:t> : ce sont notamment les exemples vus dans le paragraphe. La prise en considération d’un genre non marqué permet notamment entre autres de rendre compte de l’existence de ces formes : ni masculin, ni féminin (sens étymologique de « neutre »), mais non marqué en genre.</w:t>
      </w:r>
    </w:p>
  </w:endnote>
  <w:endnote w:id="14">
    <w:p w14:paraId="1EB6032E" w14:textId="0FB8D0FD" w:rsidR="00106DE3" w:rsidRPr="00330BFC" w:rsidRDefault="00106DE3" w:rsidP="00525B52">
      <w:pPr>
        <w:pStyle w:val="Notedefin"/>
        <w:rPr>
          <w:lang w:val="fr-BE"/>
        </w:rPr>
      </w:pPr>
      <w:r>
        <w:rPr>
          <w:rStyle w:val="Appeldenotedefin"/>
        </w:rPr>
        <w:endnoteRef/>
      </w:r>
      <w:r>
        <w:t xml:space="preserve"> </w:t>
      </w:r>
      <w:r w:rsidRPr="00330BFC">
        <w:rPr>
          <w:lang w:val="fr-BE"/>
        </w:rPr>
        <w:t xml:space="preserve">En moyen français, lorsque </w:t>
      </w:r>
      <w:r>
        <w:rPr>
          <w:lang w:val="fr-BE"/>
        </w:rPr>
        <w:t xml:space="preserve">dans le groupe nominal, </w:t>
      </w:r>
      <w:r w:rsidRPr="00330BFC">
        <w:rPr>
          <w:lang w:val="fr-BE"/>
        </w:rPr>
        <w:t>le donneu</w:t>
      </w:r>
      <w:r>
        <w:rPr>
          <w:lang w:val="fr-BE"/>
        </w:rPr>
        <w:t>r potentiel d’accord le plus proche était féminin, l’accord se faisait au masculin dans 54,7% des cas (corpus Moreau</w:t>
      </w:r>
      <w:r w:rsidR="003D55E2">
        <w:rPr>
          <w:lang w:val="fr-BE"/>
        </w:rPr>
        <w:t>,</w:t>
      </w:r>
      <w:r>
        <w:rPr>
          <w:lang w:val="fr-BE"/>
        </w:rPr>
        <w:t xml:space="preserve"> dans Van Raemdonck 2019) et donc au féminin dans 45,3%. Ces chiffres cachent une disparité : </w:t>
      </w:r>
      <w:r w:rsidRPr="0067593B">
        <w:rPr>
          <w:lang w:val="fr-BE"/>
        </w:rPr>
        <w:t xml:space="preserve">en creusant l’étude de ce corpus, </w:t>
      </w:r>
      <w:r>
        <w:rPr>
          <w:lang w:val="fr-BE"/>
        </w:rPr>
        <w:t xml:space="preserve">on </w:t>
      </w:r>
      <w:r w:rsidRPr="0067593B">
        <w:rPr>
          <w:lang w:val="fr-BE"/>
        </w:rPr>
        <w:t xml:space="preserve">observe que, sur 29 accords féminins pour un </w:t>
      </w:r>
      <w:r w:rsidR="002E1AF8">
        <w:rPr>
          <w:lang w:val="fr-BE"/>
        </w:rPr>
        <w:t>donneur potentiel le plus proche</w:t>
      </w:r>
      <w:r w:rsidRPr="0067593B">
        <w:rPr>
          <w:lang w:val="fr-BE"/>
        </w:rPr>
        <w:t xml:space="preserve"> féminin, 27 (93,10 %) correspondent à des adjectifs ou déterminants antéposés, contre 2 postposés. Inversement, sur 35 accords masculins pour un </w:t>
      </w:r>
      <w:r w:rsidR="002E1AF8">
        <w:rPr>
          <w:lang w:val="fr-BE"/>
        </w:rPr>
        <w:t>donneur potentiel le plus proche</w:t>
      </w:r>
      <w:r w:rsidRPr="0067593B">
        <w:rPr>
          <w:lang w:val="fr-BE"/>
        </w:rPr>
        <w:t xml:space="preserve"> féminin, 33 (94,29 %) correspondent à des adjectifs postposés, contre 2 à des adjectifs ou déterminants antéposés. La position antéposée du receveur</w:t>
      </w:r>
      <w:r w:rsidR="002E1AF8">
        <w:rPr>
          <w:lang w:val="fr-BE"/>
        </w:rPr>
        <w:t xml:space="preserve"> d’accord</w:t>
      </w:r>
      <w:r w:rsidRPr="0067593B">
        <w:rPr>
          <w:lang w:val="fr-BE"/>
        </w:rPr>
        <w:t xml:space="preserve"> semble donc </w:t>
      </w:r>
      <w:r>
        <w:rPr>
          <w:lang w:val="fr-BE"/>
        </w:rPr>
        <w:t xml:space="preserve">à l’époque </w:t>
      </w:r>
      <w:r w:rsidRPr="0067593B">
        <w:rPr>
          <w:lang w:val="fr-BE"/>
        </w:rPr>
        <w:t>un critère potentiellement déclencheur d’un accord dit de proximité au féminin</w:t>
      </w:r>
      <w:r>
        <w:rPr>
          <w:lang w:val="fr-BE"/>
        </w:rPr>
        <w:t>.</w:t>
      </w:r>
    </w:p>
  </w:endnote>
  <w:endnote w:id="15">
    <w:p w14:paraId="67E98B73" w14:textId="6DBD3C09" w:rsidR="00106DE3" w:rsidRPr="002E1AF8" w:rsidRDefault="00106DE3">
      <w:pPr>
        <w:pStyle w:val="Notedefin"/>
        <w:rPr>
          <w:lang w:val="fr-BE"/>
        </w:rPr>
      </w:pPr>
      <w:r>
        <w:rPr>
          <w:rStyle w:val="Appeldenotedefin"/>
        </w:rPr>
        <w:endnoteRef/>
      </w:r>
      <w:r>
        <w:t xml:space="preserve"> </w:t>
      </w:r>
      <w:r w:rsidRPr="002E1AF8">
        <w:rPr>
          <w:lang w:val="fr-BE"/>
        </w:rPr>
        <w:t xml:space="preserve">La </w:t>
      </w:r>
      <w:r w:rsidRPr="002E1AF8">
        <w:rPr>
          <w:i/>
          <w:iCs/>
          <w:lang w:val="fr-BE"/>
        </w:rPr>
        <w:t>Grande Grammaire du Français</w:t>
      </w:r>
      <w:r w:rsidR="002E1AF8">
        <w:rPr>
          <w:lang w:val="fr-BE"/>
        </w:rPr>
        <w:t xml:space="preserve"> (</w:t>
      </w:r>
      <w:r w:rsidR="003D55E2">
        <w:rPr>
          <w:lang w:val="fr-BE"/>
        </w:rPr>
        <w:t xml:space="preserve">Abeillé &amp; Godard </w:t>
      </w:r>
      <w:r w:rsidR="002E1AF8">
        <w:rPr>
          <w:lang w:val="fr-BE"/>
        </w:rPr>
        <w:t>2021</w:t>
      </w:r>
      <w:r w:rsidR="00F925FF">
        <w:rPr>
          <w:lang w:val="fr-BE"/>
        </w:rPr>
        <w:t>: 1804 et 2262</w:t>
      </w:r>
      <w:r w:rsidR="002E1AF8">
        <w:rPr>
          <w:lang w:val="fr-BE"/>
        </w:rPr>
        <w:t>)</w:t>
      </w:r>
      <w:r>
        <w:rPr>
          <w:lang w:val="fr-BE"/>
        </w:rPr>
        <w:t xml:space="preserve"> recommande néanmoins d’accorder au masculin les adjectifs qui, dans un groupe nominal, sont postposés aux deux noms de genres différents auxquels ils se rapportent, même si le donneur potentiel le plus proche est féminin. </w:t>
      </w:r>
    </w:p>
  </w:endnote>
  <w:endnote w:id="16">
    <w:p w14:paraId="6F20DAB7" w14:textId="77777777" w:rsidR="00F925FF" w:rsidRPr="005651FC" w:rsidRDefault="00F925FF" w:rsidP="00F925FF">
      <w:pPr>
        <w:pStyle w:val="Notedefin"/>
      </w:pPr>
      <w:r>
        <w:rPr>
          <w:rStyle w:val="Appeldenotedefin"/>
        </w:rPr>
        <w:endnoteRef/>
      </w:r>
      <w:r>
        <w:t xml:space="preserve"> </w:t>
      </w:r>
      <w:r w:rsidRPr="005C7FB7">
        <w:rPr>
          <w:lang w:val="fr-BE"/>
        </w:rPr>
        <w:t>Résolution 2048 (2015) de l’Assemblée parlementaire du Conseil de l’Europe, point 6.2.4.</w:t>
      </w:r>
    </w:p>
  </w:endnote>
  <w:endnote w:id="17">
    <w:p w14:paraId="5A739C95" w14:textId="77777777" w:rsidR="00F925FF" w:rsidRPr="005C7FB7" w:rsidRDefault="00F925FF" w:rsidP="00F925FF">
      <w:pPr>
        <w:pStyle w:val="Notedefin"/>
      </w:pPr>
      <w:r>
        <w:rPr>
          <w:rStyle w:val="Appeldenotedefin"/>
        </w:rPr>
        <w:endnoteRef/>
      </w:r>
      <w:r>
        <w:t xml:space="preserve"> </w:t>
      </w:r>
      <w:r w:rsidRPr="00671EEB">
        <w:rPr>
          <w:i/>
          <w:iCs/>
        </w:rPr>
        <w:t>Ibid</w:t>
      </w:r>
      <w:r>
        <w:t>, point 6.1.5.</w:t>
      </w:r>
    </w:p>
  </w:endnote>
  <w:endnote w:id="18">
    <w:p w14:paraId="31C4212E" w14:textId="2B26E827" w:rsidR="00106DE3" w:rsidRPr="002A4DC2" w:rsidRDefault="00106DE3">
      <w:pPr>
        <w:pStyle w:val="Notedefin"/>
      </w:pPr>
      <w:r>
        <w:rPr>
          <w:rStyle w:val="Appeldenotedefin"/>
        </w:rPr>
        <w:endnoteRef/>
      </w:r>
      <w:r>
        <w:t xml:space="preserve"> </w:t>
      </w:r>
      <w:r w:rsidR="00F97ADF">
        <w:t>D’autres formes existent</w:t>
      </w:r>
      <w:r w:rsidRPr="00872270">
        <w:t xml:space="preserve"> comme </w:t>
      </w:r>
      <w:r w:rsidRPr="00872270">
        <w:rPr>
          <w:i/>
          <w:iCs/>
        </w:rPr>
        <w:t xml:space="preserve">ille </w:t>
      </w:r>
      <w:r w:rsidRPr="00872270">
        <w:t>(</w:t>
      </w:r>
      <w:r w:rsidR="00F97ADF">
        <w:t>amalgame de</w:t>
      </w:r>
      <w:r w:rsidRPr="00872270">
        <w:t xml:space="preserve"> </w:t>
      </w:r>
      <w:r w:rsidRPr="00872270">
        <w:rPr>
          <w:i/>
          <w:iCs/>
        </w:rPr>
        <w:t>il</w:t>
      </w:r>
      <w:r w:rsidRPr="00872270">
        <w:t xml:space="preserve"> et </w:t>
      </w:r>
      <w:r w:rsidRPr="00872270">
        <w:rPr>
          <w:i/>
          <w:iCs/>
        </w:rPr>
        <w:t>elle</w:t>
      </w:r>
      <w:r w:rsidRPr="00872270">
        <w:t>)</w:t>
      </w:r>
      <w:r w:rsidR="00F925FF">
        <w:t xml:space="preserve"> ou</w:t>
      </w:r>
      <w:r w:rsidR="00F97ADF">
        <w:t xml:space="preserve"> </w:t>
      </w:r>
      <w:r w:rsidRPr="00872270">
        <w:rPr>
          <w:i/>
          <w:iCs/>
        </w:rPr>
        <w:t>ol</w:t>
      </w:r>
      <w:r w:rsidRPr="00872270">
        <w:t xml:space="preserve">, </w:t>
      </w:r>
      <w:r w:rsidRPr="00872270">
        <w:rPr>
          <w:i/>
          <w:iCs/>
        </w:rPr>
        <w:t>ul</w:t>
      </w:r>
      <w:r w:rsidRPr="00872270">
        <w:t xml:space="preserve">, </w:t>
      </w:r>
      <w:r w:rsidRPr="00872270">
        <w:rPr>
          <w:i/>
          <w:iCs/>
        </w:rPr>
        <w:t>al</w:t>
      </w:r>
      <w:r w:rsidRPr="00872270">
        <w:t xml:space="preserve">, </w:t>
      </w:r>
      <w:r w:rsidRPr="00872270">
        <w:rPr>
          <w:i/>
          <w:iCs/>
        </w:rPr>
        <w:t xml:space="preserve">ael </w:t>
      </w:r>
      <w:r w:rsidRPr="00872270">
        <w:t xml:space="preserve">(qui </w:t>
      </w:r>
      <w:r w:rsidR="00F97ADF">
        <w:t>expriment</w:t>
      </w:r>
      <w:r w:rsidR="00F97ADF" w:rsidRPr="00872270">
        <w:t xml:space="preserve"> </w:t>
      </w:r>
      <w:r w:rsidRPr="00872270">
        <w:t xml:space="preserve">le choix de ne pas se </w:t>
      </w:r>
      <w:r w:rsidR="00F97ADF">
        <w:t>présenter</w:t>
      </w:r>
      <w:r w:rsidR="00F97ADF" w:rsidRPr="00872270">
        <w:t xml:space="preserve"> </w:t>
      </w:r>
      <w:r w:rsidRPr="00872270">
        <w:t xml:space="preserve">comme </w:t>
      </w:r>
      <w:r w:rsidR="00F97ADF">
        <w:t>le résultat</w:t>
      </w:r>
      <w:r w:rsidRPr="00872270">
        <w:t xml:space="preserve"> d</w:t>
      </w:r>
      <w:r w:rsidR="00F97ADF">
        <w:t xml:space="preserve">e la </w:t>
      </w:r>
      <w:r w:rsidRPr="00872270">
        <w:t>cont</w:t>
      </w:r>
      <w:r w:rsidR="00F97ADF">
        <w:t>r</w:t>
      </w:r>
      <w:r w:rsidRPr="00872270">
        <w:t xml:space="preserve">action </w:t>
      </w:r>
      <w:r w:rsidR="00F97ADF">
        <w:t>d’</w:t>
      </w:r>
      <w:r w:rsidRPr="00872270">
        <w:t>u</w:t>
      </w:r>
      <w:r w:rsidR="00F97ADF">
        <w:t>n</w:t>
      </w:r>
      <w:r w:rsidRPr="00872270">
        <w:t xml:space="preserve"> masculin et d</w:t>
      </w:r>
      <w:r w:rsidR="00F97ADF">
        <w:t>’un</w:t>
      </w:r>
      <w:r w:rsidRPr="00872270">
        <w:t xml:space="preserve"> féminin).</w:t>
      </w:r>
    </w:p>
  </w:endnote>
  <w:endnote w:id="19">
    <w:p w14:paraId="30A9418C" w14:textId="1D3A3E2B" w:rsidR="00233046" w:rsidRPr="00BA365B" w:rsidRDefault="00233046">
      <w:pPr>
        <w:pStyle w:val="Notedefin"/>
        <w:rPr>
          <w:lang w:val="fr-BE"/>
        </w:rPr>
      </w:pPr>
      <w:r>
        <w:rPr>
          <w:rStyle w:val="Appeldenotedefin"/>
        </w:rPr>
        <w:endnoteRef/>
      </w:r>
      <w:r>
        <w:t xml:space="preserve"> </w:t>
      </w:r>
      <w:r w:rsidRPr="00233046">
        <w:t xml:space="preserve">Pour l’accord, </w:t>
      </w:r>
      <w:r>
        <w:t>le</w:t>
      </w:r>
      <w:r w:rsidRPr="00233046">
        <w:t xml:space="preserve"> contexte est déterminant : </w:t>
      </w:r>
      <w:r>
        <w:t>selon</w:t>
      </w:r>
      <w:r w:rsidRPr="00233046">
        <w:t xml:space="preserve"> les situations et surtout le choix des personnes dont on parle, on pourra trouver à l’oral ou à l’écrit </w:t>
      </w:r>
      <w:r w:rsidRPr="00233046">
        <w:rPr>
          <w:i/>
          <w:iCs/>
        </w:rPr>
        <w:t>iel est beau</w:t>
      </w:r>
      <w:r w:rsidRPr="00233046">
        <w:t>/</w:t>
      </w:r>
      <w:r w:rsidRPr="00233046">
        <w:rPr>
          <w:i/>
          <w:iCs/>
        </w:rPr>
        <w:t>belle</w:t>
      </w:r>
      <w:r w:rsidRPr="00233046">
        <w:t>/</w:t>
      </w:r>
      <w:r w:rsidRPr="00233046">
        <w:rPr>
          <w:i/>
          <w:iCs/>
        </w:rPr>
        <w:t>beau·belle</w:t>
      </w:r>
      <w:r w:rsidRPr="00233046">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3C6B5" w14:textId="77777777" w:rsidR="00AD488C" w:rsidRDefault="00AD488C">
      <w:r>
        <w:separator/>
      </w:r>
    </w:p>
  </w:footnote>
  <w:footnote w:type="continuationSeparator" w:id="0">
    <w:p w14:paraId="6562A616" w14:textId="77777777" w:rsidR="00AD488C" w:rsidRDefault="00AD4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766F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C067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484D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D2C8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44D5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089F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BC2C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A9A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6A6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C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93C9B42"/>
    <w:name w:val="WW8Num1"/>
    <w:lvl w:ilvl="0">
      <w:start w:val="1"/>
      <w:numFmt w:val="bullet"/>
      <w:lvlText w:val="·"/>
      <w:lvlJc w:val="left"/>
      <w:pPr>
        <w:tabs>
          <w:tab w:val="num" w:pos="283"/>
        </w:tabs>
        <w:ind w:left="283" w:hanging="283"/>
      </w:pPr>
      <w:rPr>
        <w:rFonts w:ascii="Symbol" w:hAnsi="Symbol" w:cs="Courier"/>
        <w:sz w:val="18"/>
        <w:szCs w:val="18"/>
      </w:rPr>
    </w:lvl>
    <w:lvl w:ilvl="1">
      <w:start w:val="1"/>
      <w:numFmt w:val="bullet"/>
      <w:lvlText w:val="·"/>
      <w:lvlJc w:val="left"/>
      <w:pPr>
        <w:tabs>
          <w:tab w:val="num" w:pos="567"/>
        </w:tabs>
        <w:ind w:left="567" w:hanging="283"/>
      </w:pPr>
      <w:rPr>
        <w:rFonts w:ascii="Symbol" w:hAnsi="Symbol" w:cs="Courier"/>
        <w:sz w:val="18"/>
        <w:szCs w:val="18"/>
      </w:rPr>
    </w:lvl>
    <w:lvl w:ilvl="2">
      <w:start w:val="1"/>
      <w:numFmt w:val="bullet"/>
      <w:lvlText w:val="·"/>
      <w:lvlJc w:val="left"/>
      <w:pPr>
        <w:tabs>
          <w:tab w:val="num" w:pos="850"/>
        </w:tabs>
        <w:ind w:left="850" w:hanging="283"/>
      </w:pPr>
      <w:rPr>
        <w:rFonts w:ascii="Symbol" w:hAnsi="Symbol" w:cs="Courier"/>
        <w:sz w:val="18"/>
        <w:szCs w:val="18"/>
      </w:rPr>
    </w:lvl>
    <w:lvl w:ilvl="3">
      <w:start w:val="1"/>
      <w:numFmt w:val="bullet"/>
      <w:lvlText w:val="·"/>
      <w:lvlJc w:val="left"/>
      <w:pPr>
        <w:tabs>
          <w:tab w:val="num" w:pos="1134"/>
        </w:tabs>
        <w:ind w:left="1134" w:hanging="283"/>
      </w:pPr>
      <w:rPr>
        <w:rFonts w:ascii="Symbol" w:hAnsi="Symbol" w:cs="Courier"/>
        <w:sz w:val="18"/>
        <w:szCs w:val="18"/>
      </w:rPr>
    </w:lvl>
    <w:lvl w:ilvl="4">
      <w:start w:val="1"/>
      <w:numFmt w:val="bullet"/>
      <w:lvlText w:val="·"/>
      <w:lvlJc w:val="left"/>
      <w:pPr>
        <w:tabs>
          <w:tab w:val="num" w:pos="1417"/>
        </w:tabs>
        <w:ind w:left="1417" w:hanging="283"/>
      </w:pPr>
      <w:rPr>
        <w:rFonts w:ascii="Symbol" w:hAnsi="Symbol" w:cs="Courier"/>
        <w:sz w:val="18"/>
        <w:szCs w:val="18"/>
      </w:rPr>
    </w:lvl>
    <w:lvl w:ilvl="5">
      <w:start w:val="1"/>
      <w:numFmt w:val="bullet"/>
      <w:lvlText w:val="·"/>
      <w:lvlJc w:val="left"/>
      <w:pPr>
        <w:tabs>
          <w:tab w:val="num" w:pos="1701"/>
        </w:tabs>
        <w:ind w:left="1701" w:hanging="283"/>
      </w:pPr>
      <w:rPr>
        <w:rFonts w:ascii="Symbol" w:hAnsi="Symbol" w:cs="Courier"/>
        <w:sz w:val="18"/>
        <w:szCs w:val="18"/>
      </w:rPr>
    </w:lvl>
    <w:lvl w:ilvl="6">
      <w:start w:val="1"/>
      <w:numFmt w:val="bullet"/>
      <w:lvlText w:val="·"/>
      <w:lvlJc w:val="left"/>
      <w:pPr>
        <w:tabs>
          <w:tab w:val="num" w:pos="1984"/>
        </w:tabs>
        <w:ind w:left="1984" w:hanging="283"/>
      </w:pPr>
      <w:rPr>
        <w:rFonts w:ascii="Symbol" w:hAnsi="Symbol" w:cs="Courier"/>
        <w:sz w:val="18"/>
        <w:szCs w:val="18"/>
      </w:rPr>
    </w:lvl>
    <w:lvl w:ilvl="7">
      <w:start w:val="1"/>
      <w:numFmt w:val="bullet"/>
      <w:lvlText w:val="·"/>
      <w:lvlJc w:val="left"/>
      <w:pPr>
        <w:tabs>
          <w:tab w:val="num" w:pos="2268"/>
        </w:tabs>
        <w:ind w:left="2268" w:hanging="283"/>
      </w:pPr>
      <w:rPr>
        <w:rFonts w:ascii="Symbol" w:hAnsi="Symbol" w:cs="Courier"/>
        <w:sz w:val="18"/>
        <w:szCs w:val="18"/>
      </w:rPr>
    </w:lvl>
    <w:lvl w:ilvl="8">
      <w:start w:val="1"/>
      <w:numFmt w:val="bullet"/>
      <w:lvlText w:val="·"/>
      <w:lvlJc w:val="left"/>
      <w:pPr>
        <w:tabs>
          <w:tab w:val="num" w:pos="2551"/>
        </w:tabs>
        <w:ind w:left="2551" w:hanging="283"/>
      </w:pPr>
      <w:rPr>
        <w:rFonts w:ascii="Symbol" w:hAnsi="Symbol" w:cs="Courier"/>
        <w:sz w:val="18"/>
        <w:szCs w:val="18"/>
      </w:rPr>
    </w:lvl>
  </w:abstractNum>
  <w:abstractNum w:abstractNumId="11" w15:restartNumberingAfterBreak="0">
    <w:nsid w:val="00000002"/>
    <w:multiLevelType w:val="multilevel"/>
    <w:tmpl w:val="000000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5A10E3C"/>
    <w:multiLevelType w:val="hybridMultilevel"/>
    <w:tmpl w:val="675A8752"/>
    <w:lvl w:ilvl="0" w:tplc="FFFFFFFF">
      <w:start w:val="1"/>
      <w:numFmt w:val="bullet"/>
      <w:lvlText w:val="-"/>
      <w:lvlJc w:val="left"/>
      <w:pPr>
        <w:ind w:left="720" w:hanging="360"/>
      </w:pPr>
      <w:rPr>
        <w:rFonts w:ascii="Times New Roman" w:hAnsi="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37E7554"/>
    <w:multiLevelType w:val="multilevel"/>
    <w:tmpl w:val="B7FE02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B4609C5"/>
    <w:multiLevelType w:val="hybridMultilevel"/>
    <w:tmpl w:val="2D381024"/>
    <w:lvl w:ilvl="0" w:tplc="9DB6E6AA">
      <w:start w:val="1"/>
      <w:numFmt w:val="bullet"/>
      <w:lvlText w:val=""/>
      <w:lvlJc w:val="left"/>
      <w:pPr>
        <w:ind w:left="720" w:hanging="360"/>
      </w:pPr>
      <w:rPr>
        <w:rFonts w:ascii="Symbol" w:hAnsi="Symbol" w:hint="default"/>
      </w:rPr>
    </w:lvl>
    <w:lvl w:ilvl="1" w:tplc="989C36DC">
      <w:start w:val="1"/>
      <w:numFmt w:val="bullet"/>
      <w:lvlText w:val="o"/>
      <w:lvlJc w:val="left"/>
      <w:pPr>
        <w:ind w:left="1440" w:hanging="360"/>
      </w:pPr>
      <w:rPr>
        <w:rFonts w:ascii="Courier New" w:hAnsi="Courier New" w:hint="default"/>
      </w:rPr>
    </w:lvl>
    <w:lvl w:ilvl="2" w:tplc="E7A418DE">
      <w:start w:val="1"/>
      <w:numFmt w:val="bullet"/>
      <w:lvlText w:val=""/>
      <w:lvlJc w:val="left"/>
      <w:pPr>
        <w:ind w:left="2160" w:hanging="360"/>
      </w:pPr>
      <w:rPr>
        <w:rFonts w:ascii="Wingdings" w:hAnsi="Wingdings" w:hint="default"/>
      </w:rPr>
    </w:lvl>
    <w:lvl w:ilvl="3" w:tplc="4CE2CBEA">
      <w:start w:val="1"/>
      <w:numFmt w:val="bullet"/>
      <w:lvlText w:val=""/>
      <w:lvlJc w:val="left"/>
      <w:pPr>
        <w:ind w:left="2880" w:hanging="360"/>
      </w:pPr>
      <w:rPr>
        <w:rFonts w:ascii="Symbol" w:hAnsi="Symbol" w:hint="default"/>
      </w:rPr>
    </w:lvl>
    <w:lvl w:ilvl="4" w:tplc="7BDE9B8C">
      <w:start w:val="1"/>
      <w:numFmt w:val="bullet"/>
      <w:lvlText w:val="o"/>
      <w:lvlJc w:val="left"/>
      <w:pPr>
        <w:ind w:left="3600" w:hanging="360"/>
      </w:pPr>
      <w:rPr>
        <w:rFonts w:ascii="Courier New" w:hAnsi="Courier New" w:hint="default"/>
      </w:rPr>
    </w:lvl>
    <w:lvl w:ilvl="5" w:tplc="C31E08FE">
      <w:start w:val="1"/>
      <w:numFmt w:val="bullet"/>
      <w:lvlText w:val=""/>
      <w:lvlJc w:val="left"/>
      <w:pPr>
        <w:ind w:left="4320" w:hanging="360"/>
      </w:pPr>
      <w:rPr>
        <w:rFonts w:ascii="Wingdings" w:hAnsi="Wingdings" w:hint="default"/>
      </w:rPr>
    </w:lvl>
    <w:lvl w:ilvl="6" w:tplc="5FE2B7CE">
      <w:start w:val="1"/>
      <w:numFmt w:val="bullet"/>
      <w:lvlText w:val=""/>
      <w:lvlJc w:val="left"/>
      <w:pPr>
        <w:ind w:left="5040" w:hanging="360"/>
      </w:pPr>
      <w:rPr>
        <w:rFonts w:ascii="Symbol" w:hAnsi="Symbol" w:hint="default"/>
      </w:rPr>
    </w:lvl>
    <w:lvl w:ilvl="7" w:tplc="02CA4E78">
      <w:start w:val="1"/>
      <w:numFmt w:val="bullet"/>
      <w:lvlText w:val="o"/>
      <w:lvlJc w:val="left"/>
      <w:pPr>
        <w:ind w:left="5760" w:hanging="360"/>
      </w:pPr>
      <w:rPr>
        <w:rFonts w:ascii="Courier New" w:hAnsi="Courier New" w:hint="default"/>
      </w:rPr>
    </w:lvl>
    <w:lvl w:ilvl="8" w:tplc="E342FFEE">
      <w:start w:val="1"/>
      <w:numFmt w:val="bullet"/>
      <w:lvlText w:val=""/>
      <w:lvlJc w:val="left"/>
      <w:pPr>
        <w:ind w:left="6480" w:hanging="360"/>
      </w:pPr>
      <w:rPr>
        <w:rFonts w:ascii="Wingdings" w:hAnsi="Wingdings" w:hint="default"/>
      </w:rPr>
    </w:lvl>
  </w:abstractNum>
  <w:abstractNum w:abstractNumId="15" w15:restartNumberingAfterBreak="0">
    <w:nsid w:val="3532D988"/>
    <w:multiLevelType w:val="hybridMultilevel"/>
    <w:tmpl w:val="8C8C7E50"/>
    <w:lvl w:ilvl="0" w:tplc="29A62FA8">
      <w:start w:val="1"/>
      <w:numFmt w:val="bullet"/>
      <w:lvlText w:val=""/>
      <w:lvlJc w:val="left"/>
      <w:pPr>
        <w:ind w:left="720" w:hanging="360"/>
      </w:pPr>
      <w:rPr>
        <w:rFonts w:ascii="Symbol" w:hAnsi="Symbol" w:hint="default"/>
      </w:rPr>
    </w:lvl>
    <w:lvl w:ilvl="1" w:tplc="A8CC3AF4">
      <w:start w:val="1"/>
      <w:numFmt w:val="bullet"/>
      <w:lvlText w:val="o"/>
      <w:lvlJc w:val="left"/>
      <w:pPr>
        <w:ind w:left="1440" w:hanging="360"/>
      </w:pPr>
      <w:rPr>
        <w:rFonts w:ascii="Courier New" w:hAnsi="Courier New" w:hint="default"/>
      </w:rPr>
    </w:lvl>
    <w:lvl w:ilvl="2" w:tplc="093A48CC">
      <w:start w:val="1"/>
      <w:numFmt w:val="bullet"/>
      <w:lvlText w:val=""/>
      <w:lvlJc w:val="left"/>
      <w:pPr>
        <w:ind w:left="2160" w:hanging="360"/>
      </w:pPr>
      <w:rPr>
        <w:rFonts w:ascii="Wingdings" w:hAnsi="Wingdings" w:hint="default"/>
      </w:rPr>
    </w:lvl>
    <w:lvl w:ilvl="3" w:tplc="254C1DA4">
      <w:start w:val="1"/>
      <w:numFmt w:val="bullet"/>
      <w:lvlText w:val=""/>
      <w:lvlJc w:val="left"/>
      <w:pPr>
        <w:ind w:left="2880" w:hanging="360"/>
      </w:pPr>
      <w:rPr>
        <w:rFonts w:ascii="Symbol" w:hAnsi="Symbol" w:hint="default"/>
      </w:rPr>
    </w:lvl>
    <w:lvl w:ilvl="4" w:tplc="A322EC58">
      <w:start w:val="1"/>
      <w:numFmt w:val="bullet"/>
      <w:lvlText w:val="o"/>
      <w:lvlJc w:val="left"/>
      <w:pPr>
        <w:ind w:left="3600" w:hanging="360"/>
      </w:pPr>
      <w:rPr>
        <w:rFonts w:ascii="Courier New" w:hAnsi="Courier New" w:hint="default"/>
      </w:rPr>
    </w:lvl>
    <w:lvl w:ilvl="5" w:tplc="A83237F4">
      <w:start w:val="1"/>
      <w:numFmt w:val="bullet"/>
      <w:lvlText w:val=""/>
      <w:lvlJc w:val="left"/>
      <w:pPr>
        <w:ind w:left="4320" w:hanging="360"/>
      </w:pPr>
      <w:rPr>
        <w:rFonts w:ascii="Wingdings" w:hAnsi="Wingdings" w:hint="default"/>
      </w:rPr>
    </w:lvl>
    <w:lvl w:ilvl="6" w:tplc="E3BC1DB2">
      <w:start w:val="1"/>
      <w:numFmt w:val="bullet"/>
      <w:lvlText w:val=""/>
      <w:lvlJc w:val="left"/>
      <w:pPr>
        <w:ind w:left="5040" w:hanging="360"/>
      </w:pPr>
      <w:rPr>
        <w:rFonts w:ascii="Symbol" w:hAnsi="Symbol" w:hint="default"/>
      </w:rPr>
    </w:lvl>
    <w:lvl w:ilvl="7" w:tplc="B07C149C">
      <w:start w:val="1"/>
      <w:numFmt w:val="bullet"/>
      <w:lvlText w:val="o"/>
      <w:lvlJc w:val="left"/>
      <w:pPr>
        <w:ind w:left="5760" w:hanging="360"/>
      </w:pPr>
      <w:rPr>
        <w:rFonts w:ascii="Courier New" w:hAnsi="Courier New" w:hint="default"/>
      </w:rPr>
    </w:lvl>
    <w:lvl w:ilvl="8" w:tplc="27263164">
      <w:start w:val="1"/>
      <w:numFmt w:val="bullet"/>
      <w:lvlText w:val=""/>
      <w:lvlJc w:val="left"/>
      <w:pPr>
        <w:ind w:left="6480" w:hanging="360"/>
      </w:pPr>
      <w:rPr>
        <w:rFonts w:ascii="Wingdings" w:hAnsi="Wingdings" w:hint="default"/>
      </w:rPr>
    </w:lvl>
  </w:abstractNum>
  <w:abstractNum w:abstractNumId="16" w15:restartNumberingAfterBreak="0">
    <w:nsid w:val="36244791"/>
    <w:multiLevelType w:val="hybridMultilevel"/>
    <w:tmpl w:val="78F60BD0"/>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3A44B093"/>
    <w:multiLevelType w:val="hybridMultilevel"/>
    <w:tmpl w:val="50DC6DD0"/>
    <w:lvl w:ilvl="0" w:tplc="2C0C4862">
      <w:start w:val="1"/>
      <w:numFmt w:val="bullet"/>
      <w:lvlText w:val=""/>
      <w:lvlJc w:val="left"/>
      <w:pPr>
        <w:ind w:left="720" w:hanging="360"/>
      </w:pPr>
      <w:rPr>
        <w:rFonts w:ascii="Symbol" w:hAnsi="Symbol" w:hint="default"/>
      </w:rPr>
    </w:lvl>
    <w:lvl w:ilvl="1" w:tplc="2EF6F92E">
      <w:start w:val="1"/>
      <w:numFmt w:val="bullet"/>
      <w:lvlText w:val="o"/>
      <w:lvlJc w:val="left"/>
      <w:pPr>
        <w:ind w:left="1440" w:hanging="360"/>
      </w:pPr>
      <w:rPr>
        <w:rFonts w:ascii="Courier New" w:hAnsi="Courier New" w:hint="default"/>
      </w:rPr>
    </w:lvl>
    <w:lvl w:ilvl="2" w:tplc="EDF8FCDA">
      <w:start w:val="1"/>
      <w:numFmt w:val="bullet"/>
      <w:lvlText w:val=""/>
      <w:lvlJc w:val="left"/>
      <w:pPr>
        <w:ind w:left="2160" w:hanging="360"/>
      </w:pPr>
      <w:rPr>
        <w:rFonts w:ascii="Wingdings" w:hAnsi="Wingdings" w:hint="default"/>
      </w:rPr>
    </w:lvl>
    <w:lvl w:ilvl="3" w:tplc="03589160">
      <w:start w:val="1"/>
      <w:numFmt w:val="bullet"/>
      <w:lvlText w:val=""/>
      <w:lvlJc w:val="left"/>
      <w:pPr>
        <w:ind w:left="2880" w:hanging="360"/>
      </w:pPr>
      <w:rPr>
        <w:rFonts w:ascii="Symbol" w:hAnsi="Symbol" w:hint="default"/>
      </w:rPr>
    </w:lvl>
    <w:lvl w:ilvl="4" w:tplc="7AEE83DC">
      <w:start w:val="1"/>
      <w:numFmt w:val="bullet"/>
      <w:lvlText w:val="o"/>
      <w:lvlJc w:val="left"/>
      <w:pPr>
        <w:ind w:left="3600" w:hanging="360"/>
      </w:pPr>
      <w:rPr>
        <w:rFonts w:ascii="Courier New" w:hAnsi="Courier New" w:hint="default"/>
      </w:rPr>
    </w:lvl>
    <w:lvl w:ilvl="5" w:tplc="2148335A">
      <w:start w:val="1"/>
      <w:numFmt w:val="bullet"/>
      <w:lvlText w:val=""/>
      <w:lvlJc w:val="left"/>
      <w:pPr>
        <w:ind w:left="4320" w:hanging="360"/>
      </w:pPr>
      <w:rPr>
        <w:rFonts w:ascii="Wingdings" w:hAnsi="Wingdings" w:hint="default"/>
      </w:rPr>
    </w:lvl>
    <w:lvl w:ilvl="6" w:tplc="8F80CC12">
      <w:start w:val="1"/>
      <w:numFmt w:val="bullet"/>
      <w:lvlText w:val=""/>
      <w:lvlJc w:val="left"/>
      <w:pPr>
        <w:ind w:left="5040" w:hanging="360"/>
      </w:pPr>
      <w:rPr>
        <w:rFonts w:ascii="Symbol" w:hAnsi="Symbol" w:hint="default"/>
      </w:rPr>
    </w:lvl>
    <w:lvl w:ilvl="7" w:tplc="7D663F16">
      <w:start w:val="1"/>
      <w:numFmt w:val="bullet"/>
      <w:lvlText w:val="o"/>
      <w:lvlJc w:val="left"/>
      <w:pPr>
        <w:ind w:left="5760" w:hanging="360"/>
      </w:pPr>
      <w:rPr>
        <w:rFonts w:ascii="Courier New" w:hAnsi="Courier New" w:hint="default"/>
      </w:rPr>
    </w:lvl>
    <w:lvl w:ilvl="8" w:tplc="87704856">
      <w:start w:val="1"/>
      <w:numFmt w:val="bullet"/>
      <w:lvlText w:val=""/>
      <w:lvlJc w:val="left"/>
      <w:pPr>
        <w:ind w:left="6480" w:hanging="360"/>
      </w:pPr>
      <w:rPr>
        <w:rFonts w:ascii="Wingdings" w:hAnsi="Wingdings" w:hint="default"/>
      </w:rPr>
    </w:lvl>
  </w:abstractNum>
  <w:abstractNum w:abstractNumId="18" w15:restartNumberingAfterBreak="0">
    <w:nsid w:val="3A877B79"/>
    <w:multiLevelType w:val="hybridMultilevel"/>
    <w:tmpl w:val="3E1630A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31F365B"/>
    <w:multiLevelType w:val="hybridMultilevel"/>
    <w:tmpl w:val="219244F8"/>
    <w:lvl w:ilvl="0" w:tplc="EBF6D4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0" w15:restartNumberingAfterBreak="0">
    <w:nsid w:val="52A384E3"/>
    <w:multiLevelType w:val="hybridMultilevel"/>
    <w:tmpl w:val="5524BBAC"/>
    <w:lvl w:ilvl="0" w:tplc="3CFAC518">
      <w:start w:val="1"/>
      <w:numFmt w:val="bullet"/>
      <w:lvlText w:val=""/>
      <w:lvlJc w:val="left"/>
      <w:pPr>
        <w:ind w:left="720" w:hanging="360"/>
      </w:pPr>
      <w:rPr>
        <w:rFonts w:ascii="Symbol" w:hAnsi="Symbol" w:hint="default"/>
      </w:rPr>
    </w:lvl>
    <w:lvl w:ilvl="1" w:tplc="AB00CF40">
      <w:start w:val="1"/>
      <w:numFmt w:val="bullet"/>
      <w:lvlText w:val="o"/>
      <w:lvlJc w:val="left"/>
      <w:pPr>
        <w:ind w:left="1440" w:hanging="360"/>
      </w:pPr>
      <w:rPr>
        <w:rFonts w:ascii="Courier New" w:hAnsi="Courier New" w:hint="default"/>
      </w:rPr>
    </w:lvl>
    <w:lvl w:ilvl="2" w:tplc="427C16BA">
      <w:start w:val="1"/>
      <w:numFmt w:val="bullet"/>
      <w:lvlText w:val=""/>
      <w:lvlJc w:val="left"/>
      <w:pPr>
        <w:ind w:left="2160" w:hanging="360"/>
      </w:pPr>
      <w:rPr>
        <w:rFonts w:ascii="Wingdings" w:hAnsi="Wingdings" w:hint="default"/>
      </w:rPr>
    </w:lvl>
    <w:lvl w:ilvl="3" w:tplc="251C262E">
      <w:start w:val="1"/>
      <w:numFmt w:val="bullet"/>
      <w:lvlText w:val=""/>
      <w:lvlJc w:val="left"/>
      <w:pPr>
        <w:ind w:left="2880" w:hanging="360"/>
      </w:pPr>
      <w:rPr>
        <w:rFonts w:ascii="Symbol" w:hAnsi="Symbol" w:hint="default"/>
      </w:rPr>
    </w:lvl>
    <w:lvl w:ilvl="4" w:tplc="F9028B8C">
      <w:start w:val="1"/>
      <w:numFmt w:val="bullet"/>
      <w:lvlText w:val="o"/>
      <w:lvlJc w:val="left"/>
      <w:pPr>
        <w:ind w:left="3600" w:hanging="360"/>
      </w:pPr>
      <w:rPr>
        <w:rFonts w:ascii="Courier New" w:hAnsi="Courier New" w:hint="default"/>
      </w:rPr>
    </w:lvl>
    <w:lvl w:ilvl="5" w:tplc="ED72C352">
      <w:start w:val="1"/>
      <w:numFmt w:val="bullet"/>
      <w:lvlText w:val=""/>
      <w:lvlJc w:val="left"/>
      <w:pPr>
        <w:ind w:left="4320" w:hanging="360"/>
      </w:pPr>
      <w:rPr>
        <w:rFonts w:ascii="Wingdings" w:hAnsi="Wingdings" w:hint="default"/>
      </w:rPr>
    </w:lvl>
    <w:lvl w:ilvl="6" w:tplc="9BB4B70C">
      <w:start w:val="1"/>
      <w:numFmt w:val="bullet"/>
      <w:lvlText w:val=""/>
      <w:lvlJc w:val="left"/>
      <w:pPr>
        <w:ind w:left="5040" w:hanging="360"/>
      </w:pPr>
      <w:rPr>
        <w:rFonts w:ascii="Symbol" w:hAnsi="Symbol" w:hint="default"/>
      </w:rPr>
    </w:lvl>
    <w:lvl w:ilvl="7" w:tplc="DF2E6F16">
      <w:start w:val="1"/>
      <w:numFmt w:val="bullet"/>
      <w:lvlText w:val="o"/>
      <w:lvlJc w:val="left"/>
      <w:pPr>
        <w:ind w:left="5760" w:hanging="360"/>
      </w:pPr>
      <w:rPr>
        <w:rFonts w:ascii="Courier New" w:hAnsi="Courier New" w:hint="default"/>
      </w:rPr>
    </w:lvl>
    <w:lvl w:ilvl="8" w:tplc="37AE7D24">
      <w:start w:val="1"/>
      <w:numFmt w:val="bullet"/>
      <w:lvlText w:val=""/>
      <w:lvlJc w:val="left"/>
      <w:pPr>
        <w:ind w:left="6480" w:hanging="360"/>
      </w:pPr>
      <w:rPr>
        <w:rFonts w:ascii="Wingdings" w:hAnsi="Wingdings" w:hint="default"/>
      </w:rPr>
    </w:lvl>
  </w:abstractNum>
  <w:abstractNum w:abstractNumId="21" w15:restartNumberingAfterBreak="0">
    <w:nsid w:val="644F7409"/>
    <w:multiLevelType w:val="multilevel"/>
    <w:tmpl w:val="093C9B4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cs="Courier"/>
        <w:sz w:val="18"/>
        <w:szCs w:val="18"/>
      </w:rPr>
    </w:lvl>
    <w:lvl w:ilvl="2">
      <w:start w:val="1"/>
      <w:numFmt w:val="bullet"/>
      <w:lvlText w:val="·"/>
      <w:lvlJc w:val="left"/>
      <w:pPr>
        <w:tabs>
          <w:tab w:val="num" w:pos="850"/>
        </w:tabs>
        <w:ind w:left="850" w:hanging="283"/>
      </w:pPr>
      <w:rPr>
        <w:rFonts w:ascii="Symbol" w:hAnsi="Symbol" w:cs="Courier"/>
        <w:sz w:val="18"/>
        <w:szCs w:val="18"/>
      </w:rPr>
    </w:lvl>
    <w:lvl w:ilvl="3">
      <w:start w:val="1"/>
      <w:numFmt w:val="bullet"/>
      <w:lvlText w:val="·"/>
      <w:lvlJc w:val="left"/>
      <w:pPr>
        <w:tabs>
          <w:tab w:val="num" w:pos="1134"/>
        </w:tabs>
        <w:ind w:left="1134" w:hanging="283"/>
      </w:pPr>
      <w:rPr>
        <w:rFonts w:ascii="Symbol" w:hAnsi="Symbol" w:cs="Courier"/>
        <w:sz w:val="18"/>
        <w:szCs w:val="18"/>
      </w:rPr>
    </w:lvl>
    <w:lvl w:ilvl="4">
      <w:start w:val="1"/>
      <w:numFmt w:val="bullet"/>
      <w:lvlText w:val="·"/>
      <w:lvlJc w:val="left"/>
      <w:pPr>
        <w:tabs>
          <w:tab w:val="num" w:pos="1417"/>
        </w:tabs>
        <w:ind w:left="1417" w:hanging="283"/>
      </w:pPr>
      <w:rPr>
        <w:rFonts w:ascii="Symbol" w:hAnsi="Symbol" w:cs="Courier"/>
        <w:sz w:val="18"/>
        <w:szCs w:val="18"/>
      </w:rPr>
    </w:lvl>
    <w:lvl w:ilvl="5">
      <w:start w:val="1"/>
      <w:numFmt w:val="bullet"/>
      <w:lvlText w:val="·"/>
      <w:lvlJc w:val="left"/>
      <w:pPr>
        <w:tabs>
          <w:tab w:val="num" w:pos="1701"/>
        </w:tabs>
        <w:ind w:left="1701" w:hanging="283"/>
      </w:pPr>
      <w:rPr>
        <w:rFonts w:ascii="Symbol" w:hAnsi="Symbol" w:cs="Courier"/>
        <w:sz w:val="18"/>
        <w:szCs w:val="18"/>
      </w:rPr>
    </w:lvl>
    <w:lvl w:ilvl="6">
      <w:start w:val="1"/>
      <w:numFmt w:val="bullet"/>
      <w:lvlText w:val="·"/>
      <w:lvlJc w:val="left"/>
      <w:pPr>
        <w:tabs>
          <w:tab w:val="num" w:pos="1984"/>
        </w:tabs>
        <w:ind w:left="1984" w:hanging="283"/>
      </w:pPr>
      <w:rPr>
        <w:rFonts w:ascii="Symbol" w:hAnsi="Symbol" w:cs="Courier"/>
        <w:sz w:val="18"/>
        <w:szCs w:val="18"/>
      </w:rPr>
    </w:lvl>
    <w:lvl w:ilvl="7">
      <w:start w:val="1"/>
      <w:numFmt w:val="bullet"/>
      <w:lvlText w:val="·"/>
      <w:lvlJc w:val="left"/>
      <w:pPr>
        <w:tabs>
          <w:tab w:val="num" w:pos="2268"/>
        </w:tabs>
        <w:ind w:left="2268" w:hanging="283"/>
      </w:pPr>
      <w:rPr>
        <w:rFonts w:ascii="Symbol" w:hAnsi="Symbol" w:cs="Courier"/>
        <w:sz w:val="18"/>
        <w:szCs w:val="18"/>
      </w:rPr>
    </w:lvl>
    <w:lvl w:ilvl="8">
      <w:start w:val="1"/>
      <w:numFmt w:val="bullet"/>
      <w:lvlText w:val="·"/>
      <w:lvlJc w:val="left"/>
      <w:pPr>
        <w:tabs>
          <w:tab w:val="num" w:pos="2551"/>
        </w:tabs>
        <w:ind w:left="2551" w:hanging="283"/>
      </w:pPr>
      <w:rPr>
        <w:rFonts w:ascii="Symbol" w:hAnsi="Symbol" w:cs="Courier"/>
        <w:sz w:val="18"/>
        <w:szCs w:val="18"/>
      </w:rPr>
    </w:lvl>
  </w:abstractNum>
  <w:abstractNum w:abstractNumId="22" w15:restartNumberingAfterBreak="0">
    <w:nsid w:val="65EF48C6"/>
    <w:multiLevelType w:val="hybridMultilevel"/>
    <w:tmpl w:val="EFC27F9C"/>
    <w:lvl w:ilvl="0" w:tplc="24FE95C4">
      <w:start w:val="1"/>
      <w:numFmt w:val="decimal"/>
      <w:lvlText w:val="%1."/>
      <w:lvlJc w:val="left"/>
      <w:pPr>
        <w:ind w:left="927" w:hanging="36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23" w15:restartNumberingAfterBreak="0">
    <w:nsid w:val="6665569D"/>
    <w:multiLevelType w:val="hybridMultilevel"/>
    <w:tmpl w:val="E3605C80"/>
    <w:lvl w:ilvl="0" w:tplc="333029B4">
      <w:start w:val="1"/>
      <w:numFmt w:val="bullet"/>
      <w:lvlText w:val=""/>
      <w:lvlJc w:val="left"/>
      <w:pPr>
        <w:ind w:left="720" w:hanging="360"/>
      </w:pPr>
      <w:rPr>
        <w:rFonts w:ascii="Symbol" w:hAnsi="Symbol" w:hint="default"/>
      </w:rPr>
    </w:lvl>
    <w:lvl w:ilvl="1" w:tplc="5D24955A">
      <w:start w:val="1"/>
      <w:numFmt w:val="bullet"/>
      <w:lvlText w:val="o"/>
      <w:lvlJc w:val="left"/>
      <w:pPr>
        <w:ind w:left="1440" w:hanging="360"/>
      </w:pPr>
      <w:rPr>
        <w:rFonts w:ascii="Courier New" w:hAnsi="Courier New" w:hint="default"/>
      </w:rPr>
    </w:lvl>
    <w:lvl w:ilvl="2" w:tplc="31DE6AD2">
      <w:start w:val="1"/>
      <w:numFmt w:val="bullet"/>
      <w:lvlText w:val=""/>
      <w:lvlJc w:val="left"/>
      <w:pPr>
        <w:ind w:left="2160" w:hanging="360"/>
      </w:pPr>
      <w:rPr>
        <w:rFonts w:ascii="Wingdings" w:hAnsi="Wingdings" w:hint="default"/>
      </w:rPr>
    </w:lvl>
    <w:lvl w:ilvl="3" w:tplc="5F84B594">
      <w:start w:val="1"/>
      <w:numFmt w:val="bullet"/>
      <w:lvlText w:val=""/>
      <w:lvlJc w:val="left"/>
      <w:pPr>
        <w:ind w:left="2880" w:hanging="360"/>
      </w:pPr>
      <w:rPr>
        <w:rFonts w:ascii="Symbol" w:hAnsi="Symbol" w:hint="default"/>
      </w:rPr>
    </w:lvl>
    <w:lvl w:ilvl="4" w:tplc="96361DEC">
      <w:start w:val="1"/>
      <w:numFmt w:val="bullet"/>
      <w:lvlText w:val="o"/>
      <w:lvlJc w:val="left"/>
      <w:pPr>
        <w:ind w:left="3600" w:hanging="360"/>
      </w:pPr>
      <w:rPr>
        <w:rFonts w:ascii="Courier New" w:hAnsi="Courier New" w:hint="default"/>
      </w:rPr>
    </w:lvl>
    <w:lvl w:ilvl="5" w:tplc="6B5C089E">
      <w:start w:val="1"/>
      <w:numFmt w:val="bullet"/>
      <w:lvlText w:val=""/>
      <w:lvlJc w:val="left"/>
      <w:pPr>
        <w:ind w:left="4320" w:hanging="360"/>
      </w:pPr>
      <w:rPr>
        <w:rFonts w:ascii="Wingdings" w:hAnsi="Wingdings" w:hint="default"/>
      </w:rPr>
    </w:lvl>
    <w:lvl w:ilvl="6" w:tplc="ED046114">
      <w:start w:val="1"/>
      <w:numFmt w:val="bullet"/>
      <w:lvlText w:val=""/>
      <w:lvlJc w:val="left"/>
      <w:pPr>
        <w:ind w:left="5040" w:hanging="360"/>
      </w:pPr>
      <w:rPr>
        <w:rFonts w:ascii="Symbol" w:hAnsi="Symbol" w:hint="default"/>
      </w:rPr>
    </w:lvl>
    <w:lvl w:ilvl="7" w:tplc="B600B6D8">
      <w:start w:val="1"/>
      <w:numFmt w:val="bullet"/>
      <w:lvlText w:val="o"/>
      <w:lvlJc w:val="left"/>
      <w:pPr>
        <w:ind w:left="5760" w:hanging="360"/>
      </w:pPr>
      <w:rPr>
        <w:rFonts w:ascii="Courier New" w:hAnsi="Courier New" w:hint="default"/>
      </w:rPr>
    </w:lvl>
    <w:lvl w:ilvl="8" w:tplc="21D0A236">
      <w:start w:val="1"/>
      <w:numFmt w:val="bullet"/>
      <w:lvlText w:val=""/>
      <w:lvlJc w:val="left"/>
      <w:pPr>
        <w:ind w:left="6480" w:hanging="360"/>
      </w:pPr>
      <w:rPr>
        <w:rFonts w:ascii="Wingdings" w:hAnsi="Wingdings" w:hint="default"/>
      </w:rPr>
    </w:lvl>
  </w:abstractNum>
  <w:abstractNum w:abstractNumId="24" w15:restartNumberingAfterBreak="0">
    <w:nsid w:val="748F5A6E"/>
    <w:multiLevelType w:val="multilevel"/>
    <w:tmpl w:val="831C313C"/>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num w:numId="1">
    <w:abstractNumId w:val="20"/>
  </w:num>
  <w:num w:numId="2">
    <w:abstractNumId w:val="17"/>
  </w:num>
  <w:num w:numId="3">
    <w:abstractNumId w:val="15"/>
  </w:num>
  <w:num w:numId="4">
    <w:abstractNumId w:val="14"/>
  </w:num>
  <w:num w:numId="5">
    <w:abstractNumId w:val="23"/>
  </w:num>
  <w:num w:numId="6">
    <w:abstractNumId w:val="13"/>
  </w:num>
  <w:num w:numId="7">
    <w:abstractNumId w:val="13"/>
  </w:num>
  <w:num w:numId="8">
    <w:abstractNumId w:val="24"/>
  </w:num>
  <w:num w:numId="9">
    <w:abstractNumId w:val="10"/>
  </w:num>
  <w:num w:numId="10">
    <w:abstractNumId w:val="11"/>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4"/>
  </w:num>
  <w:num w:numId="27">
    <w:abstractNumId w:val="24"/>
  </w:num>
  <w:num w:numId="28">
    <w:abstractNumId w:val="24"/>
  </w:num>
  <w:num w:numId="29">
    <w:abstractNumId w:val="24"/>
  </w:num>
  <w:num w:numId="30">
    <w:abstractNumId w:val="21"/>
  </w:num>
  <w:num w:numId="31">
    <w:abstractNumId w:val="19"/>
  </w:num>
  <w:num w:numId="32">
    <w:abstractNumId w:val="12"/>
  </w:num>
  <w:num w:numId="33">
    <w:abstractNumId w:val="16"/>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BD6"/>
    <w:rsid w:val="00003981"/>
    <w:rsid w:val="00017D0E"/>
    <w:rsid w:val="000366B0"/>
    <w:rsid w:val="00040670"/>
    <w:rsid w:val="0006173C"/>
    <w:rsid w:val="00063478"/>
    <w:rsid w:val="00070AA3"/>
    <w:rsid w:val="000D7865"/>
    <w:rsid w:val="000F4883"/>
    <w:rsid w:val="000F59FE"/>
    <w:rsid w:val="00103AA1"/>
    <w:rsid w:val="001069FA"/>
    <w:rsid w:val="00106DE3"/>
    <w:rsid w:val="001148D5"/>
    <w:rsid w:val="00117DD5"/>
    <w:rsid w:val="00131EF2"/>
    <w:rsid w:val="00137A3D"/>
    <w:rsid w:val="0013B0C9"/>
    <w:rsid w:val="00140C81"/>
    <w:rsid w:val="00157A99"/>
    <w:rsid w:val="00161F9C"/>
    <w:rsid w:val="0016D2CB"/>
    <w:rsid w:val="001873DA"/>
    <w:rsid w:val="001D2602"/>
    <w:rsid w:val="001D301F"/>
    <w:rsid w:val="001D3DDB"/>
    <w:rsid w:val="00233046"/>
    <w:rsid w:val="00242F95"/>
    <w:rsid w:val="00257B2C"/>
    <w:rsid w:val="00272EE2"/>
    <w:rsid w:val="00276062"/>
    <w:rsid w:val="00285ABC"/>
    <w:rsid w:val="00291482"/>
    <w:rsid w:val="002A3AB4"/>
    <w:rsid w:val="002A46E6"/>
    <w:rsid w:val="002A4DC2"/>
    <w:rsid w:val="002E1AF8"/>
    <w:rsid w:val="00311124"/>
    <w:rsid w:val="003123F7"/>
    <w:rsid w:val="0034167E"/>
    <w:rsid w:val="003444E3"/>
    <w:rsid w:val="00347AA8"/>
    <w:rsid w:val="0036149D"/>
    <w:rsid w:val="003B12B2"/>
    <w:rsid w:val="003D55E2"/>
    <w:rsid w:val="003E6391"/>
    <w:rsid w:val="003F72AF"/>
    <w:rsid w:val="00404CEB"/>
    <w:rsid w:val="00417146"/>
    <w:rsid w:val="00426D91"/>
    <w:rsid w:val="00431197"/>
    <w:rsid w:val="0043144C"/>
    <w:rsid w:val="00440638"/>
    <w:rsid w:val="00441FD0"/>
    <w:rsid w:val="004536EB"/>
    <w:rsid w:val="00455E01"/>
    <w:rsid w:val="00457386"/>
    <w:rsid w:val="0046106E"/>
    <w:rsid w:val="004636BE"/>
    <w:rsid w:val="00466B4E"/>
    <w:rsid w:val="004678B6"/>
    <w:rsid w:val="00470EC1"/>
    <w:rsid w:val="0048179D"/>
    <w:rsid w:val="004944CA"/>
    <w:rsid w:val="004A1EDE"/>
    <w:rsid w:val="004A2E82"/>
    <w:rsid w:val="004C226C"/>
    <w:rsid w:val="004C67A8"/>
    <w:rsid w:val="004E5C41"/>
    <w:rsid w:val="00510581"/>
    <w:rsid w:val="00525B52"/>
    <w:rsid w:val="005372F6"/>
    <w:rsid w:val="00545027"/>
    <w:rsid w:val="00552C77"/>
    <w:rsid w:val="00583B25"/>
    <w:rsid w:val="0059715A"/>
    <w:rsid w:val="005B7E7F"/>
    <w:rsid w:val="005C4802"/>
    <w:rsid w:val="005C4823"/>
    <w:rsid w:val="005C4B69"/>
    <w:rsid w:val="005E6E4F"/>
    <w:rsid w:val="006016F6"/>
    <w:rsid w:val="006132A0"/>
    <w:rsid w:val="00617953"/>
    <w:rsid w:val="006200D5"/>
    <w:rsid w:val="0062736D"/>
    <w:rsid w:val="00632D40"/>
    <w:rsid w:val="006388A0"/>
    <w:rsid w:val="00662005"/>
    <w:rsid w:val="00674700"/>
    <w:rsid w:val="0067593B"/>
    <w:rsid w:val="00687DFF"/>
    <w:rsid w:val="006A0DBD"/>
    <w:rsid w:val="006B4C7A"/>
    <w:rsid w:val="007047BC"/>
    <w:rsid w:val="007064EF"/>
    <w:rsid w:val="0071084C"/>
    <w:rsid w:val="00724B8A"/>
    <w:rsid w:val="007270D3"/>
    <w:rsid w:val="00762410"/>
    <w:rsid w:val="00770B43"/>
    <w:rsid w:val="007716C1"/>
    <w:rsid w:val="00774448"/>
    <w:rsid w:val="00775880"/>
    <w:rsid w:val="0078139B"/>
    <w:rsid w:val="007846C8"/>
    <w:rsid w:val="00797DF4"/>
    <w:rsid w:val="007D601C"/>
    <w:rsid w:val="007E1A7A"/>
    <w:rsid w:val="007E6E35"/>
    <w:rsid w:val="007F14C5"/>
    <w:rsid w:val="007F1A58"/>
    <w:rsid w:val="007F3A08"/>
    <w:rsid w:val="007F7920"/>
    <w:rsid w:val="00800F5A"/>
    <w:rsid w:val="0080375E"/>
    <w:rsid w:val="00851D05"/>
    <w:rsid w:val="00853388"/>
    <w:rsid w:val="008543D0"/>
    <w:rsid w:val="00865BF3"/>
    <w:rsid w:val="00867F7A"/>
    <w:rsid w:val="00872270"/>
    <w:rsid w:val="00880460"/>
    <w:rsid w:val="008A48B1"/>
    <w:rsid w:val="008C13EB"/>
    <w:rsid w:val="008C7A44"/>
    <w:rsid w:val="008D5AA8"/>
    <w:rsid w:val="009032B3"/>
    <w:rsid w:val="00907C35"/>
    <w:rsid w:val="00921695"/>
    <w:rsid w:val="00927260"/>
    <w:rsid w:val="00933F68"/>
    <w:rsid w:val="00980C0A"/>
    <w:rsid w:val="009C4E56"/>
    <w:rsid w:val="009D27DC"/>
    <w:rsid w:val="009D7DE1"/>
    <w:rsid w:val="009E62B7"/>
    <w:rsid w:val="009F62F5"/>
    <w:rsid w:val="00A16AAA"/>
    <w:rsid w:val="00A16DC2"/>
    <w:rsid w:val="00A17D94"/>
    <w:rsid w:val="00A2730F"/>
    <w:rsid w:val="00A426D7"/>
    <w:rsid w:val="00A453AE"/>
    <w:rsid w:val="00A526D4"/>
    <w:rsid w:val="00A8E40C"/>
    <w:rsid w:val="00A96CC1"/>
    <w:rsid w:val="00AA7A17"/>
    <w:rsid w:val="00AB2818"/>
    <w:rsid w:val="00AC00A3"/>
    <w:rsid w:val="00AD488C"/>
    <w:rsid w:val="00AF0848"/>
    <w:rsid w:val="00B247F2"/>
    <w:rsid w:val="00B410C8"/>
    <w:rsid w:val="00B431D3"/>
    <w:rsid w:val="00B53C6F"/>
    <w:rsid w:val="00B60EAF"/>
    <w:rsid w:val="00BA365B"/>
    <w:rsid w:val="00BC08C9"/>
    <w:rsid w:val="00BC3851"/>
    <w:rsid w:val="00BC46CC"/>
    <w:rsid w:val="00BC773A"/>
    <w:rsid w:val="00BD0323"/>
    <w:rsid w:val="00BD3E26"/>
    <w:rsid w:val="00BE4F2C"/>
    <w:rsid w:val="00BF1693"/>
    <w:rsid w:val="00BF638F"/>
    <w:rsid w:val="00C00A7E"/>
    <w:rsid w:val="00C03F3C"/>
    <w:rsid w:val="00C04A2E"/>
    <w:rsid w:val="00C07AAD"/>
    <w:rsid w:val="00C07EB8"/>
    <w:rsid w:val="00C21710"/>
    <w:rsid w:val="00C40EDB"/>
    <w:rsid w:val="00C57A4A"/>
    <w:rsid w:val="00C746CE"/>
    <w:rsid w:val="00CA1C61"/>
    <w:rsid w:val="00CB069C"/>
    <w:rsid w:val="00CB405E"/>
    <w:rsid w:val="00CB762F"/>
    <w:rsid w:val="00CC5465"/>
    <w:rsid w:val="00CD103F"/>
    <w:rsid w:val="00CE4A5D"/>
    <w:rsid w:val="00CF1924"/>
    <w:rsid w:val="00CF3029"/>
    <w:rsid w:val="00D02853"/>
    <w:rsid w:val="00D04B1B"/>
    <w:rsid w:val="00D04BD1"/>
    <w:rsid w:val="00D14BD6"/>
    <w:rsid w:val="00D4786D"/>
    <w:rsid w:val="00D61584"/>
    <w:rsid w:val="00D85A9F"/>
    <w:rsid w:val="00D911FD"/>
    <w:rsid w:val="00D919EC"/>
    <w:rsid w:val="00DC6649"/>
    <w:rsid w:val="00DD3A78"/>
    <w:rsid w:val="00DE646E"/>
    <w:rsid w:val="00DF7285"/>
    <w:rsid w:val="00E17522"/>
    <w:rsid w:val="00E24BDF"/>
    <w:rsid w:val="00E42CE2"/>
    <w:rsid w:val="00E55732"/>
    <w:rsid w:val="00E73927"/>
    <w:rsid w:val="00E833B1"/>
    <w:rsid w:val="00E86C80"/>
    <w:rsid w:val="00E915A3"/>
    <w:rsid w:val="00E91BD4"/>
    <w:rsid w:val="00EA4032"/>
    <w:rsid w:val="00EA4D6B"/>
    <w:rsid w:val="00EB0AE2"/>
    <w:rsid w:val="00EB3712"/>
    <w:rsid w:val="00EB3CDF"/>
    <w:rsid w:val="00EB535A"/>
    <w:rsid w:val="00EB72CB"/>
    <w:rsid w:val="00ED5D75"/>
    <w:rsid w:val="00EE4ACD"/>
    <w:rsid w:val="00EE5338"/>
    <w:rsid w:val="00EF5835"/>
    <w:rsid w:val="00F01081"/>
    <w:rsid w:val="00F01DD4"/>
    <w:rsid w:val="00F066A3"/>
    <w:rsid w:val="00F1365A"/>
    <w:rsid w:val="00F226DF"/>
    <w:rsid w:val="00F254AD"/>
    <w:rsid w:val="00F27A19"/>
    <w:rsid w:val="00F578A7"/>
    <w:rsid w:val="00F60009"/>
    <w:rsid w:val="00F678AB"/>
    <w:rsid w:val="00F74D15"/>
    <w:rsid w:val="00F75189"/>
    <w:rsid w:val="00F868F1"/>
    <w:rsid w:val="00F86E2D"/>
    <w:rsid w:val="00F925FF"/>
    <w:rsid w:val="00F97ADF"/>
    <w:rsid w:val="00FA3854"/>
    <w:rsid w:val="00FB29F8"/>
    <w:rsid w:val="00FD036A"/>
    <w:rsid w:val="00FE3079"/>
    <w:rsid w:val="012419DF"/>
    <w:rsid w:val="0147B102"/>
    <w:rsid w:val="016BEC50"/>
    <w:rsid w:val="017D2727"/>
    <w:rsid w:val="0187E5E9"/>
    <w:rsid w:val="01A70064"/>
    <w:rsid w:val="01AF812A"/>
    <w:rsid w:val="01D27B36"/>
    <w:rsid w:val="02815216"/>
    <w:rsid w:val="0297A8DC"/>
    <w:rsid w:val="0297A8F0"/>
    <w:rsid w:val="0299FB30"/>
    <w:rsid w:val="02E2F59A"/>
    <w:rsid w:val="031F75FA"/>
    <w:rsid w:val="0351E5E6"/>
    <w:rsid w:val="037AB259"/>
    <w:rsid w:val="038884CE"/>
    <w:rsid w:val="038D9D6D"/>
    <w:rsid w:val="039953BD"/>
    <w:rsid w:val="03D5DADA"/>
    <w:rsid w:val="04023E4F"/>
    <w:rsid w:val="04106533"/>
    <w:rsid w:val="04337951"/>
    <w:rsid w:val="046687C6"/>
    <w:rsid w:val="047427F6"/>
    <w:rsid w:val="05296DCE"/>
    <w:rsid w:val="054DA25F"/>
    <w:rsid w:val="056075F7"/>
    <w:rsid w:val="057DEB3A"/>
    <w:rsid w:val="05A10EAB"/>
    <w:rsid w:val="05C76E3A"/>
    <w:rsid w:val="05F5CDA7"/>
    <w:rsid w:val="062E824A"/>
    <w:rsid w:val="063F5D73"/>
    <w:rsid w:val="067F44A6"/>
    <w:rsid w:val="072A0277"/>
    <w:rsid w:val="072E6CF4"/>
    <w:rsid w:val="075DAABD"/>
    <w:rsid w:val="0797761E"/>
    <w:rsid w:val="07B76DC1"/>
    <w:rsid w:val="07DB2DD4"/>
    <w:rsid w:val="0814B6FB"/>
    <w:rsid w:val="084E237C"/>
    <w:rsid w:val="085B9343"/>
    <w:rsid w:val="086601D9"/>
    <w:rsid w:val="08DDFF40"/>
    <w:rsid w:val="08E368F7"/>
    <w:rsid w:val="08E4B7E7"/>
    <w:rsid w:val="095AB0EF"/>
    <w:rsid w:val="096F4CB8"/>
    <w:rsid w:val="099EBB37"/>
    <w:rsid w:val="09C9A13B"/>
    <w:rsid w:val="0A515C5D"/>
    <w:rsid w:val="0A7F3958"/>
    <w:rsid w:val="0A942421"/>
    <w:rsid w:val="0AA0B4EA"/>
    <w:rsid w:val="0AAC0D41"/>
    <w:rsid w:val="0ADC8E5B"/>
    <w:rsid w:val="0BBE05FE"/>
    <w:rsid w:val="0C1E0DC6"/>
    <w:rsid w:val="0C2F51D2"/>
    <w:rsid w:val="0C5FD1F4"/>
    <w:rsid w:val="0CA6ED7A"/>
    <w:rsid w:val="0CBFD9CE"/>
    <w:rsid w:val="0CEE862A"/>
    <w:rsid w:val="0D2478BE"/>
    <w:rsid w:val="0D3F2FFD"/>
    <w:rsid w:val="0D5BEC40"/>
    <w:rsid w:val="0D62F546"/>
    <w:rsid w:val="0D70ADC0"/>
    <w:rsid w:val="0DC51782"/>
    <w:rsid w:val="0E372488"/>
    <w:rsid w:val="0E380DA9"/>
    <w:rsid w:val="0E4D418F"/>
    <w:rsid w:val="0E6CFCCE"/>
    <w:rsid w:val="0E92D671"/>
    <w:rsid w:val="0EA12007"/>
    <w:rsid w:val="0F24CD80"/>
    <w:rsid w:val="0F351837"/>
    <w:rsid w:val="0F628F28"/>
    <w:rsid w:val="0F796575"/>
    <w:rsid w:val="0F84E82C"/>
    <w:rsid w:val="0F947E59"/>
    <w:rsid w:val="0F9B8D82"/>
    <w:rsid w:val="0FDAAE5B"/>
    <w:rsid w:val="101DAF76"/>
    <w:rsid w:val="101E51CD"/>
    <w:rsid w:val="10360002"/>
    <w:rsid w:val="11098969"/>
    <w:rsid w:val="11372B05"/>
    <w:rsid w:val="11E7F4B7"/>
    <w:rsid w:val="11EA5802"/>
    <w:rsid w:val="123964BE"/>
    <w:rsid w:val="125A9803"/>
    <w:rsid w:val="125DF9B0"/>
    <w:rsid w:val="1278A449"/>
    <w:rsid w:val="1290E3F8"/>
    <w:rsid w:val="12AB6442"/>
    <w:rsid w:val="12AF5C34"/>
    <w:rsid w:val="12B3AEFC"/>
    <w:rsid w:val="12CFA058"/>
    <w:rsid w:val="12F354BA"/>
    <w:rsid w:val="1325CE01"/>
    <w:rsid w:val="13449F51"/>
    <w:rsid w:val="13856D67"/>
    <w:rsid w:val="13998BBF"/>
    <w:rsid w:val="13C1A103"/>
    <w:rsid w:val="13E3E6A4"/>
    <w:rsid w:val="13ED60A2"/>
    <w:rsid w:val="144B8449"/>
    <w:rsid w:val="146B70B9"/>
    <w:rsid w:val="147B4B3C"/>
    <w:rsid w:val="148CED7D"/>
    <w:rsid w:val="14A277AF"/>
    <w:rsid w:val="14B9B0DC"/>
    <w:rsid w:val="14F33E62"/>
    <w:rsid w:val="15074BC6"/>
    <w:rsid w:val="15229982"/>
    <w:rsid w:val="154EC643"/>
    <w:rsid w:val="155BA71A"/>
    <w:rsid w:val="15BF812C"/>
    <w:rsid w:val="1687FA8E"/>
    <w:rsid w:val="16BFEA03"/>
    <w:rsid w:val="16E2B444"/>
    <w:rsid w:val="16F0DB74"/>
    <w:rsid w:val="171075EB"/>
    <w:rsid w:val="172370B1"/>
    <w:rsid w:val="17259917"/>
    <w:rsid w:val="177ED565"/>
    <w:rsid w:val="179E1D6D"/>
    <w:rsid w:val="18077390"/>
    <w:rsid w:val="181538BD"/>
    <w:rsid w:val="1822E2A7"/>
    <w:rsid w:val="185FCE0A"/>
    <w:rsid w:val="1860591E"/>
    <w:rsid w:val="187AE842"/>
    <w:rsid w:val="1885A3BC"/>
    <w:rsid w:val="18866705"/>
    <w:rsid w:val="18A1F2BF"/>
    <w:rsid w:val="18BE5456"/>
    <w:rsid w:val="18CBAFC6"/>
    <w:rsid w:val="18F721EE"/>
    <w:rsid w:val="190110A1"/>
    <w:rsid w:val="19178B68"/>
    <w:rsid w:val="191AA5C6"/>
    <w:rsid w:val="192AD44D"/>
    <w:rsid w:val="19A931E1"/>
    <w:rsid w:val="19AF066F"/>
    <w:rsid w:val="19C47DF6"/>
    <w:rsid w:val="19DCE248"/>
    <w:rsid w:val="19FB9E6B"/>
    <w:rsid w:val="1A0EE2E9"/>
    <w:rsid w:val="1A3DC320"/>
    <w:rsid w:val="1A868B4B"/>
    <w:rsid w:val="1A9816BB"/>
    <w:rsid w:val="1AB67A47"/>
    <w:rsid w:val="1AD5BE2F"/>
    <w:rsid w:val="1AE1E1A0"/>
    <w:rsid w:val="1AEFFF44"/>
    <w:rsid w:val="1B00139C"/>
    <w:rsid w:val="1B1016CF"/>
    <w:rsid w:val="1B3F1452"/>
    <w:rsid w:val="1B409F4E"/>
    <w:rsid w:val="1B4FD874"/>
    <w:rsid w:val="1B73AF50"/>
    <w:rsid w:val="1B7EC7BC"/>
    <w:rsid w:val="1B976ECC"/>
    <w:rsid w:val="1B9EFE2B"/>
    <w:rsid w:val="1BF50023"/>
    <w:rsid w:val="1BFFCF8A"/>
    <w:rsid w:val="1C44F045"/>
    <w:rsid w:val="1C47EB0D"/>
    <w:rsid w:val="1C524688"/>
    <w:rsid w:val="1C9D4B5C"/>
    <w:rsid w:val="1CB7236F"/>
    <w:rsid w:val="1CE8A9E0"/>
    <w:rsid w:val="1D113547"/>
    <w:rsid w:val="1D389C02"/>
    <w:rsid w:val="1D59D828"/>
    <w:rsid w:val="1DAAA2D9"/>
    <w:rsid w:val="1DBF43B0"/>
    <w:rsid w:val="1E264C63"/>
    <w:rsid w:val="1E2C3A12"/>
    <w:rsid w:val="1E35152F"/>
    <w:rsid w:val="1E3ED453"/>
    <w:rsid w:val="1E6880A8"/>
    <w:rsid w:val="1E71CDF9"/>
    <w:rsid w:val="1EA45B21"/>
    <w:rsid w:val="1EA65DA3"/>
    <w:rsid w:val="1ECA79C2"/>
    <w:rsid w:val="1F68BC37"/>
    <w:rsid w:val="1F916AB1"/>
    <w:rsid w:val="1FCCD96A"/>
    <w:rsid w:val="1FFD476F"/>
    <w:rsid w:val="203D8BA6"/>
    <w:rsid w:val="208A11E9"/>
    <w:rsid w:val="209178EA"/>
    <w:rsid w:val="20C30800"/>
    <w:rsid w:val="20EC6681"/>
    <w:rsid w:val="20ED6A20"/>
    <w:rsid w:val="21048C98"/>
    <w:rsid w:val="21590F1C"/>
    <w:rsid w:val="216003A8"/>
    <w:rsid w:val="21E59D7F"/>
    <w:rsid w:val="222D494B"/>
    <w:rsid w:val="223A8F86"/>
    <w:rsid w:val="22A05CF9"/>
    <w:rsid w:val="22AADA35"/>
    <w:rsid w:val="23142718"/>
    <w:rsid w:val="23340445"/>
    <w:rsid w:val="23E7F8ED"/>
    <w:rsid w:val="2439020F"/>
    <w:rsid w:val="245D7A3F"/>
    <w:rsid w:val="247BC45C"/>
    <w:rsid w:val="24D9B91B"/>
    <w:rsid w:val="253366F2"/>
    <w:rsid w:val="25E7817F"/>
    <w:rsid w:val="25F3A8DB"/>
    <w:rsid w:val="261A4C6E"/>
    <w:rsid w:val="262A9F8F"/>
    <w:rsid w:val="263491A5"/>
    <w:rsid w:val="26CB9D90"/>
    <w:rsid w:val="26E8ADAD"/>
    <w:rsid w:val="2706BB84"/>
    <w:rsid w:val="271F99AF"/>
    <w:rsid w:val="27887454"/>
    <w:rsid w:val="27951B01"/>
    <w:rsid w:val="27B61CCF"/>
    <w:rsid w:val="27F47D61"/>
    <w:rsid w:val="280C5C88"/>
    <w:rsid w:val="281314C5"/>
    <w:rsid w:val="286E4727"/>
    <w:rsid w:val="2888BC22"/>
    <w:rsid w:val="290265E7"/>
    <w:rsid w:val="292FF254"/>
    <w:rsid w:val="2930EB62"/>
    <w:rsid w:val="29BC6E26"/>
    <w:rsid w:val="29DCC458"/>
    <w:rsid w:val="29E1D78F"/>
    <w:rsid w:val="2A2490A3"/>
    <w:rsid w:val="2A3096EF"/>
    <w:rsid w:val="2A51E51B"/>
    <w:rsid w:val="2AA91619"/>
    <w:rsid w:val="2AD7ADAA"/>
    <w:rsid w:val="2B3F162A"/>
    <w:rsid w:val="2B5F6C5C"/>
    <w:rsid w:val="2B716FD3"/>
    <w:rsid w:val="2B730FE3"/>
    <w:rsid w:val="2B87550A"/>
    <w:rsid w:val="2B880372"/>
    <w:rsid w:val="2C437B2D"/>
    <w:rsid w:val="2C7BC546"/>
    <w:rsid w:val="2C81A273"/>
    <w:rsid w:val="2CBE73F3"/>
    <w:rsid w:val="2D7CAED5"/>
    <w:rsid w:val="2D80791F"/>
    <w:rsid w:val="2D97ADAC"/>
    <w:rsid w:val="2DBC23F9"/>
    <w:rsid w:val="2E118AF6"/>
    <w:rsid w:val="2E13BAB5"/>
    <w:rsid w:val="2E377A41"/>
    <w:rsid w:val="2E40DD61"/>
    <w:rsid w:val="2E50AB69"/>
    <w:rsid w:val="2E9D8871"/>
    <w:rsid w:val="2EB53C5E"/>
    <w:rsid w:val="2ED849C1"/>
    <w:rsid w:val="2EF6DC54"/>
    <w:rsid w:val="2F509071"/>
    <w:rsid w:val="2F5E6BDB"/>
    <w:rsid w:val="2F6734BC"/>
    <w:rsid w:val="2F6F4CF5"/>
    <w:rsid w:val="2FD05A9C"/>
    <w:rsid w:val="30041EAD"/>
    <w:rsid w:val="300A5D8D"/>
    <w:rsid w:val="3012874D"/>
    <w:rsid w:val="30166522"/>
    <w:rsid w:val="302BAFAA"/>
    <w:rsid w:val="3038314B"/>
    <w:rsid w:val="308226BE"/>
    <w:rsid w:val="309C9AD2"/>
    <w:rsid w:val="30AF8A3A"/>
    <w:rsid w:val="313FC7D5"/>
    <w:rsid w:val="314B5B77"/>
    <w:rsid w:val="3153BE0E"/>
    <w:rsid w:val="3184C62F"/>
    <w:rsid w:val="3190E26B"/>
    <w:rsid w:val="31CF6285"/>
    <w:rsid w:val="31E7D63D"/>
    <w:rsid w:val="31ECDD20"/>
    <w:rsid w:val="32028F15"/>
    <w:rsid w:val="3223D671"/>
    <w:rsid w:val="32E2BF8F"/>
    <w:rsid w:val="3308256A"/>
    <w:rsid w:val="33842021"/>
    <w:rsid w:val="33CD32FA"/>
    <w:rsid w:val="33E4051A"/>
    <w:rsid w:val="33E72AFC"/>
    <w:rsid w:val="33F5071C"/>
    <w:rsid w:val="342F8167"/>
    <w:rsid w:val="34557E61"/>
    <w:rsid w:val="34AA31D8"/>
    <w:rsid w:val="351B3D5F"/>
    <w:rsid w:val="352A92F5"/>
    <w:rsid w:val="3598B5EB"/>
    <w:rsid w:val="35DCF8BC"/>
    <w:rsid w:val="35EFD1C2"/>
    <w:rsid w:val="36074E79"/>
    <w:rsid w:val="36505624"/>
    <w:rsid w:val="3662EEA8"/>
    <w:rsid w:val="369EC7AF"/>
    <w:rsid w:val="36A61900"/>
    <w:rsid w:val="36A72344"/>
    <w:rsid w:val="36AC330F"/>
    <w:rsid w:val="3764CB2E"/>
    <w:rsid w:val="37672229"/>
    <w:rsid w:val="37728559"/>
    <w:rsid w:val="3799E642"/>
    <w:rsid w:val="38531537"/>
    <w:rsid w:val="3854711D"/>
    <w:rsid w:val="385D4055"/>
    <w:rsid w:val="38708724"/>
    <w:rsid w:val="38C3DAB8"/>
    <w:rsid w:val="38C522F3"/>
    <w:rsid w:val="3900214E"/>
    <w:rsid w:val="3902183D"/>
    <w:rsid w:val="3902F28A"/>
    <w:rsid w:val="390E55BA"/>
    <w:rsid w:val="3935B6A3"/>
    <w:rsid w:val="394611E2"/>
    <w:rsid w:val="395943F2"/>
    <w:rsid w:val="39846919"/>
    <w:rsid w:val="39BE31C4"/>
    <w:rsid w:val="3A0CFDC1"/>
    <w:rsid w:val="3A177D9A"/>
    <w:rsid w:val="3A1B00CB"/>
    <w:rsid w:val="3A33BAA8"/>
    <w:rsid w:val="3A5A44E4"/>
    <w:rsid w:val="3AB37D84"/>
    <w:rsid w:val="3ACD82B8"/>
    <w:rsid w:val="3AD9959A"/>
    <w:rsid w:val="3AF63D7F"/>
    <w:rsid w:val="3AFE339E"/>
    <w:rsid w:val="3B096537"/>
    <w:rsid w:val="3B1AA650"/>
    <w:rsid w:val="3B1AAD0E"/>
    <w:rsid w:val="3B3418B2"/>
    <w:rsid w:val="3B3BB9BA"/>
    <w:rsid w:val="3B3FABAB"/>
    <w:rsid w:val="3BCD2E73"/>
    <w:rsid w:val="3BD3CD1A"/>
    <w:rsid w:val="3BD66A83"/>
    <w:rsid w:val="3BF47F7B"/>
    <w:rsid w:val="3C502ABC"/>
    <w:rsid w:val="3C613DDB"/>
    <w:rsid w:val="3D3FE049"/>
    <w:rsid w:val="3DB7BA0A"/>
    <w:rsid w:val="3DCAC1CF"/>
    <w:rsid w:val="3DD0DBED"/>
    <w:rsid w:val="3E7F9993"/>
    <w:rsid w:val="3E8DD827"/>
    <w:rsid w:val="3EA3BD26"/>
    <w:rsid w:val="3F116906"/>
    <w:rsid w:val="3F17C768"/>
    <w:rsid w:val="3F479E36"/>
    <w:rsid w:val="3F697299"/>
    <w:rsid w:val="3F72340E"/>
    <w:rsid w:val="3F78BA37"/>
    <w:rsid w:val="3F963EDB"/>
    <w:rsid w:val="3FA4F827"/>
    <w:rsid w:val="3FB17EB1"/>
    <w:rsid w:val="3FB20F45"/>
    <w:rsid w:val="3FEC9633"/>
    <w:rsid w:val="402F8CE6"/>
    <w:rsid w:val="405E7598"/>
    <w:rsid w:val="40779DF5"/>
    <w:rsid w:val="4090B444"/>
    <w:rsid w:val="40C7F09E"/>
    <w:rsid w:val="410B3333"/>
    <w:rsid w:val="41F6CB17"/>
    <w:rsid w:val="420E8BBD"/>
    <w:rsid w:val="422719E2"/>
    <w:rsid w:val="42407F55"/>
    <w:rsid w:val="4271229A"/>
    <w:rsid w:val="427F34AD"/>
    <w:rsid w:val="43181203"/>
    <w:rsid w:val="434AC41C"/>
    <w:rsid w:val="43609A80"/>
    <w:rsid w:val="436616F2"/>
    <w:rsid w:val="43795FD7"/>
    <w:rsid w:val="43991A67"/>
    <w:rsid w:val="441747B2"/>
    <w:rsid w:val="44184834"/>
    <w:rsid w:val="442B3036"/>
    <w:rsid w:val="4445F3DC"/>
    <w:rsid w:val="44D7E95C"/>
    <w:rsid w:val="44E6947D"/>
    <w:rsid w:val="44EBBA61"/>
    <w:rsid w:val="44ECCE83"/>
    <w:rsid w:val="451A4B7A"/>
    <w:rsid w:val="455EBAA4"/>
    <w:rsid w:val="4620A07E"/>
    <w:rsid w:val="462F9574"/>
    <w:rsid w:val="4643411B"/>
    <w:rsid w:val="47130C37"/>
    <w:rsid w:val="471CABD3"/>
    <w:rsid w:val="478BAF8E"/>
    <w:rsid w:val="479096A9"/>
    <w:rsid w:val="47EBBD1B"/>
    <w:rsid w:val="47FE35C3"/>
    <w:rsid w:val="47FEE1A4"/>
    <w:rsid w:val="486EBD14"/>
    <w:rsid w:val="4879EA2B"/>
    <w:rsid w:val="4884960A"/>
    <w:rsid w:val="48853012"/>
    <w:rsid w:val="4897DB2D"/>
    <w:rsid w:val="48B8E828"/>
    <w:rsid w:val="490B5EDE"/>
    <w:rsid w:val="492EADC4"/>
    <w:rsid w:val="4930F22B"/>
    <w:rsid w:val="493454B8"/>
    <w:rsid w:val="4947D621"/>
    <w:rsid w:val="4957A435"/>
    <w:rsid w:val="496D9CC2"/>
    <w:rsid w:val="499AB205"/>
    <w:rsid w:val="49B886DA"/>
    <w:rsid w:val="49C63EBD"/>
    <w:rsid w:val="4A0557DE"/>
    <w:rsid w:val="4A2670E3"/>
    <w:rsid w:val="4A4AACF9"/>
    <w:rsid w:val="4AB21579"/>
    <w:rsid w:val="4AF7DFFA"/>
    <w:rsid w:val="4B046AF3"/>
    <w:rsid w:val="4B0FA6A9"/>
    <w:rsid w:val="4B8CB00F"/>
    <w:rsid w:val="4BE2FC1D"/>
    <w:rsid w:val="4BE4F430"/>
    <w:rsid w:val="4C060943"/>
    <w:rsid w:val="4C11F9B6"/>
    <w:rsid w:val="4CA7B325"/>
    <w:rsid w:val="4D14A24A"/>
    <w:rsid w:val="4D20CEF3"/>
    <w:rsid w:val="4D39BB47"/>
    <w:rsid w:val="4D459A93"/>
    <w:rsid w:val="4D58072D"/>
    <w:rsid w:val="4D94897D"/>
    <w:rsid w:val="4DD51052"/>
    <w:rsid w:val="4E077459"/>
    <w:rsid w:val="4E2DBFE9"/>
    <w:rsid w:val="4E965EB2"/>
    <w:rsid w:val="4EEF868B"/>
    <w:rsid w:val="4EF4ECD1"/>
    <w:rsid w:val="4F27D365"/>
    <w:rsid w:val="4FD6E514"/>
    <w:rsid w:val="502C0708"/>
    <w:rsid w:val="50912743"/>
    <w:rsid w:val="509B97FF"/>
    <w:rsid w:val="51925B29"/>
    <w:rsid w:val="51ED553C"/>
    <w:rsid w:val="5217F51B"/>
    <w:rsid w:val="523AAC1C"/>
    <w:rsid w:val="5281D24F"/>
    <w:rsid w:val="52DD7D90"/>
    <w:rsid w:val="5306AA5E"/>
    <w:rsid w:val="533637EF"/>
    <w:rsid w:val="5397C1F4"/>
    <w:rsid w:val="5399B8E3"/>
    <w:rsid w:val="53A5F660"/>
    <w:rsid w:val="53B7F4BE"/>
    <w:rsid w:val="53C22528"/>
    <w:rsid w:val="53C2F7AE"/>
    <w:rsid w:val="53C55073"/>
    <w:rsid w:val="53F18F3F"/>
    <w:rsid w:val="5465B09B"/>
    <w:rsid w:val="54961F79"/>
    <w:rsid w:val="549C7D18"/>
    <w:rsid w:val="550B3465"/>
    <w:rsid w:val="55358944"/>
    <w:rsid w:val="555C1E0E"/>
    <w:rsid w:val="555DFED2"/>
    <w:rsid w:val="5583EF60"/>
    <w:rsid w:val="55B750D2"/>
    <w:rsid w:val="55C76FFA"/>
    <w:rsid w:val="56151E52"/>
    <w:rsid w:val="56D85F9C"/>
    <w:rsid w:val="5703C7B3"/>
    <w:rsid w:val="5738265C"/>
    <w:rsid w:val="573F3FE8"/>
    <w:rsid w:val="5742585E"/>
    <w:rsid w:val="57576212"/>
    <w:rsid w:val="575C91BE"/>
    <w:rsid w:val="5762CA3B"/>
    <w:rsid w:val="5777A242"/>
    <w:rsid w:val="5786BA79"/>
    <w:rsid w:val="578DADBF"/>
    <w:rsid w:val="57A9012D"/>
    <w:rsid w:val="57E3AFB7"/>
    <w:rsid w:val="58125895"/>
    <w:rsid w:val="5817D2F0"/>
    <w:rsid w:val="586B3317"/>
    <w:rsid w:val="588946CE"/>
    <w:rsid w:val="58A8B1D2"/>
    <w:rsid w:val="58D41BBD"/>
    <w:rsid w:val="599B3625"/>
    <w:rsid w:val="59BE91F3"/>
    <w:rsid w:val="59C88A0A"/>
    <w:rsid w:val="59E6299E"/>
    <w:rsid w:val="59FFE2F8"/>
    <w:rsid w:val="5A323932"/>
    <w:rsid w:val="5A79C19D"/>
    <w:rsid w:val="5A9A6AFD"/>
    <w:rsid w:val="5AA81E6E"/>
    <w:rsid w:val="5B34C11C"/>
    <w:rsid w:val="5B59E0DB"/>
    <w:rsid w:val="5B91567B"/>
    <w:rsid w:val="5B94107E"/>
    <w:rsid w:val="5BABC105"/>
    <w:rsid w:val="5BC334A3"/>
    <w:rsid w:val="5BCE0993"/>
    <w:rsid w:val="5BF29422"/>
    <w:rsid w:val="5C0401CA"/>
    <w:rsid w:val="5C115045"/>
    <w:rsid w:val="5C1BA7A3"/>
    <w:rsid w:val="5C3CFC6E"/>
    <w:rsid w:val="5C5303F0"/>
    <w:rsid w:val="5CACB6A2"/>
    <w:rsid w:val="5CBA1329"/>
    <w:rsid w:val="5CCBB581"/>
    <w:rsid w:val="5CD3BA7D"/>
    <w:rsid w:val="5D1DCA60"/>
    <w:rsid w:val="5D69076E"/>
    <w:rsid w:val="5DAAD5E0"/>
    <w:rsid w:val="5DB45F22"/>
    <w:rsid w:val="5E18699B"/>
    <w:rsid w:val="5E47F776"/>
    <w:rsid w:val="5E49C0B2"/>
    <w:rsid w:val="5E654771"/>
    <w:rsid w:val="5E7E6954"/>
    <w:rsid w:val="5E995CEF"/>
    <w:rsid w:val="5EAFE8DA"/>
    <w:rsid w:val="5EB4A39F"/>
    <w:rsid w:val="5EE26221"/>
    <w:rsid w:val="5EF057D5"/>
    <w:rsid w:val="5F319F5B"/>
    <w:rsid w:val="5F68C0D4"/>
    <w:rsid w:val="5F692B13"/>
    <w:rsid w:val="5FB439FC"/>
    <w:rsid w:val="5FB50F31"/>
    <w:rsid w:val="5FBC0098"/>
    <w:rsid w:val="602F206E"/>
    <w:rsid w:val="603471DE"/>
    <w:rsid w:val="605F369B"/>
    <w:rsid w:val="606E126D"/>
    <w:rsid w:val="60DA8D27"/>
    <w:rsid w:val="61049135"/>
    <w:rsid w:val="61494840"/>
    <w:rsid w:val="614F928C"/>
    <w:rsid w:val="616557C2"/>
    <w:rsid w:val="6174261B"/>
    <w:rsid w:val="61760039"/>
    <w:rsid w:val="617C154C"/>
    <w:rsid w:val="618670C7"/>
    <w:rsid w:val="61AAACDD"/>
    <w:rsid w:val="6212155D"/>
    <w:rsid w:val="62366BBB"/>
    <w:rsid w:val="62724312"/>
    <w:rsid w:val="62941BD6"/>
    <w:rsid w:val="62E38D31"/>
    <w:rsid w:val="63140CBC"/>
    <w:rsid w:val="63A2BB1C"/>
    <w:rsid w:val="63C407B0"/>
    <w:rsid w:val="63C70E1B"/>
    <w:rsid w:val="63E398C5"/>
    <w:rsid w:val="63EB6479"/>
    <w:rsid w:val="63EB6899"/>
    <w:rsid w:val="641AEB39"/>
    <w:rsid w:val="641C622A"/>
    <w:rsid w:val="64805D24"/>
    <w:rsid w:val="653B08D7"/>
    <w:rsid w:val="6549B61F"/>
    <w:rsid w:val="65539A94"/>
    <w:rsid w:val="65622236"/>
    <w:rsid w:val="6577B6F4"/>
    <w:rsid w:val="659835BF"/>
    <w:rsid w:val="65B6BB9A"/>
    <w:rsid w:val="65CFC177"/>
    <w:rsid w:val="65D6DF2A"/>
    <w:rsid w:val="664F866F"/>
    <w:rsid w:val="667A9CC3"/>
    <w:rsid w:val="66A70949"/>
    <w:rsid w:val="66AD5644"/>
    <w:rsid w:val="66D7305F"/>
    <w:rsid w:val="6709E059"/>
    <w:rsid w:val="677B0AB6"/>
    <w:rsid w:val="684601D2"/>
    <w:rsid w:val="68D9A2BD"/>
    <w:rsid w:val="6925B13C"/>
    <w:rsid w:val="693C0AE3"/>
    <w:rsid w:val="69E696B9"/>
    <w:rsid w:val="69F30859"/>
    <w:rsid w:val="6A685A19"/>
    <w:rsid w:val="6B2FCD93"/>
    <w:rsid w:val="6B4C9B15"/>
    <w:rsid w:val="6BB5B280"/>
    <w:rsid w:val="6BC0E529"/>
    <w:rsid w:val="6BC1988B"/>
    <w:rsid w:val="6BD24970"/>
    <w:rsid w:val="6BE084D6"/>
    <w:rsid w:val="6BF67A7E"/>
    <w:rsid w:val="6C6818B9"/>
    <w:rsid w:val="6C9CB245"/>
    <w:rsid w:val="6CD37D56"/>
    <w:rsid w:val="6CFB5DFD"/>
    <w:rsid w:val="6D0687E1"/>
    <w:rsid w:val="6D1972F5"/>
    <w:rsid w:val="6D6ADE63"/>
    <w:rsid w:val="6D6DD3BB"/>
    <w:rsid w:val="6D6DF061"/>
    <w:rsid w:val="6D7D2EF2"/>
    <w:rsid w:val="6D9F79A0"/>
    <w:rsid w:val="6E226E74"/>
    <w:rsid w:val="6E2F629A"/>
    <w:rsid w:val="6E365401"/>
    <w:rsid w:val="6E6CE155"/>
    <w:rsid w:val="6E789C39"/>
    <w:rsid w:val="6F2E1B40"/>
    <w:rsid w:val="6F2FE820"/>
    <w:rsid w:val="6F3AA1CA"/>
    <w:rsid w:val="6F5B55A5"/>
    <w:rsid w:val="6F9DAB8D"/>
    <w:rsid w:val="6FDD4058"/>
    <w:rsid w:val="6FF668B5"/>
    <w:rsid w:val="6FFFABFB"/>
    <w:rsid w:val="70296C8F"/>
    <w:rsid w:val="705AEC96"/>
    <w:rsid w:val="70ACBEF8"/>
    <w:rsid w:val="70B1203C"/>
    <w:rsid w:val="71159C0B"/>
    <w:rsid w:val="713D3CB8"/>
    <w:rsid w:val="7148EDF9"/>
    <w:rsid w:val="71594B70"/>
    <w:rsid w:val="716B708F"/>
    <w:rsid w:val="716DF4C3"/>
    <w:rsid w:val="71913AE5"/>
    <w:rsid w:val="71D3BBBB"/>
    <w:rsid w:val="71D57FC8"/>
    <w:rsid w:val="71E733AF"/>
    <w:rsid w:val="72828D3F"/>
    <w:rsid w:val="7295D2D8"/>
    <w:rsid w:val="72E0C7CE"/>
    <w:rsid w:val="731F3973"/>
    <w:rsid w:val="73610D51"/>
    <w:rsid w:val="737BA787"/>
    <w:rsid w:val="73F8D94A"/>
    <w:rsid w:val="74985BD6"/>
    <w:rsid w:val="74DC22D9"/>
    <w:rsid w:val="74F0B725"/>
    <w:rsid w:val="74F61E2D"/>
    <w:rsid w:val="74F87169"/>
    <w:rsid w:val="7500D367"/>
    <w:rsid w:val="751DBE4F"/>
    <w:rsid w:val="7567C76F"/>
    <w:rsid w:val="7580301B"/>
    <w:rsid w:val="75D8B8DC"/>
    <w:rsid w:val="7609B05F"/>
    <w:rsid w:val="7634A8C3"/>
    <w:rsid w:val="763A747F"/>
    <w:rsid w:val="764C81DC"/>
    <w:rsid w:val="766C0588"/>
    <w:rsid w:val="769BA270"/>
    <w:rsid w:val="769E9624"/>
    <w:rsid w:val="76AF3689"/>
    <w:rsid w:val="76B8F7F7"/>
    <w:rsid w:val="76E85209"/>
    <w:rsid w:val="770FF3FB"/>
    <w:rsid w:val="774FE21B"/>
    <w:rsid w:val="77FA9B3E"/>
    <w:rsid w:val="780BF7E7"/>
    <w:rsid w:val="783F09C3"/>
    <w:rsid w:val="788128A5"/>
    <w:rsid w:val="7886843F"/>
    <w:rsid w:val="789EA880"/>
    <w:rsid w:val="78A53A9F"/>
    <w:rsid w:val="792A005C"/>
    <w:rsid w:val="79621197"/>
    <w:rsid w:val="797F7478"/>
    <w:rsid w:val="7998D417"/>
    <w:rsid w:val="79A98984"/>
    <w:rsid w:val="7A53A13E"/>
    <w:rsid w:val="7A5B80AB"/>
    <w:rsid w:val="7A5D7876"/>
    <w:rsid w:val="7B14D2B3"/>
    <w:rsid w:val="7B1B44D9"/>
    <w:rsid w:val="7B2A4B58"/>
    <w:rsid w:val="7B328528"/>
    <w:rsid w:val="7B4AA1F5"/>
    <w:rsid w:val="7B4B645D"/>
    <w:rsid w:val="7B5DA5EB"/>
    <w:rsid w:val="7BAF69BF"/>
    <w:rsid w:val="7BD708F3"/>
    <w:rsid w:val="7BE843CA"/>
    <w:rsid w:val="7C51584D"/>
    <w:rsid w:val="7C6FA700"/>
    <w:rsid w:val="7C770938"/>
    <w:rsid w:val="7C80FA66"/>
    <w:rsid w:val="7CB474C5"/>
    <w:rsid w:val="7CF2583D"/>
    <w:rsid w:val="7D03834E"/>
    <w:rsid w:val="7D0DB67D"/>
    <w:rsid w:val="7D768A5F"/>
    <w:rsid w:val="7DF74641"/>
    <w:rsid w:val="7E56F476"/>
    <w:rsid w:val="7E8920AA"/>
    <w:rsid w:val="7E95D314"/>
    <w:rsid w:val="7E9ADA73"/>
    <w:rsid w:val="7EA32724"/>
    <w:rsid w:val="7EDE72F7"/>
    <w:rsid w:val="7EF4C047"/>
    <w:rsid w:val="7F24C014"/>
    <w:rsid w:val="7F3671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51E1"/>
  <w15:docId w15:val="{F9C13291-792B-594B-B4FD-CAAA7BE7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72A0277"/>
    <w:pPr>
      <w:spacing w:after="160" w:line="259" w:lineRule="auto"/>
      <w:jc w:val="both"/>
    </w:pPr>
    <w:rPr>
      <w:rFonts w:eastAsiaTheme="minorEastAsia" w:cstheme="minorBidi"/>
      <w:sz w:val="22"/>
      <w:szCs w:val="22"/>
      <w:lang w:eastAsia="en-US"/>
    </w:rPr>
  </w:style>
  <w:style w:type="paragraph" w:styleId="Titre1">
    <w:name w:val="heading 1"/>
    <w:basedOn w:val="Normal"/>
    <w:next w:val="Normal"/>
    <w:uiPriority w:val="1"/>
    <w:qFormat/>
    <w:rsid w:val="072A0277"/>
    <w:pPr>
      <w:keepNext/>
      <w:numPr>
        <w:numId w:val="8"/>
      </w:numPr>
      <w:spacing w:before="360"/>
      <w:outlineLvl w:val="0"/>
    </w:pPr>
    <w:rPr>
      <w:rFonts w:ascii="Arial" w:hAnsi="Arial"/>
      <w:b/>
      <w:bCs/>
      <w:sz w:val="24"/>
      <w:szCs w:val="24"/>
    </w:rPr>
  </w:style>
  <w:style w:type="paragraph" w:styleId="Titre2">
    <w:name w:val="heading 2"/>
    <w:basedOn w:val="Normal"/>
    <w:next w:val="Normal"/>
    <w:uiPriority w:val="1"/>
    <w:qFormat/>
    <w:rsid w:val="072A0277"/>
    <w:pPr>
      <w:keepNext/>
      <w:numPr>
        <w:ilvl w:val="1"/>
        <w:numId w:val="8"/>
      </w:numPr>
      <w:spacing w:before="360"/>
      <w:outlineLvl w:val="1"/>
    </w:pPr>
    <w:rPr>
      <w:rFonts w:ascii="Arial" w:hAnsi="Arial"/>
      <w:b/>
      <w:bCs/>
    </w:rPr>
  </w:style>
  <w:style w:type="paragraph" w:styleId="Titre3">
    <w:name w:val="heading 3"/>
    <w:basedOn w:val="Normal"/>
    <w:next w:val="Normal"/>
    <w:uiPriority w:val="1"/>
    <w:qFormat/>
    <w:rsid w:val="072A0277"/>
    <w:pPr>
      <w:keepNext/>
      <w:numPr>
        <w:ilvl w:val="2"/>
        <w:numId w:val="8"/>
      </w:numPr>
      <w:spacing w:before="360"/>
      <w:outlineLvl w:val="2"/>
    </w:pPr>
    <w:rPr>
      <w:rFonts w:ascii="Arial" w:hAnsi="Arial"/>
      <w:b/>
      <w:bCs/>
    </w:rPr>
  </w:style>
  <w:style w:type="paragraph" w:styleId="Titre4">
    <w:name w:val="heading 4"/>
    <w:basedOn w:val="Normal"/>
    <w:next w:val="Normal"/>
    <w:uiPriority w:val="1"/>
    <w:qFormat/>
    <w:rsid w:val="072A0277"/>
    <w:pPr>
      <w:keepNext/>
      <w:numPr>
        <w:ilvl w:val="3"/>
        <w:numId w:val="8"/>
      </w:numPr>
      <w:spacing w:after="60"/>
      <w:outlineLvl w:val="3"/>
    </w:pPr>
    <w:rPr>
      <w:rFonts w:ascii="Arial" w:hAnsi="Arial"/>
      <w:b/>
      <w:bCs/>
      <w:sz w:val="24"/>
      <w:szCs w:val="24"/>
    </w:rPr>
  </w:style>
  <w:style w:type="paragraph" w:styleId="Titre5">
    <w:name w:val="heading 5"/>
    <w:basedOn w:val="Normal"/>
    <w:next w:val="Normal"/>
    <w:uiPriority w:val="1"/>
    <w:qFormat/>
    <w:rsid w:val="072A0277"/>
    <w:pPr>
      <w:numPr>
        <w:ilvl w:val="4"/>
        <w:numId w:val="8"/>
      </w:numPr>
      <w:spacing w:after="60"/>
      <w:outlineLvl w:val="4"/>
    </w:pPr>
  </w:style>
  <w:style w:type="paragraph" w:styleId="Titre6">
    <w:name w:val="heading 6"/>
    <w:basedOn w:val="Normal"/>
    <w:next w:val="Normal"/>
    <w:uiPriority w:val="1"/>
    <w:qFormat/>
    <w:rsid w:val="072A0277"/>
    <w:pPr>
      <w:numPr>
        <w:ilvl w:val="5"/>
        <w:numId w:val="8"/>
      </w:numPr>
      <w:spacing w:after="60"/>
      <w:outlineLvl w:val="5"/>
    </w:pPr>
    <w:rPr>
      <w:i/>
      <w:iCs/>
    </w:rPr>
  </w:style>
  <w:style w:type="paragraph" w:styleId="Titre7">
    <w:name w:val="heading 7"/>
    <w:basedOn w:val="Normal"/>
    <w:next w:val="Normal"/>
    <w:uiPriority w:val="1"/>
    <w:qFormat/>
    <w:rsid w:val="072A0277"/>
    <w:pPr>
      <w:numPr>
        <w:ilvl w:val="6"/>
        <w:numId w:val="8"/>
      </w:numPr>
      <w:spacing w:after="60"/>
      <w:outlineLvl w:val="6"/>
    </w:pPr>
    <w:rPr>
      <w:rFonts w:ascii="Arial" w:hAnsi="Arial"/>
    </w:rPr>
  </w:style>
  <w:style w:type="paragraph" w:styleId="Titre8">
    <w:name w:val="heading 8"/>
    <w:basedOn w:val="Normal"/>
    <w:next w:val="Normal"/>
    <w:uiPriority w:val="1"/>
    <w:qFormat/>
    <w:rsid w:val="072A0277"/>
    <w:pPr>
      <w:numPr>
        <w:ilvl w:val="7"/>
        <w:numId w:val="8"/>
      </w:numPr>
      <w:spacing w:after="60"/>
      <w:outlineLvl w:val="7"/>
    </w:pPr>
    <w:rPr>
      <w:rFonts w:ascii="Arial" w:hAnsi="Arial"/>
      <w:i/>
      <w:iCs/>
    </w:rPr>
  </w:style>
  <w:style w:type="paragraph" w:styleId="Titre9">
    <w:name w:val="heading 9"/>
    <w:basedOn w:val="Normal"/>
    <w:next w:val="Normal"/>
    <w:uiPriority w:val="1"/>
    <w:qFormat/>
    <w:rsid w:val="072A0277"/>
    <w:pPr>
      <w:numPr>
        <w:ilvl w:val="8"/>
        <w:numId w:val="8"/>
      </w:numPr>
      <w:spacing w:after="60"/>
      <w:outlineLvl w:val="8"/>
    </w:pPr>
    <w:rPr>
      <w:rFonts w:ascii="Arial" w:hAnsi="Arial"/>
      <w:b/>
      <w:bCs/>
      <w:i/>
      <w:iCs/>
      <w:sz w:val="18"/>
      <w:szCs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75880"/>
    <w:rPr>
      <w:color w:val="0000FF"/>
      <w:u w:val="single"/>
    </w:rPr>
  </w:style>
  <w:style w:type="character" w:styleId="Appelnotedebasdep">
    <w:name w:val="footnote reference"/>
    <w:semiHidden/>
    <w:rsid w:val="00775880"/>
    <w:rPr>
      <w:rFonts w:ascii="Arial" w:hAnsi="Arial"/>
      <w:sz w:val="18"/>
      <w:vertAlign w:val="superscript"/>
    </w:rPr>
  </w:style>
  <w:style w:type="paragraph" w:styleId="Titre">
    <w:name w:val="Title"/>
    <w:basedOn w:val="Normal"/>
    <w:next w:val="Normal"/>
    <w:uiPriority w:val="1"/>
    <w:qFormat/>
    <w:rsid w:val="072A0277"/>
    <w:pPr>
      <w:spacing w:after="240"/>
      <w:jc w:val="center"/>
      <w:outlineLvl w:val="0"/>
    </w:pPr>
    <w:rPr>
      <w:rFonts w:ascii="Arial" w:hAnsi="Arial"/>
      <w:b/>
      <w:bCs/>
      <w:sz w:val="32"/>
      <w:szCs w:val="32"/>
    </w:rPr>
  </w:style>
  <w:style w:type="paragraph" w:styleId="Citation">
    <w:name w:val="Quote"/>
    <w:basedOn w:val="Normal"/>
    <w:uiPriority w:val="1"/>
    <w:qFormat/>
    <w:rsid w:val="072A0277"/>
    <w:pPr>
      <w:ind w:left="1134" w:right="1134"/>
      <w:contextualSpacing/>
    </w:pPr>
    <w:rPr>
      <w:sz w:val="18"/>
      <w:szCs w:val="18"/>
    </w:rPr>
  </w:style>
  <w:style w:type="paragraph" w:customStyle="1" w:styleId="Table">
    <w:name w:val="Table"/>
    <w:basedOn w:val="Normal"/>
    <w:next w:val="Normal"/>
    <w:uiPriority w:val="1"/>
    <w:semiHidden/>
    <w:rsid w:val="072A0277"/>
    <w:pPr>
      <w:jc w:val="center"/>
    </w:pPr>
  </w:style>
  <w:style w:type="paragraph" w:customStyle="1" w:styleId="Titre1-Centered">
    <w:name w:val="Titre 1 - Centered"/>
    <w:basedOn w:val="Titre1"/>
    <w:next w:val="Normal"/>
    <w:rsid w:val="00775880"/>
    <w:pPr>
      <w:numPr>
        <w:numId w:val="0"/>
      </w:numPr>
      <w:jc w:val="center"/>
    </w:pPr>
  </w:style>
  <w:style w:type="paragraph" w:customStyle="1" w:styleId="Biblio">
    <w:name w:val="Biblio"/>
    <w:basedOn w:val="Normal"/>
    <w:uiPriority w:val="1"/>
    <w:rsid w:val="072A0277"/>
    <w:pPr>
      <w:ind w:left="284" w:hanging="284"/>
    </w:pPr>
    <w:rPr>
      <w:sz w:val="18"/>
      <w:szCs w:val="18"/>
    </w:rPr>
  </w:style>
  <w:style w:type="paragraph" w:customStyle="1" w:styleId="Appeldenote">
    <w:name w:val="Appel de note"/>
    <w:basedOn w:val="Normal"/>
    <w:uiPriority w:val="1"/>
    <w:semiHidden/>
    <w:rsid w:val="072A0277"/>
    <w:rPr>
      <w:vertAlign w:val="superscript"/>
    </w:rPr>
  </w:style>
  <w:style w:type="paragraph" w:styleId="Notedefin">
    <w:name w:val="endnote text"/>
    <w:basedOn w:val="Normal"/>
    <w:uiPriority w:val="1"/>
    <w:rsid w:val="072A0277"/>
    <w:rPr>
      <w:sz w:val="18"/>
      <w:szCs w:val="18"/>
    </w:rPr>
  </w:style>
  <w:style w:type="character" w:styleId="Appeldenotedefin">
    <w:name w:val="endnote reference"/>
    <w:rsid w:val="00775880"/>
    <w:rPr>
      <w:vertAlign w:val="superscript"/>
    </w:rPr>
  </w:style>
  <w:style w:type="paragraph" w:customStyle="1" w:styleId="Auteurs">
    <w:name w:val="Auteurs"/>
    <w:basedOn w:val="Titre"/>
    <w:next w:val="Affiliation"/>
    <w:autoRedefine/>
    <w:rsid w:val="00AC00A3"/>
    <w:pPr>
      <w:spacing w:before="240" w:after="120"/>
    </w:pPr>
    <w:rPr>
      <w:rFonts w:ascii="Times New Roman" w:hAnsi="Times New Roman"/>
      <w:b w:val="0"/>
      <w:sz w:val="20"/>
    </w:rPr>
  </w:style>
  <w:style w:type="paragraph" w:customStyle="1" w:styleId="Affiliation">
    <w:name w:val="Affiliation"/>
    <w:basedOn w:val="Auteurs"/>
    <w:rsid w:val="00AC00A3"/>
    <w:pPr>
      <w:spacing w:before="0" w:after="0"/>
    </w:pPr>
    <w:rPr>
      <w:sz w:val="18"/>
    </w:rPr>
  </w:style>
  <w:style w:type="paragraph" w:customStyle="1" w:styleId="Exemple">
    <w:name w:val="Exemple"/>
    <w:basedOn w:val="Normal"/>
    <w:link w:val="ExempleCar"/>
    <w:uiPriority w:val="1"/>
    <w:qFormat/>
    <w:rsid w:val="072A0277"/>
    <w:pPr>
      <w:ind w:left="567"/>
    </w:pPr>
    <w:rPr>
      <w:sz w:val="18"/>
      <w:szCs w:val="18"/>
    </w:rPr>
  </w:style>
  <w:style w:type="character" w:customStyle="1" w:styleId="ExempleCar">
    <w:name w:val="Exemple Car"/>
    <w:basedOn w:val="Policepardfaut"/>
    <w:link w:val="Exemple"/>
    <w:rsid w:val="00E86C80"/>
    <w:rPr>
      <w:rFonts w:eastAsiaTheme="minorHAnsi" w:cstheme="minorBidi"/>
      <w:sz w:val="18"/>
      <w:szCs w:val="22"/>
      <w:lang w:eastAsia="en-US"/>
    </w:rPr>
  </w:style>
  <w:style w:type="character" w:customStyle="1" w:styleId="Mentionnonrsolue1">
    <w:name w:val="Mention non résolue1"/>
    <w:basedOn w:val="Policepardfaut"/>
    <w:uiPriority w:val="99"/>
    <w:semiHidden/>
    <w:unhideWhenUsed/>
    <w:rsid w:val="007064EF"/>
    <w:rPr>
      <w:color w:val="605E5C"/>
      <w:shd w:val="clear" w:color="auto" w:fill="E1DFDD"/>
    </w:rPr>
  </w:style>
  <w:style w:type="character" w:styleId="Marquedecommentaire">
    <w:name w:val="annotation reference"/>
    <w:basedOn w:val="Policepardfaut"/>
    <w:rsid w:val="006016F6"/>
    <w:rPr>
      <w:sz w:val="16"/>
      <w:szCs w:val="16"/>
    </w:rPr>
  </w:style>
  <w:style w:type="paragraph" w:styleId="Commentaire">
    <w:name w:val="annotation text"/>
    <w:basedOn w:val="Normal"/>
    <w:link w:val="CommentaireCar"/>
    <w:uiPriority w:val="1"/>
    <w:rsid w:val="072A0277"/>
    <w:rPr>
      <w:sz w:val="20"/>
      <w:szCs w:val="20"/>
    </w:rPr>
  </w:style>
  <w:style w:type="character" w:customStyle="1" w:styleId="CommentaireCar">
    <w:name w:val="Commentaire Car"/>
    <w:basedOn w:val="Policepardfaut"/>
    <w:link w:val="Commentaire"/>
    <w:rsid w:val="006016F6"/>
    <w:rPr>
      <w:rFonts w:eastAsiaTheme="minorHAnsi" w:cstheme="minorBidi"/>
      <w:lang w:eastAsia="en-US"/>
    </w:rPr>
  </w:style>
  <w:style w:type="paragraph" w:styleId="Objetducommentaire">
    <w:name w:val="annotation subject"/>
    <w:basedOn w:val="Commentaire"/>
    <w:next w:val="Commentaire"/>
    <w:link w:val="ObjetducommentaireCar"/>
    <w:rsid w:val="006016F6"/>
    <w:rPr>
      <w:b/>
      <w:bCs/>
    </w:rPr>
  </w:style>
  <w:style w:type="character" w:customStyle="1" w:styleId="ObjetducommentaireCar">
    <w:name w:val="Objet du commentaire Car"/>
    <w:basedOn w:val="CommentaireCar"/>
    <w:link w:val="Objetducommentaire"/>
    <w:rsid w:val="006016F6"/>
    <w:rPr>
      <w:rFonts w:eastAsiaTheme="minorHAnsi" w:cstheme="minorBidi"/>
      <w:b/>
      <w:bCs/>
      <w:lang w:eastAsia="en-US"/>
    </w:rPr>
  </w:style>
  <w:style w:type="paragraph" w:styleId="Textedebulles">
    <w:name w:val="Balloon Text"/>
    <w:basedOn w:val="Normal"/>
    <w:link w:val="TextedebullesCar"/>
    <w:uiPriority w:val="1"/>
    <w:rsid w:val="072A0277"/>
    <w:pPr>
      <w:spacing w:after="0"/>
    </w:pPr>
    <w:rPr>
      <w:rFonts w:ascii="Segoe UI" w:hAnsi="Segoe UI" w:cs="Segoe UI"/>
      <w:sz w:val="18"/>
      <w:szCs w:val="18"/>
    </w:rPr>
  </w:style>
  <w:style w:type="character" w:customStyle="1" w:styleId="TextedebullesCar">
    <w:name w:val="Texte de bulles Car"/>
    <w:basedOn w:val="Policepardfaut"/>
    <w:link w:val="Textedebulles"/>
    <w:rsid w:val="006016F6"/>
    <w:rPr>
      <w:rFonts w:ascii="Segoe UI" w:eastAsiaTheme="minorHAnsi" w:hAnsi="Segoe UI" w:cs="Segoe UI"/>
      <w:sz w:val="18"/>
      <w:szCs w:val="18"/>
      <w:lang w:eastAsia="en-US"/>
    </w:rPr>
  </w:style>
  <w:style w:type="paragraph" w:styleId="Sous-titre">
    <w:name w:val="Subtitle"/>
    <w:basedOn w:val="Normal"/>
    <w:next w:val="Normal"/>
    <w:uiPriority w:val="11"/>
    <w:qFormat/>
    <w:rsid w:val="072A0277"/>
    <w:rPr>
      <w:color w:val="5A5A5A"/>
    </w:rPr>
  </w:style>
  <w:style w:type="paragraph" w:styleId="Citationintense">
    <w:name w:val="Intense Quote"/>
    <w:basedOn w:val="Normal"/>
    <w:next w:val="Normal"/>
    <w:uiPriority w:val="30"/>
    <w:qFormat/>
    <w:rsid w:val="072A0277"/>
    <w:pPr>
      <w:spacing w:before="360" w:after="360"/>
      <w:ind w:left="864" w:right="864"/>
      <w:jc w:val="center"/>
    </w:pPr>
    <w:rPr>
      <w:i/>
      <w:iCs/>
      <w:color w:val="5B9BD5" w:themeColor="accent1"/>
    </w:rPr>
  </w:style>
  <w:style w:type="paragraph" w:styleId="Paragraphedeliste">
    <w:name w:val="List Paragraph"/>
    <w:basedOn w:val="Normal"/>
    <w:uiPriority w:val="34"/>
    <w:qFormat/>
    <w:rsid w:val="072A0277"/>
    <w:pPr>
      <w:ind w:left="720"/>
      <w:contextualSpacing/>
    </w:pPr>
  </w:style>
  <w:style w:type="paragraph" w:styleId="TM1">
    <w:name w:val="toc 1"/>
    <w:basedOn w:val="Normal"/>
    <w:next w:val="Normal"/>
    <w:uiPriority w:val="39"/>
    <w:unhideWhenUsed/>
    <w:rsid w:val="072A0277"/>
    <w:pPr>
      <w:spacing w:after="100"/>
    </w:pPr>
  </w:style>
  <w:style w:type="paragraph" w:styleId="TM2">
    <w:name w:val="toc 2"/>
    <w:basedOn w:val="Normal"/>
    <w:next w:val="Normal"/>
    <w:uiPriority w:val="39"/>
    <w:unhideWhenUsed/>
    <w:rsid w:val="072A0277"/>
    <w:pPr>
      <w:spacing w:after="100"/>
      <w:ind w:left="220"/>
    </w:pPr>
  </w:style>
  <w:style w:type="paragraph" w:styleId="TM3">
    <w:name w:val="toc 3"/>
    <w:basedOn w:val="Normal"/>
    <w:next w:val="Normal"/>
    <w:uiPriority w:val="39"/>
    <w:unhideWhenUsed/>
    <w:rsid w:val="072A0277"/>
    <w:pPr>
      <w:spacing w:after="100"/>
      <w:ind w:left="440"/>
    </w:pPr>
  </w:style>
  <w:style w:type="paragraph" w:styleId="TM4">
    <w:name w:val="toc 4"/>
    <w:basedOn w:val="Normal"/>
    <w:next w:val="Normal"/>
    <w:uiPriority w:val="39"/>
    <w:unhideWhenUsed/>
    <w:rsid w:val="072A0277"/>
    <w:pPr>
      <w:spacing w:after="100"/>
      <w:ind w:left="660"/>
    </w:pPr>
  </w:style>
  <w:style w:type="paragraph" w:styleId="TM5">
    <w:name w:val="toc 5"/>
    <w:basedOn w:val="Normal"/>
    <w:next w:val="Normal"/>
    <w:uiPriority w:val="39"/>
    <w:unhideWhenUsed/>
    <w:rsid w:val="072A0277"/>
    <w:pPr>
      <w:spacing w:after="100"/>
      <w:ind w:left="880"/>
    </w:pPr>
  </w:style>
  <w:style w:type="paragraph" w:styleId="TM6">
    <w:name w:val="toc 6"/>
    <w:basedOn w:val="Normal"/>
    <w:next w:val="Normal"/>
    <w:uiPriority w:val="39"/>
    <w:unhideWhenUsed/>
    <w:rsid w:val="072A0277"/>
    <w:pPr>
      <w:spacing w:after="100"/>
      <w:ind w:left="1100"/>
    </w:pPr>
  </w:style>
  <w:style w:type="paragraph" w:styleId="TM7">
    <w:name w:val="toc 7"/>
    <w:basedOn w:val="Normal"/>
    <w:next w:val="Normal"/>
    <w:uiPriority w:val="39"/>
    <w:unhideWhenUsed/>
    <w:rsid w:val="072A0277"/>
    <w:pPr>
      <w:spacing w:after="100"/>
      <w:ind w:left="1320"/>
    </w:pPr>
  </w:style>
  <w:style w:type="paragraph" w:styleId="TM8">
    <w:name w:val="toc 8"/>
    <w:basedOn w:val="Normal"/>
    <w:next w:val="Normal"/>
    <w:uiPriority w:val="39"/>
    <w:unhideWhenUsed/>
    <w:rsid w:val="072A0277"/>
    <w:pPr>
      <w:spacing w:after="100"/>
      <w:ind w:left="1540"/>
    </w:pPr>
  </w:style>
  <w:style w:type="paragraph" w:styleId="TM9">
    <w:name w:val="toc 9"/>
    <w:basedOn w:val="Normal"/>
    <w:next w:val="Normal"/>
    <w:uiPriority w:val="39"/>
    <w:unhideWhenUsed/>
    <w:rsid w:val="072A0277"/>
    <w:pPr>
      <w:spacing w:after="100"/>
      <w:ind w:left="1760"/>
    </w:pPr>
  </w:style>
  <w:style w:type="paragraph" w:styleId="Pieddepage">
    <w:name w:val="footer"/>
    <w:basedOn w:val="Normal"/>
    <w:uiPriority w:val="99"/>
    <w:unhideWhenUsed/>
    <w:rsid w:val="072A0277"/>
    <w:pPr>
      <w:tabs>
        <w:tab w:val="center" w:pos="4680"/>
        <w:tab w:val="right" w:pos="9360"/>
      </w:tabs>
      <w:spacing w:after="0"/>
    </w:pPr>
  </w:style>
  <w:style w:type="paragraph" w:styleId="Notedebasdepage">
    <w:name w:val="footnote text"/>
    <w:basedOn w:val="Normal"/>
    <w:uiPriority w:val="99"/>
    <w:semiHidden/>
    <w:unhideWhenUsed/>
    <w:rsid w:val="072A0277"/>
    <w:pPr>
      <w:spacing w:after="0"/>
    </w:pPr>
    <w:rPr>
      <w:sz w:val="20"/>
      <w:szCs w:val="20"/>
    </w:rPr>
  </w:style>
  <w:style w:type="paragraph" w:styleId="En-tte">
    <w:name w:val="header"/>
    <w:basedOn w:val="Normal"/>
    <w:uiPriority w:val="99"/>
    <w:unhideWhenUsed/>
    <w:rsid w:val="072A0277"/>
    <w:pPr>
      <w:tabs>
        <w:tab w:val="center" w:pos="4680"/>
        <w:tab w:val="right" w:pos="9360"/>
      </w:tabs>
      <w:spacing w:after="0"/>
    </w:pPr>
  </w:style>
  <w:style w:type="table" w:styleId="Grilledutableau">
    <w:name w:val="Table Grid"/>
    <w:basedOn w:val="TableauNormal"/>
    <w:rsid w:val="00BD3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C3851"/>
    <w:rPr>
      <w:rFonts w:eastAsiaTheme="minorEastAsia" w:cstheme="minorBidi"/>
      <w:sz w:val="22"/>
      <w:szCs w:val="22"/>
      <w:lang w:eastAsia="en-US"/>
    </w:rPr>
  </w:style>
  <w:style w:type="character" w:styleId="Lienhypertextesuivivisit">
    <w:name w:val="FollowedHyperlink"/>
    <w:basedOn w:val="Policepardfaut"/>
    <w:rsid w:val="00D919EC"/>
    <w:rPr>
      <w:color w:val="954F72" w:themeColor="followedHyperlink"/>
      <w:u w:val="single"/>
    </w:rPr>
  </w:style>
  <w:style w:type="character" w:customStyle="1" w:styleId="UnresolvedMention">
    <w:name w:val="Unresolved Mention"/>
    <w:basedOn w:val="Policepardfaut"/>
    <w:uiPriority w:val="99"/>
    <w:semiHidden/>
    <w:unhideWhenUsed/>
    <w:rsid w:val="00D91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7001">
      <w:bodyDiv w:val="1"/>
      <w:marLeft w:val="0"/>
      <w:marRight w:val="0"/>
      <w:marTop w:val="0"/>
      <w:marBottom w:val="0"/>
      <w:divBdr>
        <w:top w:val="none" w:sz="0" w:space="0" w:color="auto"/>
        <w:left w:val="none" w:sz="0" w:space="0" w:color="auto"/>
        <w:bottom w:val="none" w:sz="0" w:space="0" w:color="auto"/>
        <w:right w:val="none" w:sz="0" w:space="0" w:color="auto"/>
      </w:divBdr>
      <w:divsChild>
        <w:div w:id="495146906">
          <w:marLeft w:val="480"/>
          <w:marRight w:val="0"/>
          <w:marTop w:val="0"/>
          <w:marBottom w:val="0"/>
          <w:divBdr>
            <w:top w:val="none" w:sz="0" w:space="0" w:color="auto"/>
            <w:left w:val="none" w:sz="0" w:space="0" w:color="auto"/>
            <w:bottom w:val="none" w:sz="0" w:space="0" w:color="auto"/>
            <w:right w:val="none" w:sz="0" w:space="0" w:color="auto"/>
          </w:divBdr>
          <w:divsChild>
            <w:div w:id="4885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culture.be/administration/gouvernance-culturelle/conseil-de-la-langue-francaise-des-langues-regionales-endogenes-et-des-politiques-linguistiqu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an.van.raemdonck@ulb.be" TargetMode="External"/><Relationship Id="rId17" Type="http://schemas.openxmlformats.org/officeDocument/2006/relationships/hyperlink" Target="https://www.culture.be/administration/gouvernance-culturelle/conseil-de-la-langue-francaise-des-langues-regionales-endogenes-et-des-politiques-linguistiques/" TargetMode="External"/><Relationship Id="rId2" Type="http://schemas.openxmlformats.org/officeDocument/2006/relationships/customXml" Target="../customXml/item2.xml"/><Relationship Id="rId16" Type="http://schemas.openxmlformats.org/officeDocument/2006/relationships/hyperlink" Target="http://journals.openedition.org/discours/12636" TargetMode="External"/><Relationship Id="rId20" Type="http://schemas.openxmlformats.org/officeDocument/2006/relationships/hyperlink" Target="http://archive.pfwb.be/1000000020cf0b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catherine.simon@uclouvain.be"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lejournal.cnrs.fr/articles/lecriture-inclusive-par-dela-le-point-median" TargetMode="External"/><Relationship Id="rId23"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ww.gallilex.cfwb.be/document/pdf/50439_00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conversation.com/ecriture-inclusive-un-premier-bilan-de-la-controverse-147630"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culture.be/administration/gouvernance-culturelle/conseil-de-la-langue-francaise-des-langues-regionales-endogenes-et-des-politiques-linguistiques/" TargetMode="External"/><Relationship Id="rId2" Type="http://schemas.openxmlformats.org/officeDocument/2006/relationships/hyperlink" Target="https://www.culture.be/index.php?eID=tx_nawsecuredl&amp;u=0&amp;g=0&amp;hash=329daacd5191f46e628f7ad755a8ab5a97ac9909&amp;file=fileadmin/sites/culture/upload/culture_super_editor/culture_editor/documents/Gouvernance_culturelle/Conseil_LF/CLPL-avis2-_20210519.pdf" TargetMode="External"/><Relationship Id="rId1" Type="http://schemas.openxmlformats.org/officeDocument/2006/relationships/hyperlink" Target="http://www.languefrancaise.cfwb.be/" TargetMode="External"/><Relationship Id="rId6" Type="http://schemas.openxmlformats.org/officeDocument/2006/relationships/hyperlink" Target="https://www.culture.be/administration/gouvernance-culturelle/conseil-de-la-langue-francaise-des-langues-regionales-endogenes-et-des-politiques-linguistiques/" TargetMode="External"/><Relationship Id="rId5" Type="http://schemas.openxmlformats.org/officeDocument/2006/relationships/hyperlink" Target="https://www.culture.be/index.php?eID=tx_nawsecuredl&amp;u=0&amp;g=0&amp;hash=a114115c55bb3ac51be96fe7e1bbe20ca6f2c166&amp;file=fileadmin/sites/culture/upload/culture_super_editor/culture_editor/documents/Gouvernance_culturelle/Conseil_LF/CLPL-avis3-_20220126.pdf" TargetMode="External"/><Relationship Id="rId4" Type="http://schemas.openxmlformats.org/officeDocument/2006/relationships/hyperlink" Target="https://archive.pfwb.be/1000000020ce0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mon\OneDrive%20-%20UCL\_PUBLICATIONS\2024_CMLF\F&#233;minisation-Belgique_CMLF2024_ACS-DVR_V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2CEDED390ED4E8DACC5502324077E" ma:contentTypeVersion="18" ma:contentTypeDescription="Crée un document." ma:contentTypeScope="" ma:versionID="7da777bcfa992dfcf32e6ce7e9d64416">
  <xsd:schema xmlns:xsd="http://www.w3.org/2001/XMLSchema" xmlns:xs="http://www.w3.org/2001/XMLSchema" xmlns:p="http://schemas.microsoft.com/office/2006/metadata/properties" xmlns:ns3="76c2a170-57a6-4dd9-b5f4-23ded8d0ef5f" xmlns:ns4="b95f11bc-23d3-48fc-88d3-1609664a0ecf" targetNamespace="http://schemas.microsoft.com/office/2006/metadata/properties" ma:root="true" ma:fieldsID="4d8b93ee6ab00f83d2dc082afc80f11a" ns3:_="" ns4:_="">
    <xsd:import namespace="76c2a170-57a6-4dd9-b5f4-23ded8d0ef5f"/>
    <xsd:import namespace="b95f11bc-23d3-48fc-88d3-1609664a0e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2a170-57a6-4dd9-b5f4-23ded8d0e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5f11bc-23d3-48fc-88d3-1609664a0ecf"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SharingHintHash" ma:index="15"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6c2a170-57a6-4dd9-b5f4-23ded8d0ef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A9004-0CD2-4CDE-98F0-270663553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2a170-57a6-4dd9-b5f4-23ded8d0ef5f"/>
    <ds:schemaRef ds:uri="b95f11bc-23d3-48fc-88d3-1609664a0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FAAED-6B3D-4310-88F3-F79B6CA19999}">
  <ds:schemaRefs>
    <ds:schemaRef ds:uri="http://purl.org/dc/terms/"/>
    <ds:schemaRef ds:uri="76c2a170-57a6-4dd9-b5f4-23ded8d0ef5f"/>
    <ds:schemaRef ds:uri="http://schemas.microsoft.com/office/2006/documentManagement/types"/>
    <ds:schemaRef ds:uri="http://schemas.microsoft.com/office/infopath/2007/PartnerControls"/>
    <ds:schemaRef ds:uri="b95f11bc-23d3-48fc-88d3-1609664a0ecf"/>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769F22E-8C9B-4A8E-BA6B-249E7DB87AD0}">
  <ds:schemaRefs>
    <ds:schemaRef ds:uri="http://schemas.microsoft.com/sharepoint/v3/contenttype/forms"/>
  </ds:schemaRefs>
</ds:datastoreItem>
</file>

<file path=customXml/itemProps4.xml><?xml version="1.0" encoding="utf-8"?>
<ds:datastoreItem xmlns:ds="http://schemas.openxmlformats.org/officeDocument/2006/customXml" ds:itemID="{E97BD16E-A756-4CF2-9BD0-78CFC0E5A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Féminisation-Belgique_CMLF2024_ACS-DVR_V1.dotx</Template>
  <TotalTime>1158</TotalTime>
  <Pages>19</Pages>
  <Words>8680</Words>
  <Characters>47225</Characters>
  <Application>Microsoft Office Word</Application>
  <DocSecurity>0</DocSecurity>
  <Lines>674</Lines>
  <Paragraphs>196</Paragraphs>
  <ScaleCrop>false</ScaleCrop>
  <HeadingPairs>
    <vt:vector size="2" baseType="variant">
      <vt:variant>
        <vt:lpstr>Titre</vt:lpstr>
      </vt:variant>
      <vt:variant>
        <vt:i4>1</vt:i4>
      </vt:variant>
    </vt:vector>
  </HeadingPairs>
  <TitlesOfParts>
    <vt:vector size="1" baseType="lpstr">
      <vt:lpstr>Influence of software processing system on language use</vt:lpstr>
    </vt:vector>
  </TitlesOfParts>
  <Company>Université de Nantes</Company>
  <LinksUpToDate>false</LinksUpToDate>
  <CharactersWithSpaces>55709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 of software processing system on language use</dc:title>
  <dc:subject/>
  <dc:creator>evaluation</dc:creator>
  <cp:keywords/>
  <dc:description/>
  <cp:lastModifiedBy>Anne Catherine Simon</cp:lastModifiedBy>
  <cp:revision>18</cp:revision>
  <cp:lastPrinted>2008-04-08T12:55:00Z</cp:lastPrinted>
  <dcterms:created xsi:type="dcterms:W3CDTF">2024-02-22T13:35:00Z</dcterms:created>
  <dcterms:modified xsi:type="dcterms:W3CDTF">2024-03-21T21:37:00Z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0x010100A6E2CEDED390ED4E8DACC5502324077E</vt:lpwstr>
  </property>
</Properties>
</file>