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1C279" w14:textId="77777777" w:rsidR="00481D5B" w:rsidRPr="002D726C" w:rsidRDefault="00481D5B" w:rsidP="00B12E18">
      <w:pPr>
        <w:spacing w:after="0" w:line="240" w:lineRule="auto"/>
        <w:jc w:val="center"/>
        <w:rPr>
          <w:rFonts w:ascii="Times New Roman" w:hAnsi="Times New Roman" w:cs="Times New Roman"/>
          <w:b/>
          <w:sz w:val="32"/>
          <w:szCs w:val="24"/>
        </w:rPr>
      </w:pPr>
      <w:bookmarkStart w:id="0" w:name="_Hlk192506623"/>
      <w:r w:rsidRPr="002D726C">
        <w:rPr>
          <w:rFonts w:ascii="Times New Roman" w:hAnsi="Times New Roman" w:cs="Times New Roman"/>
          <w:b/>
          <w:sz w:val="32"/>
          <w:szCs w:val="24"/>
        </w:rPr>
        <w:t>Hitting the Right Note: The Impact of Lexical Complexity on Initial Coin Offering Success</w:t>
      </w:r>
    </w:p>
    <w:p w14:paraId="002E6B03" w14:textId="77777777" w:rsidR="00481D5B" w:rsidRPr="00C82EE1" w:rsidRDefault="00481D5B" w:rsidP="00026FCB">
      <w:pPr>
        <w:spacing w:after="0" w:line="240" w:lineRule="auto"/>
        <w:jc w:val="center"/>
        <w:rPr>
          <w:rFonts w:ascii="Times New Roman" w:hAnsi="Times New Roman" w:cs="Times New Roman"/>
          <w:bCs/>
          <w:sz w:val="28"/>
          <w:szCs w:val="24"/>
          <w:lang w:val="en-GB"/>
        </w:rPr>
      </w:pPr>
    </w:p>
    <w:p w14:paraId="0FCBF768" w14:textId="77777777" w:rsidR="00481D5B" w:rsidRPr="00C82EE1" w:rsidRDefault="00481D5B" w:rsidP="00026FCB">
      <w:pPr>
        <w:spacing w:after="0" w:line="240" w:lineRule="auto"/>
        <w:jc w:val="center"/>
        <w:rPr>
          <w:rFonts w:ascii="Times New Roman" w:hAnsi="Times New Roman" w:cs="Times New Roman"/>
          <w:bCs/>
          <w:sz w:val="28"/>
          <w:szCs w:val="24"/>
          <w:lang w:val="en-GB"/>
        </w:rPr>
      </w:pPr>
    </w:p>
    <w:p w14:paraId="1EDF15CB" w14:textId="3BE653C8" w:rsidR="00481D5B" w:rsidRPr="00C82EE1" w:rsidRDefault="00481D5B" w:rsidP="00026FCB">
      <w:pPr>
        <w:spacing w:after="0" w:line="240" w:lineRule="auto"/>
        <w:jc w:val="center"/>
        <w:rPr>
          <w:rFonts w:ascii="Times New Roman" w:hAnsi="Times New Roman" w:cs="Times New Roman"/>
          <w:bCs/>
          <w:sz w:val="28"/>
          <w:szCs w:val="24"/>
        </w:rPr>
      </w:pPr>
    </w:p>
    <w:p w14:paraId="6F53D9C0" w14:textId="77777777" w:rsidR="00481D5B" w:rsidRPr="00C82EE1" w:rsidRDefault="00481D5B" w:rsidP="00026FCB">
      <w:pPr>
        <w:spacing w:after="0" w:line="240" w:lineRule="auto"/>
        <w:jc w:val="center"/>
        <w:rPr>
          <w:rFonts w:ascii="Times New Roman" w:hAnsi="Times New Roman" w:cs="Times New Roman"/>
          <w:bCs/>
          <w:sz w:val="28"/>
          <w:szCs w:val="24"/>
        </w:rPr>
      </w:pPr>
    </w:p>
    <w:p w14:paraId="7ED59854" w14:textId="77777777" w:rsidR="00481D5B" w:rsidRPr="00C82EE1" w:rsidRDefault="00481D5B" w:rsidP="00026FCB">
      <w:pPr>
        <w:spacing w:after="0" w:line="240" w:lineRule="auto"/>
        <w:jc w:val="center"/>
        <w:rPr>
          <w:rFonts w:ascii="Times New Roman" w:hAnsi="Times New Roman" w:cs="Times New Roman"/>
          <w:bCs/>
          <w:sz w:val="28"/>
          <w:szCs w:val="24"/>
        </w:rPr>
      </w:pPr>
    </w:p>
    <w:p w14:paraId="6341B8D6" w14:textId="77777777" w:rsidR="00481D5B" w:rsidRPr="00C82EE1" w:rsidRDefault="00481D5B" w:rsidP="00026FCB">
      <w:pPr>
        <w:spacing w:after="0" w:line="360" w:lineRule="auto"/>
        <w:jc w:val="center"/>
        <w:rPr>
          <w:rFonts w:ascii="Times New Roman" w:hAnsi="Times New Roman" w:cs="Times New Roman"/>
          <w:sz w:val="28"/>
          <w:szCs w:val="24"/>
        </w:rPr>
      </w:pPr>
      <w:r w:rsidRPr="00C82EE1">
        <w:rPr>
          <w:rFonts w:ascii="Times New Roman" w:hAnsi="Times New Roman" w:cs="Times New Roman"/>
          <w:b/>
          <w:sz w:val="28"/>
          <w:szCs w:val="24"/>
        </w:rPr>
        <w:t>ABSTRACT</w:t>
      </w:r>
    </w:p>
    <w:p w14:paraId="16E3E745" w14:textId="77777777" w:rsidR="00AE2F5C" w:rsidRDefault="00AE2F5C" w:rsidP="0047162D">
      <w:pPr>
        <w:spacing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This paper builds on credible signaling theory and proposes a novel approach to financial textual analysis by introducing lexical complexity (LC) as an informative signal of future venture performance. LC is measured by the sophistication, density, and diversity of vocabulary in a text and distinguishes itself from the widely used construct of readability. Analyzing 1,202 ICO white papers from 2015 to 2021, we find that higher LC positively influences the amount raised during ICOs, above and beyond the effect of white paper readability. This effect is amplified for more readable white papers. We also investigate the underlying mechanisms behind these results, suggesting that LC enhances perceptions of innovation and quality, attracts greater attention from institutional investors, and reduces information asymmetry. Our findings contribute to the entrepreneurial finance literature by highlighting how managers’ linguistic choices, particularly the use of LC, can significantly improve disclosure quality and influence investor behavior.</w:t>
      </w:r>
    </w:p>
    <w:p w14:paraId="6517CB23" w14:textId="77777777" w:rsidR="00481D5B" w:rsidRPr="00C82EE1" w:rsidRDefault="00481D5B" w:rsidP="00026FCB">
      <w:pPr>
        <w:spacing w:after="0" w:line="240" w:lineRule="auto"/>
        <w:jc w:val="both"/>
        <w:rPr>
          <w:rFonts w:ascii="Times New Roman" w:hAnsi="Times New Roman" w:cs="Times New Roman"/>
          <w:sz w:val="24"/>
          <w:szCs w:val="24"/>
        </w:rPr>
      </w:pPr>
    </w:p>
    <w:p w14:paraId="5CD8F406" w14:textId="77777777" w:rsidR="00481D5B" w:rsidRPr="00C82EE1" w:rsidRDefault="00481D5B" w:rsidP="00026FCB">
      <w:pPr>
        <w:spacing w:after="0" w:line="240" w:lineRule="auto"/>
        <w:jc w:val="both"/>
        <w:rPr>
          <w:rFonts w:ascii="Times New Roman" w:hAnsi="Times New Roman" w:cs="Times New Roman"/>
          <w:sz w:val="24"/>
          <w:szCs w:val="24"/>
        </w:rPr>
      </w:pPr>
    </w:p>
    <w:p w14:paraId="0A16831E" w14:textId="77777777" w:rsidR="00481D5B" w:rsidRPr="00C82EE1" w:rsidRDefault="00481D5B" w:rsidP="00026FCB">
      <w:pPr>
        <w:spacing w:after="0" w:line="240" w:lineRule="auto"/>
        <w:jc w:val="both"/>
        <w:rPr>
          <w:rFonts w:ascii="Times New Roman" w:hAnsi="Times New Roman" w:cs="Times New Roman"/>
          <w:sz w:val="24"/>
          <w:szCs w:val="24"/>
        </w:rPr>
      </w:pPr>
    </w:p>
    <w:p w14:paraId="1CB0CFD2" w14:textId="02AB6B2C" w:rsidR="00481D5B" w:rsidRPr="00C82EE1" w:rsidRDefault="00481D5B" w:rsidP="00026FCB">
      <w:pPr>
        <w:spacing w:after="0" w:line="360" w:lineRule="auto"/>
        <w:jc w:val="both"/>
        <w:rPr>
          <w:rFonts w:ascii="Times New Roman" w:hAnsi="Times New Roman" w:cs="Times New Roman"/>
          <w:sz w:val="24"/>
          <w:szCs w:val="24"/>
        </w:rPr>
      </w:pPr>
      <w:r w:rsidRPr="00C82EE1">
        <w:rPr>
          <w:rFonts w:ascii="Times New Roman" w:hAnsi="Times New Roman" w:cs="Times New Roman"/>
          <w:b/>
          <w:i/>
          <w:sz w:val="24"/>
          <w:szCs w:val="24"/>
        </w:rPr>
        <w:t>Keywords</w:t>
      </w:r>
      <w:r w:rsidRPr="00C82EE1">
        <w:rPr>
          <w:rFonts w:ascii="Times New Roman" w:hAnsi="Times New Roman" w:cs="Times New Roman"/>
          <w:sz w:val="24"/>
          <w:szCs w:val="24"/>
        </w:rPr>
        <w:t>: Initial Coin Offerings, White Papers, Lexical Complexity</w:t>
      </w:r>
      <w:r w:rsidR="004F54EF">
        <w:rPr>
          <w:rFonts w:ascii="Times New Roman" w:hAnsi="Times New Roman" w:cs="Times New Roman"/>
          <w:sz w:val="24"/>
          <w:szCs w:val="24"/>
        </w:rPr>
        <w:t>, Readability</w:t>
      </w:r>
      <w:r w:rsidRPr="00C82EE1">
        <w:rPr>
          <w:rFonts w:ascii="Times New Roman" w:hAnsi="Times New Roman" w:cs="Times New Roman"/>
          <w:sz w:val="24"/>
          <w:szCs w:val="24"/>
        </w:rPr>
        <w:t>.</w:t>
      </w:r>
    </w:p>
    <w:p w14:paraId="46216E6D" w14:textId="77777777" w:rsidR="00481D5B" w:rsidRPr="00C82EE1" w:rsidRDefault="00481D5B" w:rsidP="00026FCB">
      <w:pPr>
        <w:spacing w:after="0" w:line="360" w:lineRule="auto"/>
        <w:jc w:val="both"/>
        <w:rPr>
          <w:rFonts w:ascii="Times New Roman" w:hAnsi="Times New Roman" w:cs="Times New Roman"/>
          <w:sz w:val="24"/>
          <w:szCs w:val="24"/>
        </w:rPr>
      </w:pPr>
      <w:r w:rsidRPr="00C82EE1">
        <w:rPr>
          <w:rFonts w:ascii="Times New Roman" w:hAnsi="Times New Roman" w:cs="Times New Roman"/>
          <w:b/>
          <w:i/>
          <w:sz w:val="24"/>
          <w:szCs w:val="24"/>
        </w:rPr>
        <w:t>JEL</w:t>
      </w:r>
      <w:r w:rsidRPr="00C82EE1">
        <w:rPr>
          <w:rFonts w:ascii="Times New Roman" w:hAnsi="Times New Roman" w:cs="Times New Roman"/>
          <w:sz w:val="24"/>
          <w:szCs w:val="24"/>
        </w:rPr>
        <w:t>: G32, F30, G41, M20, O16.</w:t>
      </w:r>
    </w:p>
    <w:p w14:paraId="0B961BD9" w14:textId="77777777" w:rsidR="00481D5B" w:rsidRPr="00C82EE1" w:rsidRDefault="00481D5B" w:rsidP="00026FCB">
      <w:pPr>
        <w:spacing w:after="0" w:line="360" w:lineRule="auto"/>
        <w:jc w:val="both"/>
        <w:rPr>
          <w:rFonts w:ascii="Times New Roman" w:hAnsi="Times New Roman" w:cs="Times New Roman"/>
          <w:sz w:val="24"/>
          <w:szCs w:val="24"/>
        </w:rPr>
      </w:pPr>
    </w:p>
    <w:p w14:paraId="18B71BEA" w14:textId="77777777" w:rsidR="00481D5B" w:rsidRPr="00C82EE1" w:rsidRDefault="00481D5B" w:rsidP="00026FCB">
      <w:pPr>
        <w:spacing w:after="0" w:line="360" w:lineRule="auto"/>
        <w:jc w:val="both"/>
        <w:rPr>
          <w:rFonts w:ascii="Times New Roman" w:hAnsi="Times New Roman" w:cs="Times New Roman"/>
          <w:sz w:val="24"/>
          <w:szCs w:val="24"/>
        </w:rPr>
      </w:pPr>
    </w:p>
    <w:p w14:paraId="43B6AFCE" w14:textId="77777777" w:rsidR="00481D5B" w:rsidRPr="00C82EE1" w:rsidRDefault="00481D5B" w:rsidP="00026FCB">
      <w:pPr>
        <w:spacing w:after="0" w:line="360" w:lineRule="auto"/>
        <w:jc w:val="both"/>
        <w:rPr>
          <w:rFonts w:ascii="Times New Roman" w:hAnsi="Times New Roman" w:cs="Times New Roman"/>
          <w:sz w:val="24"/>
          <w:szCs w:val="24"/>
        </w:rPr>
      </w:pPr>
    </w:p>
    <w:p w14:paraId="52835CD5" w14:textId="77777777" w:rsidR="00481D5B" w:rsidRPr="00C82EE1" w:rsidRDefault="00481D5B" w:rsidP="00026FCB">
      <w:pPr>
        <w:spacing w:after="0" w:line="360" w:lineRule="auto"/>
        <w:jc w:val="both"/>
        <w:rPr>
          <w:rFonts w:ascii="Times New Roman" w:hAnsi="Times New Roman" w:cs="Times New Roman"/>
          <w:sz w:val="24"/>
          <w:szCs w:val="24"/>
        </w:rPr>
      </w:pPr>
    </w:p>
    <w:p w14:paraId="148D3FE8" w14:textId="77777777" w:rsidR="00481D5B" w:rsidRPr="00C82EE1" w:rsidRDefault="00481D5B" w:rsidP="00026FCB">
      <w:pPr>
        <w:spacing w:after="0" w:line="360" w:lineRule="auto"/>
        <w:jc w:val="both"/>
        <w:rPr>
          <w:rFonts w:ascii="Times New Roman" w:hAnsi="Times New Roman" w:cs="Times New Roman"/>
          <w:sz w:val="24"/>
          <w:szCs w:val="24"/>
        </w:rPr>
      </w:pPr>
    </w:p>
    <w:p w14:paraId="09D969AC" w14:textId="77777777" w:rsidR="00481D5B" w:rsidRPr="00C82EE1" w:rsidRDefault="00481D5B" w:rsidP="00026FCB">
      <w:pPr>
        <w:spacing w:after="0" w:line="360" w:lineRule="auto"/>
        <w:jc w:val="both"/>
        <w:rPr>
          <w:rFonts w:ascii="Times New Roman" w:hAnsi="Times New Roman" w:cs="Times New Roman"/>
          <w:sz w:val="24"/>
          <w:szCs w:val="24"/>
        </w:rPr>
      </w:pPr>
    </w:p>
    <w:p w14:paraId="74B79C69" w14:textId="77777777" w:rsidR="00481D5B" w:rsidRPr="00C82EE1" w:rsidRDefault="00481D5B" w:rsidP="00026FCB">
      <w:pPr>
        <w:spacing w:after="0" w:line="360" w:lineRule="auto"/>
        <w:jc w:val="both"/>
        <w:rPr>
          <w:rFonts w:ascii="Times New Roman" w:hAnsi="Times New Roman" w:cs="Times New Roman"/>
          <w:sz w:val="24"/>
          <w:szCs w:val="24"/>
        </w:rPr>
      </w:pPr>
    </w:p>
    <w:p w14:paraId="42F85970" w14:textId="77777777" w:rsidR="00481D5B" w:rsidRPr="00C82EE1" w:rsidRDefault="00481D5B" w:rsidP="00026FCB">
      <w:pPr>
        <w:spacing w:after="0" w:line="360" w:lineRule="auto"/>
        <w:jc w:val="both"/>
        <w:rPr>
          <w:rFonts w:ascii="Times New Roman" w:hAnsi="Times New Roman" w:cs="Times New Roman"/>
          <w:sz w:val="24"/>
          <w:szCs w:val="24"/>
        </w:rPr>
      </w:pPr>
    </w:p>
    <w:p w14:paraId="4C8BE9BD" w14:textId="77777777" w:rsidR="00481D5B" w:rsidRPr="00C82EE1" w:rsidRDefault="00481D5B" w:rsidP="00026FCB">
      <w:pPr>
        <w:spacing w:after="0" w:line="360" w:lineRule="auto"/>
        <w:jc w:val="both"/>
        <w:rPr>
          <w:rFonts w:ascii="Times New Roman" w:hAnsi="Times New Roman" w:cs="Times New Roman"/>
          <w:sz w:val="24"/>
          <w:szCs w:val="24"/>
        </w:rPr>
      </w:pPr>
    </w:p>
    <w:p w14:paraId="2E92DF83" w14:textId="77777777" w:rsidR="00481D5B" w:rsidRPr="00C82EE1" w:rsidRDefault="00481D5B" w:rsidP="00026FCB">
      <w:pPr>
        <w:spacing w:after="0" w:line="360" w:lineRule="auto"/>
        <w:jc w:val="both"/>
        <w:rPr>
          <w:rFonts w:ascii="Times New Roman" w:hAnsi="Times New Roman" w:cs="Times New Roman"/>
          <w:sz w:val="24"/>
          <w:szCs w:val="24"/>
        </w:rPr>
      </w:pPr>
    </w:p>
    <w:p w14:paraId="539574FD" w14:textId="77777777" w:rsidR="00481D5B" w:rsidRPr="00C82EE1" w:rsidRDefault="00481D5B" w:rsidP="00026FCB">
      <w:pPr>
        <w:spacing w:after="0" w:line="360" w:lineRule="auto"/>
        <w:jc w:val="both"/>
        <w:rPr>
          <w:rFonts w:ascii="Times New Roman" w:hAnsi="Times New Roman" w:cs="Times New Roman"/>
          <w:sz w:val="24"/>
          <w:szCs w:val="24"/>
        </w:rPr>
      </w:pPr>
    </w:p>
    <w:p w14:paraId="27B5E3EE" w14:textId="77777777" w:rsidR="00481D5B" w:rsidRPr="00C82EE1" w:rsidRDefault="00481D5B" w:rsidP="00026FCB">
      <w:pPr>
        <w:spacing w:after="0" w:line="360" w:lineRule="auto"/>
        <w:jc w:val="both"/>
        <w:rPr>
          <w:rFonts w:ascii="Times New Roman" w:hAnsi="Times New Roman" w:cs="Times New Roman"/>
          <w:sz w:val="24"/>
          <w:szCs w:val="24"/>
        </w:rPr>
      </w:pPr>
    </w:p>
    <w:p w14:paraId="07F5E905" w14:textId="77777777" w:rsidR="00481D5B" w:rsidRPr="00C82EE1" w:rsidRDefault="00481D5B" w:rsidP="00026FCB">
      <w:pPr>
        <w:spacing w:after="0" w:line="360" w:lineRule="auto"/>
        <w:jc w:val="both"/>
        <w:rPr>
          <w:rFonts w:ascii="Times New Roman" w:hAnsi="Times New Roman" w:cs="Times New Roman"/>
          <w:sz w:val="24"/>
          <w:szCs w:val="24"/>
        </w:rPr>
      </w:pPr>
    </w:p>
    <w:p w14:paraId="3E8D7366" w14:textId="77777777" w:rsidR="0046311C" w:rsidRPr="00C82EE1" w:rsidRDefault="0046311C" w:rsidP="00026FCB">
      <w:pPr>
        <w:spacing w:after="0" w:line="360" w:lineRule="auto"/>
        <w:jc w:val="both"/>
        <w:rPr>
          <w:rFonts w:ascii="Times New Roman" w:hAnsi="Times New Roman" w:cs="Times New Roman"/>
          <w:sz w:val="24"/>
          <w:szCs w:val="24"/>
        </w:rPr>
      </w:pPr>
    </w:p>
    <w:p w14:paraId="4209DAB4" w14:textId="126DD0AD" w:rsidR="00481D5B" w:rsidRPr="00E223E9" w:rsidRDefault="00481D5B" w:rsidP="00E223E9">
      <w:pPr>
        <w:pStyle w:val="Titre1"/>
      </w:pPr>
      <w:r w:rsidRPr="00E223E9">
        <w:lastRenderedPageBreak/>
        <w:t>Introduction</w:t>
      </w:r>
    </w:p>
    <w:p w14:paraId="0F180D66" w14:textId="232D8368" w:rsidR="00481D5B" w:rsidRPr="00C82EE1" w:rsidRDefault="00481D5B" w:rsidP="00E24555">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In today rapidly evolving financial landscape, effective communication is </w:t>
      </w:r>
      <w:r w:rsidR="004C6F81" w:rsidRPr="00C82EE1">
        <w:rPr>
          <w:rFonts w:ascii="Times New Roman" w:hAnsi="Times New Roman" w:cs="Times New Roman"/>
          <w:sz w:val="24"/>
          <w:szCs w:val="24"/>
        </w:rPr>
        <w:t xml:space="preserve">essential </w:t>
      </w:r>
      <w:r w:rsidRPr="00C82EE1">
        <w:rPr>
          <w:rFonts w:ascii="Times New Roman" w:hAnsi="Times New Roman" w:cs="Times New Roman"/>
          <w:sz w:val="24"/>
          <w:szCs w:val="24"/>
        </w:rPr>
        <w:t xml:space="preserve">for fostering trust and attracting investment </w:t>
      </w:r>
      <w:r w:rsidR="00D237B0" w:rsidRPr="00C82EE1">
        <w:rPr>
          <w:rFonts w:ascii="Times New Roman" w:hAnsi="Times New Roman" w:cs="Times New Roman"/>
          <w:sz w:val="24"/>
          <w:szCs w:val="24"/>
        </w:rPr>
        <w:t>(Cumming &amp; Johan, 2008; Thewissen et al., 2022)</w:t>
      </w:r>
      <w:r w:rsidRPr="00C82EE1">
        <w:rPr>
          <w:rFonts w:ascii="Times New Roman" w:hAnsi="Times New Roman" w:cs="Times New Roman"/>
          <w:sz w:val="24"/>
          <w:szCs w:val="24"/>
        </w:rPr>
        <w:t xml:space="preserve">. This is particularly true in the cryptocurrency sector, which is marked by high information asymmetry and constant innovation </w:t>
      </w:r>
      <w:r w:rsidR="00976BB9" w:rsidRPr="00C82EE1">
        <w:rPr>
          <w:rFonts w:ascii="Times New Roman" w:hAnsi="Times New Roman" w:cs="Times New Roman"/>
          <w:sz w:val="24"/>
          <w:szCs w:val="24"/>
        </w:rPr>
        <w:t xml:space="preserve">(Johan &amp; Pant, 2018; </w:t>
      </w:r>
      <w:proofErr w:type="spellStart"/>
      <w:r w:rsidR="00976BB9" w:rsidRPr="00C82EE1">
        <w:rPr>
          <w:rFonts w:ascii="Times New Roman" w:hAnsi="Times New Roman" w:cs="Times New Roman"/>
          <w:sz w:val="24"/>
          <w:szCs w:val="24"/>
        </w:rPr>
        <w:t>Momtaz</w:t>
      </w:r>
      <w:proofErr w:type="spellEnd"/>
      <w:r w:rsidR="00976BB9" w:rsidRPr="00C82EE1">
        <w:rPr>
          <w:rFonts w:ascii="Times New Roman" w:hAnsi="Times New Roman" w:cs="Times New Roman"/>
          <w:sz w:val="24"/>
          <w:szCs w:val="24"/>
        </w:rPr>
        <w:t>, 2021c)</w:t>
      </w:r>
      <w:r w:rsidRPr="00C82EE1">
        <w:rPr>
          <w:rFonts w:ascii="Times New Roman" w:hAnsi="Times New Roman" w:cs="Times New Roman"/>
          <w:sz w:val="24"/>
          <w:szCs w:val="24"/>
        </w:rPr>
        <w:t>. Consider evaluating two white papers for new cryptocurrency projects. The first one states: "</w:t>
      </w:r>
      <w:r w:rsidRPr="00C82EE1">
        <w:rPr>
          <w:rFonts w:ascii="Times New Roman" w:hAnsi="Times New Roman" w:cs="Times New Roman"/>
          <w:i/>
          <w:sz w:val="24"/>
          <w:szCs w:val="24"/>
        </w:rPr>
        <w:t>Our crypto wallets are secure and easy to use.</w:t>
      </w:r>
      <w:r w:rsidRPr="00C82EE1">
        <w:rPr>
          <w:rFonts w:ascii="Times New Roman" w:hAnsi="Times New Roman" w:cs="Times New Roman"/>
          <w:sz w:val="24"/>
          <w:szCs w:val="24"/>
        </w:rPr>
        <w:t>" and the second one elaborates: "</w:t>
      </w:r>
      <w:r w:rsidRPr="00C82EE1">
        <w:rPr>
          <w:rFonts w:ascii="Times New Roman" w:hAnsi="Times New Roman" w:cs="Times New Roman"/>
          <w:i/>
          <w:sz w:val="24"/>
          <w:szCs w:val="24"/>
        </w:rPr>
        <w:t xml:space="preserve">Our cryptographic repositories ensure </w:t>
      </w:r>
      <w:r w:rsidRPr="00C82EE1">
        <w:rPr>
          <w:rFonts w:ascii="Times New Roman" w:hAnsi="Times New Roman" w:cs="Times New Roman"/>
          <w:i/>
          <w:sz w:val="24"/>
          <w:szCs w:val="24"/>
          <w:lang w:val="en-GB"/>
        </w:rPr>
        <w:t>impenetrable</w:t>
      </w:r>
      <w:r w:rsidRPr="00C82EE1">
        <w:rPr>
          <w:rFonts w:ascii="Times New Roman" w:hAnsi="Times New Roman" w:cs="Times New Roman"/>
          <w:i/>
          <w:sz w:val="24"/>
          <w:szCs w:val="24"/>
        </w:rPr>
        <w:t xml:space="preserve"> security and user accessibility</w:t>
      </w:r>
      <w:r w:rsidRPr="00C82EE1">
        <w:rPr>
          <w:rFonts w:ascii="Times New Roman" w:hAnsi="Times New Roman" w:cs="Times New Roman"/>
          <w:sz w:val="24"/>
          <w:szCs w:val="24"/>
        </w:rPr>
        <w:t xml:space="preserve">." While both convey the same basic message, the two sentences distinguish themselves by conveying different levels of lexical complexity (henceforth LC), with the second one using more lexically complex language, potentially making the project appear more innovative and reliable. However, whether this difference in LC influences investor behavior and decision-making remains to be understood. </w:t>
      </w:r>
    </w:p>
    <w:p w14:paraId="0255D69A" w14:textId="3AE15451" w:rsidR="008A6EB2" w:rsidRPr="00C82EE1" w:rsidRDefault="00481D5B" w:rsidP="00E24555">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This study introduces LC, a construct borrowed from linguistics, as a distinct and complementary </w:t>
      </w:r>
      <w:r w:rsidR="004C6F81" w:rsidRPr="00C82EE1">
        <w:rPr>
          <w:rFonts w:ascii="Times New Roman" w:hAnsi="Times New Roman" w:cs="Times New Roman"/>
          <w:sz w:val="24"/>
          <w:szCs w:val="24"/>
        </w:rPr>
        <w:t xml:space="preserve">measure </w:t>
      </w:r>
      <w:r w:rsidRPr="00C82EE1">
        <w:rPr>
          <w:rFonts w:ascii="Times New Roman" w:hAnsi="Times New Roman" w:cs="Times New Roman"/>
          <w:sz w:val="24"/>
          <w:szCs w:val="24"/>
        </w:rPr>
        <w:t xml:space="preserve">to other existing </w:t>
      </w:r>
      <w:r w:rsidR="004C6F81" w:rsidRPr="00C82EE1">
        <w:rPr>
          <w:rFonts w:ascii="Times New Roman" w:hAnsi="Times New Roman" w:cs="Times New Roman"/>
          <w:sz w:val="24"/>
          <w:szCs w:val="24"/>
        </w:rPr>
        <w:t xml:space="preserve">proxies </w:t>
      </w:r>
      <w:r w:rsidRPr="00C82EE1">
        <w:rPr>
          <w:rFonts w:ascii="Times New Roman" w:hAnsi="Times New Roman" w:cs="Times New Roman"/>
          <w:sz w:val="24"/>
          <w:szCs w:val="24"/>
        </w:rPr>
        <w:t>used to date in prior literature</w:t>
      </w:r>
      <w:r w:rsidR="004C6F81" w:rsidRPr="00C82EE1">
        <w:rPr>
          <w:rFonts w:ascii="Times New Roman" w:hAnsi="Times New Roman" w:cs="Times New Roman"/>
          <w:sz w:val="24"/>
          <w:szCs w:val="24"/>
        </w:rPr>
        <w:t xml:space="preserve">, such as </w:t>
      </w:r>
      <w:r w:rsidRPr="00C82EE1">
        <w:rPr>
          <w:rFonts w:ascii="Times New Roman" w:hAnsi="Times New Roman" w:cs="Times New Roman"/>
          <w:sz w:val="24"/>
          <w:szCs w:val="24"/>
        </w:rPr>
        <w:t xml:space="preserve">readability. LC measures the sophistication, density, and diversity of vocabulary in financial disclosures </w:t>
      </w:r>
      <w:r w:rsidR="000268A3" w:rsidRPr="00C82EE1">
        <w:rPr>
          <w:rFonts w:ascii="Times New Roman" w:hAnsi="Times New Roman" w:cs="Times New Roman"/>
          <w:sz w:val="24"/>
          <w:szCs w:val="24"/>
        </w:rPr>
        <w:t>(Lu, 2012; Read, 2000)</w:t>
      </w:r>
      <w:r w:rsidRPr="00C82EE1">
        <w:rPr>
          <w:rFonts w:ascii="Times New Roman" w:hAnsi="Times New Roman" w:cs="Times New Roman"/>
          <w:sz w:val="24"/>
          <w:szCs w:val="24"/>
        </w:rPr>
        <w:t>. We propose that higher LC serves as a credible signal of innovation and professionalism, ultimately reducing information asymmetry and enhancing investor confidence. This statement aligns with credible signaling theory</w:t>
      </w:r>
      <w:r w:rsidR="00693574" w:rsidRPr="00C82EE1">
        <w:rPr>
          <w:rFonts w:ascii="Times New Roman" w:hAnsi="Times New Roman" w:cs="Times New Roman"/>
          <w:sz w:val="24"/>
          <w:szCs w:val="24"/>
        </w:rPr>
        <w:t>, which</w:t>
      </w:r>
      <w:r w:rsidRPr="00C82EE1">
        <w:rPr>
          <w:rFonts w:ascii="Times New Roman" w:hAnsi="Times New Roman" w:cs="Times New Roman"/>
          <w:sz w:val="24"/>
          <w:szCs w:val="24"/>
        </w:rPr>
        <w:t xml:space="preserve"> </w:t>
      </w:r>
      <w:r w:rsidR="00693574" w:rsidRPr="00C82EE1">
        <w:rPr>
          <w:rFonts w:ascii="Times New Roman" w:hAnsi="Times New Roman" w:cs="Times New Roman"/>
          <w:sz w:val="24"/>
          <w:szCs w:val="24"/>
        </w:rPr>
        <w:t xml:space="preserve">posits </w:t>
      </w:r>
      <w:r w:rsidRPr="00C82EE1">
        <w:rPr>
          <w:rFonts w:ascii="Times New Roman" w:hAnsi="Times New Roman" w:cs="Times New Roman"/>
          <w:sz w:val="24"/>
          <w:szCs w:val="24"/>
        </w:rPr>
        <w:t xml:space="preserve">that high-quality firms differentiate themselves from lower-quality counterparts by offering observable signals that require effort and are not easily </w:t>
      </w:r>
      <w:r w:rsidR="008F39F6" w:rsidRPr="00C82EE1">
        <w:rPr>
          <w:rFonts w:ascii="Times New Roman" w:hAnsi="Times New Roman" w:cs="Times New Roman"/>
          <w:sz w:val="24"/>
          <w:szCs w:val="24"/>
        </w:rPr>
        <w:t>replicated</w:t>
      </w:r>
      <w:r w:rsidR="005462A3" w:rsidRPr="00C82EE1">
        <w:rPr>
          <w:rFonts w:ascii="Times New Roman" w:hAnsi="Times New Roman" w:cs="Times New Roman"/>
          <w:sz w:val="24"/>
          <w:szCs w:val="24"/>
        </w:rPr>
        <w:t xml:space="preserve"> (Connelly et al., 2011; </w:t>
      </w:r>
      <w:proofErr w:type="spellStart"/>
      <w:r w:rsidR="005462A3" w:rsidRPr="00C82EE1">
        <w:rPr>
          <w:rFonts w:ascii="Times New Roman" w:hAnsi="Times New Roman" w:cs="Times New Roman"/>
          <w:sz w:val="24"/>
          <w:szCs w:val="24"/>
        </w:rPr>
        <w:t>Osburg</w:t>
      </w:r>
      <w:proofErr w:type="spellEnd"/>
      <w:r w:rsidR="005462A3" w:rsidRPr="00C82EE1">
        <w:rPr>
          <w:rFonts w:ascii="Times New Roman" w:hAnsi="Times New Roman" w:cs="Times New Roman"/>
          <w:sz w:val="24"/>
          <w:szCs w:val="24"/>
        </w:rPr>
        <w:t xml:space="preserve"> et al., 2022; Spence, 1973)</w:t>
      </w:r>
      <w:r w:rsidRPr="00C82EE1">
        <w:rPr>
          <w:rFonts w:ascii="Times New Roman" w:hAnsi="Times New Roman" w:cs="Times New Roman"/>
          <w:sz w:val="24"/>
          <w:szCs w:val="24"/>
        </w:rPr>
        <w:t>, thereby impacting market dynamicity.</w:t>
      </w:r>
      <w:r w:rsidR="00C76A66" w:rsidRPr="00C82EE1">
        <w:rPr>
          <w:rFonts w:ascii="Times New Roman" w:hAnsi="Times New Roman" w:cs="Times New Roman"/>
          <w:sz w:val="24"/>
          <w:szCs w:val="24"/>
        </w:rPr>
        <w:t xml:space="preserve"> </w:t>
      </w:r>
    </w:p>
    <w:p w14:paraId="0412864D" w14:textId="725F74DE" w:rsidR="008A6EB2" w:rsidRPr="00C82EE1" w:rsidRDefault="000214C8" w:rsidP="00E24555">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Unlike traditional readability, which can be easily replicated by individuals with access to advanced language tools or a broad vocabulary, crafting a lexically complex yet coherent white paper typically demands expertise and consideration</w:t>
      </w:r>
      <w:r w:rsidR="005A1079">
        <w:rPr>
          <w:rFonts w:ascii="Times New Roman" w:hAnsi="Times New Roman" w:cs="Times New Roman"/>
          <w:sz w:val="24"/>
          <w:szCs w:val="24"/>
        </w:rPr>
        <w:t xml:space="preserve"> with superior linguistic knowledge</w:t>
      </w:r>
      <w:r w:rsidRPr="00C82EE1">
        <w:rPr>
          <w:rFonts w:ascii="Times New Roman" w:hAnsi="Times New Roman" w:cs="Times New Roman"/>
          <w:sz w:val="24"/>
          <w:szCs w:val="24"/>
        </w:rPr>
        <w:t xml:space="preserve">. </w:t>
      </w:r>
      <w:r w:rsidR="008A6EB2" w:rsidRPr="00C82EE1">
        <w:rPr>
          <w:rFonts w:ascii="Times New Roman" w:hAnsi="Times New Roman" w:cs="Times New Roman"/>
          <w:sz w:val="24"/>
          <w:szCs w:val="24"/>
        </w:rPr>
        <w:t xml:space="preserve">High-quality firms may </w:t>
      </w:r>
      <w:r w:rsidRPr="00C82EE1">
        <w:rPr>
          <w:rFonts w:ascii="Times New Roman" w:hAnsi="Times New Roman" w:cs="Times New Roman"/>
          <w:sz w:val="24"/>
          <w:szCs w:val="24"/>
        </w:rPr>
        <w:t xml:space="preserve">therefore </w:t>
      </w:r>
      <w:r w:rsidR="008A6EB2" w:rsidRPr="00C82EE1">
        <w:rPr>
          <w:rFonts w:ascii="Times New Roman" w:hAnsi="Times New Roman" w:cs="Times New Roman"/>
          <w:sz w:val="24"/>
          <w:szCs w:val="24"/>
        </w:rPr>
        <w:t>be more likely to produce sophisticated, well-crafted documents that reflect their deeper knowledge</w:t>
      </w:r>
      <w:r w:rsidRPr="00C82EE1">
        <w:rPr>
          <w:rFonts w:ascii="Times New Roman" w:hAnsi="Times New Roman" w:cs="Times New Roman"/>
          <w:sz w:val="24"/>
          <w:szCs w:val="24"/>
        </w:rPr>
        <w:t>, expertise and</w:t>
      </w:r>
      <w:r w:rsidR="008A6EB2" w:rsidRPr="00C82EE1">
        <w:rPr>
          <w:rFonts w:ascii="Times New Roman" w:hAnsi="Times New Roman" w:cs="Times New Roman"/>
          <w:sz w:val="24"/>
          <w:szCs w:val="24"/>
        </w:rPr>
        <w:t xml:space="preserve"> strategic thinking. In this sense, LC could serve as a signal of quality and help distinguish reputable ventures from less credible ones. On the other hand, excessive </w:t>
      </w:r>
      <w:r w:rsidR="005A1079">
        <w:rPr>
          <w:rFonts w:ascii="Times New Roman" w:hAnsi="Times New Roman" w:cs="Times New Roman"/>
          <w:sz w:val="24"/>
          <w:szCs w:val="24"/>
        </w:rPr>
        <w:t>LC</w:t>
      </w:r>
      <w:r w:rsidR="008A6EB2" w:rsidRPr="00C82EE1">
        <w:rPr>
          <w:rFonts w:ascii="Times New Roman" w:hAnsi="Times New Roman" w:cs="Times New Roman"/>
          <w:sz w:val="24"/>
          <w:szCs w:val="24"/>
        </w:rPr>
        <w:t xml:space="preserve"> </w:t>
      </w:r>
      <w:r w:rsidRPr="00C82EE1">
        <w:rPr>
          <w:rFonts w:ascii="Times New Roman" w:hAnsi="Times New Roman" w:cs="Times New Roman"/>
          <w:sz w:val="24"/>
          <w:szCs w:val="24"/>
        </w:rPr>
        <w:t xml:space="preserve">in financial communication </w:t>
      </w:r>
      <w:r w:rsidR="008A6EB2" w:rsidRPr="00C82EE1">
        <w:rPr>
          <w:rFonts w:ascii="Times New Roman" w:hAnsi="Times New Roman" w:cs="Times New Roman"/>
          <w:sz w:val="24"/>
          <w:szCs w:val="24"/>
        </w:rPr>
        <w:t>could also risk alienating potential investors, especially those who may not be familiar with highly technical or jargon-heavy language. Financial documents need to hit the right note in terms of LC. If the complexity makes the message harder to understand or reduces accessibility, it could backfire, undermining the document effectiveness as a signal.</w:t>
      </w:r>
    </w:p>
    <w:p w14:paraId="60DA93DA" w14:textId="6D84EC73" w:rsidR="00481D5B" w:rsidRPr="00C82EE1" w:rsidRDefault="00481D5B" w:rsidP="009F392D">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lang w:val="en-GB"/>
        </w:rPr>
        <w:lastRenderedPageBreak/>
        <w:t xml:space="preserve">To date, the literature mostly focuses on the construct of readability and its impact on investor </w:t>
      </w:r>
      <w:proofErr w:type="spellStart"/>
      <w:r w:rsidRPr="00534FD7">
        <w:rPr>
          <w:rFonts w:ascii="Times New Roman" w:hAnsi="Times New Roman" w:cs="Times New Roman"/>
          <w:sz w:val="24"/>
          <w:szCs w:val="24"/>
          <w:lang w:val="en-GB"/>
        </w:rPr>
        <w:t>behavior</w:t>
      </w:r>
      <w:proofErr w:type="spellEnd"/>
      <w:r w:rsidRPr="00C82EE1">
        <w:rPr>
          <w:rFonts w:ascii="Times New Roman" w:hAnsi="Times New Roman" w:cs="Times New Roman"/>
          <w:sz w:val="24"/>
          <w:szCs w:val="24"/>
          <w:lang w:val="en-GB"/>
        </w:rPr>
        <w:t xml:space="preserve">. However, readability alone does not capture the full extent of linguistic sophistication. In this study, </w:t>
      </w:r>
      <w:r w:rsidRPr="00C82EE1">
        <w:rPr>
          <w:rFonts w:ascii="Times New Roman" w:hAnsi="Times New Roman" w:cs="Times New Roman"/>
          <w:sz w:val="24"/>
          <w:szCs w:val="24"/>
        </w:rPr>
        <w:t>we emphasize that LC should not be confused with readability</w:t>
      </w:r>
      <w:r w:rsidR="005178FC" w:rsidRPr="00C82EE1">
        <w:rPr>
          <w:rFonts w:ascii="Times New Roman" w:hAnsi="Times New Roman" w:cs="Times New Roman"/>
          <w:sz w:val="24"/>
          <w:szCs w:val="24"/>
        </w:rPr>
        <w:t xml:space="preserve"> and present it as a novel construct for financial textual analysis</w:t>
      </w:r>
      <w:r w:rsidRPr="00C82EE1">
        <w:rPr>
          <w:rFonts w:ascii="Times New Roman" w:hAnsi="Times New Roman" w:cs="Times New Roman"/>
          <w:sz w:val="24"/>
          <w:szCs w:val="24"/>
        </w:rPr>
        <w:t xml:space="preserve">. </w:t>
      </w:r>
      <w:r w:rsidR="00144F7E" w:rsidRPr="00C82EE1">
        <w:rPr>
          <w:rFonts w:ascii="Times New Roman" w:hAnsi="Times New Roman" w:cs="Times New Roman"/>
          <w:sz w:val="24"/>
          <w:szCs w:val="24"/>
        </w:rPr>
        <w:t>Readability, which focuses on the ease with which a text can be understood, is an appealing and widely used measure of textual communicative efficiency, particularly in financial textual analysis.</w:t>
      </w:r>
      <w:r w:rsidR="00D25234">
        <w:rPr>
          <w:rFonts w:ascii="Times New Roman" w:hAnsi="Times New Roman" w:cs="Times New Roman"/>
          <w:sz w:val="24"/>
          <w:szCs w:val="24"/>
        </w:rPr>
        <w:t xml:space="preserve"> C</w:t>
      </w:r>
      <w:r w:rsidR="00144F7E" w:rsidRPr="00C82EE1">
        <w:rPr>
          <w:rFonts w:ascii="Times New Roman" w:hAnsi="Times New Roman" w:cs="Times New Roman"/>
          <w:sz w:val="24"/>
          <w:szCs w:val="24"/>
        </w:rPr>
        <w:t xml:space="preserve">ritics argue that readability may not fully capture the complexity of business texts, as it overlooks the quality and depth of vocabulary, which are crucial in professional financial communication </w:t>
      </w:r>
      <w:r w:rsidR="00E8574F" w:rsidRPr="00C82EE1">
        <w:rPr>
          <w:rFonts w:ascii="Times New Roman" w:hAnsi="Times New Roman" w:cs="Times New Roman"/>
          <w:sz w:val="24"/>
          <w:szCs w:val="24"/>
        </w:rPr>
        <w:t>(Li, 2008; Loughran &amp; McDonald, 2014a)</w:t>
      </w:r>
      <w:r w:rsidR="00144F7E" w:rsidRPr="00C82EE1">
        <w:rPr>
          <w:rFonts w:ascii="Times New Roman" w:hAnsi="Times New Roman" w:cs="Times New Roman"/>
          <w:sz w:val="24"/>
          <w:szCs w:val="24"/>
        </w:rPr>
        <w:t xml:space="preserve">. This paper addresses this gap by introducing </w:t>
      </w:r>
      <w:r w:rsidR="00561593" w:rsidRPr="00C82EE1">
        <w:rPr>
          <w:rFonts w:ascii="Times New Roman" w:hAnsi="Times New Roman" w:cs="Times New Roman"/>
          <w:sz w:val="24"/>
          <w:szCs w:val="24"/>
        </w:rPr>
        <w:t>LC</w:t>
      </w:r>
      <w:r w:rsidR="00144F7E" w:rsidRPr="00C82EE1">
        <w:rPr>
          <w:rFonts w:ascii="Times New Roman" w:hAnsi="Times New Roman" w:cs="Times New Roman"/>
          <w:sz w:val="24"/>
          <w:szCs w:val="24"/>
        </w:rPr>
        <w:t xml:space="preserve"> as a distinct yet complementary construct that evaluates vocabulary quality, measured by lexical density, sophistication, and variety </w:t>
      </w:r>
      <w:r w:rsidR="00E8574F" w:rsidRPr="00C82EE1">
        <w:rPr>
          <w:rFonts w:ascii="Times New Roman" w:hAnsi="Times New Roman" w:cs="Times New Roman"/>
          <w:sz w:val="24"/>
          <w:szCs w:val="24"/>
        </w:rPr>
        <w:t>(Lu, 2012)</w:t>
      </w:r>
      <w:r w:rsidR="00144F7E" w:rsidRPr="00C82EE1">
        <w:rPr>
          <w:rFonts w:ascii="Times New Roman" w:hAnsi="Times New Roman" w:cs="Times New Roman"/>
          <w:sz w:val="24"/>
          <w:szCs w:val="24"/>
        </w:rPr>
        <w:t xml:space="preserve">. While readability captures the accessibility of a text, LC focuses on the </w:t>
      </w:r>
      <w:r w:rsidR="00AB6250" w:rsidRPr="00C82EE1">
        <w:rPr>
          <w:rFonts w:ascii="Times New Roman" w:hAnsi="Times New Roman" w:cs="Times New Roman"/>
          <w:sz w:val="24"/>
          <w:szCs w:val="24"/>
        </w:rPr>
        <w:t>abundance</w:t>
      </w:r>
      <w:r w:rsidR="00144F7E" w:rsidRPr="00C82EE1">
        <w:rPr>
          <w:rFonts w:ascii="Times New Roman" w:hAnsi="Times New Roman" w:cs="Times New Roman"/>
          <w:sz w:val="24"/>
          <w:szCs w:val="24"/>
        </w:rPr>
        <w:t xml:space="preserve"> and sophistication of the language, offering a more nuanced perspective on language quality. By borrowing this concept from linguistics, we introduce it to entrepreneurial finance, highlighting the potential for interdisciplinary cross-fertilization between the two fields. LC thus complements readability by providing a deeper understanding of how language complexity signals expertise and quality in financial communication.</w:t>
      </w:r>
    </w:p>
    <w:p w14:paraId="3C670429" w14:textId="4C959930" w:rsidR="00481D5B" w:rsidRPr="00C82EE1" w:rsidRDefault="00481D5B" w:rsidP="009F392D">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lang w:val="en-GB"/>
        </w:rPr>
        <w:t>Several</w:t>
      </w:r>
      <w:r w:rsidRPr="00C82EE1">
        <w:rPr>
          <w:rFonts w:ascii="Times New Roman" w:hAnsi="Times New Roman" w:cs="Times New Roman"/>
          <w:sz w:val="24"/>
          <w:szCs w:val="24"/>
        </w:rPr>
        <w:t xml:space="preserve"> operationalizations of LC exist in linguistics (see, e.g., </w:t>
      </w:r>
      <w:r w:rsidR="0095734D" w:rsidRPr="00C82EE1">
        <w:rPr>
          <w:rFonts w:ascii="Times New Roman" w:hAnsi="Times New Roman" w:cs="Times New Roman"/>
          <w:sz w:val="24"/>
          <w:szCs w:val="24"/>
        </w:rPr>
        <w:t>Kyle et al., 2021)</w:t>
      </w:r>
      <w:r w:rsidRPr="00C82EE1">
        <w:rPr>
          <w:rFonts w:ascii="Times New Roman" w:hAnsi="Times New Roman" w:cs="Times New Roman"/>
          <w:sz w:val="24"/>
          <w:szCs w:val="24"/>
        </w:rPr>
        <w:t xml:space="preserve">. We adopt the LC framework developed by </w:t>
      </w:r>
      <w:r w:rsidR="0095734D" w:rsidRPr="00C82EE1">
        <w:rPr>
          <w:rFonts w:ascii="Times New Roman" w:hAnsi="Times New Roman" w:cs="Times New Roman"/>
          <w:sz w:val="24"/>
          <w:szCs w:val="24"/>
        </w:rPr>
        <w:t>Lu</w:t>
      </w:r>
      <w:r w:rsidR="00534FD7">
        <w:rPr>
          <w:rFonts w:ascii="Times New Roman" w:hAnsi="Times New Roman" w:cs="Times New Roman"/>
          <w:sz w:val="24"/>
          <w:szCs w:val="24"/>
        </w:rPr>
        <w:t xml:space="preserve"> (</w:t>
      </w:r>
      <w:r w:rsidR="0095734D" w:rsidRPr="00C82EE1">
        <w:rPr>
          <w:rFonts w:ascii="Times New Roman" w:hAnsi="Times New Roman" w:cs="Times New Roman"/>
          <w:sz w:val="24"/>
          <w:szCs w:val="24"/>
        </w:rPr>
        <w:t>2012)</w:t>
      </w:r>
      <w:r w:rsidRPr="00C82EE1">
        <w:rPr>
          <w:rFonts w:ascii="Times New Roman" w:hAnsi="Times New Roman" w:cs="Times New Roman"/>
          <w:sz w:val="24"/>
          <w:szCs w:val="24"/>
        </w:rPr>
        <w:t>, which distinguishes between three interrelated sub</w:t>
      </w:r>
      <w:r w:rsidR="00AF5A16">
        <w:rPr>
          <w:rFonts w:ascii="Times New Roman" w:hAnsi="Times New Roman" w:cs="Times New Roman"/>
          <w:sz w:val="24"/>
          <w:szCs w:val="24"/>
        </w:rPr>
        <w:t>-</w:t>
      </w:r>
      <w:r w:rsidRPr="00C82EE1">
        <w:rPr>
          <w:rFonts w:ascii="Times New Roman" w:hAnsi="Times New Roman" w:cs="Times New Roman"/>
          <w:sz w:val="24"/>
          <w:szCs w:val="24"/>
        </w:rPr>
        <w:t xml:space="preserve">constructs: lexical density, lexical sophistication, and lexical diversity. Lexical density refers to the ratio of lexical words (i.e., content words such as verbs, nouns, adjectives, and adverbs) to the total number of words in a text. Lexical sophistication targets the proportion of rare, unusual, or advanced words in a text, specifically those not among the 2000 most frequent words in English as listed in the British National Corpus </w:t>
      </w:r>
      <w:r w:rsidR="0095734D" w:rsidRPr="00C82EE1">
        <w:rPr>
          <w:rFonts w:ascii="Times New Roman" w:hAnsi="Times New Roman" w:cs="Times New Roman"/>
          <w:sz w:val="24"/>
          <w:szCs w:val="24"/>
        </w:rPr>
        <w:t>(</w:t>
      </w:r>
      <w:r w:rsidR="005462A3" w:rsidRPr="00C82EE1">
        <w:rPr>
          <w:rFonts w:ascii="Times New Roman" w:hAnsi="Times New Roman" w:cs="Times New Roman"/>
          <w:sz w:val="24"/>
          <w:szCs w:val="24"/>
        </w:rPr>
        <w:t xml:space="preserve">BNC </w:t>
      </w:r>
      <w:r w:rsidR="0095734D" w:rsidRPr="00C82EE1">
        <w:rPr>
          <w:rFonts w:ascii="Times New Roman" w:hAnsi="Times New Roman" w:cs="Times New Roman"/>
          <w:sz w:val="24"/>
          <w:szCs w:val="24"/>
        </w:rPr>
        <w:t>Consortium, 2007</w:t>
      </w:r>
      <w:r w:rsidRPr="00C82EE1">
        <w:rPr>
          <w:rFonts w:ascii="Times New Roman" w:hAnsi="Times New Roman" w:cs="Times New Roman"/>
          <w:sz w:val="24"/>
          <w:szCs w:val="24"/>
        </w:rPr>
        <w:t xml:space="preserve">; </w:t>
      </w:r>
      <w:proofErr w:type="spellStart"/>
      <w:r w:rsidR="0095734D" w:rsidRPr="00C82EE1">
        <w:rPr>
          <w:rFonts w:ascii="Times New Roman" w:hAnsi="Times New Roman" w:cs="Times New Roman"/>
          <w:sz w:val="24"/>
          <w:szCs w:val="24"/>
        </w:rPr>
        <w:t>Rayson</w:t>
      </w:r>
      <w:proofErr w:type="spellEnd"/>
      <w:r w:rsidR="0095734D" w:rsidRPr="00C82EE1">
        <w:rPr>
          <w:rFonts w:ascii="Times New Roman" w:hAnsi="Times New Roman" w:cs="Times New Roman"/>
          <w:sz w:val="24"/>
          <w:szCs w:val="24"/>
        </w:rPr>
        <w:t xml:space="preserve"> et al., 2002)</w:t>
      </w:r>
      <w:r w:rsidRPr="00C82EE1">
        <w:rPr>
          <w:rFonts w:ascii="Times New Roman" w:hAnsi="Times New Roman" w:cs="Times New Roman"/>
          <w:sz w:val="24"/>
          <w:szCs w:val="24"/>
        </w:rPr>
        <w:t>. Lexical diversity refers to the range of vocabulary displayed in a text. We define our proxy for LC by aggregating these three components through Principal Component Analysis (PCA) and examine whether this proxy of LC influences the amount raised during Initial Coin Offering (ICO) campaigns, and if so, what underlying mechanisms explain this relationship and under which conditions.</w:t>
      </w:r>
    </w:p>
    <w:p w14:paraId="57177D4C" w14:textId="3201B78B" w:rsidR="00481D5B" w:rsidRPr="00C82EE1" w:rsidRDefault="00481D5B" w:rsidP="009F392D">
      <w:pPr>
        <w:spacing w:after="120" w:line="360" w:lineRule="auto"/>
        <w:ind w:firstLine="340"/>
        <w:jc w:val="both"/>
        <w:rPr>
          <w:rFonts w:ascii="Times New Roman" w:eastAsia="Times New Roman" w:hAnsi="Times New Roman" w:cs="Times New Roman"/>
          <w:sz w:val="24"/>
          <w:szCs w:val="24"/>
        </w:rPr>
      </w:pPr>
      <w:r w:rsidRPr="00C82EE1">
        <w:rPr>
          <w:rFonts w:ascii="Times New Roman" w:eastAsia="Times New Roman" w:hAnsi="Times New Roman" w:cs="Times New Roman"/>
          <w:sz w:val="24"/>
          <w:szCs w:val="24"/>
        </w:rPr>
        <w:t>The ICO market offers a unique context for exploring the influence of LC. ICOs have become a favored fundraising method for startups, allowing them to secure capital by issuing crypto-tokens directly to investors</w:t>
      </w:r>
      <w:r w:rsidR="0095734D" w:rsidRPr="00C82EE1">
        <w:rPr>
          <w:rFonts w:ascii="Times New Roman" w:eastAsia="Times New Roman" w:hAnsi="Times New Roman" w:cs="Times New Roman"/>
          <w:sz w:val="24"/>
          <w:szCs w:val="24"/>
        </w:rPr>
        <w:t xml:space="preserve"> </w:t>
      </w:r>
      <w:r w:rsidR="00D237B0" w:rsidRPr="0055278B">
        <w:rPr>
          <w:rFonts w:ascii="Times New Roman" w:hAnsi="Times New Roman" w:cs="Times New Roman"/>
          <w:sz w:val="24"/>
          <w:szCs w:val="24"/>
        </w:rPr>
        <w:t xml:space="preserve">(Colombo et al., 2022; Fuchs &amp; </w:t>
      </w:r>
      <w:proofErr w:type="spellStart"/>
      <w:r w:rsidR="00D237B0" w:rsidRPr="0055278B">
        <w:rPr>
          <w:rFonts w:ascii="Times New Roman" w:hAnsi="Times New Roman" w:cs="Times New Roman"/>
          <w:sz w:val="24"/>
          <w:szCs w:val="24"/>
        </w:rPr>
        <w:t>Momtaz</w:t>
      </w:r>
      <w:proofErr w:type="spellEnd"/>
      <w:r w:rsidR="00D237B0" w:rsidRPr="0055278B">
        <w:rPr>
          <w:rFonts w:ascii="Times New Roman" w:hAnsi="Times New Roman" w:cs="Times New Roman"/>
          <w:sz w:val="24"/>
          <w:szCs w:val="24"/>
        </w:rPr>
        <w:t>, 2025)</w:t>
      </w:r>
      <w:r w:rsidR="005462A3" w:rsidRPr="0055278B">
        <w:rPr>
          <w:rFonts w:ascii="Times New Roman" w:eastAsia="Times New Roman" w:hAnsi="Times New Roman" w:cs="Times New Roman"/>
          <w:sz w:val="24"/>
          <w:szCs w:val="24"/>
        </w:rPr>
        <w:t>.</w:t>
      </w:r>
      <w:r w:rsidRPr="0055278B">
        <w:rPr>
          <w:rFonts w:ascii="Times New Roman" w:eastAsia="Times New Roman" w:hAnsi="Times New Roman" w:cs="Times New Roman"/>
          <w:sz w:val="24"/>
          <w:szCs w:val="24"/>
        </w:rPr>
        <w:t xml:space="preserve"> </w:t>
      </w:r>
      <w:r w:rsidRPr="00C82EE1">
        <w:rPr>
          <w:rFonts w:ascii="Times New Roman" w:eastAsia="Times New Roman" w:hAnsi="Times New Roman" w:cs="Times New Roman"/>
          <w:sz w:val="24"/>
          <w:szCs w:val="24"/>
        </w:rPr>
        <w:t xml:space="preserve">Although ICO activity has declined since its 2018 peak </w:t>
      </w:r>
      <w:r w:rsidR="0095734D" w:rsidRPr="00C82EE1">
        <w:rPr>
          <w:rFonts w:ascii="Times New Roman" w:hAnsi="Times New Roman" w:cs="Times New Roman"/>
          <w:sz w:val="24"/>
          <w:szCs w:val="24"/>
        </w:rPr>
        <w:t>(</w:t>
      </w:r>
      <w:proofErr w:type="spellStart"/>
      <w:r w:rsidR="0095734D" w:rsidRPr="00C82EE1">
        <w:rPr>
          <w:rFonts w:ascii="Times New Roman" w:hAnsi="Times New Roman" w:cs="Times New Roman"/>
          <w:sz w:val="24"/>
          <w:szCs w:val="24"/>
        </w:rPr>
        <w:t>Andrieu</w:t>
      </w:r>
      <w:proofErr w:type="spellEnd"/>
      <w:r w:rsidR="0095734D" w:rsidRPr="00C82EE1">
        <w:rPr>
          <w:rFonts w:ascii="Times New Roman" w:hAnsi="Times New Roman" w:cs="Times New Roman"/>
          <w:sz w:val="24"/>
          <w:szCs w:val="24"/>
        </w:rPr>
        <w:t xml:space="preserve"> &amp; </w:t>
      </w:r>
      <w:proofErr w:type="spellStart"/>
      <w:r w:rsidR="0095734D" w:rsidRPr="00C82EE1">
        <w:rPr>
          <w:rFonts w:ascii="Times New Roman" w:hAnsi="Times New Roman" w:cs="Times New Roman"/>
          <w:sz w:val="24"/>
          <w:szCs w:val="24"/>
        </w:rPr>
        <w:t>Sannajust</w:t>
      </w:r>
      <w:proofErr w:type="spellEnd"/>
      <w:r w:rsidR="0095734D" w:rsidRPr="00C82EE1">
        <w:rPr>
          <w:rFonts w:ascii="Times New Roman" w:hAnsi="Times New Roman" w:cs="Times New Roman"/>
          <w:sz w:val="24"/>
          <w:szCs w:val="24"/>
        </w:rPr>
        <w:t xml:space="preserve">, 2023; </w:t>
      </w:r>
      <w:proofErr w:type="spellStart"/>
      <w:r w:rsidR="0095734D" w:rsidRPr="00C82EE1">
        <w:rPr>
          <w:rFonts w:ascii="Times New Roman" w:hAnsi="Times New Roman" w:cs="Times New Roman"/>
          <w:sz w:val="24"/>
          <w:szCs w:val="24"/>
        </w:rPr>
        <w:t>Drobetz</w:t>
      </w:r>
      <w:proofErr w:type="spellEnd"/>
      <w:r w:rsidR="0095734D" w:rsidRPr="00C82EE1">
        <w:rPr>
          <w:rFonts w:ascii="Times New Roman" w:hAnsi="Times New Roman" w:cs="Times New Roman"/>
          <w:sz w:val="24"/>
          <w:szCs w:val="24"/>
        </w:rPr>
        <w:t xml:space="preserve"> et al., 2025)</w:t>
      </w:r>
      <w:r w:rsidRPr="00C82EE1">
        <w:rPr>
          <w:rFonts w:ascii="Times New Roman" w:eastAsia="Times New Roman" w:hAnsi="Times New Roman" w:cs="Times New Roman"/>
          <w:sz w:val="24"/>
          <w:szCs w:val="24"/>
        </w:rPr>
        <w:t xml:space="preserve">, research on ICOs remains </w:t>
      </w:r>
      <w:r w:rsidRPr="00534FD7">
        <w:rPr>
          <w:rFonts w:ascii="Times New Roman" w:eastAsia="Times New Roman" w:hAnsi="Times New Roman" w:cs="Times New Roman"/>
          <w:sz w:val="24"/>
          <w:szCs w:val="24"/>
        </w:rPr>
        <w:t>strong</w:t>
      </w:r>
      <w:r w:rsidRPr="00C82EE1">
        <w:rPr>
          <w:rFonts w:ascii="Times New Roman" w:eastAsia="Times New Roman" w:hAnsi="Times New Roman" w:cs="Times New Roman"/>
          <w:sz w:val="24"/>
          <w:szCs w:val="24"/>
        </w:rPr>
        <w:t xml:space="preserve"> thanks to the high levels of information asymmetry stemming </w:t>
      </w:r>
      <w:r w:rsidRPr="00C82EE1">
        <w:rPr>
          <w:rFonts w:ascii="Times New Roman" w:eastAsia="Times New Roman" w:hAnsi="Times New Roman" w:cs="Times New Roman"/>
          <w:sz w:val="24"/>
          <w:szCs w:val="24"/>
        </w:rPr>
        <w:lastRenderedPageBreak/>
        <w:t xml:space="preserve">from their unregulated nature and the opacity of their white paper. White papers are the main source of information for ICOs; </w:t>
      </w:r>
      <w:proofErr w:type="gramStart"/>
      <w:r w:rsidRPr="00C82EE1">
        <w:rPr>
          <w:rFonts w:ascii="Times New Roman" w:eastAsia="Times New Roman" w:hAnsi="Times New Roman" w:cs="Times New Roman"/>
          <w:sz w:val="24"/>
          <w:szCs w:val="24"/>
        </w:rPr>
        <w:t>however</w:t>
      </w:r>
      <w:proofErr w:type="gramEnd"/>
      <w:r w:rsidRPr="00C82EE1">
        <w:rPr>
          <w:rFonts w:ascii="Times New Roman" w:eastAsia="Times New Roman" w:hAnsi="Times New Roman" w:cs="Times New Roman"/>
          <w:sz w:val="24"/>
          <w:szCs w:val="24"/>
        </w:rPr>
        <w:t xml:space="preserve"> they often contain exaggerated claims </w:t>
      </w:r>
      <w:r w:rsidR="005462A3" w:rsidRPr="002C79E6">
        <w:rPr>
          <w:rFonts w:ascii="Times New Roman" w:hAnsi="Times New Roman" w:cs="Times New Roman"/>
          <w:sz w:val="24"/>
          <w:szCs w:val="24"/>
        </w:rPr>
        <w:t>(</w:t>
      </w:r>
      <w:proofErr w:type="spellStart"/>
      <w:r w:rsidR="005462A3" w:rsidRPr="002C79E6">
        <w:rPr>
          <w:rFonts w:ascii="Times New Roman" w:hAnsi="Times New Roman" w:cs="Times New Roman"/>
          <w:sz w:val="24"/>
          <w:szCs w:val="24"/>
        </w:rPr>
        <w:t>Momtaz</w:t>
      </w:r>
      <w:proofErr w:type="spellEnd"/>
      <w:r w:rsidR="005462A3" w:rsidRPr="002C79E6">
        <w:rPr>
          <w:rFonts w:ascii="Times New Roman" w:hAnsi="Times New Roman" w:cs="Times New Roman"/>
          <w:sz w:val="24"/>
          <w:szCs w:val="24"/>
        </w:rPr>
        <w:t>, 2021b)</w:t>
      </w:r>
      <w:r w:rsidRPr="002C79E6">
        <w:rPr>
          <w:rFonts w:ascii="Times New Roman" w:eastAsia="Times New Roman" w:hAnsi="Times New Roman" w:cs="Times New Roman"/>
          <w:sz w:val="24"/>
          <w:szCs w:val="24"/>
        </w:rPr>
        <w:t xml:space="preserve">, vague information </w:t>
      </w:r>
      <w:r w:rsidR="005462A3" w:rsidRPr="002C79E6">
        <w:rPr>
          <w:rFonts w:ascii="Times New Roman" w:hAnsi="Times New Roman" w:cs="Times New Roman"/>
          <w:sz w:val="24"/>
          <w:szCs w:val="24"/>
        </w:rPr>
        <w:t>(</w:t>
      </w:r>
      <w:proofErr w:type="spellStart"/>
      <w:r w:rsidR="005462A3" w:rsidRPr="002C79E6">
        <w:rPr>
          <w:rFonts w:ascii="Times New Roman" w:hAnsi="Times New Roman" w:cs="Times New Roman"/>
          <w:sz w:val="24"/>
          <w:szCs w:val="24"/>
        </w:rPr>
        <w:t>Florysiak</w:t>
      </w:r>
      <w:proofErr w:type="spellEnd"/>
      <w:r w:rsidR="005462A3" w:rsidRPr="002C79E6">
        <w:rPr>
          <w:rFonts w:ascii="Times New Roman" w:hAnsi="Times New Roman" w:cs="Times New Roman"/>
          <w:sz w:val="24"/>
          <w:szCs w:val="24"/>
        </w:rPr>
        <w:t xml:space="preserve"> &amp; </w:t>
      </w:r>
      <w:proofErr w:type="spellStart"/>
      <w:r w:rsidR="005462A3" w:rsidRPr="002C79E6">
        <w:rPr>
          <w:rFonts w:ascii="Times New Roman" w:hAnsi="Times New Roman" w:cs="Times New Roman"/>
          <w:sz w:val="24"/>
          <w:szCs w:val="24"/>
        </w:rPr>
        <w:t>Schandlbauer</w:t>
      </w:r>
      <w:proofErr w:type="spellEnd"/>
      <w:r w:rsidR="005462A3" w:rsidRPr="002C79E6">
        <w:rPr>
          <w:rFonts w:ascii="Times New Roman" w:hAnsi="Times New Roman" w:cs="Times New Roman"/>
          <w:sz w:val="24"/>
          <w:szCs w:val="24"/>
        </w:rPr>
        <w:t>, 2022)</w:t>
      </w:r>
      <w:r w:rsidRPr="002C79E6">
        <w:rPr>
          <w:rFonts w:ascii="Times New Roman" w:eastAsia="Times New Roman" w:hAnsi="Times New Roman" w:cs="Times New Roman"/>
          <w:sz w:val="24"/>
          <w:szCs w:val="24"/>
        </w:rPr>
        <w:t xml:space="preserve">, and linguistic </w:t>
      </w:r>
      <w:r w:rsidR="00C406C0" w:rsidRPr="002C79E6">
        <w:rPr>
          <w:rFonts w:ascii="Times New Roman" w:eastAsia="Times New Roman" w:hAnsi="Times New Roman" w:cs="Times New Roman"/>
          <w:sz w:val="24"/>
          <w:szCs w:val="24"/>
        </w:rPr>
        <w:t>errors</w:t>
      </w:r>
      <w:r w:rsidRPr="002C79E6">
        <w:rPr>
          <w:rFonts w:ascii="Times New Roman" w:eastAsia="Times New Roman" w:hAnsi="Times New Roman" w:cs="Times New Roman"/>
          <w:sz w:val="24"/>
          <w:szCs w:val="24"/>
        </w:rPr>
        <w:t xml:space="preserve"> </w:t>
      </w:r>
      <w:r w:rsidR="00D237B0" w:rsidRPr="002C79E6">
        <w:rPr>
          <w:rFonts w:ascii="Times New Roman" w:hAnsi="Times New Roman" w:cs="Times New Roman"/>
          <w:sz w:val="24"/>
          <w:szCs w:val="24"/>
        </w:rPr>
        <w:t>(Thewissen</w:t>
      </w:r>
      <w:r w:rsidR="00C751CE" w:rsidRPr="002C79E6">
        <w:rPr>
          <w:rFonts w:ascii="Times New Roman" w:hAnsi="Times New Roman" w:cs="Times New Roman"/>
          <w:sz w:val="24"/>
          <w:szCs w:val="24"/>
        </w:rPr>
        <w:t xml:space="preserve"> </w:t>
      </w:r>
      <w:r w:rsidR="00D237B0" w:rsidRPr="002C79E6">
        <w:rPr>
          <w:rFonts w:ascii="Times New Roman" w:hAnsi="Times New Roman" w:cs="Times New Roman"/>
          <w:sz w:val="24"/>
          <w:szCs w:val="24"/>
        </w:rPr>
        <w:t>et al., 2022)</w:t>
      </w:r>
      <w:r w:rsidRPr="002C79E6">
        <w:rPr>
          <w:rFonts w:ascii="Times New Roman" w:eastAsia="Times New Roman" w:hAnsi="Times New Roman" w:cs="Times New Roman"/>
          <w:sz w:val="24"/>
          <w:szCs w:val="24"/>
        </w:rPr>
        <w:t xml:space="preserve">, eroding investor confidence </w:t>
      </w:r>
      <w:r w:rsidR="005462A3" w:rsidRPr="00C82EE1">
        <w:rPr>
          <w:rFonts w:ascii="Times New Roman" w:hAnsi="Times New Roman" w:cs="Times New Roman"/>
          <w:sz w:val="24"/>
          <w:szCs w:val="24"/>
        </w:rPr>
        <w:t>(</w:t>
      </w:r>
      <w:proofErr w:type="spellStart"/>
      <w:r w:rsidR="005462A3" w:rsidRPr="00C82EE1">
        <w:rPr>
          <w:rFonts w:ascii="Times New Roman" w:hAnsi="Times New Roman" w:cs="Times New Roman"/>
          <w:sz w:val="24"/>
          <w:szCs w:val="24"/>
        </w:rPr>
        <w:t>Florysiak</w:t>
      </w:r>
      <w:proofErr w:type="spellEnd"/>
      <w:r w:rsidR="005462A3" w:rsidRPr="00C82EE1">
        <w:rPr>
          <w:rFonts w:ascii="Times New Roman" w:hAnsi="Times New Roman" w:cs="Times New Roman"/>
          <w:sz w:val="24"/>
          <w:szCs w:val="24"/>
        </w:rPr>
        <w:t xml:space="preserve"> &amp; </w:t>
      </w:r>
      <w:proofErr w:type="spellStart"/>
      <w:r w:rsidR="005462A3" w:rsidRPr="00C82EE1">
        <w:rPr>
          <w:rFonts w:ascii="Times New Roman" w:hAnsi="Times New Roman" w:cs="Times New Roman"/>
          <w:sz w:val="24"/>
          <w:szCs w:val="24"/>
        </w:rPr>
        <w:t>Schandlbauer</w:t>
      </w:r>
      <w:proofErr w:type="spellEnd"/>
      <w:r w:rsidR="005462A3" w:rsidRPr="00C82EE1">
        <w:rPr>
          <w:rFonts w:ascii="Times New Roman" w:hAnsi="Times New Roman" w:cs="Times New Roman"/>
          <w:sz w:val="24"/>
          <w:szCs w:val="24"/>
        </w:rPr>
        <w:t xml:space="preserve">, 2022; </w:t>
      </w:r>
      <w:proofErr w:type="spellStart"/>
      <w:r w:rsidR="005462A3" w:rsidRPr="00C82EE1">
        <w:rPr>
          <w:rFonts w:ascii="Times New Roman" w:hAnsi="Times New Roman" w:cs="Times New Roman"/>
          <w:sz w:val="24"/>
          <w:szCs w:val="24"/>
        </w:rPr>
        <w:t>Momtaz</w:t>
      </w:r>
      <w:proofErr w:type="spellEnd"/>
      <w:r w:rsidR="005462A3" w:rsidRPr="00C82EE1">
        <w:rPr>
          <w:rFonts w:ascii="Times New Roman" w:hAnsi="Times New Roman" w:cs="Times New Roman"/>
          <w:sz w:val="24"/>
          <w:szCs w:val="24"/>
        </w:rPr>
        <w:t>, 2021c)</w:t>
      </w:r>
      <w:r w:rsidRPr="00C82EE1">
        <w:rPr>
          <w:rFonts w:ascii="Times New Roman" w:eastAsia="Times New Roman" w:hAnsi="Times New Roman" w:cs="Times New Roman"/>
          <w:sz w:val="24"/>
          <w:szCs w:val="24"/>
        </w:rPr>
        <w:t xml:space="preserve"> and thus financial gains. Furthermore, the diverse backgrounds and varying English proficiency of ICO investors </w:t>
      </w:r>
      <w:r w:rsidR="00D237B0" w:rsidRPr="00C82EE1">
        <w:rPr>
          <w:rFonts w:ascii="Times New Roman" w:hAnsi="Times New Roman" w:cs="Times New Roman"/>
          <w:sz w:val="24"/>
          <w:szCs w:val="24"/>
        </w:rPr>
        <w:t>(Fisch et al., 2021; Thewissen et al., 2022)</w:t>
      </w:r>
      <w:r w:rsidRPr="00C82EE1">
        <w:rPr>
          <w:rFonts w:ascii="Times New Roman" w:eastAsia="Times New Roman" w:hAnsi="Times New Roman" w:cs="Times New Roman"/>
          <w:sz w:val="24"/>
          <w:szCs w:val="24"/>
        </w:rPr>
        <w:t xml:space="preserve"> exacerbate communication barriers. Given this backdrop of high information asymmetry and limited disclosure quality, studying how LC influences the amount raised during ICO fundraising campaigns offers a novel perspective on financial communication and investor decision-making.</w:t>
      </w:r>
    </w:p>
    <w:p w14:paraId="6D68C732" w14:textId="57125720" w:rsidR="00D25234" w:rsidRDefault="00481D5B" w:rsidP="00D25234">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Analyzing a sample of 1,202 ICOs conducted between 2015 and 2021 and control</w:t>
      </w:r>
      <w:r w:rsidR="00C406C0">
        <w:rPr>
          <w:rFonts w:ascii="Times New Roman" w:hAnsi="Times New Roman" w:cs="Times New Roman"/>
          <w:sz w:val="24"/>
          <w:szCs w:val="24"/>
        </w:rPr>
        <w:t>l</w:t>
      </w:r>
      <w:r w:rsidRPr="00C82EE1">
        <w:rPr>
          <w:rFonts w:ascii="Times New Roman" w:hAnsi="Times New Roman" w:cs="Times New Roman"/>
          <w:sz w:val="24"/>
          <w:szCs w:val="24"/>
        </w:rPr>
        <w:t xml:space="preserve">ing for other linguistic aspects of white papers, </w:t>
      </w:r>
      <w:r w:rsidR="00890E99" w:rsidRPr="00C82EE1">
        <w:rPr>
          <w:rFonts w:ascii="Times New Roman" w:hAnsi="Times New Roman" w:cs="Times New Roman"/>
          <w:sz w:val="24"/>
          <w:szCs w:val="24"/>
        </w:rPr>
        <w:t>in particular</w:t>
      </w:r>
      <w:r w:rsidRPr="00C82EE1">
        <w:rPr>
          <w:rFonts w:ascii="Times New Roman" w:hAnsi="Times New Roman" w:cs="Times New Roman"/>
          <w:sz w:val="24"/>
          <w:szCs w:val="24"/>
        </w:rPr>
        <w:t xml:space="preserve"> readability and sentiment, along with ICO-specific characteristics, regional</w:t>
      </w:r>
      <w:r w:rsidRPr="00C82EE1">
        <w:rPr>
          <w:rFonts w:ascii="Times New Roman" w:hAnsi="Times New Roman" w:cs="Times New Roman"/>
          <w:sz w:val="24"/>
          <w:szCs w:val="24"/>
          <w:lang w:val="en-GB"/>
        </w:rPr>
        <w:t xml:space="preserve"> factors, and year-quarter and industry fixed effects, we find a significant positive relationship between </w:t>
      </w:r>
      <w:r w:rsidRPr="00C82EE1">
        <w:rPr>
          <w:rFonts w:ascii="Times New Roman" w:hAnsi="Times New Roman" w:cs="Times New Roman"/>
          <w:sz w:val="24"/>
          <w:szCs w:val="24"/>
        </w:rPr>
        <w:t xml:space="preserve">the level of LC in white papers and the amount raised in dollars during ICOs. </w:t>
      </w:r>
      <w:r w:rsidRPr="00C82EE1">
        <w:rPr>
          <w:rFonts w:ascii="Times New Roman" w:hAnsi="Times New Roman" w:cs="Times New Roman"/>
          <w:sz w:val="24"/>
          <w:szCs w:val="24"/>
          <w:lang w:val="en-GB"/>
        </w:rPr>
        <w:t>Specifically, higher LC, characterized by denser, more sophisticated and varied vocabulary, is associated with a substantial increase in the funds raised</w:t>
      </w:r>
      <w:r w:rsidRPr="00C82EE1">
        <w:rPr>
          <w:rFonts w:ascii="Times New Roman" w:hAnsi="Times New Roman" w:cs="Times New Roman"/>
          <w:sz w:val="24"/>
          <w:szCs w:val="24"/>
        </w:rPr>
        <w:t xml:space="preserve"> during the ICO. Economically, a one-standard-deviation increase in the total level of LC is associated with a 1.2% rise in the absolute dollar value of ICO funding at the sample mean, equivalent to an increase of $104,558. Similarly, each LC sub</w:t>
      </w:r>
      <w:r w:rsidR="00AF5A16">
        <w:rPr>
          <w:rFonts w:ascii="Times New Roman" w:hAnsi="Times New Roman" w:cs="Times New Roman"/>
          <w:sz w:val="24"/>
          <w:szCs w:val="24"/>
        </w:rPr>
        <w:t>-</w:t>
      </w:r>
      <w:r w:rsidRPr="00C82EE1">
        <w:rPr>
          <w:rFonts w:ascii="Times New Roman" w:hAnsi="Times New Roman" w:cs="Times New Roman"/>
          <w:sz w:val="24"/>
          <w:szCs w:val="24"/>
        </w:rPr>
        <w:t>construct contributes to the absolute funding raised as follows:</w:t>
      </w:r>
      <w:r w:rsidR="0006033F" w:rsidRPr="00C82EE1">
        <w:rPr>
          <w:rFonts w:ascii="Times New Roman" w:hAnsi="Times New Roman" w:cs="Times New Roman"/>
          <w:sz w:val="24"/>
          <w:szCs w:val="24"/>
        </w:rPr>
        <w:t xml:space="preserve"> lexical density by 0.97% ($84,350)</w:t>
      </w:r>
      <w:r w:rsidRPr="00C82EE1">
        <w:rPr>
          <w:rFonts w:ascii="Times New Roman" w:hAnsi="Times New Roman" w:cs="Times New Roman"/>
          <w:sz w:val="24"/>
          <w:szCs w:val="24"/>
        </w:rPr>
        <w:t>, lexical sophistication by 1.8</w:t>
      </w:r>
      <w:r w:rsidR="0006033F" w:rsidRPr="00C82EE1">
        <w:rPr>
          <w:rFonts w:ascii="Times New Roman" w:hAnsi="Times New Roman" w:cs="Times New Roman"/>
          <w:sz w:val="24"/>
          <w:szCs w:val="24"/>
        </w:rPr>
        <w:t>1</w:t>
      </w:r>
      <w:r w:rsidRPr="00C82EE1">
        <w:rPr>
          <w:rFonts w:ascii="Times New Roman" w:hAnsi="Times New Roman" w:cs="Times New Roman"/>
          <w:sz w:val="24"/>
          <w:szCs w:val="24"/>
        </w:rPr>
        <w:t>% ($15</w:t>
      </w:r>
      <w:r w:rsidR="0006033F" w:rsidRPr="00C82EE1">
        <w:rPr>
          <w:rFonts w:ascii="Times New Roman" w:hAnsi="Times New Roman" w:cs="Times New Roman"/>
          <w:sz w:val="24"/>
          <w:szCs w:val="24"/>
        </w:rPr>
        <w:t>8</w:t>
      </w:r>
      <w:r w:rsidRPr="00C82EE1">
        <w:rPr>
          <w:rFonts w:ascii="Times New Roman" w:hAnsi="Times New Roman" w:cs="Times New Roman"/>
          <w:sz w:val="24"/>
          <w:szCs w:val="24"/>
        </w:rPr>
        <w:t>,</w:t>
      </w:r>
      <w:r w:rsidR="0006033F" w:rsidRPr="00C82EE1">
        <w:rPr>
          <w:rFonts w:ascii="Times New Roman" w:hAnsi="Times New Roman" w:cs="Times New Roman"/>
          <w:sz w:val="24"/>
          <w:szCs w:val="24"/>
        </w:rPr>
        <w:t>016)</w:t>
      </w:r>
      <w:r w:rsidRPr="00C82EE1">
        <w:rPr>
          <w:rFonts w:ascii="Times New Roman" w:hAnsi="Times New Roman" w:cs="Times New Roman"/>
          <w:sz w:val="24"/>
          <w:szCs w:val="24"/>
        </w:rPr>
        <w:t xml:space="preserve">, and </w:t>
      </w:r>
      <w:r w:rsidR="0006033F" w:rsidRPr="00C82EE1">
        <w:rPr>
          <w:rFonts w:ascii="Times New Roman" w:hAnsi="Times New Roman" w:cs="Times New Roman"/>
          <w:sz w:val="24"/>
          <w:szCs w:val="24"/>
        </w:rPr>
        <w:t xml:space="preserve">lexical diversity by 1.12% ($97,555). </w:t>
      </w:r>
      <w:r w:rsidR="00E1156B" w:rsidRPr="00C82EE1">
        <w:rPr>
          <w:rFonts w:ascii="Times New Roman" w:hAnsi="Times New Roman" w:cs="Times New Roman"/>
          <w:sz w:val="24"/>
          <w:szCs w:val="24"/>
        </w:rPr>
        <w:t>These findings are robust and consistent across various alternative dependent variable measures, including post-funding ICO performance, survival rates, ICO listing on secondary exchanges, and meeting the minimum funding requirement.</w:t>
      </w:r>
      <w:r w:rsidR="00D25234">
        <w:rPr>
          <w:rFonts w:ascii="Times New Roman" w:hAnsi="Times New Roman" w:cs="Times New Roman"/>
          <w:sz w:val="24"/>
          <w:szCs w:val="24"/>
        </w:rPr>
        <w:t xml:space="preserve"> </w:t>
      </w:r>
      <w:r w:rsidR="00E1156B" w:rsidRPr="00C82EE1">
        <w:rPr>
          <w:rFonts w:ascii="Times New Roman" w:hAnsi="Times New Roman" w:cs="Times New Roman"/>
          <w:sz w:val="24"/>
          <w:szCs w:val="24"/>
        </w:rPr>
        <w:t>Additionally, the results hold when accounting for a broad range of control variables, such as social media presence, multimedia content in the white paper</w:t>
      </w:r>
      <w:r w:rsidR="00C01E09">
        <w:rPr>
          <w:rFonts w:ascii="Times New Roman" w:hAnsi="Times New Roman" w:cs="Times New Roman"/>
          <w:sz w:val="24"/>
          <w:szCs w:val="24"/>
        </w:rPr>
        <w:t xml:space="preserve"> and</w:t>
      </w:r>
      <w:r w:rsidR="00E1156B" w:rsidRPr="00C82EE1">
        <w:rPr>
          <w:rFonts w:ascii="Times New Roman" w:hAnsi="Times New Roman" w:cs="Times New Roman"/>
          <w:sz w:val="24"/>
          <w:szCs w:val="24"/>
        </w:rPr>
        <w:t xml:space="preserve"> white paper sentiment</w:t>
      </w:r>
      <w:r w:rsidR="00C01E09">
        <w:rPr>
          <w:rFonts w:ascii="Times New Roman" w:hAnsi="Times New Roman" w:cs="Times New Roman"/>
          <w:sz w:val="24"/>
          <w:szCs w:val="24"/>
        </w:rPr>
        <w:t>.</w:t>
      </w:r>
    </w:p>
    <w:p w14:paraId="09FEC112" w14:textId="30BD68C3" w:rsidR="00481D5B" w:rsidRPr="00C82EE1" w:rsidRDefault="00481D5B" w:rsidP="00A4177B">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We </w:t>
      </w:r>
      <w:r w:rsidR="00E1156B" w:rsidRPr="00C82EE1">
        <w:rPr>
          <w:rFonts w:ascii="Times New Roman" w:hAnsi="Times New Roman" w:cs="Times New Roman"/>
          <w:sz w:val="24"/>
          <w:szCs w:val="24"/>
        </w:rPr>
        <w:t xml:space="preserve">subsequently </w:t>
      </w:r>
      <w:r w:rsidRPr="00C82EE1">
        <w:rPr>
          <w:rFonts w:ascii="Times New Roman" w:hAnsi="Times New Roman" w:cs="Times New Roman"/>
          <w:sz w:val="24"/>
          <w:szCs w:val="24"/>
        </w:rPr>
        <w:t>examine the mitigating impact of the ICO white paper readability on the relationship between LC and the amount raised during the ICO. We find that this relationship becomes more pronounced when the text is more readable</w:t>
      </w:r>
      <w:r w:rsidR="005054D1" w:rsidRPr="00C82EE1">
        <w:rPr>
          <w:rFonts w:ascii="Times New Roman" w:hAnsi="Times New Roman" w:cs="Times New Roman"/>
          <w:sz w:val="24"/>
          <w:szCs w:val="24"/>
        </w:rPr>
        <w:t>, thereby further emphasi</w:t>
      </w:r>
      <w:r w:rsidR="0006033F" w:rsidRPr="00C82EE1">
        <w:rPr>
          <w:rFonts w:ascii="Times New Roman" w:hAnsi="Times New Roman" w:cs="Times New Roman"/>
          <w:sz w:val="24"/>
          <w:szCs w:val="24"/>
        </w:rPr>
        <w:t>z</w:t>
      </w:r>
      <w:r w:rsidR="005054D1" w:rsidRPr="00C82EE1">
        <w:rPr>
          <w:rFonts w:ascii="Times New Roman" w:hAnsi="Times New Roman" w:cs="Times New Roman"/>
          <w:sz w:val="24"/>
          <w:szCs w:val="24"/>
        </w:rPr>
        <w:t>ing that</w:t>
      </w:r>
      <w:r w:rsidR="0006033F" w:rsidRPr="00C82EE1">
        <w:rPr>
          <w:rFonts w:ascii="Times New Roman" w:hAnsi="Times New Roman" w:cs="Times New Roman"/>
          <w:sz w:val="24"/>
          <w:szCs w:val="24"/>
        </w:rPr>
        <w:t xml:space="preserve"> </w:t>
      </w:r>
      <w:r w:rsidRPr="00C82EE1">
        <w:rPr>
          <w:rFonts w:ascii="Times New Roman" w:hAnsi="Times New Roman" w:cs="Times New Roman"/>
          <w:sz w:val="24"/>
          <w:szCs w:val="24"/>
        </w:rPr>
        <w:t xml:space="preserve">LC </w:t>
      </w:r>
      <w:r w:rsidR="005054D1" w:rsidRPr="00C82EE1">
        <w:rPr>
          <w:rFonts w:ascii="Times New Roman" w:hAnsi="Times New Roman" w:cs="Times New Roman"/>
          <w:sz w:val="24"/>
          <w:szCs w:val="24"/>
        </w:rPr>
        <w:t xml:space="preserve">and readability </w:t>
      </w:r>
      <w:r w:rsidRPr="00C82EE1">
        <w:rPr>
          <w:rFonts w:ascii="Times New Roman" w:hAnsi="Times New Roman" w:cs="Times New Roman"/>
          <w:sz w:val="24"/>
          <w:szCs w:val="24"/>
        </w:rPr>
        <w:t>constitute two complementary signals for investment decisions.</w:t>
      </w:r>
    </w:p>
    <w:p w14:paraId="0D4185DE" w14:textId="1B6DC65F" w:rsidR="00481D5B" w:rsidRPr="00C82EE1" w:rsidRDefault="00481D5B" w:rsidP="009F392D">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Signaling theory offers an appropriate framework for understanding a heterogeneous </w:t>
      </w:r>
      <w:r w:rsidRPr="00C82EE1">
        <w:rPr>
          <w:rFonts w:ascii="Times New Roman" w:hAnsi="Times New Roman" w:cs="Times New Roman"/>
          <w:sz w:val="24"/>
          <w:szCs w:val="24"/>
          <w:lang w:val="en-GB"/>
        </w:rPr>
        <w:t>set of non-mutually exclusive channels through which LC can improve the amount raised during an ICO. The first channel is an innovation effect: ICOs that tend to incorporate technical content</w:t>
      </w:r>
      <w:r w:rsidR="00F8118E">
        <w:rPr>
          <w:rFonts w:ascii="Times New Roman" w:hAnsi="Times New Roman" w:cs="Times New Roman"/>
          <w:sz w:val="24"/>
          <w:szCs w:val="24"/>
          <w:lang w:val="en-GB"/>
        </w:rPr>
        <w:t xml:space="preserve"> </w:t>
      </w:r>
      <w:r w:rsidRPr="00C82EE1">
        <w:rPr>
          <w:rFonts w:ascii="Times New Roman" w:hAnsi="Times New Roman" w:cs="Times New Roman"/>
          <w:sz w:val="24"/>
          <w:szCs w:val="24"/>
          <w:lang w:val="en-GB"/>
        </w:rPr>
        <w:t xml:space="preserve">are characterized as more innovative </w:t>
      </w:r>
      <w:r w:rsidR="0006033F" w:rsidRPr="00C82EE1">
        <w:rPr>
          <w:rFonts w:ascii="Times New Roman" w:hAnsi="Times New Roman" w:cs="Times New Roman"/>
          <w:sz w:val="24"/>
          <w:szCs w:val="24"/>
        </w:rPr>
        <w:t>(Holliman, 2023)</w:t>
      </w:r>
      <w:r w:rsidRPr="00C82EE1">
        <w:rPr>
          <w:rFonts w:ascii="Times New Roman" w:hAnsi="Times New Roman" w:cs="Times New Roman"/>
          <w:sz w:val="24"/>
          <w:szCs w:val="24"/>
          <w:lang w:val="en-GB"/>
        </w:rPr>
        <w:t xml:space="preserve">, which subsequently increases investor </w:t>
      </w:r>
      <w:r w:rsidRPr="00C82EE1">
        <w:rPr>
          <w:rFonts w:ascii="Times New Roman" w:hAnsi="Times New Roman" w:cs="Times New Roman"/>
          <w:sz w:val="24"/>
          <w:szCs w:val="24"/>
          <w:lang w:val="en-GB"/>
        </w:rPr>
        <w:lastRenderedPageBreak/>
        <w:t xml:space="preserve">propensity to invest in the project </w:t>
      </w:r>
      <w:r w:rsidR="0006033F" w:rsidRPr="00C82EE1">
        <w:rPr>
          <w:rFonts w:ascii="Times New Roman" w:hAnsi="Times New Roman" w:cs="Times New Roman"/>
          <w:sz w:val="24"/>
          <w:szCs w:val="24"/>
        </w:rPr>
        <w:t xml:space="preserve">(Chan &amp; </w:t>
      </w:r>
      <w:proofErr w:type="spellStart"/>
      <w:r w:rsidR="0006033F" w:rsidRPr="00C82EE1">
        <w:rPr>
          <w:rFonts w:ascii="Times New Roman" w:hAnsi="Times New Roman" w:cs="Times New Roman"/>
          <w:sz w:val="24"/>
          <w:szCs w:val="24"/>
        </w:rPr>
        <w:t>Parhankangas</w:t>
      </w:r>
      <w:proofErr w:type="spellEnd"/>
      <w:r w:rsidR="0006033F" w:rsidRPr="00C82EE1">
        <w:rPr>
          <w:rFonts w:ascii="Times New Roman" w:hAnsi="Times New Roman" w:cs="Times New Roman"/>
          <w:sz w:val="24"/>
          <w:szCs w:val="24"/>
        </w:rPr>
        <w:t>, 2017)</w:t>
      </w:r>
      <w:r w:rsidRPr="00C82EE1">
        <w:rPr>
          <w:rFonts w:ascii="Times New Roman" w:hAnsi="Times New Roman" w:cs="Times New Roman"/>
          <w:sz w:val="24"/>
          <w:szCs w:val="24"/>
          <w:lang w:val="en-GB"/>
        </w:rPr>
        <w:t xml:space="preserve">. </w:t>
      </w:r>
      <w:r w:rsidRPr="00C82EE1">
        <w:rPr>
          <w:rFonts w:ascii="Times New Roman" w:hAnsi="Times New Roman" w:cs="Times New Roman"/>
          <w:sz w:val="24"/>
          <w:szCs w:val="24"/>
        </w:rPr>
        <w:t xml:space="preserve">The second channel is a cognitive effect: LC requires greater (but still manageable) cognitive effort from both the ICO manager and the investors to understand the content of ICO white paper, leading to higher perceived quality and professionalism from the team behind the ICO </w:t>
      </w:r>
      <w:r w:rsidR="0006033F" w:rsidRPr="00C82EE1">
        <w:rPr>
          <w:rFonts w:ascii="Times New Roman" w:hAnsi="Times New Roman" w:cs="Times New Roman"/>
          <w:sz w:val="24"/>
          <w:szCs w:val="24"/>
        </w:rPr>
        <w:t>(</w:t>
      </w:r>
      <w:proofErr w:type="spellStart"/>
      <w:r w:rsidR="0006033F" w:rsidRPr="00C82EE1">
        <w:rPr>
          <w:rFonts w:ascii="Times New Roman" w:hAnsi="Times New Roman" w:cs="Times New Roman"/>
          <w:sz w:val="24"/>
          <w:szCs w:val="24"/>
        </w:rPr>
        <w:t>Florysiak</w:t>
      </w:r>
      <w:proofErr w:type="spellEnd"/>
      <w:r w:rsidR="0006033F" w:rsidRPr="00C82EE1">
        <w:rPr>
          <w:rFonts w:ascii="Times New Roman" w:hAnsi="Times New Roman" w:cs="Times New Roman"/>
          <w:sz w:val="24"/>
          <w:szCs w:val="24"/>
        </w:rPr>
        <w:t xml:space="preserve"> &amp; </w:t>
      </w:r>
      <w:proofErr w:type="spellStart"/>
      <w:r w:rsidR="0006033F" w:rsidRPr="00C82EE1">
        <w:rPr>
          <w:rFonts w:ascii="Times New Roman" w:hAnsi="Times New Roman" w:cs="Times New Roman"/>
          <w:sz w:val="24"/>
          <w:szCs w:val="24"/>
        </w:rPr>
        <w:t>Schandlbauer</w:t>
      </w:r>
      <w:proofErr w:type="spellEnd"/>
      <w:r w:rsidR="0006033F" w:rsidRPr="00C82EE1">
        <w:rPr>
          <w:rFonts w:ascii="Times New Roman" w:hAnsi="Times New Roman" w:cs="Times New Roman"/>
          <w:sz w:val="24"/>
          <w:szCs w:val="24"/>
        </w:rPr>
        <w:t>, 2022; Xia et al., 2024c)</w:t>
      </w:r>
      <w:r w:rsidRPr="00C82EE1">
        <w:rPr>
          <w:rFonts w:ascii="Times New Roman" w:hAnsi="Times New Roman" w:cs="Times New Roman"/>
          <w:sz w:val="24"/>
          <w:szCs w:val="24"/>
        </w:rPr>
        <w:t>. The third channel focuses on the role played by LC in reducing information asymmetry:</w:t>
      </w:r>
      <w:r w:rsidRPr="00C82EE1">
        <w:rPr>
          <w:rFonts w:ascii="Times New Roman" w:hAnsi="Times New Roman" w:cs="Times New Roman"/>
          <w:sz w:val="24"/>
          <w:szCs w:val="24"/>
          <w:lang w:val="en-GB"/>
        </w:rPr>
        <w:t xml:space="preserve"> </w:t>
      </w:r>
      <w:r w:rsidR="00720607">
        <w:rPr>
          <w:rFonts w:ascii="Times New Roman" w:hAnsi="Times New Roman" w:cs="Times New Roman"/>
          <w:sz w:val="24"/>
          <w:szCs w:val="24"/>
        </w:rPr>
        <w:t>t</w:t>
      </w:r>
      <w:r w:rsidRPr="00C82EE1">
        <w:rPr>
          <w:rFonts w:ascii="Times New Roman" w:hAnsi="Times New Roman" w:cs="Times New Roman"/>
          <w:sz w:val="24"/>
          <w:szCs w:val="24"/>
        </w:rPr>
        <w:t xml:space="preserve">he diversity and sophistication of information in a text have been shown to enhance the precision of content in white papers </w:t>
      </w:r>
      <w:r w:rsidR="00DE3265" w:rsidRPr="00C82EE1">
        <w:rPr>
          <w:rFonts w:ascii="Times New Roman" w:hAnsi="Times New Roman" w:cs="Times New Roman"/>
          <w:sz w:val="24"/>
          <w:szCs w:val="24"/>
        </w:rPr>
        <w:t>(</w:t>
      </w:r>
      <w:proofErr w:type="spellStart"/>
      <w:r w:rsidR="00DE3265" w:rsidRPr="00C82EE1">
        <w:rPr>
          <w:rFonts w:ascii="Times New Roman" w:hAnsi="Times New Roman" w:cs="Times New Roman"/>
          <w:sz w:val="24"/>
          <w:szCs w:val="24"/>
        </w:rPr>
        <w:t>Joenväärä</w:t>
      </w:r>
      <w:proofErr w:type="spellEnd"/>
      <w:r w:rsidR="00DE3265" w:rsidRPr="00C82EE1">
        <w:rPr>
          <w:rFonts w:ascii="Times New Roman" w:hAnsi="Times New Roman" w:cs="Times New Roman"/>
          <w:sz w:val="24"/>
          <w:szCs w:val="24"/>
        </w:rPr>
        <w:t xml:space="preserve"> et al., 2019)</w:t>
      </w:r>
      <w:r w:rsidRPr="00C82EE1">
        <w:rPr>
          <w:rFonts w:ascii="Times New Roman" w:hAnsi="Times New Roman" w:cs="Times New Roman"/>
          <w:sz w:val="24"/>
          <w:szCs w:val="24"/>
        </w:rPr>
        <w:t xml:space="preserve">, potentially reducing information asymmetry and increasing fundraising performance. Based on the mediation analysis framework of </w:t>
      </w:r>
      <w:r w:rsidR="00DE3265" w:rsidRPr="00C82EE1">
        <w:rPr>
          <w:rFonts w:ascii="Times New Roman" w:hAnsi="Times New Roman" w:cs="Times New Roman"/>
          <w:sz w:val="24"/>
          <w:szCs w:val="24"/>
        </w:rPr>
        <w:t>Baron &amp; Kenny (1986)</w:t>
      </w:r>
      <w:r w:rsidRPr="00C82EE1">
        <w:rPr>
          <w:rFonts w:ascii="Times New Roman" w:hAnsi="Times New Roman" w:cs="Times New Roman"/>
          <w:sz w:val="24"/>
          <w:szCs w:val="24"/>
        </w:rPr>
        <w:t xml:space="preserve"> and </w:t>
      </w:r>
      <w:r w:rsidR="00DE3265" w:rsidRPr="00C82EE1">
        <w:rPr>
          <w:rFonts w:ascii="Times New Roman" w:hAnsi="Times New Roman" w:cs="Times New Roman"/>
          <w:sz w:val="24"/>
          <w:szCs w:val="24"/>
        </w:rPr>
        <w:t>Singh et al. (2022)</w:t>
      </w:r>
      <w:r w:rsidRPr="00C82EE1">
        <w:rPr>
          <w:rFonts w:ascii="Times New Roman" w:hAnsi="Times New Roman" w:cs="Times New Roman"/>
          <w:sz w:val="24"/>
          <w:szCs w:val="24"/>
        </w:rPr>
        <w:t>, we find that lexically complex language not only signals the technical innovation of an ICO but also enhances its perceived quality among investors (i.e.</w:t>
      </w:r>
      <w:r w:rsidR="00720607">
        <w:rPr>
          <w:rFonts w:ascii="Times New Roman" w:hAnsi="Times New Roman" w:cs="Times New Roman"/>
          <w:sz w:val="24"/>
          <w:szCs w:val="24"/>
        </w:rPr>
        <w:t>,</w:t>
      </w:r>
      <w:r w:rsidRPr="00C82EE1">
        <w:rPr>
          <w:rFonts w:ascii="Times New Roman" w:hAnsi="Times New Roman" w:cs="Times New Roman"/>
          <w:sz w:val="24"/>
          <w:szCs w:val="24"/>
        </w:rPr>
        <w:t xml:space="preserve"> through ICO expert endorsements) and improves information dissemination, ultimately leading to increased funding. </w:t>
      </w:r>
    </w:p>
    <w:p w14:paraId="4500A2C5" w14:textId="7F5F65BA" w:rsidR="000F77D6" w:rsidRPr="00C82EE1" w:rsidRDefault="00772C6F" w:rsidP="009F392D">
      <w:pPr>
        <w:spacing w:after="120" w:line="36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Another </w:t>
      </w:r>
      <w:r w:rsidR="00190AF2">
        <w:rPr>
          <w:rFonts w:ascii="Times New Roman" w:hAnsi="Times New Roman" w:cs="Times New Roman"/>
          <w:sz w:val="24"/>
          <w:szCs w:val="24"/>
        </w:rPr>
        <w:t>significant</w:t>
      </w:r>
      <w:r>
        <w:rPr>
          <w:rFonts w:ascii="Times New Roman" w:hAnsi="Times New Roman" w:cs="Times New Roman"/>
          <w:sz w:val="24"/>
          <w:szCs w:val="24"/>
        </w:rPr>
        <w:t xml:space="preserve"> result of this paper is that we iden</w:t>
      </w:r>
      <w:r w:rsidR="00DE3265" w:rsidRPr="00C82EE1">
        <w:rPr>
          <w:rFonts w:ascii="Times New Roman" w:hAnsi="Times New Roman" w:cs="Times New Roman"/>
          <w:sz w:val="24"/>
          <w:szCs w:val="24"/>
        </w:rPr>
        <w:t>tify</w:t>
      </w:r>
      <w:r w:rsidR="001C62C1" w:rsidRPr="00C82EE1">
        <w:rPr>
          <w:rFonts w:ascii="Times New Roman" w:hAnsi="Times New Roman" w:cs="Times New Roman"/>
          <w:sz w:val="24"/>
          <w:szCs w:val="24"/>
        </w:rPr>
        <w:t xml:space="preserve"> which types of investors are influenced by the </w:t>
      </w:r>
      <w:r w:rsidR="00595E22">
        <w:rPr>
          <w:rFonts w:ascii="Times New Roman" w:hAnsi="Times New Roman" w:cs="Times New Roman"/>
          <w:sz w:val="24"/>
          <w:szCs w:val="24"/>
        </w:rPr>
        <w:t xml:space="preserve">LC </w:t>
      </w:r>
      <w:r w:rsidR="001C62C1" w:rsidRPr="00C82EE1">
        <w:rPr>
          <w:rFonts w:ascii="Times New Roman" w:hAnsi="Times New Roman" w:cs="Times New Roman"/>
          <w:sz w:val="24"/>
          <w:szCs w:val="24"/>
        </w:rPr>
        <w:t>of ICO white papers. Since ICOs attract both retail and institutional investors, it is crucial to distinguish which investor</w:t>
      </w:r>
      <w:r w:rsidR="00561593" w:rsidRPr="00C82EE1">
        <w:rPr>
          <w:rFonts w:ascii="Times New Roman" w:hAnsi="Times New Roman" w:cs="Times New Roman"/>
          <w:sz w:val="24"/>
          <w:szCs w:val="24"/>
        </w:rPr>
        <w:t>s</w:t>
      </w:r>
      <w:r w:rsidR="000F77D6" w:rsidRPr="00C82EE1">
        <w:rPr>
          <w:rFonts w:ascii="Times New Roman" w:hAnsi="Times New Roman" w:cs="Times New Roman"/>
          <w:sz w:val="24"/>
          <w:szCs w:val="24"/>
        </w:rPr>
        <w:t xml:space="preserve"> </w:t>
      </w:r>
      <w:r w:rsidR="001C62C1" w:rsidRPr="00C82EE1">
        <w:rPr>
          <w:rFonts w:ascii="Times New Roman" w:hAnsi="Times New Roman" w:cs="Times New Roman"/>
          <w:sz w:val="24"/>
          <w:szCs w:val="24"/>
        </w:rPr>
        <w:t xml:space="preserve">respond to variations in LC, shedding light on how </w:t>
      </w:r>
      <w:r w:rsidR="004E25CD" w:rsidRPr="00C82EE1">
        <w:rPr>
          <w:rFonts w:ascii="Times New Roman" w:hAnsi="Times New Roman" w:cs="Times New Roman"/>
          <w:sz w:val="24"/>
          <w:szCs w:val="24"/>
        </w:rPr>
        <w:t>LC</w:t>
      </w:r>
      <w:r w:rsidR="001C62C1" w:rsidRPr="00C82EE1">
        <w:rPr>
          <w:rFonts w:ascii="Times New Roman" w:hAnsi="Times New Roman" w:cs="Times New Roman"/>
          <w:sz w:val="24"/>
          <w:szCs w:val="24"/>
        </w:rPr>
        <w:t xml:space="preserve"> shapes investor behavior across different audiences.</w:t>
      </w:r>
      <w:r w:rsidR="000F77D6" w:rsidRPr="00C82EE1">
        <w:rPr>
          <w:rFonts w:ascii="Times New Roman" w:hAnsi="Times New Roman" w:cs="Times New Roman"/>
          <w:sz w:val="24"/>
          <w:szCs w:val="24"/>
        </w:rPr>
        <w:t xml:space="preserve"> </w:t>
      </w:r>
      <w:r w:rsidR="00847844" w:rsidRPr="00C82EE1">
        <w:rPr>
          <w:rFonts w:ascii="Times New Roman" w:hAnsi="Times New Roman" w:cs="Times New Roman"/>
          <w:sz w:val="24"/>
          <w:szCs w:val="24"/>
        </w:rPr>
        <w:t xml:space="preserve">Our findings reveal a notable divergence in how different investor groups respond to </w:t>
      </w:r>
      <w:r w:rsidR="00595E22">
        <w:rPr>
          <w:rFonts w:ascii="Times New Roman" w:hAnsi="Times New Roman" w:cs="Times New Roman"/>
          <w:sz w:val="24"/>
          <w:szCs w:val="24"/>
        </w:rPr>
        <w:t>LC</w:t>
      </w:r>
      <w:r w:rsidR="00847844" w:rsidRPr="00C82EE1">
        <w:rPr>
          <w:rFonts w:ascii="Times New Roman" w:hAnsi="Times New Roman" w:cs="Times New Roman"/>
          <w:sz w:val="24"/>
          <w:szCs w:val="24"/>
        </w:rPr>
        <w:t>. Specifically, higher LC is positively associated with greater interest from institutional investors, who are more likely to interpret sophisticated language as a credible signal of project quality. In contrast, retail investors tend to disengage from offerings with more complex disclosures</w:t>
      </w:r>
      <w:r w:rsidR="000F77D6" w:rsidRPr="00C82EE1">
        <w:rPr>
          <w:rFonts w:ascii="Times New Roman" w:hAnsi="Times New Roman" w:cs="Times New Roman"/>
          <w:sz w:val="24"/>
          <w:szCs w:val="24"/>
        </w:rPr>
        <w:t>, which is</w:t>
      </w:r>
      <w:r w:rsidR="00561593" w:rsidRPr="00C82EE1">
        <w:rPr>
          <w:rFonts w:ascii="Times New Roman" w:hAnsi="Times New Roman" w:cs="Times New Roman"/>
          <w:sz w:val="24"/>
          <w:szCs w:val="24"/>
        </w:rPr>
        <w:t xml:space="preserve"> </w:t>
      </w:r>
      <w:r w:rsidR="00847844" w:rsidRPr="00C82EE1">
        <w:rPr>
          <w:rFonts w:ascii="Times New Roman" w:hAnsi="Times New Roman" w:cs="Times New Roman"/>
          <w:sz w:val="24"/>
          <w:szCs w:val="24"/>
        </w:rPr>
        <w:t>likely due to cognitive overload or skepticism toward overly intricate language. This asymmetry underscores the selective signaling power of LC: it primarily resonates with more sophisticated, financially literate investors who are better equipped to process nuanced, information-rich texts.</w:t>
      </w:r>
      <w:r w:rsidR="000F77D6" w:rsidRPr="00C82EE1">
        <w:rPr>
          <w:rFonts w:ascii="Times New Roman" w:hAnsi="Times New Roman" w:cs="Times New Roman"/>
          <w:sz w:val="24"/>
          <w:szCs w:val="24"/>
        </w:rPr>
        <w:t xml:space="preserve"> </w:t>
      </w:r>
    </w:p>
    <w:p w14:paraId="4E6E16DC" w14:textId="0A62D223" w:rsidR="00481D5B" w:rsidRPr="00C82EE1" w:rsidRDefault="00481D5B" w:rsidP="009F392D">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We next argue that the signal sent by LC is stronger when it is more difficult to imitate. To test this, we conduct three sensitivity tests</w:t>
      </w:r>
      <w:r w:rsidR="00720607">
        <w:rPr>
          <w:rFonts w:ascii="Times New Roman" w:hAnsi="Times New Roman" w:cs="Times New Roman"/>
          <w:sz w:val="24"/>
          <w:szCs w:val="24"/>
        </w:rPr>
        <w:t xml:space="preserve">: </w:t>
      </w:r>
      <w:r w:rsidRPr="00C82EE1">
        <w:rPr>
          <w:rFonts w:ascii="Times New Roman" w:hAnsi="Times New Roman" w:cs="Times New Roman"/>
          <w:sz w:val="24"/>
          <w:szCs w:val="24"/>
        </w:rPr>
        <w:t>(</w:t>
      </w:r>
      <w:proofErr w:type="spellStart"/>
      <w:r w:rsidRPr="00C82EE1">
        <w:rPr>
          <w:rFonts w:ascii="Times New Roman" w:hAnsi="Times New Roman" w:cs="Times New Roman"/>
          <w:sz w:val="24"/>
          <w:szCs w:val="24"/>
        </w:rPr>
        <w:t>i</w:t>
      </w:r>
      <w:proofErr w:type="spellEnd"/>
      <w:r w:rsidRPr="00C82EE1">
        <w:rPr>
          <w:rFonts w:ascii="Times New Roman" w:hAnsi="Times New Roman" w:cs="Times New Roman"/>
          <w:sz w:val="24"/>
          <w:szCs w:val="24"/>
        </w:rPr>
        <w:t>) the educational attainment in the ICO country of origin, (ii) the education level of the CEO</w:t>
      </w:r>
      <w:r w:rsidR="000055B3">
        <w:rPr>
          <w:rFonts w:ascii="Times New Roman" w:hAnsi="Times New Roman" w:cs="Times New Roman"/>
          <w:sz w:val="24"/>
          <w:szCs w:val="24"/>
        </w:rPr>
        <w:t xml:space="preserve"> of the ICO</w:t>
      </w:r>
      <w:r w:rsidRPr="00C82EE1">
        <w:rPr>
          <w:rFonts w:ascii="Times New Roman" w:hAnsi="Times New Roman" w:cs="Times New Roman"/>
          <w:sz w:val="24"/>
          <w:szCs w:val="24"/>
        </w:rPr>
        <w:t xml:space="preserve">, and (iii) the ICO source code availability. We find strong evidence that </w:t>
      </w:r>
      <w:r w:rsidR="00D25234">
        <w:rPr>
          <w:rFonts w:ascii="Times New Roman" w:hAnsi="Times New Roman" w:cs="Times New Roman"/>
          <w:sz w:val="24"/>
          <w:szCs w:val="24"/>
        </w:rPr>
        <w:t>the impact of LC</w:t>
      </w:r>
      <w:r w:rsidRPr="00C82EE1">
        <w:rPr>
          <w:rFonts w:ascii="Times New Roman" w:hAnsi="Times New Roman" w:cs="Times New Roman"/>
          <w:sz w:val="24"/>
          <w:szCs w:val="24"/>
        </w:rPr>
        <w:t xml:space="preserve"> on investors is more pronounced when the signal is more difficult to imitate. In particular, we find that LC is stronger for ICOs from a country with low educational attainment, when the CEO educational level is low and when the ICO</w:t>
      </w:r>
      <w:r w:rsidRPr="00C82EE1">
        <w:rPr>
          <w:rFonts w:ascii="Times New Roman" w:eastAsiaTheme="minorEastAsia" w:hAnsi="Times New Roman" w:cs="Times New Roman"/>
          <w:sz w:val="24"/>
          <w:szCs w:val="24"/>
        </w:rPr>
        <w:t xml:space="preserve"> does not disclose its source code. </w:t>
      </w:r>
    </w:p>
    <w:p w14:paraId="706FD261" w14:textId="623C8349" w:rsidR="00481D5B" w:rsidRPr="00C82EE1" w:rsidRDefault="00481D5B" w:rsidP="009F392D">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Finally, we examine whether LC is an informative signal in predicting future token performance, beyond the fundraising stage. This long-run analysis helps rule out any self-fulfilling equilibrium, in which complex language influences investor perception without </w:t>
      </w:r>
      <w:r w:rsidRPr="00C82EE1">
        <w:rPr>
          <w:rFonts w:ascii="Times New Roman" w:hAnsi="Times New Roman" w:cs="Times New Roman"/>
          <w:sz w:val="24"/>
          <w:szCs w:val="24"/>
        </w:rPr>
        <w:lastRenderedPageBreak/>
        <w:t xml:space="preserve">conveying substantive information </w:t>
      </w:r>
      <w:r w:rsidR="002B067B" w:rsidRPr="00C82EE1">
        <w:rPr>
          <w:rFonts w:ascii="Times New Roman" w:hAnsi="Times New Roman" w:cs="Times New Roman"/>
          <w:sz w:val="24"/>
          <w:szCs w:val="24"/>
        </w:rPr>
        <w:t>(Lee et al., 2022)</w:t>
      </w:r>
      <w:r w:rsidRPr="00C82EE1">
        <w:rPr>
          <w:rFonts w:ascii="Times New Roman" w:hAnsi="Times New Roman" w:cs="Times New Roman"/>
          <w:sz w:val="24"/>
          <w:szCs w:val="24"/>
        </w:rPr>
        <w:t>. We find that LC predicts short</w:t>
      </w:r>
      <w:r w:rsidR="00720607">
        <w:rPr>
          <w:rFonts w:ascii="Times New Roman" w:hAnsi="Times New Roman" w:cs="Times New Roman"/>
          <w:sz w:val="24"/>
          <w:szCs w:val="24"/>
        </w:rPr>
        <w:t>-run</w:t>
      </w:r>
      <w:r w:rsidRPr="00C82EE1">
        <w:rPr>
          <w:rFonts w:ascii="Times New Roman" w:hAnsi="Times New Roman" w:cs="Times New Roman"/>
          <w:sz w:val="24"/>
          <w:szCs w:val="24"/>
        </w:rPr>
        <w:t xml:space="preserve"> and long-run token performance in the secondary market. LC is</w:t>
      </w:r>
      <w:r w:rsidR="00255E47">
        <w:rPr>
          <w:rFonts w:ascii="Times New Roman" w:hAnsi="Times New Roman" w:cs="Times New Roman"/>
          <w:sz w:val="24"/>
          <w:szCs w:val="24"/>
        </w:rPr>
        <w:t xml:space="preserve"> also</w:t>
      </w:r>
      <w:r w:rsidRPr="00C82EE1">
        <w:rPr>
          <w:rFonts w:ascii="Times New Roman" w:hAnsi="Times New Roman" w:cs="Times New Roman"/>
          <w:sz w:val="24"/>
          <w:szCs w:val="24"/>
        </w:rPr>
        <w:t xml:space="preserve"> associated with a lower chance of ICO delisting</w:t>
      </w:r>
      <w:r w:rsidR="0039121C">
        <w:rPr>
          <w:rFonts w:ascii="Times New Roman" w:hAnsi="Times New Roman" w:cs="Times New Roman"/>
          <w:sz w:val="24"/>
          <w:szCs w:val="24"/>
        </w:rPr>
        <w:t>. However,</w:t>
      </w:r>
      <w:r w:rsidRPr="00C82EE1">
        <w:rPr>
          <w:rFonts w:ascii="Times New Roman" w:hAnsi="Times New Roman" w:cs="Times New Roman"/>
          <w:sz w:val="24"/>
          <w:szCs w:val="24"/>
        </w:rPr>
        <w:t xml:space="preserve"> it is not associated with token price volatility or the identification of fraudulent ICOs.  </w:t>
      </w:r>
    </w:p>
    <w:p w14:paraId="540B7F6C" w14:textId="79453C4F" w:rsidR="003C5323" w:rsidRPr="00C82EE1" w:rsidRDefault="003C5323" w:rsidP="00A4177B">
      <w:pPr>
        <w:spacing w:after="120" w:line="360" w:lineRule="auto"/>
        <w:ind w:firstLine="340"/>
        <w:jc w:val="both"/>
        <w:rPr>
          <w:rFonts w:ascii="Times New Roman" w:hAnsi="Times New Roman" w:cs="Times New Roman"/>
          <w:sz w:val="24"/>
          <w:szCs w:val="24"/>
          <w:lang w:val="en-GB"/>
        </w:rPr>
      </w:pPr>
      <w:r w:rsidRPr="00C82EE1">
        <w:rPr>
          <w:rFonts w:ascii="Times New Roman" w:hAnsi="Times New Roman" w:cs="Times New Roman"/>
          <w:sz w:val="24"/>
          <w:szCs w:val="24"/>
          <w:lang w:val="en-GB"/>
        </w:rPr>
        <w:t>This study makes three key contributions to the literature on entrepreneurial finance and financial communication</w:t>
      </w:r>
      <w:r w:rsidR="00D25234">
        <w:rPr>
          <w:rFonts w:ascii="Times New Roman" w:hAnsi="Times New Roman" w:cs="Times New Roman"/>
          <w:sz w:val="24"/>
          <w:szCs w:val="24"/>
          <w:lang w:val="en-GB"/>
        </w:rPr>
        <w:t xml:space="preserve">. </w:t>
      </w:r>
      <w:r w:rsidRPr="00C82EE1">
        <w:rPr>
          <w:rFonts w:ascii="Times New Roman" w:hAnsi="Times New Roman" w:cs="Times New Roman"/>
          <w:sz w:val="24"/>
          <w:szCs w:val="24"/>
          <w:lang w:val="en-GB"/>
        </w:rPr>
        <w:t xml:space="preserve">First, it introduces LC as a novel and influential linguistic signal, revealing that entrepreneur vocabulary choices meaningfully shape investor perceptions of innovation, quality, and information asymmetry. By integrating credible </w:t>
      </w:r>
      <w:proofErr w:type="spellStart"/>
      <w:r w:rsidRPr="00C82EE1">
        <w:rPr>
          <w:rFonts w:ascii="Times New Roman" w:hAnsi="Times New Roman" w:cs="Times New Roman"/>
          <w:sz w:val="24"/>
          <w:szCs w:val="24"/>
          <w:lang w:val="en-GB"/>
        </w:rPr>
        <w:t>signaling</w:t>
      </w:r>
      <w:proofErr w:type="spellEnd"/>
      <w:r w:rsidRPr="00C82EE1">
        <w:rPr>
          <w:rFonts w:ascii="Times New Roman" w:hAnsi="Times New Roman" w:cs="Times New Roman"/>
          <w:sz w:val="24"/>
          <w:szCs w:val="24"/>
          <w:lang w:val="en-GB"/>
        </w:rPr>
        <w:t xml:space="preserve"> theory with linguistic constructs such as LC, we offer a fresh theoretical lens </w:t>
      </w:r>
      <w:r w:rsidR="00720607" w:rsidRPr="00720607">
        <w:rPr>
          <w:rFonts w:ascii="Times New Roman" w:hAnsi="Times New Roman" w:cs="Times New Roman"/>
          <w:sz w:val="24"/>
          <w:szCs w:val="24"/>
          <w:lang w:val="en-GB"/>
        </w:rPr>
        <w:t>to understand how language can function as a strategic asset in the fundraising process.</w:t>
      </w:r>
      <w:r w:rsidRPr="00C82EE1">
        <w:rPr>
          <w:rFonts w:ascii="Times New Roman" w:hAnsi="Times New Roman" w:cs="Times New Roman"/>
          <w:sz w:val="24"/>
          <w:szCs w:val="24"/>
          <w:lang w:val="en-GB"/>
        </w:rPr>
        <w:t xml:space="preserve"> Crucially, we move beyond the predominant focus on readability</w:t>
      </w:r>
      <w:r w:rsidR="00720607">
        <w:rPr>
          <w:rFonts w:ascii="Times New Roman" w:hAnsi="Times New Roman" w:cs="Times New Roman"/>
          <w:sz w:val="24"/>
          <w:szCs w:val="24"/>
          <w:lang w:val="en-GB"/>
        </w:rPr>
        <w:t xml:space="preserve"> in </w:t>
      </w:r>
      <w:r w:rsidR="00D25234">
        <w:rPr>
          <w:rFonts w:ascii="Times New Roman" w:hAnsi="Times New Roman" w:cs="Times New Roman"/>
          <w:sz w:val="24"/>
          <w:szCs w:val="24"/>
          <w:lang w:val="en-GB"/>
        </w:rPr>
        <w:t xml:space="preserve">prior </w:t>
      </w:r>
      <w:r w:rsidR="00720607">
        <w:rPr>
          <w:rFonts w:ascii="Times New Roman" w:hAnsi="Times New Roman" w:cs="Times New Roman"/>
          <w:sz w:val="24"/>
          <w:szCs w:val="24"/>
          <w:lang w:val="en-GB"/>
        </w:rPr>
        <w:t>literature</w:t>
      </w:r>
      <w:r w:rsidRPr="00C82EE1">
        <w:rPr>
          <w:rFonts w:ascii="Times New Roman" w:hAnsi="Times New Roman" w:cs="Times New Roman"/>
          <w:sz w:val="24"/>
          <w:szCs w:val="24"/>
          <w:lang w:val="en-GB"/>
        </w:rPr>
        <w:t xml:space="preserve"> </w:t>
      </w:r>
      <w:r w:rsidR="000F77D6" w:rsidRPr="00C82EE1">
        <w:rPr>
          <w:rFonts w:ascii="Times New Roman" w:hAnsi="Times New Roman" w:cs="Times New Roman"/>
          <w:sz w:val="24"/>
          <w:szCs w:val="24"/>
        </w:rPr>
        <w:t>(Li, 2008; Loughran &amp; McDonald, 2014a, 2014b)</w:t>
      </w:r>
      <w:r w:rsidRPr="00C82EE1">
        <w:rPr>
          <w:rFonts w:ascii="Times New Roman" w:hAnsi="Times New Roman" w:cs="Times New Roman"/>
          <w:sz w:val="24"/>
          <w:szCs w:val="24"/>
          <w:lang w:val="en-GB"/>
        </w:rPr>
        <w:t xml:space="preserve">, and instead highlight the distinct and complementary role of vocabulary sophistication in shaping investor decisions </w:t>
      </w:r>
      <w:r w:rsidR="000F77D6" w:rsidRPr="00C82EE1">
        <w:rPr>
          <w:rFonts w:ascii="Times New Roman" w:hAnsi="Times New Roman" w:cs="Times New Roman"/>
          <w:sz w:val="24"/>
          <w:szCs w:val="24"/>
        </w:rPr>
        <w:t>(</w:t>
      </w:r>
      <w:bookmarkStart w:id="1" w:name="_GoBack"/>
      <w:bookmarkEnd w:id="1"/>
      <w:r w:rsidR="000F77D6" w:rsidRPr="00C82EE1">
        <w:rPr>
          <w:rFonts w:ascii="Times New Roman" w:hAnsi="Times New Roman" w:cs="Times New Roman"/>
          <w:sz w:val="24"/>
          <w:szCs w:val="24"/>
        </w:rPr>
        <w:t xml:space="preserve">Arslan-Ayaydin et al., 2016, </w:t>
      </w:r>
      <w:r w:rsidR="002C79E6">
        <w:rPr>
          <w:rFonts w:ascii="Times New Roman" w:hAnsi="Times New Roman" w:cs="Times New Roman"/>
          <w:sz w:val="24"/>
          <w:szCs w:val="24"/>
        </w:rPr>
        <w:t>2020,</w:t>
      </w:r>
      <w:r w:rsidR="000F77D6" w:rsidRPr="00C82EE1">
        <w:rPr>
          <w:rFonts w:ascii="Times New Roman" w:hAnsi="Times New Roman" w:cs="Times New Roman"/>
          <w:sz w:val="24"/>
          <w:szCs w:val="24"/>
        </w:rPr>
        <w:t>2021; Zhang et al., 2019)</w:t>
      </w:r>
      <w:r w:rsidRPr="00C82EE1">
        <w:rPr>
          <w:rFonts w:ascii="Times New Roman" w:hAnsi="Times New Roman" w:cs="Times New Roman"/>
          <w:sz w:val="24"/>
          <w:szCs w:val="24"/>
          <w:lang w:val="en-GB"/>
        </w:rPr>
        <w:t xml:space="preserve">. Our findings show that readability alone does not capture the full dynamics of linguistic </w:t>
      </w:r>
      <w:proofErr w:type="spellStart"/>
      <w:r w:rsidRPr="00C82EE1">
        <w:rPr>
          <w:rFonts w:ascii="Times New Roman" w:hAnsi="Times New Roman" w:cs="Times New Roman"/>
          <w:sz w:val="24"/>
          <w:szCs w:val="24"/>
          <w:lang w:val="en-GB"/>
        </w:rPr>
        <w:t>signaling</w:t>
      </w:r>
      <w:proofErr w:type="spellEnd"/>
      <w:r w:rsidRPr="00C82EE1">
        <w:rPr>
          <w:rFonts w:ascii="Times New Roman" w:hAnsi="Times New Roman" w:cs="Times New Roman"/>
          <w:sz w:val="24"/>
          <w:szCs w:val="24"/>
          <w:lang w:val="en-GB"/>
        </w:rPr>
        <w:t xml:space="preserve"> in ICO white papers; rather, LC interacts with readability to jointly influence investor perceptions. This interplay refines our understanding of how linguistic cues drive investor trust and </w:t>
      </w:r>
      <w:proofErr w:type="spellStart"/>
      <w:r w:rsidRPr="00C82EE1">
        <w:rPr>
          <w:rFonts w:ascii="Times New Roman" w:hAnsi="Times New Roman" w:cs="Times New Roman"/>
          <w:sz w:val="24"/>
          <w:szCs w:val="24"/>
          <w:lang w:val="en-GB"/>
        </w:rPr>
        <w:t>behavior</w:t>
      </w:r>
      <w:proofErr w:type="spellEnd"/>
      <w:r w:rsidRPr="00C82EE1">
        <w:rPr>
          <w:rFonts w:ascii="Times New Roman" w:hAnsi="Times New Roman" w:cs="Times New Roman"/>
          <w:sz w:val="24"/>
          <w:szCs w:val="24"/>
          <w:lang w:val="en-GB"/>
        </w:rPr>
        <w:t xml:space="preserve">, expanding the scope of </w:t>
      </w:r>
      <w:proofErr w:type="spellStart"/>
      <w:r w:rsidRPr="00C82EE1">
        <w:rPr>
          <w:rFonts w:ascii="Times New Roman" w:hAnsi="Times New Roman" w:cs="Times New Roman"/>
          <w:sz w:val="24"/>
          <w:szCs w:val="24"/>
          <w:lang w:val="en-GB"/>
        </w:rPr>
        <w:t>signaling</w:t>
      </w:r>
      <w:proofErr w:type="spellEnd"/>
      <w:r w:rsidRPr="00C82EE1">
        <w:rPr>
          <w:rFonts w:ascii="Times New Roman" w:hAnsi="Times New Roman" w:cs="Times New Roman"/>
          <w:sz w:val="24"/>
          <w:szCs w:val="24"/>
          <w:lang w:val="en-GB"/>
        </w:rPr>
        <w:t xml:space="preserve"> theory in entrepreneurial contexts.</w:t>
      </w:r>
    </w:p>
    <w:p w14:paraId="582424E1" w14:textId="3FCB92F5" w:rsidR="003C5323" w:rsidRPr="00C82EE1" w:rsidRDefault="003C5323" w:rsidP="009F392D">
      <w:pPr>
        <w:spacing w:after="120" w:line="360" w:lineRule="auto"/>
        <w:ind w:firstLine="340"/>
        <w:jc w:val="both"/>
        <w:rPr>
          <w:rFonts w:ascii="Times New Roman" w:hAnsi="Times New Roman" w:cs="Times New Roman"/>
          <w:sz w:val="24"/>
          <w:szCs w:val="24"/>
          <w:lang w:val="en-GB"/>
        </w:rPr>
      </w:pPr>
      <w:r w:rsidRPr="00C82EE1">
        <w:rPr>
          <w:rFonts w:ascii="Times New Roman" w:hAnsi="Times New Roman" w:cs="Times New Roman"/>
          <w:sz w:val="24"/>
          <w:szCs w:val="24"/>
          <w:lang w:val="en-GB"/>
        </w:rPr>
        <w:t xml:space="preserve">Second, drawing on institutional theory, we demonstrate that the </w:t>
      </w:r>
      <w:proofErr w:type="spellStart"/>
      <w:r w:rsidRPr="00C82EE1">
        <w:rPr>
          <w:rFonts w:ascii="Times New Roman" w:hAnsi="Times New Roman" w:cs="Times New Roman"/>
          <w:sz w:val="24"/>
          <w:szCs w:val="24"/>
          <w:lang w:val="en-GB"/>
        </w:rPr>
        <w:t>signaling</w:t>
      </w:r>
      <w:proofErr w:type="spellEnd"/>
      <w:r w:rsidRPr="00C82EE1">
        <w:rPr>
          <w:rFonts w:ascii="Times New Roman" w:hAnsi="Times New Roman" w:cs="Times New Roman"/>
          <w:sz w:val="24"/>
          <w:szCs w:val="24"/>
          <w:lang w:val="en-GB"/>
        </w:rPr>
        <w:t xml:space="preserve"> effectiveness of LC is context-dependent. While prior research often assumes a uniform investor response to linguistic features (</w:t>
      </w:r>
      <w:r w:rsidR="00AF5A16">
        <w:rPr>
          <w:rFonts w:ascii="Times New Roman" w:hAnsi="Times New Roman" w:cs="Times New Roman"/>
          <w:sz w:val="24"/>
          <w:szCs w:val="24"/>
          <w:lang w:val="en-GB"/>
        </w:rPr>
        <w:t xml:space="preserve">see, </w:t>
      </w:r>
      <w:r w:rsidRPr="00C82EE1">
        <w:rPr>
          <w:rFonts w:ascii="Times New Roman" w:hAnsi="Times New Roman" w:cs="Times New Roman"/>
          <w:sz w:val="24"/>
          <w:szCs w:val="24"/>
          <w:lang w:val="en-GB"/>
        </w:rPr>
        <w:t xml:space="preserve">e.g., </w:t>
      </w:r>
      <w:r w:rsidR="000F77D6" w:rsidRPr="00C82EE1">
        <w:rPr>
          <w:rFonts w:ascii="Times New Roman" w:hAnsi="Times New Roman" w:cs="Times New Roman"/>
          <w:sz w:val="24"/>
          <w:szCs w:val="24"/>
        </w:rPr>
        <w:t xml:space="preserve">Karimi et al., 2017; </w:t>
      </w:r>
      <w:r w:rsidR="000F77D6" w:rsidRPr="00AF5A16">
        <w:rPr>
          <w:rFonts w:ascii="Times New Roman" w:hAnsi="Times New Roman" w:cs="Times New Roman"/>
          <w:sz w:val="24"/>
          <w:szCs w:val="24"/>
        </w:rPr>
        <w:t>Zhao</w:t>
      </w:r>
      <w:r w:rsidR="000F77D6" w:rsidRPr="00C82EE1">
        <w:rPr>
          <w:rFonts w:ascii="Times New Roman" w:hAnsi="Times New Roman" w:cs="Times New Roman"/>
          <w:sz w:val="24"/>
          <w:szCs w:val="24"/>
        </w:rPr>
        <w:t xml:space="preserve"> et al., 2010)</w:t>
      </w:r>
      <w:r w:rsidRPr="00C82EE1">
        <w:rPr>
          <w:rFonts w:ascii="Times New Roman" w:hAnsi="Times New Roman" w:cs="Times New Roman"/>
          <w:sz w:val="24"/>
          <w:szCs w:val="24"/>
          <w:lang w:val="en-GB"/>
        </w:rPr>
        <w:t xml:space="preserve">, our study challenges this view by uncovering significant variation across cultural, educational, and ICO-specific dimensions </w:t>
      </w:r>
      <w:r w:rsidR="000F77D6" w:rsidRPr="00C82EE1">
        <w:rPr>
          <w:rFonts w:ascii="Times New Roman" w:hAnsi="Times New Roman" w:cs="Times New Roman"/>
          <w:sz w:val="24"/>
          <w:szCs w:val="24"/>
        </w:rPr>
        <w:t xml:space="preserve">(Bruton &amp; Ahlstrom, 2003; </w:t>
      </w:r>
      <w:proofErr w:type="spellStart"/>
      <w:r w:rsidR="000F77D6" w:rsidRPr="00C82EE1">
        <w:rPr>
          <w:rFonts w:ascii="Times New Roman" w:hAnsi="Times New Roman" w:cs="Times New Roman"/>
          <w:sz w:val="24"/>
          <w:szCs w:val="24"/>
        </w:rPr>
        <w:t>Neira</w:t>
      </w:r>
      <w:proofErr w:type="spellEnd"/>
      <w:r w:rsidR="000F77D6" w:rsidRPr="00C82EE1">
        <w:rPr>
          <w:rFonts w:ascii="Times New Roman" w:hAnsi="Times New Roman" w:cs="Times New Roman"/>
          <w:sz w:val="24"/>
          <w:szCs w:val="24"/>
        </w:rPr>
        <w:t xml:space="preserve"> et al., 2017; Xia et al., 2024a)</w:t>
      </w:r>
      <w:r w:rsidRPr="00C82EE1">
        <w:rPr>
          <w:rFonts w:ascii="Times New Roman" w:hAnsi="Times New Roman" w:cs="Times New Roman"/>
          <w:sz w:val="24"/>
          <w:szCs w:val="24"/>
          <w:lang w:val="en-GB"/>
        </w:rPr>
        <w:t>. Specifically, we show that the interpretation of LC depends on factors such as national literacy levels, entrepreneurial education, and the technical sophistication of the ICO itself (e.g., presence of source code). This contribution deepens our understanding of how language-based signals operate across different institutional and cultural environments</w:t>
      </w:r>
      <w:r w:rsidR="00AF5A16">
        <w:rPr>
          <w:rFonts w:ascii="Times New Roman" w:hAnsi="Times New Roman" w:cs="Times New Roman"/>
          <w:sz w:val="24"/>
          <w:szCs w:val="24"/>
          <w:lang w:val="en-GB"/>
        </w:rPr>
        <w:t>, which is</w:t>
      </w:r>
      <w:r w:rsidRPr="00C82EE1">
        <w:rPr>
          <w:rFonts w:ascii="Times New Roman" w:hAnsi="Times New Roman" w:cs="Times New Roman"/>
          <w:sz w:val="24"/>
          <w:szCs w:val="24"/>
          <w:lang w:val="en-GB"/>
        </w:rPr>
        <w:t xml:space="preserve"> largely overlooked in prior work </w:t>
      </w:r>
      <w:r w:rsidR="00D237B0" w:rsidRPr="00C82EE1">
        <w:rPr>
          <w:rFonts w:ascii="Times New Roman" w:hAnsi="Times New Roman" w:cs="Times New Roman"/>
          <w:sz w:val="24"/>
          <w:szCs w:val="24"/>
        </w:rPr>
        <w:t>(Colombo, 2020)</w:t>
      </w:r>
      <w:r w:rsidRPr="00C82EE1">
        <w:rPr>
          <w:rFonts w:ascii="Times New Roman" w:hAnsi="Times New Roman" w:cs="Times New Roman"/>
          <w:sz w:val="24"/>
          <w:szCs w:val="24"/>
          <w:lang w:val="en-GB"/>
        </w:rPr>
        <w:t>.</w:t>
      </w:r>
    </w:p>
    <w:p w14:paraId="60583DB3" w14:textId="4309BDBD" w:rsidR="00481D5B" w:rsidRPr="00C82EE1" w:rsidRDefault="003C5323" w:rsidP="009F392D">
      <w:pPr>
        <w:spacing w:after="120" w:line="360" w:lineRule="auto"/>
        <w:ind w:firstLine="340"/>
        <w:jc w:val="both"/>
        <w:rPr>
          <w:rFonts w:ascii="Times New Roman" w:hAnsi="Times New Roman" w:cs="Times New Roman"/>
          <w:sz w:val="24"/>
          <w:szCs w:val="24"/>
          <w:lang w:val="en-GB"/>
        </w:rPr>
      </w:pPr>
      <w:r w:rsidRPr="00C82EE1">
        <w:rPr>
          <w:rFonts w:ascii="Times New Roman" w:hAnsi="Times New Roman" w:cs="Times New Roman"/>
          <w:sz w:val="24"/>
          <w:szCs w:val="24"/>
          <w:lang w:val="en-GB"/>
        </w:rPr>
        <w:t xml:space="preserve">Third, within the ICO context, we position LC as a complementary signal alongside established cues such as tone, visuals, readability, and CEO traits. Prior studies have shown how factors like CEO attractiveness </w:t>
      </w:r>
      <w:r w:rsidR="00D237B0" w:rsidRPr="00C82EE1">
        <w:rPr>
          <w:rFonts w:ascii="Times New Roman" w:hAnsi="Times New Roman" w:cs="Times New Roman"/>
          <w:sz w:val="24"/>
          <w:szCs w:val="24"/>
        </w:rPr>
        <w:t>(Colombo et al., 2022)</w:t>
      </w:r>
      <w:r w:rsidRPr="00C82EE1">
        <w:rPr>
          <w:rFonts w:ascii="Times New Roman" w:hAnsi="Times New Roman" w:cs="Times New Roman"/>
          <w:sz w:val="24"/>
          <w:szCs w:val="24"/>
          <w:lang w:val="en-GB"/>
        </w:rPr>
        <w:t xml:space="preserve">, thematic content </w:t>
      </w:r>
      <w:r w:rsidR="00D237B0" w:rsidRPr="00772C6F">
        <w:rPr>
          <w:rFonts w:ascii="Times New Roman" w:hAnsi="Times New Roman" w:cs="Times New Roman"/>
          <w:sz w:val="24"/>
          <w:szCs w:val="24"/>
          <w:lang w:val="nl-NL"/>
        </w:rPr>
        <w:t>(</w:t>
      </w:r>
      <w:r w:rsidR="002C79E6">
        <w:rPr>
          <w:rFonts w:ascii="Times New Roman" w:hAnsi="Times New Roman" w:cs="Times New Roman"/>
          <w:sz w:val="24"/>
          <w:szCs w:val="24"/>
          <w:lang w:val="nl-NL"/>
        </w:rPr>
        <w:t xml:space="preserve">Shrestha et al., 2023; </w:t>
      </w:r>
      <w:r w:rsidR="00D237B0" w:rsidRPr="00772C6F">
        <w:rPr>
          <w:rFonts w:ascii="Times New Roman" w:hAnsi="Times New Roman" w:cs="Times New Roman"/>
          <w:sz w:val="24"/>
          <w:szCs w:val="24"/>
          <w:lang w:val="nl-NL"/>
        </w:rPr>
        <w:t>Thewissen et al., 2022)</w:t>
      </w:r>
      <w:r w:rsidRPr="00772C6F">
        <w:rPr>
          <w:rFonts w:ascii="Times New Roman" w:hAnsi="Times New Roman" w:cs="Times New Roman"/>
          <w:sz w:val="24"/>
          <w:szCs w:val="24"/>
          <w:lang w:val="nl-NL"/>
        </w:rPr>
        <w:t xml:space="preserve">, </w:t>
      </w:r>
      <w:proofErr w:type="spellStart"/>
      <w:r w:rsidRPr="00772C6F">
        <w:rPr>
          <w:rFonts w:ascii="Times New Roman" w:hAnsi="Times New Roman" w:cs="Times New Roman"/>
          <w:sz w:val="24"/>
          <w:szCs w:val="24"/>
          <w:lang w:val="nl-NL"/>
        </w:rPr>
        <w:t>tone</w:t>
      </w:r>
      <w:proofErr w:type="spellEnd"/>
      <w:r w:rsidRPr="00772C6F">
        <w:rPr>
          <w:rFonts w:ascii="Times New Roman" w:hAnsi="Times New Roman" w:cs="Times New Roman"/>
          <w:sz w:val="24"/>
          <w:szCs w:val="24"/>
          <w:lang w:val="nl-NL"/>
        </w:rPr>
        <w:t xml:space="preserve"> </w:t>
      </w:r>
      <w:r w:rsidR="00A67BC8" w:rsidRPr="00772C6F">
        <w:rPr>
          <w:rFonts w:ascii="Times New Roman" w:hAnsi="Times New Roman" w:cs="Times New Roman"/>
          <w:sz w:val="24"/>
          <w:szCs w:val="24"/>
          <w:lang w:val="nl-NL"/>
        </w:rPr>
        <w:t>(</w:t>
      </w:r>
      <w:proofErr w:type="spellStart"/>
      <w:r w:rsidR="00A67BC8" w:rsidRPr="00772C6F">
        <w:rPr>
          <w:rFonts w:ascii="Times New Roman" w:hAnsi="Times New Roman" w:cs="Times New Roman"/>
          <w:sz w:val="24"/>
          <w:szCs w:val="24"/>
          <w:lang w:val="nl-NL"/>
        </w:rPr>
        <w:t>Akyildirim</w:t>
      </w:r>
      <w:proofErr w:type="spellEnd"/>
      <w:r w:rsidR="00A67BC8" w:rsidRPr="00772C6F">
        <w:rPr>
          <w:rFonts w:ascii="Times New Roman" w:hAnsi="Times New Roman" w:cs="Times New Roman"/>
          <w:sz w:val="24"/>
          <w:szCs w:val="24"/>
          <w:lang w:val="nl-NL"/>
        </w:rPr>
        <w:t xml:space="preserve"> et al., 2024</w:t>
      </w:r>
      <w:r w:rsidR="002350D9">
        <w:rPr>
          <w:rFonts w:ascii="Times New Roman" w:hAnsi="Times New Roman" w:cs="Times New Roman"/>
          <w:sz w:val="24"/>
          <w:szCs w:val="24"/>
          <w:lang w:val="nl-NL"/>
        </w:rPr>
        <w:t xml:space="preserve">; </w:t>
      </w:r>
      <w:proofErr w:type="spellStart"/>
      <w:r w:rsidR="002350D9">
        <w:rPr>
          <w:rFonts w:ascii="Times New Roman" w:hAnsi="Times New Roman" w:cs="Times New Roman"/>
          <w:sz w:val="24"/>
          <w:szCs w:val="24"/>
          <w:lang w:val="nl-NL"/>
        </w:rPr>
        <w:t>Boudt</w:t>
      </w:r>
      <w:proofErr w:type="spellEnd"/>
      <w:r w:rsidR="002350D9">
        <w:rPr>
          <w:rFonts w:ascii="Times New Roman" w:hAnsi="Times New Roman" w:cs="Times New Roman"/>
          <w:sz w:val="24"/>
          <w:szCs w:val="24"/>
          <w:lang w:val="nl-NL"/>
        </w:rPr>
        <w:t xml:space="preserve"> &amp; Thewissen, 2019</w:t>
      </w:r>
      <w:r w:rsidR="00A67BC8" w:rsidRPr="00772C6F">
        <w:rPr>
          <w:rFonts w:ascii="Times New Roman" w:hAnsi="Times New Roman" w:cs="Times New Roman"/>
          <w:sz w:val="24"/>
          <w:szCs w:val="24"/>
          <w:lang w:val="nl-NL"/>
        </w:rPr>
        <w:t>)</w:t>
      </w:r>
      <w:r w:rsidRPr="00772C6F">
        <w:rPr>
          <w:rFonts w:ascii="Times New Roman" w:hAnsi="Times New Roman" w:cs="Times New Roman"/>
          <w:sz w:val="24"/>
          <w:szCs w:val="24"/>
          <w:lang w:val="nl-NL"/>
        </w:rPr>
        <w:t xml:space="preserve">, </w:t>
      </w:r>
      <w:proofErr w:type="spellStart"/>
      <w:r w:rsidRPr="00772C6F">
        <w:rPr>
          <w:rFonts w:ascii="Times New Roman" w:hAnsi="Times New Roman" w:cs="Times New Roman"/>
          <w:sz w:val="24"/>
          <w:szCs w:val="24"/>
          <w:lang w:val="nl-NL"/>
        </w:rPr>
        <w:t>and</w:t>
      </w:r>
      <w:proofErr w:type="spellEnd"/>
      <w:r w:rsidRPr="00772C6F">
        <w:rPr>
          <w:rFonts w:ascii="Times New Roman" w:hAnsi="Times New Roman" w:cs="Times New Roman"/>
          <w:sz w:val="24"/>
          <w:szCs w:val="24"/>
          <w:lang w:val="nl-NL"/>
        </w:rPr>
        <w:t xml:space="preserve"> crypto-</w:t>
      </w:r>
      <w:proofErr w:type="spellStart"/>
      <w:r w:rsidRPr="00772C6F">
        <w:rPr>
          <w:rFonts w:ascii="Times New Roman" w:hAnsi="Times New Roman" w:cs="Times New Roman"/>
          <w:sz w:val="24"/>
          <w:szCs w:val="24"/>
          <w:lang w:val="nl-NL"/>
        </w:rPr>
        <w:t>related</w:t>
      </w:r>
      <w:proofErr w:type="spellEnd"/>
      <w:r w:rsidRPr="00772C6F">
        <w:rPr>
          <w:rFonts w:ascii="Times New Roman" w:hAnsi="Times New Roman" w:cs="Times New Roman"/>
          <w:sz w:val="24"/>
          <w:szCs w:val="24"/>
          <w:lang w:val="nl-NL"/>
        </w:rPr>
        <w:t xml:space="preserve"> </w:t>
      </w:r>
      <w:proofErr w:type="spellStart"/>
      <w:r w:rsidRPr="00772C6F">
        <w:rPr>
          <w:rFonts w:ascii="Times New Roman" w:hAnsi="Times New Roman" w:cs="Times New Roman"/>
          <w:sz w:val="24"/>
          <w:szCs w:val="24"/>
          <w:lang w:val="nl-NL"/>
        </w:rPr>
        <w:t>naming</w:t>
      </w:r>
      <w:proofErr w:type="spellEnd"/>
      <w:r w:rsidRPr="00772C6F">
        <w:rPr>
          <w:rFonts w:ascii="Times New Roman" w:hAnsi="Times New Roman" w:cs="Times New Roman"/>
          <w:sz w:val="24"/>
          <w:szCs w:val="24"/>
          <w:lang w:val="nl-NL"/>
        </w:rPr>
        <w:t xml:space="preserve"> </w:t>
      </w:r>
      <w:proofErr w:type="spellStart"/>
      <w:r w:rsidRPr="00772C6F">
        <w:rPr>
          <w:rFonts w:ascii="Times New Roman" w:hAnsi="Times New Roman" w:cs="Times New Roman"/>
          <w:sz w:val="24"/>
          <w:szCs w:val="24"/>
          <w:lang w:val="nl-NL"/>
        </w:rPr>
        <w:t>conventions</w:t>
      </w:r>
      <w:proofErr w:type="spellEnd"/>
      <w:r w:rsidRPr="00772C6F">
        <w:rPr>
          <w:rFonts w:ascii="Times New Roman" w:hAnsi="Times New Roman" w:cs="Times New Roman"/>
          <w:sz w:val="24"/>
          <w:szCs w:val="24"/>
          <w:lang w:val="nl-NL"/>
        </w:rPr>
        <w:t xml:space="preserve"> </w:t>
      </w:r>
      <w:r w:rsidR="001F7444" w:rsidRPr="00C82EE1">
        <w:rPr>
          <w:rFonts w:ascii="Times New Roman" w:hAnsi="Times New Roman" w:cs="Times New Roman"/>
          <w:sz w:val="24"/>
          <w:szCs w:val="24"/>
        </w:rPr>
        <w:t>(Xia et al., 2024b)</w:t>
      </w:r>
      <w:r w:rsidR="001F7444" w:rsidRPr="00C82EE1">
        <w:rPr>
          <w:rFonts w:ascii="Times New Roman" w:hAnsi="Times New Roman" w:cs="Times New Roman"/>
          <w:sz w:val="24"/>
          <w:szCs w:val="24"/>
          <w:lang w:val="en-GB"/>
        </w:rPr>
        <w:t xml:space="preserve"> </w:t>
      </w:r>
      <w:r w:rsidRPr="00C82EE1">
        <w:rPr>
          <w:rFonts w:ascii="Times New Roman" w:hAnsi="Times New Roman" w:cs="Times New Roman"/>
          <w:sz w:val="24"/>
          <w:szCs w:val="24"/>
          <w:lang w:val="en-GB"/>
        </w:rPr>
        <w:t xml:space="preserve">influence funding success. Others have highlighted the role of visual elements, such as infographics, in reducing information </w:t>
      </w:r>
      <w:r w:rsidRPr="00C82EE1">
        <w:rPr>
          <w:rFonts w:ascii="Times New Roman" w:hAnsi="Times New Roman" w:cs="Times New Roman"/>
          <w:sz w:val="24"/>
          <w:szCs w:val="24"/>
          <w:lang w:val="en-GB"/>
        </w:rPr>
        <w:lastRenderedPageBreak/>
        <w:t xml:space="preserve">asymmetry </w:t>
      </w:r>
      <w:r w:rsidR="001F7444" w:rsidRPr="00C82EE1">
        <w:rPr>
          <w:rFonts w:ascii="Times New Roman" w:hAnsi="Times New Roman" w:cs="Times New Roman"/>
          <w:sz w:val="24"/>
          <w:szCs w:val="24"/>
        </w:rPr>
        <w:t>(Xia et al., 2024c)</w:t>
      </w:r>
      <w:r w:rsidRPr="00C82EE1">
        <w:rPr>
          <w:rFonts w:ascii="Times New Roman" w:hAnsi="Times New Roman" w:cs="Times New Roman"/>
          <w:sz w:val="24"/>
          <w:szCs w:val="24"/>
          <w:lang w:val="en-GB"/>
        </w:rPr>
        <w:t xml:space="preserve">. Building on this, we show that LC enhances the credibility and perceived professionalism of the project team, especially among more discerning investors. While readability continues to matter, overly simplistic language may backfire, reducing perceived credibility. LC thus emerges as a parallel and potent signal of expertise, enabling </w:t>
      </w:r>
      <w:proofErr w:type="spellStart"/>
      <w:r w:rsidRPr="00C82EE1">
        <w:rPr>
          <w:rFonts w:ascii="Times New Roman" w:hAnsi="Times New Roman" w:cs="Times New Roman"/>
          <w:sz w:val="24"/>
          <w:szCs w:val="24"/>
          <w:lang w:val="en-GB"/>
        </w:rPr>
        <w:t>startups</w:t>
      </w:r>
      <w:proofErr w:type="spellEnd"/>
      <w:r w:rsidRPr="00C82EE1">
        <w:rPr>
          <w:rFonts w:ascii="Times New Roman" w:hAnsi="Times New Roman" w:cs="Times New Roman"/>
          <w:sz w:val="24"/>
          <w:szCs w:val="24"/>
          <w:lang w:val="en-GB"/>
        </w:rPr>
        <w:t xml:space="preserve"> to differentiate themselves in highly competitive, information-scarce </w:t>
      </w:r>
      <w:r w:rsidRPr="009F392D">
        <w:rPr>
          <w:rFonts w:ascii="Times New Roman" w:hAnsi="Times New Roman" w:cs="Times New Roman"/>
          <w:sz w:val="24"/>
          <w:szCs w:val="24"/>
          <w:lang w:val="en-GB"/>
        </w:rPr>
        <w:t>environments.</w:t>
      </w:r>
    </w:p>
    <w:p w14:paraId="2F29FDE7" w14:textId="4A5C17BD" w:rsidR="00BB6410" w:rsidRPr="00C82EE1" w:rsidRDefault="00BB6410" w:rsidP="009F392D">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The rest of the paper is structured as follows. The following section presents the literature review</w:t>
      </w:r>
      <w:r w:rsidR="004C6F81" w:rsidRPr="00C82EE1">
        <w:rPr>
          <w:rFonts w:ascii="Times New Roman" w:hAnsi="Times New Roman" w:cs="Times New Roman"/>
          <w:sz w:val="24"/>
          <w:szCs w:val="24"/>
        </w:rPr>
        <w:t xml:space="preserve">, while </w:t>
      </w:r>
      <w:r w:rsidRPr="00C82EE1">
        <w:rPr>
          <w:rFonts w:ascii="Times New Roman" w:hAnsi="Times New Roman" w:cs="Times New Roman"/>
          <w:sz w:val="24"/>
          <w:szCs w:val="24"/>
        </w:rPr>
        <w:t xml:space="preserve">Section 3 </w:t>
      </w:r>
      <w:r w:rsidR="004C6F81" w:rsidRPr="00C82EE1">
        <w:rPr>
          <w:rFonts w:ascii="Times New Roman" w:hAnsi="Times New Roman" w:cs="Times New Roman"/>
          <w:sz w:val="24"/>
          <w:szCs w:val="24"/>
        </w:rPr>
        <w:t xml:space="preserve">discusses </w:t>
      </w:r>
      <w:r w:rsidRPr="00C82EE1">
        <w:rPr>
          <w:rFonts w:ascii="Times New Roman" w:hAnsi="Times New Roman" w:cs="Times New Roman"/>
          <w:sz w:val="24"/>
          <w:szCs w:val="24"/>
        </w:rPr>
        <w:t>the hypothes</w:t>
      </w:r>
      <w:r w:rsidR="00AF5A16">
        <w:rPr>
          <w:rFonts w:ascii="Times New Roman" w:hAnsi="Times New Roman" w:cs="Times New Roman"/>
          <w:sz w:val="24"/>
          <w:szCs w:val="24"/>
        </w:rPr>
        <w:t>e</w:t>
      </w:r>
      <w:r w:rsidRPr="00C82EE1">
        <w:rPr>
          <w:rFonts w:ascii="Times New Roman" w:hAnsi="Times New Roman" w:cs="Times New Roman"/>
          <w:sz w:val="24"/>
          <w:szCs w:val="24"/>
        </w:rPr>
        <w:t xml:space="preserve">s development and Section 4 </w:t>
      </w:r>
      <w:r w:rsidR="00355BA2">
        <w:rPr>
          <w:rFonts w:ascii="Times New Roman" w:hAnsi="Times New Roman" w:cs="Times New Roman"/>
          <w:sz w:val="24"/>
          <w:szCs w:val="24"/>
        </w:rPr>
        <w:t>explains</w:t>
      </w:r>
      <w:r w:rsidRPr="00C82EE1">
        <w:rPr>
          <w:rFonts w:ascii="Times New Roman" w:hAnsi="Times New Roman" w:cs="Times New Roman"/>
          <w:sz w:val="24"/>
          <w:szCs w:val="24"/>
        </w:rPr>
        <w:t xml:space="preserve"> the research design</w:t>
      </w:r>
      <w:r w:rsidR="004C6F81" w:rsidRPr="00C82EE1">
        <w:rPr>
          <w:rFonts w:ascii="Times New Roman" w:hAnsi="Times New Roman" w:cs="Times New Roman"/>
          <w:sz w:val="24"/>
          <w:szCs w:val="24"/>
        </w:rPr>
        <w:t xml:space="preserve">. Section 5 provides the empirical results, while Section 6 </w:t>
      </w:r>
      <w:r w:rsidR="00355BA2">
        <w:rPr>
          <w:rFonts w:ascii="Times New Roman" w:hAnsi="Times New Roman" w:cs="Times New Roman"/>
          <w:sz w:val="24"/>
          <w:szCs w:val="24"/>
        </w:rPr>
        <w:t>includes</w:t>
      </w:r>
      <w:r w:rsidR="004C6F81" w:rsidRPr="00C82EE1">
        <w:rPr>
          <w:rFonts w:ascii="Times New Roman" w:hAnsi="Times New Roman" w:cs="Times New Roman"/>
          <w:sz w:val="24"/>
          <w:szCs w:val="24"/>
        </w:rPr>
        <w:t xml:space="preserve"> the Post-ICO performance</w:t>
      </w:r>
      <w:r w:rsidR="00AF5A16">
        <w:rPr>
          <w:rFonts w:ascii="Times New Roman" w:hAnsi="Times New Roman" w:cs="Times New Roman"/>
          <w:sz w:val="24"/>
          <w:szCs w:val="24"/>
        </w:rPr>
        <w:t xml:space="preserve"> analysis</w:t>
      </w:r>
      <w:r w:rsidR="004C6F81" w:rsidRPr="00C82EE1">
        <w:rPr>
          <w:rFonts w:ascii="Times New Roman" w:hAnsi="Times New Roman" w:cs="Times New Roman"/>
          <w:sz w:val="24"/>
          <w:szCs w:val="24"/>
        </w:rPr>
        <w:t xml:space="preserve">. Section 7 tests the robustness of our </w:t>
      </w:r>
      <w:r w:rsidR="00AF5A16">
        <w:rPr>
          <w:rFonts w:ascii="Times New Roman" w:hAnsi="Times New Roman" w:cs="Times New Roman"/>
          <w:sz w:val="24"/>
          <w:szCs w:val="24"/>
        </w:rPr>
        <w:t>r</w:t>
      </w:r>
      <w:r w:rsidR="004C6F81" w:rsidRPr="00C82EE1">
        <w:rPr>
          <w:rFonts w:ascii="Times New Roman" w:hAnsi="Times New Roman" w:cs="Times New Roman"/>
          <w:sz w:val="24"/>
          <w:szCs w:val="24"/>
        </w:rPr>
        <w:t>esults and Section 8 concludes.</w:t>
      </w:r>
    </w:p>
    <w:p w14:paraId="3443F676" w14:textId="77777777" w:rsidR="00481D5B" w:rsidRPr="00C82EE1" w:rsidRDefault="00481D5B" w:rsidP="00E223E9">
      <w:pPr>
        <w:pStyle w:val="Titre1"/>
      </w:pPr>
      <w:r w:rsidRPr="00C82EE1">
        <w:t xml:space="preserve">Literature review </w:t>
      </w:r>
    </w:p>
    <w:p w14:paraId="3CC9C03B" w14:textId="4D173D70" w:rsidR="00E24555" w:rsidRPr="00C82EE1" w:rsidRDefault="00481D5B" w:rsidP="00E223E9">
      <w:pPr>
        <w:spacing w:after="120" w:line="360" w:lineRule="auto"/>
        <w:jc w:val="both"/>
        <w:rPr>
          <w:rFonts w:ascii="Times New Roman" w:hAnsi="Times New Roman" w:cs="Times New Roman"/>
          <w:sz w:val="24"/>
          <w:szCs w:val="24"/>
          <w:lang w:val="en-GB"/>
        </w:rPr>
      </w:pPr>
      <w:r w:rsidRPr="00C82EE1">
        <w:rPr>
          <w:rFonts w:ascii="Times New Roman" w:hAnsi="Times New Roman" w:cs="Times New Roman"/>
          <w:sz w:val="24"/>
          <w:szCs w:val="24"/>
          <w:lang w:val="en-GB"/>
        </w:rPr>
        <w:t xml:space="preserve">This study shows how vocabulary can be used as a tool to ensure investor attributions on a project and funding success. This approach strongly contrasts with prior </w:t>
      </w:r>
      <w:proofErr w:type="spellStart"/>
      <w:r w:rsidRPr="00C82EE1">
        <w:rPr>
          <w:rFonts w:ascii="Times New Roman" w:hAnsi="Times New Roman" w:cs="Times New Roman"/>
          <w:sz w:val="24"/>
          <w:szCs w:val="24"/>
          <w:lang w:val="en-GB"/>
        </w:rPr>
        <w:t>resea</w:t>
      </w:r>
      <w:r w:rsidRPr="00C82EE1">
        <w:rPr>
          <w:rFonts w:ascii="Times New Roman" w:hAnsi="Times New Roman" w:cs="Times New Roman"/>
          <w:sz w:val="24"/>
          <w:szCs w:val="24"/>
        </w:rPr>
        <w:t>rch</w:t>
      </w:r>
      <w:proofErr w:type="spellEnd"/>
      <w:r w:rsidRPr="00C82EE1">
        <w:rPr>
          <w:rFonts w:ascii="Times New Roman" w:hAnsi="Times New Roman" w:cs="Times New Roman"/>
          <w:sz w:val="24"/>
          <w:szCs w:val="24"/>
        </w:rPr>
        <w:t xml:space="preserve"> in finance, which overwhelmingly focuses on a text readability using inadequately specified readability formulas.</w:t>
      </w:r>
      <w:r w:rsidRPr="00C82EE1">
        <w:rPr>
          <w:rStyle w:val="Appelnotedebasdep"/>
          <w:rFonts w:ascii="Times New Roman" w:hAnsi="Times New Roman" w:cs="Times New Roman"/>
          <w:sz w:val="24"/>
          <w:szCs w:val="24"/>
        </w:rPr>
        <w:footnoteReference w:id="1"/>
      </w:r>
      <w:r w:rsidRPr="00C82EE1">
        <w:rPr>
          <w:rFonts w:ascii="Times New Roman" w:hAnsi="Times New Roman" w:cs="Times New Roman"/>
          <w:sz w:val="24"/>
          <w:szCs w:val="24"/>
        </w:rPr>
        <w:t xml:space="preserve"> </w:t>
      </w:r>
      <w:r w:rsidRPr="00C82EE1">
        <w:rPr>
          <w:rFonts w:ascii="Times New Roman" w:hAnsi="Times New Roman" w:cs="Times New Roman"/>
          <w:sz w:val="24"/>
          <w:szCs w:val="24"/>
          <w:lang w:val="en-GB"/>
        </w:rPr>
        <w:t xml:space="preserve">We propose a novel paradigm in financial textual analysis by looking at LC and its role in influencing investor perceptions of the ICO project, impacting </w:t>
      </w:r>
      <w:r w:rsidR="00A572E8" w:rsidRPr="00C82EE1">
        <w:rPr>
          <w:rFonts w:ascii="Times New Roman" w:hAnsi="Times New Roman" w:cs="Times New Roman"/>
          <w:sz w:val="24"/>
          <w:szCs w:val="24"/>
          <w:lang w:val="en-GB"/>
        </w:rPr>
        <w:t xml:space="preserve">a </w:t>
      </w:r>
      <w:r w:rsidRPr="00C82EE1">
        <w:rPr>
          <w:rFonts w:ascii="Times New Roman" w:hAnsi="Times New Roman" w:cs="Times New Roman"/>
          <w:sz w:val="24"/>
          <w:szCs w:val="24"/>
          <w:lang w:val="en-GB"/>
        </w:rPr>
        <w:t xml:space="preserve">venture ability to raise capital. </w:t>
      </w:r>
    </w:p>
    <w:p w14:paraId="3C444C9E" w14:textId="77777777" w:rsidR="00481D5B" w:rsidRPr="00E223E9" w:rsidRDefault="00481D5B" w:rsidP="00E223E9">
      <w:pPr>
        <w:pStyle w:val="Titre2"/>
      </w:pPr>
      <w:r w:rsidRPr="00E223E9">
        <w:t>ICOs, information asymmetry and white papers</w:t>
      </w:r>
    </w:p>
    <w:p w14:paraId="233C2124" w14:textId="7D4D635B" w:rsidR="00481D5B" w:rsidRPr="00C82EE1" w:rsidRDefault="00481D5B" w:rsidP="009F392D">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ICOs represent a rapidly growing entrepreneurial venture practice that allows startups to raise funds by directly selling blockchain-based digital assets (i.e., tokens) to investors (see, e.g., </w:t>
      </w:r>
      <w:proofErr w:type="spellStart"/>
      <w:r w:rsidR="001F7444" w:rsidRPr="00C82EE1">
        <w:rPr>
          <w:rFonts w:ascii="Times New Roman" w:hAnsi="Times New Roman" w:cs="Times New Roman"/>
          <w:sz w:val="24"/>
          <w:szCs w:val="24"/>
        </w:rPr>
        <w:t>Amsden</w:t>
      </w:r>
      <w:proofErr w:type="spellEnd"/>
      <w:r w:rsidR="001F7444" w:rsidRPr="00C82EE1">
        <w:rPr>
          <w:rFonts w:ascii="Times New Roman" w:hAnsi="Times New Roman" w:cs="Times New Roman"/>
          <w:sz w:val="24"/>
          <w:szCs w:val="24"/>
        </w:rPr>
        <w:t xml:space="preserve"> &amp; Schweizer, 2018; </w:t>
      </w:r>
      <w:proofErr w:type="spellStart"/>
      <w:r w:rsidR="001F7444" w:rsidRPr="00C82EE1">
        <w:rPr>
          <w:rFonts w:ascii="Times New Roman" w:hAnsi="Times New Roman" w:cs="Times New Roman"/>
          <w:sz w:val="24"/>
          <w:szCs w:val="24"/>
        </w:rPr>
        <w:t>Momtaz</w:t>
      </w:r>
      <w:proofErr w:type="spellEnd"/>
      <w:r w:rsidR="001F7444" w:rsidRPr="00C82EE1">
        <w:rPr>
          <w:rFonts w:ascii="Times New Roman" w:hAnsi="Times New Roman" w:cs="Times New Roman"/>
          <w:sz w:val="24"/>
          <w:szCs w:val="24"/>
        </w:rPr>
        <w:t>, 2020)</w:t>
      </w:r>
      <w:r w:rsidRPr="00C82EE1">
        <w:rPr>
          <w:rFonts w:ascii="Times New Roman" w:hAnsi="Times New Roman" w:cs="Times New Roman"/>
          <w:sz w:val="24"/>
          <w:szCs w:val="24"/>
        </w:rPr>
        <w:t>. The process of an ICO involves several stages. First, the issuing startup or project drafts a white paper outlining the details of the ICO, including its objectives, technological details, token allocation, and the proposed use of funds. The startup then announces the period of the ICO, during which interested investors can participate by paying with cryptocurrencies or fiat currencies in exchange for the newly created tokens. Once the ICO concludes, the tokens are distributed to investor digital wallets. After the ICO period ends, tokens may be listed on cryptocurrency exchanges, which enables secondary trading.</w:t>
      </w:r>
    </w:p>
    <w:p w14:paraId="54D03074" w14:textId="24D0108F" w:rsidR="00481D5B" w:rsidRPr="00C82EE1" w:rsidRDefault="00481D5B" w:rsidP="00E223E9">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ICOs </w:t>
      </w:r>
      <w:r w:rsidR="00A572E8" w:rsidRPr="00C82EE1">
        <w:rPr>
          <w:rFonts w:ascii="Times New Roman" w:hAnsi="Times New Roman" w:cs="Times New Roman"/>
          <w:sz w:val="24"/>
          <w:szCs w:val="24"/>
        </w:rPr>
        <w:t>have</w:t>
      </w:r>
      <w:r w:rsidRPr="00C82EE1">
        <w:rPr>
          <w:rFonts w:ascii="Times New Roman" w:hAnsi="Times New Roman" w:cs="Times New Roman"/>
          <w:sz w:val="24"/>
          <w:szCs w:val="24"/>
        </w:rPr>
        <w:t xml:space="preserve"> gained attention in finance research due to their potential as an alternative fundraising method. </w:t>
      </w:r>
      <w:r w:rsidR="00BB6410" w:rsidRPr="00C82EE1">
        <w:rPr>
          <w:rFonts w:ascii="Times New Roman" w:hAnsi="Times New Roman" w:cs="Times New Roman"/>
          <w:sz w:val="24"/>
          <w:szCs w:val="24"/>
        </w:rPr>
        <w:t>However, t</w:t>
      </w:r>
      <w:r w:rsidRPr="00C82EE1">
        <w:rPr>
          <w:rFonts w:ascii="Times New Roman" w:hAnsi="Times New Roman" w:cs="Times New Roman"/>
          <w:sz w:val="24"/>
          <w:szCs w:val="24"/>
        </w:rPr>
        <w:t xml:space="preserve">he ICO market operates with limited regulation and is </w:t>
      </w:r>
      <w:r w:rsidRPr="00C82EE1">
        <w:rPr>
          <w:rFonts w:ascii="Times New Roman" w:hAnsi="Times New Roman" w:cs="Times New Roman"/>
          <w:sz w:val="24"/>
          <w:szCs w:val="24"/>
        </w:rPr>
        <w:lastRenderedPageBreak/>
        <w:t xml:space="preserve">characterized by a high degree of information asymmetry. </w:t>
      </w:r>
      <w:r w:rsidR="00BF6349" w:rsidRPr="00C82EE1">
        <w:rPr>
          <w:rFonts w:ascii="Times New Roman" w:hAnsi="Times New Roman" w:cs="Times New Roman"/>
          <w:sz w:val="24"/>
          <w:szCs w:val="24"/>
        </w:rPr>
        <w:t>The absence of established financial statements regarding ICOs makes the white paper the only channel to convey information to investors</w:t>
      </w:r>
      <w:r w:rsidRPr="00C82EE1">
        <w:rPr>
          <w:rFonts w:ascii="Times New Roman" w:hAnsi="Times New Roman" w:cs="Times New Roman"/>
          <w:sz w:val="24"/>
          <w:szCs w:val="24"/>
        </w:rPr>
        <w:t xml:space="preserve"> </w:t>
      </w:r>
      <w:r w:rsidR="00D237B0" w:rsidRPr="00C82EE1">
        <w:rPr>
          <w:rFonts w:ascii="Times New Roman" w:hAnsi="Times New Roman" w:cs="Times New Roman"/>
          <w:sz w:val="24"/>
          <w:szCs w:val="24"/>
        </w:rPr>
        <w:t>(Thewissen et al., 2022)</w:t>
      </w:r>
      <w:r w:rsidRPr="00C82EE1">
        <w:rPr>
          <w:rFonts w:ascii="Times New Roman" w:hAnsi="Times New Roman" w:cs="Times New Roman"/>
          <w:sz w:val="24"/>
          <w:szCs w:val="24"/>
        </w:rPr>
        <w:t xml:space="preserve">. Entrepreneurs use it to describe and promote their projects in detail (e.g., value proposition, token allocation, technical features, and further prospects). White papers, therefore, matter to investors, as confirmed by a survey conducted by </w:t>
      </w:r>
      <w:r w:rsidR="001F7444" w:rsidRPr="00C82EE1">
        <w:rPr>
          <w:rFonts w:ascii="Times New Roman" w:hAnsi="Times New Roman" w:cs="Times New Roman"/>
          <w:sz w:val="24"/>
          <w:szCs w:val="24"/>
        </w:rPr>
        <w:t xml:space="preserve">Fisch et al. </w:t>
      </w:r>
      <w:r w:rsidR="00B513DF">
        <w:rPr>
          <w:rFonts w:ascii="Times New Roman" w:hAnsi="Times New Roman" w:cs="Times New Roman"/>
          <w:sz w:val="24"/>
          <w:szCs w:val="24"/>
        </w:rPr>
        <w:t>(</w:t>
      </w:r>
      <w:r w:rsidR="001F7444" w:rsidRPr="00C82EE1">
        <w:rPr>
          <w:rFonts w:ascii="Times New Roman" w:hAnsi="Times New Roman" w:cs="Times New Roman"/>
          <w:sz w:val="24"/>
          <w:szCs w:val="24"/>
        </w:rPr>
        <w:t>2021</w:t>
      </w:r>
      <w:r w:rsidR="00B513DF">
        <w:rPr>
          <w:rFonts w:ascii="Times New Roman" w:hAnsi="Times New Roman" w:cs="Times New Roman"/>
          <w:sz w:val="24"/>
          <w:szCs w:val="24"/>
        </w:rPr>
        <w:t>)</w:t>
      </w:r>
      <w:r w:rsidR="001F7444" w:rsidRPr="00C82EE1">
        <w:rPr>
          <w:rFonts w:ascii="Times New Roman" w:hAnsi="Times New Roman" w:cs="Times New Roman"/>
          <w:sz w:val="24"/>
          <w:szCs w:val="24"/>
        </w:rPr>
        <w:t xml:space="preserve"> </w:t>
      </w:r>
      <w:r w:rsidRPr="00C82EE1">
        <w:rPr>
          <w:rFonts w:ascii="Times New Roman" w:hAnsi="Times New Roman" w:cs="Times New Roman"/>
          <w:sz w:val="24"/>
          <w:szCs w:val="24"/>
        </w:rPr>
        <w:t xml:space="preserve">showing that </w:t>
      </w:r>
      <w:r w:rsidRPr="00C82EE1">
        <w:rPr>
          <w:rFonts w:ascii="Times New Roman" w:hAnsi="Times New Roman" w:cs="Times New Roman"/>
          <w:sz w:val="24"/>
          <w:szCs w:val="24"/>
          <w:lang w:val="en-GB"/>
        </w:rPr>
        <w:t>a large proportion of investors actually read them</w:t>
      </w:r>
      <w:r w:rsidRPr="00C82EE1">
        <w:rPr>
          <w:rFonts w:ascii="Times New Roman" w:hAnsi="Times New Roman" w:cs="Times New Roman"/>
          <w:sz w:val="24"/>
          <w:szCs w:val="24"/>
        </w:rPr>
        <w:t>.</w:t>
      </w:r>
    </w:p>
    <w:p w14:paraId="51DFABD4" w14:textId="1EEFAA22" w:rsidR="00481D5B" w:rsidRPr="00C82EE1" w:rsidRDefault="00481D5B" w:rsidP="00E223E9">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The nascent nature of ICO startups, together with their operation outside traditional regulatory and intermediation frameworks, give rise to significant levels of asymmetric information </w:t>
      </w:r>
      <w:r w:rsidR="001F7444" w:rsidRPr="00C82EE1">
        <w:rPr>
          <w:rFonts w:ascii="Times New Roman" w:hAnsi="Times New Roman" w:cs="Times New Roman"/>
          <w:sz w:val="24"/>
          <w:szCs w:val="24"/>
        </w:rPr>
        <w:t>(</w:t>
      </w:r>
      <w:proofErr w:type="spellStart"/>
      <w:r w:rsidR="001F7444" w:rsidRPr="00C82EE1">
        <w:rPr>
          <w:rFonts w:ascii="Times New Roman" w:hAnsi="Times New Roman" w:cs="Times New Roman"/>
          <w:sz w:val="24"/>
          <w:szCs w:val="24"/>
        </w:rPr>
        <w:t>Hornuf</w:t>
      </w:r>
      <w:proofErr w:type="spellEnd"/>
      <w:r w:rsidR="001F7444" w:rsidRPr="00C82EE1">
        <w:rPr>
          <w:rFonts w:ascii="Times New Roman" w:hAnsi="Times New Roman" w:cs="Times New Roman"/>
          <w:sz w:val="24"/>
          <w:szCs w:val="24"/>
        </w:rPr>
        <w:t xml:space="preserve"> et al., 2022; Huang et al., 2022)</w:t>
      </w:r>
      <w:r w:rsidRPr="00C82EE1">
        <w:rPr>
          <w:rFonts w:ascii="Times New Roman" w:hAnsi="Times New Roman" w:cs="Times New Roman"/>
          <w:sz w:val="24"/>
          <w:szCs w:val="24"/>
        </w:rPr>
        <w:t xml:space="preserve">. A growing body of literature explores how the quality of disclosure and the use of signals can help mitigate this asymmetry and enhance ICO success. For example, </w:t>
      </w:r>
      <w:r w:rsidR="001F7444" w:rsidRPr="00C82EE1">
        <w:rPr>
          <w:rFonts w:ascii="Times New Roman" w:hAnsi="Times New Roman" w:cs="Times New Roman"/>
          <w:sz w:val="24"/>
          <w:szCs w:val="24"/>
        </w:rPr>
        <w:t>Thewissen et al. (2022)</w:t>
      </w:r>
      <w:r w:rsidRPr="00C82EE1">
        <w:rPr>
          <w:rFonts w:ascii="Times New Roman" w:hAnsi="Times New Roman" w:cs="Times New Roman"/>
          <w:sz w:val="24"/>
          <w:szCs w:val="24"/>
        </w:rPr>
        <w:t xml:space="preserve"> use topic modeling to show that the thematic content of ICO white papers offers valuable insights for identifying successful ICOs. </w:t>
      </w:r>
      <w:proofErr w:type="spellStart"/>
      <w:r w:rsidR="001F7444" w:rsidRPr="00C82EE1">
        <w:rPr>
          <w:rFonts w:ascii="Times New Roman" w:hAnsi="Times New Roman" w:cs="Times New Roman"/>
          <w:sz w:val="24"/>
          <w:szCs w:val="24"/>
        </w:rPr>
        <w:t>Samieifar</w:t>
      </w:r>
      <w:proofErr w:type="spellEnd"/>
      <w:r w:rsidR="001F7444" w:rsidRPr="00C82EE1">
        <w:rPr>
          <w:rFonts w:ascii="Times New Roman" w:hAnsi="Times New Roman" w:cs="Times New Roman"/>
          <w:sz w:val="24"/>
          <w:szCs w:val="24"/>
        </w:rPr>
        <w:t xml:space="preserve"> &amp; Baur (2021)</w:t>
      </w:r>
      <w:r w:rsidRPr="00C82EE1">
        <w:rPr>
          <w:rFonts w:ascii="Times New Roman" w:hAnsi="Times New Roman" w:cs="Times New Roman"/>
          <w:sz w:val="24"/>
          <w:szCs w:val="24"/>
        </w:rPr>
        <w:t xml:space="preserve"> find a positive correlation between the length and readability of white papers and ICO success. Regarding the use of signals, </w:t>
      </w:r>
      <w:r w:rsidR="001F7444" w:rsidRPr="00C82EE1">
        <w:rPr>
          <w:rFonts w:ascii="Times New Roman" w:hAnsi="Times New Roman" w:cs="Times New Roman"/>
          <w:sz w:val="24"/>
          <w:szCs w:val="24"/>
        </w:rPr>
        <w:t>Shrestha et al. (2021)</w:t>
      </w:r>
      <w:r w:rsidRPr="00C82EE1">
        <w:rPr>
          <w:rFonts w:ascii="Times New Roman" w:hAnsi="Times New Roman" w:cs="Times New Roman"/>
          <w:sz w:val="24"/>
          <w:szCs w:val="24"/>
        </w:rPr>
        <w:t xml:space="preserve"> show that the institutional strength of the ICO issuing country serves as a heuristic for investors, while </w:t>
      </w:r>
      <w:proofErr w:type="spellStart"/>
      <w:r w:rsidR="00C56AD0" w:rsidRPr="00C82EE1">
        <w:rPr>
          <w:rFonts w:ascii="Times New Roman" w:hAnsi="Times New Roman" w:cs="Times New Roman"/>
          <w:sz w:val="24"/>
          <w:szCs w:val="24"/>
        </w:rPr>
        <w:t>Momtaz</w:t>
      </w:r>
      <w:proofErr w:type="spellEnd"/>
      <w:r w:rsidR="00C56AD0" w:rsidRPr="00C82EE1">
        <w:rPr>
          <w:rFonts w:ascii="Times New Roman" w:hAnsi="Times New Roman" w:cs="Times New Roman"/>
          <w:sz w:val="24"/>
          <w:szCs w:val="24"/>
        </w:rPr>
        <w:t xml:space="preserve"> (2021c)</w:t>
      </w:r>
      <w:r w:rsidRPr="00C82EE1">
        <w:rPr>
          <w:rFonts w:ascii="Times New Roman" w:hAnsi="Times New Roman" w:cs="Times New Roman"/>
          <w:sz w:val="24"/>
          <w:szCs w:val="24"/>
        </w:rPr>
        <w:t xml:space="preserve"> finds that CEO loyalty plays a critical role in mitigating agency problems, thereby increasing investor confidence and funding success.</w:t>
      </w:r>
    </w:p>
    <w:p w14:paraId="7517CE9D" w14:textId="05F120F5" w:rsidR="00153422" w:rsidRPr="00C82EE1" w:rsidRDefault="00481D5B" w:rsidP="00B45747">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Overall, while existing literature acknowledges the role of linguistic and visual features in reducing information asymmetry </w:t>
      </w:r>
      <w:r w:rsidR="00D237B0" w:rsidRPr="00C82EE1">
        <w:rPr>
          <w:rFonts w:ascii="Times New Roman" w:hAnsi="Times New Roman" w:cs="Times New Roman"/>
          <w:sz w:val="24"/>
          <w:szCs w:val="24"/>
        </w:rPr>
        <w:t>(</w:t>
      </w:r>
      <w:proofErr w:type="spellStart"/>
      <w:r w:rsidR="00D237B0" w:rsidRPr="00C82EE1">
        <w:rPr>
          <w:rFonts w:ascii="Times New Roman" w:hAnsi="Times New Roman" w:cs="Times New Roman"/>
          <w:sz w:val="24"/>
          <w:szCs w:val="24"/>
        </w:rPr>
        <w:t>Florysiak</w:t>
      </w:r>
      <w:proofErr w:type="spellEnd"/>
      <w:r w:rsidR="00D237B0" w:rsidRPr="00C82EE1">
        <w:rPr>
          <w:rFonts w:ascii="Times New Roman" w:hAnsi="Times New Roman" w:cs="Times New Roman"/>
          <w:sz w:val="24"/>
          <w:szCs w:val="24"/>
        </w:rPr>
        <w:t xml:space="preserve"> &amp; </w:t>
      </w:r>
      <w:proofErr w:type="spellStart"/>
      <w:r w:rsidR="00D237B0" w:rsidRPr="00C82EE1">
        <w:rPr>
          <w:rFonts w:ascii="Times New Roman" w:hAnsi="Times New Roman" w:cs="Times New Roman"/>
          <w:sz w:val="24"/>
          <w:szCs w:val="24"/>
        </w:rPr>
        <w:t>Schandlbauer</w:t>
      </w:r>
      <w:proofErr w:type="spellEnd"/>
      <w:r w:rsidR="00D237B0" w:rsidRPr="00C82EE1">
        <w:rPr>
          <w:rFonts w:ascii="Times New Roman" w:hAnsi="Times New Roman" w:cs="Times New Roman"/>
          <w:sz w:val="24"/>
          <w:szCs w:val="24"/>
        </w:rPr>
        <w:t>, 2022; Thewissen et al., 2022; Xia et al., 2024c)</w:t>
      </w:r>
      <w:r w:rsidRPr="00C82EE1">
        <w:rPr>
          <w:rFonts w:ascii="Times New Roman" w:hAnsi="Times New Roman" w:cs="Times New Roman"/>
          <w:sz w:val="24"/>
          <w:szCs w:val="24"/>
        </w:rPr>
        <w:t xml:space="preserve">, the impact of LC remains largely unexplored. This paper fills this gap and investigates how the vocabulary selection contained in ICO white papers influences investor trust and ICO success. </w:t>
      </w:r>
    </w:p>
    <w:p w14:paraId="7A87FA8F" w14:textId="77777777" w:rsidR="00481D5B" w:rsidRPr="00C82EE1" w:rsidRDefault="00481D5B" w:rsidP="00E223E9">
      <w:pPr>
        <w:pStyle w:val="Titre2"/>
      </w:pPr>
      <w:r w:rsidRPr="00C82EE1">
        <w:t>Readability and LC</w:t>
      </w:r>
    </w:p>
    <w:p w14:paraId="15DC1ADD" w14:textId="190CB1E3" w:rsidR="00AD4369"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While readability is an important construct, it is distinct from LC </w:t>
      </w:r>
      <w:r w:rsidR="0044204B" w:rsidRPr="00C82EE1">
        <w:rPr>
          <w:rFonts w:ascii="Times New Roman" w:hAnsi="Times New Roman" w:cs="Times New Roman"/>
          <w:sz w:val="24"/>
          <w:szCs w:val="24"/>
        </w:rPr>
        <w:t>(</w:t>
      </w:r>
      <w:proofErr w:type="spellStart"/>
      <w:r w:rsidR="0044204B" w:rsidRPr="00C82EE1">
        <w:rPr>
          <w:rFonts w:ascii="Times New Roman" w:hAnsi="Times New Roman" w:cs="Times New Roman"/>
          <w:sz w:val="24"/>
          <w:szCs w:val="24"/>
        </w:rPr>
        <w:t>Bulte</w:t>
      </w:r>
      <w:proofErr w:type="spellEnd"/>
      <w:r w:rsidR="0044204B" w:rsidRPr="00C82EE1">
        <w:rPr>
          <w:rFonts w:ascii="Times New Roman" w:hAnsi="Times New Roman" w:cs="Times New Roman"/>
          <w:sz w:val="24"/>
          <w:szCs w:val="24"/>
        </w:rPr>
        <w:t xml:space="preserve"> &amp; </w:t>
      </w:r>
      <w:proofErr w:type="spellStart"/>
      <w:r w:rsidR="0044204B" w:rsidRPr="00C82EE1">
        <w:rPr>
          <w:rFonts w:ascii="Times New Roman" w:hAnsi="Times New Roman" w:cs="Times New Roman"/>
          <w:sz w:val="24"/>
          <w:szCs w:val="24"/>
        </w:rPr>
        <w:t>Housen</w:t>
      </w:r>
      <w:proofErr w:type="spellEnd"/>
      <w:r w:rsidR="0044204B" w:rsidRPr="00C82EE1">
        <w:rPr>
          <w:rFonts w:ascii="Times New Roman" w:hAnsi="Times New Roman" w:cs="Times New Roman"/>
          <w:sz w:val="24"/>
          <w:szCs w:val="24"/>
        </w:rPr>
        <w:t>, 2012; Lu, 2012; Read, 2000)</w:t>
      </w:r>
      <w:r w:rsidRPr="00C82EE1">
        <w:rPr>
          <w:rFonts w:ascii="Times New Roman" w:hAnsi="Times New Roman" w:cs="Times New Roman"/>
          <w:sz w:val="24"/>
          <w:szCs w:val="24"/>
        </w:rPr>
        <w:t>, which has n</w:t>
      </w:r>
      <w:r w:rsidR="00FA2702" w:rsidRPr="00C82EE1">
        <w:rPr>
          <w:rFonts w:ascii="Times New Roman" w:hAnsi="Times New Roman" w:cs="Times New Roman"/>
          <w:sz w:val="24"/>
          <w:szCs w:val="24"/>
        </w:rPr>
        <w:t>ot</w:t>
      </w:r>
      <w:r w:rsidRPr="00C82EE1">
        <w:rPr>
          <w:rFonts w:ascii="Times New Roman" w:hAnsi="Times New Roman" w:cs="Times New Roman"/>
          <w:sz w:val="24"/>
          <w:szCs w:val="24"/>
        </w:rPr>
        <w:t xml:space="preserve"> been studied or operationalized as we suggest here in the context of financial textual communication. In this section, we outline the differences between readability and LC, both in terms of their conceptual foundations and their measurement approaches. </w:t>
      </w:r>
    </w:p>
    <w:p w14:paraId="31BC643A" w14:textId="77777777" w:rsidR="00481D5B" w:rsidRPr="00E223E9" w:rsidRDefault="00481D5B" w:rsidP="00E223E9">
      <w:pPr>
        <w:pStyle w:val="Titre3"/>
      </w:pPr>
      <w:r w:rsidRPr="00E223E9">
        <w:t>Readability definition and measurement</w:t>
      </w:r>
    </w:p>
    <w:p w14:paraId="235DC98F" w14:textId="5B2F6BED" w:rsidR="00481D5B" w:rsidRPr="00C82EE1" w:rsidRDefault="00481D5B" w:rsidP="003E0220">
      <w:pPr>
        <w:spacing w:after="120" w:line="360" w:lineRule="auto"/>
        <w:jc w:val="both"/>
        <w:rPr>
          <w:rFonts w:ascii="Times New Roman" w:hAnsi="Times New Roman" w:cs="Times New Roman"/>
          <w:sz w:val="24"/>
          <w:szCs w:val="24"/>
          <w:lang w:val="en-GB"/>
        </w:rPr>
      </w:pPr>
      <w:r w:rsidRPr="00C82EE1">
        <w:rPr>
          <w:rFonts w:ascii="Times New Roman" w:hAnsi="Times New Roman" w:cs="Times New Roman"/>
          <w:sz w:val="24"/>
          <w:szCs w:val="24"/>
        </w:rPr>
        <w:t xml:space="preserve">Readability measurement in financial textual analysis primarily aims to capture the ease or difficulty with which information is linguistically presented and subsequently cognitively processed. </w:t>
      </w:r>
      <w:proofErr w:type="spellStart"/>
      <w:r w:rsidR="0044204B" w:rsidRPr="00C82EE1">
        <w:rPr>
          <w:rFonts w:ascii="Times New Roman" w:hAnsi="Times New Roman" w:cs="Times New Roman"/>
          <w:sz w:val="24"/>
          <w:szCs w:val="24"/>
        </w:rPr>
        <w:t>Lahmar</w:t>
      </w:r>
      <w:proofErr w:type="spellEnd"/>
      <w:r w:rsidR="0044204B" w:rsidRPr="00C82EE1">
        <w:rPr>
          <w:rFonts w:ascii="Times New Roman" w:hAnsi="Times New Roman" w:cs="Times New Roman"/>
          <w:sz w:val="24"/>
          <w:szCs w:val="24"/>
        </w:rPr>
        <w:t xml:space="preserve"> &amp; </w:t>
      </w:r>
      <w:proofErr w:type="spellStart"/>
      <w:r w:rsidR="0044204B" w:rsidRPr="00C82EE1">
        <w:rPr>
          <w:rFonts w:ascii="Times New Roman" w:hAnsi="Times New Roman" w:cs="Times New Roman"/>
          <w:sz w:val="24"/>
          <w:szCs w:val="24"/>
        </w:rPr>
        <w:t>Piras</w:t>
      </w:r>
      <w:proofErr w:type="spellEnd"/>
      <w:r w:rsidR="0044204B" w:rsidRPr="00C82EE1">
        <w:rPr>
          <w:rFonts w:ascii="Times New Roman" w:hAnsi="Times New Roman" w:cs="Times New Roman"/>
          <w:sz w:val="24"/>
          <w:szCs w:val="24"/>
        </w:rPr>
        <w:t xml:space="preserve"> (2023)</w:t>
      </w:r>
      <w:r w:rsidR="001270C1" w:rsidRPr="00C82EE1">
        <w:rPr>
          <w:rFonts w:ascii="Times New Roman" w:hAnsi="Times New Roman" w:cs="Times New Roman"/>
          <w:sz w:val="24"/>
          <w:szCs w:val="24"/>
        </w:rPr>
        <w:t xml:space="preserve"> explain that readability formulas are "</w:t>
      </w:r>
      <w:r w:rsidR="001270C1" w:rsidRPr="00AD4704">
        <w:rPr>
          <w:rFonts w:ascii="Times New Roman" w:hAnsi="Times New Roman" w:cs="Times New Roman"/>
          <w:i/>
          <w:sz w:val="24"/>
          <w:szCs w:val="24"/>
        </w:rPr>
        <w:t xml:space="preserve">a quantitative </w:t>
      </w:r>
      <w:r w:rsidR="001270C1" w:rsidRPr="00AD4704">
        <w:rPr>
          <w:rFonts w:ascii="Times New Roman" w:hAnsi="Times New Roman" w:cs="Times New Roman"/>
          <w:i/>
          <w:sz w:val="24"/>
          <w:szCs w:val="24"/>
        </w:rPr>
        <w:lastRenderedPageBreak/>
        <w:t>methodology based on textual analysis, that makes it possible to estimate the degree of ease or difficulty an individual might face when reading a text.</w:t>
      </w:r>
      <w:r w:rsidR="001270C1" w:rsidRPr="00C82EE1">
        <w:rPr>
          <w:rFonts w:ascii="Times New Roman" w:hAnsi="Times New Roman" w:cs="Times New Roman"/>
          <w:sz w:val="24"/>
          <w:szCs w:val="24"/>
        </w:rPr>
        <w:t xml:space="preserve">" </w:t>
      </w:r>
      <w:r w:rsidRPr="00C82EE1">
        <w:rPr>
          <w:rFonts w:ascii="Times New Roman" w:hAnsi="Times New Roman" w:cs="Times New Roman"/>
          <w:sz w:val="24"/>
          <w:szCs w:val="24"/>
        </w:rPr>
        <w:t>Readability equations predict how challenging the text is without involving the</w:t>
      </w:r>
      <w:r w:rsidRPr="00C82EE1">
        <w:rPr>
          <w:rFonts w:ascii="Times New Roman" w:hAnsi="Times New Roman" w:cs="Times New Roman"/>
          <w:sz w:val="24"/>
          <w:szCs w:val="24"/>
          <w:lang w:val="en-GB"/>
        </w:rPr>
        <w:t xml:space="preserve"> reader as there is no actual feedback from the readers themselves to judge the extent to which the text is understandable.</w:t>
      </w:r>
      <w:r w:rsidRPr="00C82EE1">
        <w:rPr>
          <w:rStyle w:val="Appelnotedebasdep"/>
          <w:rFonts w:ascii="Times New Roman" w:hAnsi="Times New Roman" w:cs="Times New Roman"/>
          <w:sz w:val="24"/>
          <w:szCs w:val="24"/>
        </w:rPr>
        <w:footnoteReference w:id="2"/>
      </w:r>
      <w:r w:rsidRPr="00C82EE1">
        <w:rPr>
          <w:rFonts w:ascii="Times New Roman" w:hAnsi="Times New Roman" w:cs="Times New Roman"/>
          <w:sz w:val="24"/>
          <w:szCs w:val="24"/>
          <w:lang w:val="en-GB"/>
        </w:rPr>
        <w:t xml:space="preserve"> </w:t>
      </w:r>
    </w:p>
    <w:p w14:paraId="600A272C" w14:textId="051DC55C" w:rsidR="00481D5B" w:rsidRPr="00C82EE1" w:rsidRDefault="00481D5B" w:rsidP="003E0220">
      <w:pPr>
        <w:spacing w:after="120" w:line="360" w:lineRule="auto"/>
        <w:ind w:firstLine="340"/>
        <w:jc w:val="both"/>
        <w:rPr>
          <w:rFonts w:ascii="Times New Roman" w:hAnsi="Times New Roman" w:cs="Times New Roman"/>
          <w:sz w:val="24"/>
          <w:szCs w:val="24"/>
          <w:lang w:val="en-GB"/>
        </w:rPr>
      </w:pPr>
      <w:r w:rsidRPr="001F28CC">
        <w:rPr>
          <w:rFonts w:ascii="Times New Roman" w:hAnsi="Times New Roman" w:cs="Times New Roman"/>
          <w:sz w:val="24"/>
          <w:szCs w:val="24"/>
          <w:lang w:val="en-GB"/>
        </w:rPr>
        <w:t xml:space="preserve">The three most frequently used readability measures in finance literature are </w:t>
      </w:r>
      <w:r w:rsidRPr="001F28CC">
        <w:rPr>
          <w:rFonts w:ascii="Times New Roman" w:hAnsi="Times New Roman" w:cs="Times New Roman"/>
          <w:sz w:val="24"/>
          <w:szCs w:val="24"/>
        </w:rPr>
        <w:t>the well-known Gunning Fog Index (FOG), the Flesch Reading Ease (FRE) and the</w:t>
      </w:r>
      <w:r w:rsidRPr="001F28CC">
        <w:rPr>
          <w:rFonts w:ascii="Times New Roman" w:hAnsi="Times New Roman" w:cs="Times New Roman"/>
          <w:sz w:val="24"/>
          <w:szCs w:val="24"/>
          <w:lang w:val="en-GB"/>
        </w:rPr>
        <w:t xml:space="preserve"> Flesch-Kinkaid Grade Level (FKG) matrix. While practically appealing as a general gauge of textual understandability, each of these indices is imperfect </w:t>
      </w:r>
      <w:r w:rsidR="0044204B" w:rsidRPr="001F28CC">
        <w:rPr>
          <w:rFonts w:ascii="Times New Roman" w:hAnsi="Times New Roman" w:cs="Times New Roman"/>
          <w:sz w:val="24"/>
          <w:szCs w:val="24"/>
        </w:rPr>
        <w:t>(Loughran &amp; McDonald, 2014a)</w:t>
      </w:r>
      <w:r w:rsidRPr="001F28CC">
        <w:rPr>
          <w:rFonts w:ascii="Times New Roman" w:hAnsi="Times New Roman" w:cs="Times New Roman"/>
          <w:sz w:val="24"/>
          <w:szCs w:val="24"/>
          <w:lang w:val="en-GB"/>
        </w:rPr>
        <w:t xml:space="preserve">, therefore limiting their relevance in our study.  For example, one component of the FOG Index is the count of </w:t>
      </w:r>
      <w:r w:rsidRPr="00153422">
        <w:rPr>
          <w:rFonts w:ascii="Times New Roman" w:hAnsi="Times New Roman" w:cs="Times New Roman"/>
          <w:sz w:val="24"/>
          <w:szCs w:val="24"/>
          <w:lang w:val="en-GB"/>
        </w:rPr>
        <w:t>complex words</w:t>
      </w:r>
      <w:r w:rsidR="00153422" w:rsidRPr="00153422">
        <w:rPr>
          <w:rFonts w:ascii="Times New Roman" w:hAnsi="Times New Roman" w:cs="Times New Roman"/>
          <w:sz w:val="24"/>
          <w:szCs w:val="24"/>
          <w:lang w:val="en-GB"/>
        </w:rPr>
        <w:t xml:space="preserve"> </w:t>
      </w:r>
      <w:r w:rsidRPr="001F28CC">
        <w:rPr>
          <w:rFonts w:ascii="Times New Roman" w:hAnsi="Times New Roman" w:cs="Times New Roman"/>
          <w:sz w:val="24"/>
          <w:szCs w:val="24"/>
          <w:lang w:val="en-GB"/>
        </w:rPr>
        <w:t xml:space="preserve">in a text, defined as words with more than two syllables. Thus, common financial terms such as </w:t>
      </w:r>
      <w:r w:rsidR="0072565E" w:rsidRPr="001F28CC">
        <w:rPr>
          <w:rFonts w:ascii="Times New Roman" w:hAnsi="Times New Roman" w:cs="Times New Roman"/>
          <w:sz w:val="24"/>
          <w:szCs w:val="24"/>
          <w:lang w:val="en-GB"/>
        </w:rPr>
        <w:t>"</w:t>
      </w:r>
      <w:r w:rsidRPr="001F28CC">
        <w:rPr>
          <w:rFonts w:ascii="Times New Roman" w:hAnsi="Times New Roman" w:cs="Times New Roman"/>
          <w:i/>
          <w:iCs/>
          <w:sz w:val="24"/>
          <w:szCs w:val="24"/>
          <w:lang w:val="en-GB"/>
        </w:rPr>
        <w:t>economy</w:t>
      </w:r>
      <w:r w:rsidR="0072565E" w:rsidRPr="001F28CC">
        <w:rPr>
          <w:rFonts w:ascii="Times New Roman" w:hAnsi="Times New Roman" w:cs="Times New Roman"/>
          <w:sz w:val="24"/>
          <w:szCs w:val="24"/>
          <w:lang w:val="en-GB"/>
        </w:rPr>
        <w:t>"</w:t>
      </w:r>
      <w:r w:rsidRPr="001F28CC">
        <w:rPr>
          <w:rFonts w:ascii="Times New Roman" w:hAnsi="Times New Roman" w:cs="Times New Roman"/>
          <w:i/>
          <w:iCs/>
          <w:sz w:val="24"/>
          <w:szCs w:val="24"/>
          <w:lang w:val="en-GB"/>
        </w:rPr>
        <w:t xml:space="preserve">, </w:t>
      </w:r>
      <w:r w:rsidR="0072565E" w:rsidRPr="001F28CC">
        <w:rPr>
          <w:rFonts w:ascii="Times New Roman" w:hAnsi="Times New Roman" w:cs="Times New Roman"/>
          <w:sz w:val="24"/>
          <w:szCs w:val="24"/>
          <w:lang w:val="en-GB"/>
        </w:rPr>
        <w:t>"</w:t>
      </w:r>
      <w:r w:rsidRPr="001F28CC">
        <w:rPr>
          <w:rFonts w:ascii="Times New Roman" w:hAnsi="Times New Roman" w:cs="Times New Roman"/>
          <w:i/>
          <w:iCs/>
          <w:sz w:val="24"/>
          <w:szCs w:val="24"/>
          <w:lang w:val="en-GB"/>
        </w:rPr>
        <w:t>investment</w:t>
      </w:r>
      <w:r w:rsidR="0072565E" w:rsidRPr="001F28CC">
        <w:rPr>
          <w:rFonts w:ascii="Times New Roman" w:hAnsi="Times New Roman" w:cs="Times New Roman"/>
          <w:sz w:val="24"/>
          <w:szCs w:val="24"/>
          <w:lang w:val="en-GB"/>
        </w:rPr>
        <w:t>"</w:t>
      </w:r>
      <w:r w:rsidRPr="001F28CC">
        <w:rPr>
          <w:rFonts w:ascii="Times New Roman" w:hAnsi="Times New Roman" w:cs="Times New Roman"/>
          <w:i/>
          <w:iCs/>
          <w:sz w:val="24"/>
          <w:szCs w:val="24"/>
          <w:lang w:val="en-GB"/>
        </w:rPr>
        <w:t xml:space="preserve">, </w:t>
      </w:r>
      <w:r w:rsidR="0072565E" w:rsidRPr="001F28CC">
        <w:rPr>
          <w:rFonts w:ascii="Times New Roman" w:hAnsi="Times New Roman" w:cs="Times New Roman"/>
          <w:sz w:val="24"/>
          <w:szCs w:val="24"/>
          <w:lang w:val="en-GB"/>
        </w:rPr>
        <w:t>"</w:t>
      </w:r>
      <w:r w:rsidRPr="001F28CC">
        <w:rPr>
          <w:rFonts w:ascii="Times New Roman" w:hAnsi="Times New Roman" w:cs="Times New Roman"/>
          <w:i/>
          <w:iCs/>
          <w:sz w:val="24"/>
          <w:szCs w:val="24"/>
          <w:lang w:val="en-GB"/>
        </w:rPr>
        <w:t>revenue</w:t>
      </w:r>
      <w:r w:rsidR="0072565E" w:rsidRPr="001F28CC">
        <w:rPr>
          <w:rFonts w:ascii="Times New Roman" w:hAnsi="Times New Roman" w:cs="Times New Roman"/>
          <w:sz w:val="24"/>
          <w:szCs w:val="24"/>
          <w:lang w:val="en-GB"/>
        </w:rPr>
        <w:t>"</w:t>
      </w:r>
      <w:r w:rsidRPr="001F28CC">
        <w:rPr>
          <w:rFonts w:ascii="Times New Roman" w:hAnsi="Times New Roman" w:cs="Times New Roman"/>
          <w:sz w:val="24"/>
          <w:szCs w:val="24"/>
          <w:lang w:val="en-GB"/>
        </w:rPr>
        <w:t xml:space="preserve"> or </w:t>
      </w:r>
      <w:r w:rsidR="0072565E" w:rsidRPr="001F28CC">
        <w:rPr>
          <w:rFonts w:ascii="Times New Roman" w:hAnsi="Times New Roman" w:cs="Times New Roman"/>
          <w:sz w:val="24"/>
          <w:szCs w:val="24"/>
          <w:lang w:val="en-GB"/>
        </w:rPr>
        <w:t>"</w:t>
      </w:r>
      <w:r w:rsidRPr="001F28CC">
        <w:rPr>
          <w:rFonts w:ascii="Times New Roman" w:hAnsi="Times New Roman" w:cs="Times New Roman"/>
          <w:i/>
          <w:iCs/>
          <w:sz w:val="24"/>
          <w:szCs w:val="24"/>
          <w:lang w:val="en-GB"/>
        </w:rPr>
        <w:t>entrepreneur</w:t>
      </w:r>
      <w:r w:rsidR="0072565E" w:rsidRPr="001F28CC">
        <w:rPr>
          <w:rFonts w:ascii="Times New Roman" w:hAnsi="Times New Roman" w:cs="Times New Roman"/>
          <w:sz w:val="24"/>
          <w:szCs w:val="24"/>
          <w:lang w:val="en-GB"/>
        </w:rPr>
        <w:t>"</w:t>
      </w:r>
      <w:r w:rsidRPr="001F28CC">
        <w:rPr>
          <w:rFonts w:ascii="Times New Roman" w:hAnsi="Times New Roman" w:cs="Times New Roman"/>
          <w:i/>
          <w:iCs/>
          <w:sz w:val="24"/>
          <w:szCs w:val="24"/>
          <w:lang w:val="en-GB"/>
        </w:rPr>
        <w:t xml:space="preserve"> </w:t>
      </w:r>
      <w:r w:rsidRPr="001F28CC">
        <w:rPr>
          <w:rFonts w:ascii="Times New Roman" w:hAnsi="Times New Roman" w:cs="Times New Roman"/>
          <w:sz w:val="24"/>
          <w:szCs w:val="24"/>
          <w:lang w:val="en-GB"/>
        </w:rPr>
        <w:t xml:space="preserve">are considered </w:t>
      </w:r>
      <w:r w:rsidRPr="00153422">
        <w:rPr>
          <w:rFonts w:ascii="Times New Roman" w:hAnsi="Times New Roman" w:cs="Times New Roman"/>
          <w:sz w:val="24"/>
          <w:szCs w:val="24"/>
          <w:lang w:val="en-GB"/>
        </w:rPr>
        <w:t>complex words</w:t>
      </w:r>
      <w:r w:rsidRPr="001F28CC">
        <w:rPr>
          <w:rFonts w:ascii="Times New Roman" w:hAnsi="Times New Roman" w:cs="Times New Roman"/>
          <w:sz w:val="24"/>
          <w:szCs w:val="24"/>
          <w:lang w:val="en-GB"/>
        </w:rPr>
        <w:t xml:space="preserve"> despite being easily understood by people in and outside the field of finance. This rather simplistic definition of </w:t>
      </w:r>
      <w:r w:rsidRPr="00153422">
        <w:rPr>
          <w:rFonts w:ascii="Times New Roman" w:hAnsi="Times New Roman" w:cs="Times New Roman"/>
          <w:sz w:val="24"/>
          <w:szCs w:val="24"/>
          <w:lang w:val="en-GB"/>
        </w:rPr>
        <w:t>complex words</w:t>
      </w:r>
      <w:r w:rsidRPr="001F28CC">
        <w:rPr>
          <w:rFonts w:ascii="Times New Roman" w:hAnsi="Times New Roman" w:cs="Times New Roman"/>
          <w:sz w:val="24"/>
          <w:szCs w:val="24"/>
          <w:lang w:val="en-GB"/>
        </w:rPr>
        <w:t xml:space="preserve"> is far removed from the more sophisticated operationali</w:t>
      </w:r>
      <w:r w:rsidR="001F28CC" w:rsidRPr="001F28CC">
        <w:rPr>
          <w:rFonts w:ascii="Times New Roman" w:hAnsi="Times New Roman" w:cs="Times New Roman"/>
          <w:sz w:val="24"/>
          <w:szCs w:val="24"/>
          <w:lang w:val="en-GB"/>
        </w:rPr>
        <w:t>z</w:t>
      </w:r>
      <w:r w:rsidRPr="001F28CC">
        <w:rPr>
          <w:rFonts w:ascii="Times New Roman" w:hAnsi="Times New Roman" w:cs="Times New Roman"/>
          <w:sz w:val="24"/>
          <w:szCs w:val="24"/>
          <w:lang w:val="en-GB"/>
        </w:rPr>
        <w:t>ation proposed in this paper.</w:t>
      </w:r>
      <w:r w:rsidRPr="00C82EE1">
        <w:rPr>
          <w:rFonts w:ascii="Times New Roman" w:hAnsi="Times New Roman" w:cs="Times New Roman"/>
          <w:sz w:val="24"/>
          <w:szCs w:val="24"/>
          <w:lang w:val="en-GB"/>
        </w:rPr>
        <w:t xml:space="preserve"> </w:t>
      </w:r>
    </w:p>
    <w:p w14:paraId="573E545D" w14:textId="52474B15" w:rsidR="00481D5B"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lang w:val="en-GB"/>
        </w:rPr>
        <w:t xml:space="preserve">While traditional readability metrics such as the FOG and Flesch-Kincaid Index provide useful approximations of textual difficulty, they may not be entirely suitable for financial texts </w:t>
      </w:r>
      <w:r w:rsidR="0044204B" w:rsidRPr="00C82EE1">
        <w:rPr>
          <w:rFonts w:ascii="Times New Roman" w:hAnsi="Times New Roman" w:cs="Times New Roman"/>
          <w:sz w:val="24"/>
          <w:szCs w:val="24"/>
        </w:rPr>
        <w:t>(Loughran &amp; McDonald, 2014a)</w:t>
      </w:r>
      <w:r w:rsidRPr="00C82EE1">
        <w:rPr>
          <w:rFonts w:ascii="Times New Roman" w:hAnsi="Times New Roman" w:cs="Times New Roman"/>
          <w:sz w:val="24"/>
          <w:szCs w:val="24"/>
          <w:lang w:val="en-GB"/>
        </w:rPr>
        <w:t xml:space="preserve">. FKG, for instance, was initially developed to assess the reading grade level of a text for school-aged children, a setting quite far removed from that of financial communication. </w:t>
      </w:r>
      <w:r w:rsidRPr="00C82EE1">
        <w:rPr>
          <w:rFonts w:ascii="Times New Roman" w:hAnsi="Times New Roman" w:cs="Times New Roman"/>
          <w:sz w:val="24"/>
          <w:szCs w:val="24"/>
        </w:rPr>
        <w:t xml:space="preserve">This raises concerns about the applicability of the FOG, </w:t>
      </w:r>
      <w:r w:rsidR="001F28CC">
        <w:rPr>
          <w:rFonts w:ascii="Times New Roman" w:hAnsi="Times New Roman" w:cs="Times New Roman"/>
          <w:sz w:val="24"/>
          <w:szCs w:val="24"/>
        </w:rPr>
        <w:t>FRE</w:t>
      </w:r>
      <w:r w:rsidRPr="00C82EE1">
        <w:rPr>
          <w:rFonts w:ascii="Times New Roman" w:hAnsi="Times New Roman" w:cs="Times New Roman"/>
          <w:sz w:val="24"/>
          <w:szCs w:val="24"/>
        </w:rPr>
        <w:t>, and FKG formulas in evaluating the understandability of financial disclosures</w:t>
      </w:r>
      <w:r w:rsidR="0044204B" w:rsidRPr="00C82EE1">
        <w:rPr>
          <w:rFonts w:ascii="Times New Roman" w:hAnsi="Times New Roman" w:cs="Times New Roman"/>
          <w:sz w:val="24"/>
          <w:szCs w:val="24"/>
        </w:rPr>
        <w:t xml:space="preserve"> (Flesch, 1948; Gunning, 1952; Kincaid et al., 1975; </w:t>
      </w:r>
      <w:proofErr w:type="spellStart"/>
      <w:r w:rsidR="0044204B" w:rsidRPr="00C82EE1">
        <w:rPr>
          <w:rFonts w:ascii="Times New Roman" w:hAnsi="Times New Roman" w:cs="Times New Roman"/>
          <w:sz w:val="24"/>
          <w:szCs w:val="24"/>
        </w:rPr>
        <w:t>Lahmar</w:t>
      </w:r>
      <w:proofErr w:type="spellEnd"/>
      <w:r w:rsidR="0044204B" w:rsidRPr="00C82EE1">
        <w:rPr>
          <w:rFonts w:ascii="Times New Roman" w:hAnsi="Times New Roman" w:cs="Times New Roman"/>
          <w:sz w:val="24"/>
          <w:szCs w:val="24"/>
        </w:rPr>
        <w:t xml:space="preserve"> &amp; </w:t>
      </w:r>
      <w:proofErr w:type="spellStart"/>
      <w:r w:rsidR="0044204B" w:rsidRPr="00C82EE1">
        <w:rPr>
          <w:rFonts w:ascii="Times New Roman" w:hAnsi="Times New Roman" w:cs="Times New Roman"/>
          <w:sz w:val="24"/>
          <w:szCs w:val="24"/>
        </w:rPr>
        <w:t>Piras</w:t>
      </w:r>
      <w:proofErr w:type="spellEnd"/>
      <w:r w:rsidR="0044204B" w:rsidRPr="00C82EE1">
        <w:rPr>
          <w:rFonts w:ascii="Times New Roman" w:hAnsi="Times New Roman" w:cs="Times New Roman"/>
          <w:sz w:val="24"/>
          <w:szCs w:val="24"/>
        </w:rPr>
        <w:t xml:space="preserve">, 2023). </w:t>
      </w:r>
      <w:r w:rsidRPr="00C82EE1">
        <w:rPr>
          <w:rFonts w:ascii="Times New Roman" w:hAnsi="Times New Roman" w:cs="Times New Roman"/>
          <w:sz w:val="24"/>
          <w:szCs w:val="24"/>
        </w:rPr>
        <w:t xml:space="preserve">Notably, these traditional readability models do not account for LC as we define it, focusing instead on surface-level features such as sentence length, syllable count, and total word count. Given these limitations, we question the relevance </w:t>
      </w:r>
      <w:r w:rsidR="00BA3E16" w:rsidRPr="00C82EE1">
        <w:rPr>
          <w:rFonts w:ascii="Times New Roman" w:hAnsi="Times New Roman" w:cs="Times New Roman"/>
          <w:sz w:val="24"/>
          <w:szCs w:val="24"/>
        </w:rPr>
        <w:t xml:space="preserve">of </w:t>
      </w:r>
      <w:r w:rsidR="00EF0630" w:rsidRPr="00C82EE1">
        <w:rPr>
          <w:rFonts w:ascii="Times New Roman" w:hAnsi="Times New Roman" w:cs="Times New Roman"/>
          <w:sz w:val="24"/>
          <w:szCs w:val="24"/>
        </w:rPr>
        <w:t>depending solely on the</w:t>
      </w:r>
      <w:r w:rsidRPr="00C82EE1">
        <w:rPr>
          <w:rFonts w:ascii="Times New Roman" w:hAnsi="Times New Roman" w:cs="Times New Roman"/>
          <w:sz w:val="24"/>
          <w:szCs w:val="24"/>
        </w:rPr>
        <w:t xml:space="preserve"> conventional readability measures in financial disclosures </w:t>
      </w:r>
      <w:r w:rsidR="0044204B" w:rsidRPr="00C82EE1">
        <w:rPr>
          <w:rFonts w:ascii="Times New Roman" w:hAnsi="Times New Roman" w:cs="Times New Roman"/>
          <w:sz w:val="24"/>
          <w:szCs w:val="24"/>
        </w:rPr>
        <w:t>(Loughran &amp; McDonald, 2014a)</w:t>
      </w:r>
      <w:r w:rsidRPr="00C82EE1">
        <w:rPr>
          <w:rFonts w:ascii="Times New Roman" w:hAnsi="Times New Roman" w:cs="Times New Roman"/>
          <w:sz w:val="24"/>
          <w:szCs w:val="24"/>
        </w:rPr>
        <w:t xml:space="preserve">. </w:t>
      </w:r>
      <w:r w:rsidR="000219EA" w:rsidRPr="00C82EE1">
        <w:rPr>
          <w:rFonts w:ascii="Times New Roman" w:hAnsi="Times New Roman" w:cs="Times New Roman"/>
          <w:sz w:val="24"/>
          <w:szCs w:val="24"/>
        </w:rPr>
        <w:t>We argue that readability and LC are distinct yet complementary constructs, each capturing different dimensions of textual effectiveness. Recognizing their interplay offers a more nuanced and accurate understanding of how language shapes investor perceptions in settings like ICOs.</w:t>
      </w:r>
    </w:p>
    <w:p w14:paraId="72E224BC" w14:textId="77777777" w:rsidR="00B45747" w:rsidRPr="00C82EE1" w:rsidRDefault="00B45747" w:rsidP="003E0220">
      <w:pPr>
        <w:spacing w:after="120" w:line="360" w:lineRule="auto"/>
        <w:ind w:firstLine="340"/>
        <w:jc w:val="both"/>
        <w:rPr>
          <w:rFonts w:ascii="Times New Roman" w:hAnsi="Times New Roman" w:cs="Times New Roman"/>
          <w:sz w:val="24"/>
          <w:szCs w:val="24"/>
          <w:lang w:val="en-GB"/>
        </w:rPr>
      </w:pPr>
    </w:p>
    <w:p w14:paraId="0D3745C3" w14:textId="77777777" w:rsidR="00481D5B" w:rsidRPr="00C82EE1" w:rsidRDefault="00481D5B" w:rsidP="00E223E9">
      <w:pPr>
        <w:pStyle w:val="Titre3"/>
      </w:pPr>
      <w:r w:rsidRPr="00C82EE1">
        <w:rPr>
          <w:lang w:val="en-GB"/>
        </w:rPr>
        <w:lastRenderedPageBreak/>
        <w:t>LC</w:t>
      </w:r>
      <w:r w:rsidRPr="00C82EE1">
        <w:t xml:space="preserve"> conceptualization and measurement</w:t>
      </w:r>
    </w:p>
    <w:p w14:paraId="1C7BFDD8" w14:textId="1BA264E5" w:rsidR="00481D5B" w:rsidRPr="00C82EE1" w:rsidRDefault="00481D5B" w:rsidP="003E0220">
      <w:pPr>
        <w:spacing w:after="120" w:line="360" w:lineRule="auto"/>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 xml:space="preserve">We address the limitations of traditional readability formulas by introducing a </w:t>
      </w:r>
      <w:r w:rsidR="001F28CC">
        <w:rPr>
          <w:rFonts w:ascii="Times New Roman" w:eastAsia="Times New Roman" w:hAnsi="Times New Roman" w:cs="Times New Roman"/>
          <w:sz w:val="24"/>
          <w:szCs w:val="24"/>
          <w:lang w:eastAsia="fr-BE"/>
        </w:rPr>
        <w:t xml:space="preserve">novel </w:t>
      </w:r>
      <w:r w:rsidRPr="00C82EE1">
        <w:rPr>
          <w:rFonts w:ascii="Times New Roman" w:eastAsia="Times New Roman" w:hAnsi="Times New Roman" w:cs="Times New Roman"/>
          <w:sz w:val="24"/>
          <w:szCs w:val="24"/>
          <w:lang w:eastAsia="fr-BE"/>
        </w:rPr>
        <w:t xml:space="preserve">linguistic concept: LC. While readability and LC both influence text comprehensibility, LC extends beyond conventional metrics </w:t>
      </w:r>
      <w:r w:rsidR="001270C1" w:rsidRPr="00C82EE1">
        <w:rPr>
          <w:rFonts w:ascii="Times New Roman" w:eastAsia="Times New Roman" w:hAnsi="Times New Roman" w:cs="Times New Roman"/>
          <w:sz w:val="24"/>
          <w:szCs w:val="24"/>
          <w:lang w:eastAsia="fr-BE"/>
        </w:rPr>
        <w:t xml:space="preserve">such as </w:t>
      </w:r>
      <w:r w:rsidRPr="00C82EE1">
        <w:rPr>
          <w:rFonts w:ascii="Times New Roman" w:eastAsia="Times New Roman" w:hAnsi="Times New Roman" w:cs="Times New Roman"/>
          <w:sz w:val="24"/>
          <w:szCs w:val="24"/>
          <w:lang w:eastAsia="fr-BE"/>
        </w:rPr>
        <w:t xml:space="preserve">average sentence length and syllable count, which are commonly used to assess readability </w:t>
      </w:r>
      <w:r w:rsidR="0044204B" w:rsidRPr="00C82EE1">
        <w:rPr>
          <w:rFonts w:ascii="Times New Roman" w:hAnsi="Times New Roman" w:cs="Times New Roman"/>
          <w:sz w:val="24"/>
          <w:szCs w:val="24"/>
        </w:rPr>
        <w:t>(Flesch, 1948; Gunning, 1952; Kincaid et al., 1975)</w:t>
      </w:r>
      <w:r w:rsidRPr="00C82EE1">
        <w:rPr>
          <w:rFonts w:ascii="Times New Roman" w:eastAsia="Times New Roman" w:hAnsi="Times New Roman" w:cs="Times New Roman"/>
          <w:sz w:val="24"/>
          <w:szCs w:val="24"/>
          <w:lang w:eastAsia="fr-BE"/>
        </w:rPr>
        <w:t xml:space="preserve">. Unlike these surface-level measures, LC is a more holistic construct that captures the diversity and sophistication of information within a text, as well as the writer ability to communicate it effectively </w:t>
      </w:r>
      <w:r w:rsidR="0044204B" w:rsidRPr="00C82EE1">
        <w:rPr>
          <w:rFonts w:ascii="Times New Roman" w:hAnsi="Times New Roman" w:cs="Times New Roman"/>
          <w:sz w:val="24"/>
          <w:szCs w:val="24"/>
        </w:rPr>
        <w:t>(</w:t>
      </w:r>
      <w:proofErr w:type="spellStart"/>
      <w:r w:rsidR="0044204B" w:rsidRPr="00C82EE1">
        <w:rPr>
          <w:rFonts w:ascii="Times New Roman" w:hAnsi="Times New Roman" w:cs="Times New Roman"/>
          <w:sz w:val="24"/>
          <w:szCs w:val="24"/>
        </w:rPr>
        <w:t>Bulte</w:t>
      </w:r>
      <w:proofErr w:type="spellEnd"/>
      <w:r w:rsidR="0044204B" w:rsidRPr="00C82EE1">
        <w:rPr>
          <w:rFonts w:ascii="Times New Roman" w:hAnsi="Times New Roman" w:cs="Times New Roman"/>
          <w:sz w:val="24"/>
          <w:szCs w:val="24"/>
        </w:rPr>
        <w:t xml:space="preserve"> &amp; </w:t>
      </w:r>
      <w:proofErr w:type="spellStart"/>
      <w:r w:rsidR="0044204B" w:rsidRPr="00C82EE1">
        <w:rPr>
          <w:rFonts w:ascii="Times New Roman" w:hAnsi="Times New Roman" w:cs="Times New Roman"/>
          <w:sz w:val="24"/>
          <w:szCs w:val="24"/>
        </w:rPr>
        <w:t>Housen</w:t>
      </w:r>
      <w:proofErr w:type="spellEnd"/>
      <w:r w:rsidR="0044204B" w:rsidRPr="00C82EE1">
        <w:rPr>
          <w:rFonts w:ascii="Times New Roman" w:hAnsi="Times New Roman" w:cs="Times New Roman"/>
          <w:sz w:val="24"/>
          <w:szCs w:val="24"/>
        </w:rPr>
        <w:t xml:space="preserve">, 2012; </w:t>
      </w:r>
      <w:proofErr w:type="spellStart"/>
      <w:r w:rsidR="0044204B" w:rsidRPr="00C82EE1">
        <w:rPr>
          <w:rFonts w:ascii="Times New Roman" w:hAnsi="Times New Roman" w:cs="Times New Roman"/>
          <w:sz w:val="24"/>
          <w:szCs w:val="24"/>
        </w:rPr>
        <w:t>Joenväärä</w:t>
      </w:r>
      <w:proofErr w:type="spellEnd"/>
      <w:r w:rsidR="0044204B" w:rsidRPr="00C82EE1">
        <w:rPr>
          <w:rFonts w:ascii="Times New Roman" w:hAnsi="Times New Roman" w:cs="Times New Roman"/>
          <w:sz w:val="24"/>
          <w:szCs w:val="24"/>
        </w:rPr>
        <w:t xml:space="preserve"> et al., 2019; Lu, 2012)</w:t>
      </w:r>
      <w:r w:rsidRPr="00C82EE1">
        <w:rPr>
          <w:rFonts w:ascii="Times New Roman" w:eastAsia="Times New Roman" w:hAnsi="Times New Roman" w:cs="Times New Roman"/>
          <w:sz w:val="24"/>
          <w:szCs w:val="24"/>
          <w:lang w:eastAsia="fr-BE"/>
        </w:rPr>
        <w:t xml:space="preserve">. This study advances financial textual analysis by shifting the focus from simplistic proxies, such as the number of multisyllabic words, to a vocabulary-based framework for measuring LC. </w:t>
      </w:r>
    </w:p>
    <w:p w14:paraId="5BC5FD31" w14:textId="0DCE9EA1" w:rsidR="00481D5B" w:rsidRPr="00C82EE1" w:rsidRDefault="00094EF7" w:rsidP="003E0220">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 xml:space="preserve">Our approach is structured around three key dimensions </w:t>
      </w:r>
      <w:r w:rsidR="0044204B" w:rsidRPr="00C82EE1">
        <w:rPr>
          <w:rFonts w:ascii="Times New Roman" w:hAnsi="Times New Roman" w:cs="Times New Roman"/>
          <w:sz w:val="24"/>
          <w:szCs w:val="24"/>
        </w:rPr>
        <w:t>(Lu, 2012)</w:t>
      </w:r>
      <w:r w:rsidRPr="00C82EE1">
        <w:rPr>
          <w:rFonts w:ascii="Times New Roman" w:eastAsia="Times New Roman" w:hAnsi="Times New Roman" w:cs="Times New Roman"/>
          <w:sz w:val="24"/>
          <w:szCs w:val="24"/>
          <w:lang w:eastAsia="fr-BE"/>
        </w:rPr>
        <w:t xml:space="preserve">. </w:t>
      </w:r>
      <w:r w:rsidR="00481D5B" w:rsidRPr="00C82EE1">
        <w:rPr>
          <w:rFonts w:ascii="Times New Roman" w:eastAsia="Times New Roman" w:hAnsi="Times New Roman" w:cs="Times New Roman"/>
          <w:sz w:val="24"/>
          <w:szCs w:val="24"/>
          <w:lang w:eastAsia="fr-BE"/>
        </w:rPr>
        <w:t>The first dimension of this construct is lexical density, which is the ratio of content words (</w:t>
      </w:r>
      <w:r w:rsidR="00153422">
        <w:rPr>
          <w:rFonts w:ascii="Times New Roman" w:eastAsia="Times New Roman" w:hAnsi="Times New Roman" w:cs="Times New Roman"/>
          <w:sz w:val="24"/>
          <w:szCs w:val="24"/>
          <w:lang w:eastAsia="fr-BE"/>
        </w:rPr>
        <w:t xml:space="preserve">e.g., </w:t>
      </w:r>
      <w:r w:rsidR="00481D5B" w:rsidRPr="00C82EE1">
        <w:rPr>
          <w:rFonts w:ascii="Times New Roman" w:eastAsia="Times New Roman" w:hAnsi="Times New Roman" w:cs="Times New Roman"/>
          <w:sz w:val="24"/>
          <w:szCs w:val="24"/>
          <w:lang w:eastAsia="fr-BE"/>
        </w:rPr>
        <w:t>nouns, adjectives, verbs, and adverbs) to the total number of words in a text. This measure indicates how much information is packed into the text. For example, in the sentence "</w:t>
      </w:r>
      <w:r w:rsidR="00481D5B" w:rsidRPr="00C82EE1">
        <w:rPr>
          <w:rFonts w:ascii="Times New Roman" w:eastAsia="Times New Roman" w:hAnsi="Times New Roman" w:cs="Times New Roman"/>
          <w:i/>
          <w:sz w:val="24"/>
          <w:szCs w:val="24"/>
          <w:lang w:eastAsia="fr-BE"/>
        </w:rPr>
        <w:t xml:space="preserve">ICO papers in finance intricately delineate blockchain innovations and strategic </w:t>
      </w:r>
      <w:proofErr w:type="spellStart"/>
      <w:r w:rsidR="00481D5B" w:rsidRPr="00C82EE1">
        <w:rPr>
          <w:rFonts w:ascii="Times New Roman" w:eastAsia="Times New Roman" w:hAnsi="Times New Roman" w:cs="Times New Roman"/>
          <w:i/>
          <w:sz w:val="24"/>
          <w:szCs w:val="24"/>
          <w:lang w:eastAsia="fr-BE"/>
        </w:rPr>
        <w:t>tokenomics</w:t>
      </w:r>
      <w:proofErr w:type="spellEnd"/>
      <w:r w:rsidR="001F28CC">
        <w:rPr>
          <w:rFonts w:ascii="Times New Roman" w:eastAsia="Times New Roman" w:hAnsi="Times New Roman" w:cs="Times New Roman"/>
          <w:i/>
          <w:sz w:val="24"/>
          <w:szCs w:val="24"/>
          <w:lang w:eastAsia="fr-BE"/>
        </w:rPr>
        <w:t>.</w:t>
      </w:r>
      <w:r w:rsidR="00481D5B" w:rsidRPr="00C82EE1">
        <w:rPr>
          <w:rFonts w:ascii="Times New Roman" w:eastAsia="Times New Roman" w:hAnsi="Times New Roman" w:cs="Times New Roman"/>
          <w:sz w:val="24"/>
          <w:szCs w:val="24"/>
          <w:lang w:eastAsia="fr-BE"/>
        </w:rPr>
        <w:t>"</w:t>
      </w:r>
      <w:r w:rsidR="001F28CC">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sz w:val="24"/>
          <w:szCs w:val="24"/>
          <w:lang w:eastAsia="fr-BE"/>
        </w:rPr>
        <w:t xml:space="preserve"> nine out of the eleven words are content words, resulting in a lexical density of over 80%. This high density makes the passage more demanding for the reader compared to less dense passages. The second dimension is lexical sophistication, which refers to the use of rare or less common words, defined as words that fall outside the 2000 most frequent English words. Specialized financial jargon is included in this category. In the example sentence, words like </w:t>
      </w:r>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ICO</w:t>
      </w:r>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 xml:space="preserve">, </w:t>
      </w:r>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intricately</w:t>
      </w:r>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 xml:space="preserve">, </w:t>
      </w:r>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delineate</w:t>
      </w:r>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 xml:space="preserve">, </w:t>
      </w:r>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blockchain</w:t>
      </w:r>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 xml:space="preserve">, </w:t>
      </w:r>
      <w:r w:rsidR="00481D5B" w:rsidRPr="00C82EE1">
        <w:rPr>
          <w:rFonts w:ascii="Times New Roman" w:eastAsia="Times New Roman" w:hAnsi="Times New Roman" w:cs="Times New Roman"/>
          <w:sz w:val="24"/>
          <w:szCs w:val="24"/>
          <w:lang w:eastAsia="fr-BE"/>
        </w:rPr>
        <w:t>and</w:t>
      </w:r>
      <w:r w:rsidR="00481D5B" w:rsidRPr="00C82EE1">
        <w:rPr>
          <w:rFonts w:ascii="Times New Roman" w:eastAsia="Times New Roman" w:hAnsi="Times New Roman" w:cs="Times New Roman"/>
          <w:i/>
          <w:iCs/>
          <w:sz w:val="24"/>
          <w:szCs w:val="24"/>
          <w:lang w:eastAsia="fr-BE"/>
        </w:rPr>
        <w:t xml:space="preserve"> </w:t>
      </w:r>
      <w:r w:rsidR="001F28CC" w:rsidRPr="00C82EE1">
        <w:rPr>
          <w:rFonts w:ascii="Times New Roman" w:eastAsia="Times New Roman" w:hAnsi="Times New Roman" w:cs="Times New Roman"/>
          <w:sz w:val="24"/>
          <w:szCs w:val="24"/>
          <w:lang w:eastAsia="fr-BE"/>
        </w:rPr>
        <w:t>"</w:t>
      </w:r>
      <w:proofErr w:type="spellStart"/>
      <w:r w:rsidR="00481D5B" w:rsidRPr="00C82EE1">
        <w:rPr>
          <w:rFonts w:ascii="Times New Roman" w:eastAsia="Times New Roman" w:hAnsi="Times New Roman" w:cs="Times New Roman"/>
          <w:i/>
          <w:iCs/>
          <w:sz w:val="24"/>
          <w:szCs w:val="24"/>
          <w:lang w:eastAsia="fr-BE"/>
        </w:rPr>
        <w:t>tokenomics</w:t>
      </w:r>
      <w:proofErr w:type="spellEnd"/>
      <w:r w:rsidR="001F28CC"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sz w:val="24"/>
          <w:szCs w:val="24"/>
          <w:lang w:eastAsia="fr-BE"/>
        </w:rPr>
        <w:t xml:space="preserve"> are considered sophisticated, making up approximately 45% of the words in the sentence. The third dimension is lexical diversity, which refers to the range and variety of vocabulary used in a text </w:t>
      </w:r>
      <w:r w:rsidR="0044204B" w:rsidRPr="00C82EE1">
        <w:rPr>
          <w:rFonts w:ascii="Times New Roman" w:hAnsi="Times New Roman" w:cs="Times New Roman"/>
          <w:sz w:val="24"/>
          <w:szCs w:val="24"/>
        </w:rPr>
        <w:t>(Kyle et al., 2021)</w:t>
      </w:r>
      <w:r w:rsidR="00481D5B" w:rsidRPr="00C82EE1">
        <w:rPr>
          <w:rFonts w:ascii="Times New Roman" w:eastAsia="Times New Roman" w:hAnsi="Times New Roman" w:cs="Times New Roman"/>
          <w:sz w:val="24"/>
          <w:szCs w:val="24"/>
          <w:lang w:eastAsia="fr-BE"/>
        </w:rPr>
        <w:t>. This is often measured by a variant of the type-token ratio (</w:t>
      </w:r>
      <w:proofErr w:type="spellStart"/>
      <w:r w:rsidR="00153422">
        <w:rPr>
          <w:rFonts w:ascii="Times New Roman" w:eastAsia="Times New Roman" w:hAnsi="Times New Roman" w:cs="Times New Roman"/>
          <w:sz w:val="24"/>
          <w:szCs w:val="24"/>
          <w:lang w:eastAsia="fr-BE"/>
        </w:rPr>
        <w:t>ttr</w:t>
      </w:r>
      <w:proofErr w:type="spellEnd"/>
      <w:r w:rsidR="00481D5B" w:rsidRPr="00C82EE1">
        <w:rPr>
          <w:rFonts w:ascii="Times New Roman" w:eastAsia="Times New Roman" w:hAnsi="Times New Roman" w:cs="Times New Roman"/>
          <w:sz w:val="24"/>
          <w:szCs w:val="24"/>
          <w:lang w:eastAsia="fr-BE"/>
        </w:rPr>
        <w:t xml:space="preserve">), which is the number of unique words (types) divided by the total number of words (tokens). In the sentence elaborated above, the </w:t>
      </w:r>
      <w:proofErr w:type="spellStart"/>
      <w:r w:rsidR="007C1CC0">
        <w:rPr>
          <w:rFonts w:ascii="Times New Roman" w:eastAsia="Times New Roman" w:hAnsi="Times New Roman" w:cs="Times New Roman"/>
          <w:sz w:val="24"/>
          <w:szCs w:val="24"/>
          <w:lang w:eastAsia="fr-BE"/>
        </w:rPr>
        <w:t>ttr</w:t>
      </w:r>
      <w:proofErr w:type="spellEnd"/>
      <w:r w:rsidR="00AA6AA3" w:rsidRPr="00C82EE1">
        <w:rPr>
          <w:rFonts w:ascii="Times New Roman" w:eastAsia="Times New Roman" w:hAnsi="Times New Roman" w:cs="Times New Roman"/>
          <w:sz w:val="24"/>
          <w:szCs w:val="24"/>
          <w:lang w:eastAsia="fr-BE"/>
        </w:rPr>
        <w:t xml:space="preserve"> </w:t>
      </w:r>
      <w:r w:rsidR="00481D5B" w:rsidRPr="00C82EE1">
        <w:rPr>
          <w:rFonts w:ascii="Times New Roman" w:eastAsia="Times New Roman" w:hAnsi="Times New Roman" w:cs="Times New Roman"/>
          <w:sz w:val="24"/>
          <w:szCs w:val="24"/>
          <w:lang w:eastAsia="fr-BE"/>
        </w:rPr>
        <w:t xml:space="preserve">is 1, indicating that all words are unique with no repetitions, making it highly diverse. If the sentence is revised to </w:t>
      </w:r>
      <w:r w:rsidR="00AA6AA3" w:rsidRPr="00C82EE1">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i/>
          <w:iCs/>
          <w:sz w:val="24"/>
          <w:szCs w:val="24"/>
          <w:lang w:eastAsia="fr-BE"/>
        </w:rPr>
        <w:t xml:space="preserve">ICO papers in finance often discuss blockchain and </w:t>
      </w:r>
      <w:proofErr w:type="spellStart"/>
      <w:r w:rsidR="00481D5B" w:rsidRPr="00C82EE1">
        <w:rPr>
          <w:rFonts w:ascii="Times New Roman" w:eastAsia="Times New Roman" w:hAnsi="Times New Roman" w:cs="Times New Roman"/>
          <w:i/>
          <w:iCs/>
          <w:sz w:val="24"/>
          <w:szCs w:val="24"/>
          <w:lang w:eastAsia="fr-BE"/>
        </w:rPr>
        <w:t>tokenomics</w:t>
      </w:r>
      <w:proofErr w:type="spellEnd"/>
      <w:r w:rsidR="00481D5B" w:rsidRPr="00C82EE1">
        <w:rPr>
          <w:rFonts w:ascii="Times New Roman" w:eastAsia="Times New Roman" w:hAnsi="Times New Roman" w:cs="Times New Roman"/>
          <w:i/>
          <w:iCs/>
          <w:sz w:val="24"/>
          <w:szCs w:val="24"/>
          <w:lang w:eastAsia="fr-BE"/>
        </w:rPr>
        <w:t xml:space="preserve"> in detail, with blockchain innovations highlighted in their strategic </w:t>
      </w:r>
      <w:proofErr w:type="spellStart"/>
      <w:r w:rsidR="00481D5B" w:rsidRPr="00C82EE1">
        <w:rPr>
          <w:rFonts w:ascii="Times New Roman" w:eastAsia="Times New Roman" w:hAnsi="Times New Roman" w:cs="Times New Roman"/>
          <w:i/>
          <w:iCs/>
          <w:sz w:val="24"/>
          <w:szCs w:val="24"/>
          <w:lang w:eastAsia="fr-BE"/>
        </w:rPr>
        <w:t>tokenomics</w:t>
      </w:r>
      <w:proofErr w:type="spellEnd"/>
      <w:r w:rsidR="00AA6AA3">
        <w:rPr>
          <w:rFonts w:ascii="Times New Roman" w:eastAsia="Times New Roman" w:hAnsi="Times New Roman" w:cs="Times New Roman"/>
          <w:sz w:val="24"/>
          <w:szCs w:val="24"/>
          <w:lang w:eastAsia="fr-BE"/>
        </w:rPr>
        <w:t>.</w:t>
      </w:r>
      <w:r w:rsidR="00AA6AA3" w:rsidRPr="00C82EE1">
        <w:rPr>
          <w:rFonts w:ascii="Times New Roman" w:eastAsia="Times New Roman" w:hAnsi="Times New Roman" w:cs="Times New Roman"/>
          <w:sz w:val="24"/>
          <w:szCs w:val="24"/>
          <w:lang w:eastAsia="fr-BE"/>
        </w:rPr>
        <w:t>"</w:t>
      </w:r>
      <w:r w:rsidR="00AA6AA3">
        <w:rPr>
          <w:rFonts w:ascii="Times New Roman" w:eastAsia="Times New Roman" w:hAnsi="Times New Roman" w:cs="Times New Roman"/>
          <w:sz w:val="24"/>
          <w:szCs w:val="24"/>
          <w:lang w:eastAsia="fr-BE"/>
        </w:rPr>
        <w:t>,</w:t>
      </w:r>
      <w:r w:rsidR="00481D5B" w:rsidRPr="00C82EE1">
        <w:rPr>
          <w:rFonts w:ascii="Times New Roman" w:eastAsia="Times New Roman" w:hAnsi="Times New Roman" w:cs="Times New Roman"/>
          <w:sz w:val="24"/>
          <w:szCs w:val="24"/>
          <w:lang w:eastAsia="fr-BE"/>
        </w:rPr>
        <w:t xml:space="preserve"> the </w:t>
      </w:r>
      <w:proofErr w:type="spellStart"/>
      <w:r w:rsidR="007C1CC0">
        <w:rPr>
          <w:rFonts w:ascii="Times New Roman" w:eastAsia="Times New Roman" w:hAnsi="Times New Roman" w:cs="Times New Roman"/>
          <w:sz w:val="24"/>
          <w:szCs w:val="24"/>
          <w:lang w:eastAsia="fr-BE"/>
        </w:rPr>
        <w:t>ttr</w:t>
      </w:r>
      <w:proofErr w:type="spellEnd"/>
      <w:r w:rsidR="00481D5B" w:rsidRPr="00C82EE1">
        <w:rPr>
          <w:rFonts w:ascii="Times New Roman" w:eastAsia="Times New Roman" w:hAnsi="Times New Roman" w:cs="Times New Roman"/>
          <w:sz w:val="24"/>
          <w:szCs w:val="24"/>
          <w:lang w:eastAsia="fr-BE"/>
        </w:rPr>
        <w:t xml:space="preserve"> drops to approximately 0.79, reflecting more repetition and less diversity. It is important to acknowledge that text length plays a crucial role in studies of </w:t>
      </w:r>
      <w:r w:rsidR="00481D5B" w:rsidRPr="00C82EE1">
        <w:rPr>
          <w:rFonts w:ascii="Times New Roman" w:hAnsi="Times New Roman" w:cs="Times New Roman"/>
          <w:sz w:val="24"/>
          <w:szCs w:val="24"/>
          <w:lang w:val="en-GB"/>
        </w:rPr>
        <w:t>LC</w:t>
      </w:r>
      <w:r w:rsidR="00481D5B" w:rsidRPr="00C82EE1">
        <w:rPr>
          <w:rFonts w:ascii="Times New Roman" w:eastAsia="Times New Roman" w:hAnsi="Times New Roman" w:cs="Times New Roman"/>
          <w:sz w:val="24"/>
          <w:szCs w:val="24"/>
          <w:lang w:eastAsia="fr-BE"/>
        </w:rPr>
        <w:t xml:space="preserve">, particularly regarding lexical diversity. Longer texts provide more opportunities to use and repeat a wider range of vocabulary, which can lower measures of lexical diversity compared to shorter texts. Fortunately, existing lexical diversity measures account for text-length differences </w:t>
      </w:r>
      <w:r w:rsidR="0044204B" w:rsidRPr="00C82EE1">
        <w:rPr>
          <w:rFonts w:ascii="Times New Roman" w:hAnsi="Times New Roman" w:cs="Times New Roman"/>
          <w:sz w:val="24"/>
          <w:szCs w:val="24"/>
        </w:rPr>
        <w:t>(Kyle et al., 2021)</w:t>
      </w:r>
      <w:r w:rsidR="00481D5B" w:rsidRPr="00C82EE1">
        <w:rPr>
          <w:rFonts w:ascii="Times New Roman" w:eastAsia="Times New Roman" w:hAnsi="Times New Roman" w:cs="Times New Roman"/>
          <w:sz w:val="24"/>
          <w:szCs w:val="24"/>
          <w:lang w:eastAsia="fr-BE"/>
        </w:rPr>
        <w:t>.</w:t>
      </w:r>
    </w:p>
    <w:p w14:paraId="558F23B5" w14:textId="536D6027" w:rsidR="00481D5B" w:rsidRPr="00C82EE1" w:rsidRDefault="008959D7" w:rsidP="003E0220">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lastRenderedPageBreak/>
        <w:t xml:space="preserve">In the financial literature, only a limited number of studies have explored the influence of vocabulary diversity on investor behavior, and none employ the specific operationalization of LC adopted in this study. For instance, </w:t>
      </w:r>
      <w:proofErr w:type="spellStart"/>
      <w:r w:rsidR="002B067B" w:rsidRPr="00C82EE1">
        <w:rPr>
          <w:rFonts w:ascii="Times New Roman" w:hAnsi="Times New Roman" w:cs="Times New Roman"/>
          <w:sz w:val="24"/>
          <w:szCs w:val="24"/>
        </w:rPr>
        <w:t>Joenväärä</w:t>
      </w:r>
      <w:proofErr w:type="spellEnd"/>
      <w:r w:rsidR="002B067B" w:rsidRPr="00C82EE1">
        <w:rPr>
          <w:rFonts w:ascii="Times New Roman" w:hAnsi="Times New Roman" w:cs="Times New Roman"/>
          <w:sz w:val="24"/>
          <w:szCs w:val="24"/>
        </w:rPr>
        <w:t xml:space="preserve"> et al. (2019)</w:t>
      </w:r>
      <w:r w:rsidR="002B067B" w:rsidRPr="00C82EE1">
        <w:rPr>
          <w:rFonts w:ascii="Times New Roman" w:eastAsia="Times New Roman" w:hAnsi="Times New Roman" w:cs="Times New Roman"/>
          <w:sz w:val="24"/>
          <w:szCs w:val="24"/>
          <w:lang w:eastAsia="fr-BE"/>
        </w:rPr>
        <w:t xml:space="preserve"> </w:t>
      </w:r>
      <w:r w:rsidRPr="00C82EE1">
        <w:rPr>
          <w:rFonts w:ascii="Times New Roman" w:eastAsia="Times New Roman" w:hAnsi="Times New Roman" w:cs="Times New Roman"/>
          <w:sz w:val="24"/>
          <w:szCs w:val="24"/>
          <w:lang w:eastAsia="fr-BE"/>
        </w:rPr>
        <w:t xml:space="preserve">show </w:t>
      </w:r>
      <w:bookmarkStart w:id="2" w:name="_Hlk199237654"/>
      <w:r w:rsidRPr="00C82EE1">
        <w:rPr>
          <w:rFonts w:ascii="Times New Roman" w:eastAsia="Times New Roman" w:hAnsi="Times New Roman" w:cs="Times New Roman"/>
          <w:sz w:val="24"/>
          <w:szCs w:val="24"/>
          <w:lang w:eastAsia="fr-BE"/>
        </w:rPr>
        <w:t>that higher lexical diversity is positively associated with manager cognitive ability and can serve as a valuable signal in outperforming the market</w:t>
      </w:r>
      <w:bookmarkEnd w:id="2"/>
      <w:r w:rsidRPr="00C82EE1">
        <w:rPr>
          <w:rFonts w:ascii="Times New Roman" w:eastAsia="Times New Roman" w:hAnsi="Times New Roman" w:cs="Times New Roman"/>
          <w:sz w:val="24"/>
          <w:szCs w:val="24"/>
          <w:lang w:eastAsia="fr-BE"/>
        </w:rPr>
        <w:t>, particularly in the context of hedge funds. Their findings suggest that strong linguistic skills</w:t>
      </w:r>
      <w:r w:rsidR="009051BD" w:rsidRPr="00C82EE1">
        <w:rPr>
          <w:rFonts w:ascii="Times New Roman" w:eastAsia="Times New Roman" w:hAnsi="Times New Roman" w:cs="Times New Roman"/>
          <w:sz w:val="24"/>
          <w:szCs w:val="24"/>
          <w:lang w:eastAsia="fr-BE"/>
        </w:rPr>
        <w:t xml:space="preserve">, </w:t>
      </w:r>
      <w:r w:rsidRPr="00C82EE1">
        <w:rPr>
          <w:rFonts w:ascii="Times New Roman" w:eastAsia="Times New Roman" w:hAnsi="Times New Roman" w:cs="Times New Roman"/>
          <w:sz w:val="24"/>
          <w:szCs w:val="24"/>
          <w:lang w:eastAsia="fr-BE"/>
        </w:rPr>
        <w:t>especially the ability to use precise, nuanced, and contextually appropriate vocabulary</w:t>
      </w:r>
      <w:r w:rsidR="009051BD" w:rsidRPr="00C82EE1">
        <w:rPr>
          <w:rFonts w:ascii="Times New Roman" w:eastAsia="Times New Roman" w:hAnsi="Times New Roman" w:cs="Times New Roman"/>
          <w:sz w:val="24"/>
          <w:szCs w:val="24"/>
          <w:lang w:eastAsia="fr-BE"/>
        </w:rPr>
        <w:t xml:space="preserve">, </w:t>
      </w:r>
      <w:r w:rsidRPr="00C82EE1">
        <w:rPr>
          <w:rFonts w:ascii="Times New Roman" w:eastAsia="Times New Roman" w:hAnsi="Times New Roman" w:cs="Times New Roman"/>
          <w:sz w:val="24"/>
          <w:szCs w:val="24"/>
          <w:lang w:eastAsia="fr-BE"/>
        </w:rPr>
        <w:t>enhance manager capacity to generate investment ideas and effectively interpret corporate disclosures. While such studies underscore the relevance of lexical features, our work extends this line of research by applying a structured, multidimensional framework of LC to a new and understudied setting: ICOs.</w:t>
      </w:r>
    </w:p>
    <w:p w14:paraId="23EB780A" w14:textId="0C616265" w:rsidR="003E0220" w:rsidRPr="00C82EE1" w:rsidRDefault="00721CEB" w:rsidP="0015342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 xml:space="preserve">The limited attention to LC in financial disclosure research may be attributed to its relative unfamiliarity, often eclipsed by the dominant focus on readability. Prior studies have emphasized the persuasive power of readable texts, particularly for retail investors. For example, </w:t>
      </w:r>
      <w:r w:rsidR="002B067B" w:rsidRPr="00C82EE1">
        <w:rPr>
          <w:rFonts w:ascii="Times New Roman" w:hAnsi="Times New Roman" w:cs="Times New Roman"/>
          <w:sz w:val="24"/>
          <w:szCs w:val="24"/>
        </w:rPr>
        <w:t>Lawrence (2013)</w:t>
      </w:r>
      <w:r w:rsidRPr="00C82EE1">
        <w:rPr>
          <w:rFonts w:ascii="Times New Roman" w:eastAsia="Times New Roman" w:hAnsi="Times New Roman" w:cs="Times New Roman"/>
          <w:sz w:val="24"/>
          <w:szCs w:val="24"/>
          <w:lang w:eastAsia="fr-BE"/>
        </w:rPr>
        <w:t xml:space="preserve"> finds that retail investors are more likely to invest in firms with readable 10-K filings, while </w:t>
      </w:r>
      <w:r w:rsidR="002B067B" w:rsidRPr="00C82EE1">
        <w:rPr>
          <w:rFonts w:ascii="Times New Roman" w:hAnsi="Times New Roman" w:cs="Times New Roman"/>
          <w:sz w:val="24"/>
          <w:szCs w:val="24"/>
        </w:rPr>
        <w:t>Miller (2010)</w:t>
      </w:r>
      <w:r w:rsidRPr="00C82EE1">
        <w:rPr>
          <w:rFonts w:ascii="Times New Roman" w:eastAsia="Times New Roman" w:hAnsi="Times New Roman" w:cs="Times New Roman"/>
          <w:sz w:val="24"/>
          <w:szCs w:val="24"/>
          <w:lang w:eastAsia="fr-BE"/>
        </w:rPr>
        <w:t xml:space="preserve"> shows that well-written documents are associated with heightened retail trading activity around disclosure dates. Similar findings have emerged in the ICO context: </w:t>
      </w:r>
      <w:proofErr w:type="spellStart"/>
      <w:r w:rsidR="002B067B" w:rsidRPr="00C82EE1">
        <w:rPr>
          <w:rFonts w:ascii="Times New Roman" w:hAnsi="Times New Roman" w:cs="Times New Roman"/>
          <w:sz w:val="24"/>
          <w:szCs w:val="24"/>
        </w:rPr>
        <w:t>Samieifar</w:t>
      </w:r>
      <w:proofErr w:type="spellEnd"/>
      <w:r w:rsidR="002B067B" w:rsidRPr="00C82EE1">
        <w:rPr>
          <w:rFonts w:ascii="Times New Roman" w:hAnsi="Times New Roman" w:cs="Times New Roman"/>
          <w:sz w:val="24"/>
          <w:szCs w:val="24"/>
        </w:rPr>
        <w:t xml:space="preserve"> &amp; Baur (2021)</w:t>
      </w:r>
      <w:r w:rsidRPr="00C82EE1">
        <w:rPr>
          <w:rFonts w:ascii="Times New Roman" w:eastAsia="Times New Roman" w:hAnsi="Times New Roman" w:cs="Times New Roman"/>
          <w:sz w:val="24"/>
          <w:szCs w:val="24"/>
          <w:lang w:eastAsia="fr-BE"/>
        </w:rPr>
        <w:t xml:space="preserve"> report a positive association between white paper readability and funding outcomes, and </w:t>
      </w:r>
      <w:r w:rsidR="002B067B" w:rsidRPr="00C82EE1">
        <w:rPr>
          <w:rFonts w:ascii="Times New Roman" w:hAnsi="Times New Roman" w:cs="Times New Roman"/>
          <w:sz w:val="24"/>
          <w:szCs w:val="24"/>
        </w:rPr>
        <w:t>Zhang et al. (2019)</w:t>
      </w:r>
      <w:r w:rsidRPr="00C82EE1">
        <w:rPr>
          <w:rFonts w:ascii="Times New Roman" w:eastAsia="Times New Roman" w:hAnsi="Times New Roman" w:cs="Times New Roman"/>
          <w:sz w:val="24"/>
          <w:szCs w:val="24"/>
          <w:lang w:eastAsia="fr-BE"/>
        </w:rPr>
        <w:t xml:space="preserve"> find that higher readability correlates with increased first-day returns. While this line of research underscores the importance of linguistic clarity, it leaves the role of vocabulary richness and sophistication</w:t>
      </w:r>
      <w:r w:rsidR="00355BA2">
        <w:rPr>
          <w:rFonts w:ascii="Times New Roman" w:eastAsia="Times New Roman" w:hAnsi="Times New Roman" w:cs="Times New Roman"/>
          <w:sz w:val="24"/>
          <w:szCs w:val="24"/>
          <w:lang w:eastAsia="fr-BE"/>
        </w:rPr>
        <w:t xml:space="preserve"> unexplored</w:t>
      </w:r>
      <w:r w:rsidRPr="00C82EE1">
        <w:rPr>
          <w:rFonts w:ascii="Times New Roman" w:eastAsia="Times New Roman" w:hAnsi="Times New Roman" w:cs="Times New Roman"/>
          <w:sz w:val="24"/>
          <w:szCs w:val="24"/>
          <w:lang w:eastAsia="fr-BE"/>
        </w:rPr>
        <w:t xml:space="preserve">. Addressing this gap, we leverage the unique characteristics of the ICO market, marked by high information asymmetry and uncertainty, to introduce a more advanced, robust operationalization of LC. Drawing on the multidimensional framework developed by </w:t>
      </w:r>
      <w:r w:rsidR="002B067B" w:rsidRPr="00C82EE1">
        <w:rPr>
          <w:rFonts w:ascii="Times New Roman" w:hAnsi="Times New Roman" w:cs="Times New Roman"/>
          <w:sz w:val="24"/>
          <w:szCs w:val="24"/>
        </w:rPr>
        <w:t>(Lu, 2012)</w:t>
      </w:r>
      <w:r w:rsidRPr="00C82EE1">
        <w:rPr>
          <w:rFonts w:ascii="Times New Roman" w:eastAsia="Times New Roman" w:hAnsi="Times New Roman" w:cs="Times New Roman"/>
          <w:sz w:val="24"/>
          <w:szCs w:val="24"/>
          <w:lang w:eastAsia="fr-BE"/>
        </w:rPr>
        <w:t>, we investigate whether the level of LC in ICO white papers influences investor behavior and, in turn, contributes to fundraising success.</w:t>
      </w:r>
    </w:p>
    <w:p w14:paraId="0306C97E" w14:textId="77777777" w:rsidR="00481D5B" w:rsidRPr="00C82EE1" w:rsidRDefault="00481D5B" w:rsidP="00E223E9">
      <w:pPr>
        <w:pStyle w:val="Titre1"/>
      </w:pPr>
      <w:r w:rsidRPr="00C82EE1">
        <w:t>Hypotheses development</w:t>
      </w:r>
    </w:p>
    <w:p w14:paraId="366C95FB" w14:textId="7CA9A19D" w:rsidR="00481D5B" w:rsidRPr="00C82EE1" w:rsidRDefault="00481D5B" w:rsidP="003E0220">
      <w:pPr>
        <w:spacing w:after="120" w:line="360" w:lineRule="auto"/>
        <w:jc w:val="both"/>
        <w:rPr>
          <w:rFonts w:ascii="Times New Roman" w:hAnsi="Times New Roman" w:cs="Times New Roman"/>
          <w:color w:val="000000" w:themeColor="text1"/>
          <w:sz w:val="24"/>
          <w:szCs w:val="24"/>
        </w:rPr>
      </w:pPr>
      <w:r w:rsidRPr="00C82EE1">
        <w:rPr>
          <w:rFonts w:ascii="Times New Roman" w:hAnsi="Times New Roman" w:cs="Times New Roman"/>
          <w:color w:val="000000" w:themeColor="text1"/>
          <w:sz w:val="24"/>
          <w:szCs w:val="24"/>
        </w:rPr>
        <w:t xml:space="preserve">The ICO market operates with minimal regulation and is characterized by significant information asymmetry. Investors often have limited access to detailed information, relying primarily on white papers to inform their financial decisions. As a result, these documents must be crafted carefully, with a certain degree of LC to effectively convey the project potential to convince investors to invest in the ICO. We propose in this section that investors perceive LC as a credible signal of ICO quality, which can influence their decisions and ultimately lead to </w:t>
      </w:r>
      <w:r w:rsidRPr="00C82EE1">
        <w:rPr>
          <w:rFonts w:ascii="Times New Roman" w:hAnsi="Times New Roman" w:cs="Times New Roman"/>
          <w:color w:val="000000" w:themeColor="text1"/>
          <w:sz w:val="24"/>
          <w:szCs w:val="24"/>
        </w:rPr>
        <w:lastRenderedPageBreak/>
        <w:t xml:space="preserve">increased levels of funding. We next argue that </w:t>
      </w:r>
      <w:r w:rsidRPr="00C82EE1">
        <w:rPr>
          <w:rFonts w:ascii="Times New Roman" w:eastAsia="Times New Roman" w:hAnsi="Times New Roman" w:cs="Times New Roman"/>
          <w:sz w:val="24"/>
          <w:szCs w:val="24"/>
          <w:lang w:eastAsia="fr-BE"/>
        </w:rPr>
        <w:t>readability and LC should not be seen as mutually exclusive but rather as distinct yet complementary dimensions of effective ICO disclosure</w:t>
      </w:r>
      <w:r w:rsidR="00E223E9">
        <w:rPr>
          <w:rFonts w:ascii="Times New Roman" w:eastAsia="Times New Roman" w:hAnsi="Times New Roman" w:cs="Times New Roman"/>
          <w:sz w:val="24"/>
          <w:szCs w:val="24"/>
          <w:lang w:eastAsia="fr-BE"/>
        </w:rPr>
        <w:t>.</w:t>
      </w:r>
    </w:p>
    <w:p w14:paraId="7EC2824B" w14:textId="77777777" w:rsidR="00481D5B" w:rsidRPr="00C82EE1" w:rsidRDefault="00481D5B" w:rsidP="00E223E9">
      <w:pPr>
        <w:pStyle w:val="Titre2"/>
      </w:pPr>
      <w:r w:rsidRPr="00C82EE1">
        <w:t xml:space="preserve">Credible signaling theory and LC </w:t>
      </w:r>
    </w:p>
    <w:p w14:paraId="070D6C5D" w14:textId="2FEE9FDA" w:rsidR="00481D5B"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Given the high degree of information asymmetry in ICO markets, investors must rely on alternative cues to assess project quality. Credible signaling theory provides a valuable framework for understanding ICO success factors. According to credible signaling theory, in markets with limited verifiable information, entrepreneurs must send signals to distinguish high-quality projects from lower-quality ones </w:t>
      </w:r>
      <w:r w:rsidR="002B067B" w:rsidRPr="00C82EE1">
        <w:rPr>
          <w:rFonts w:ascii="Times New Roman" w:hAnsi="Times New Roman" w:cs="Times New Roman"/>
          <w:sz w:val="24"/>
          <w:szCs w:val="24"/>
        </w:rPr>
        <w:t>(Connelly et al., 2011)</w:t>
      </w:r>
      <w:r w:rsidRPr="00C82EE1">
        <w:rPr>
          <w:rFonts w:ascii="Times New Roman" w:hAnsi="Times New Roman" w:cs="Times New Roman"/>
          <w:sz w:val="24"/>
          <w:szCs w:val="24"/>
        </w:rPr>
        <w:t xml:space="preserve">. A signal is credible when it is difficult for low-quality firms to imitate. Prior research has shown that elements such as venture capital backing, founder expertise, and technical transparency (e.g., open-source code on GitHub) serve as strong signals in entrepreneurial finance </w:t>
      </w:r>
      <w:r w:rsidR="00D237B0" w:rsidRPr="00C82EE1">
        <w:rPr>
          <w:rFonts w:ascii="Times New Roman" w:hAnsi="Times New Roman" w:cs="Times New Roman"/>
          <w:sz w:val="24"/>
          <w:szCs w:val="24"/>
        </w:rPr>
        <w:t>(Colombo et al., 2022; Hsu, 2007)</w:t>
      </w:r>
      <w:r w:rsidRPr="00C82EE1">
        <w:rPr>
          <w:rFonts w:ascii="Times New Roman" w:hAnsi="Times New Roman" w:cs="Times New Roman"/>
          <w:sz w:val="24"/>
          <w:szCs w:val="24"/>
        </w:rPr>
        <w:t xml:space="preserve">. In an unregulated market rife with information asymmetry, every aspect of the white paper content and language can transmit signals about the venture quality. </w:t>
      </w:r>
    </w:p>
    <w:p w14:paraId="5CB374BA" w14:textId="0E6F1870" w:rsidR="00481D5B" w:rsidRPr="00C82EE1" w:rsidRDefault="00481D5B" w:rsidP="00DC0359">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In this paper, we argue that LC directly influences investor decision-making for several reasons. First, LC is associated with deeper cognitive processing, which enhances comprehension and recall, ultimately shaping investor behavior </w:t>
      </w:r>
      <w:r w:rsidR="002B067B" w:rsidRPr="00C82EE1">
        <w:rPr>
          <w:rFonts w:ascii="Times New Roman" w:hAnsi="Times New Roman" w:cs="Times New Roman"/>
          <w:sz w:val="24"/>
          <w:szCs w:val="24"/>
        </w:rPr>
        <w:t>(Hayes-Roth, 1977; Liu et al., 2024)</w:t>
      </w:r>
      <w:r w:rsidRPr="00C82EE1">
        <w:rPr>
          <w:rFonts w:ascii="Times New Roman" w:hAnsi="Times New Roman" w:cs="Times New Roman"/>
          <w:sz w:val="24"/>
          <w:szCs w:val="24"/>
        </w:rPr>
        <w:t>. Second, complex language may signal innovation, especially when it emphasizes advanced technical solutions such as novel blockchain applications. Investors often perceive projects employing sophisticated vocabulary as more innovative, a known driver of success in entrepreneurial ventures</w:t>
      </w:r>
      <w:r w:rsidR="002B067B" w:rsidRPr="00C82EE1">
        <w:rPr>
          <w:rFonts w:ascii="Times New Roman" w:hAnsi="Times New Roman" w:cs="Times New Roman"/>
          <w:sz w:val="24"/>
          <w:szCs w:val="24"/>
        </w:rPr>
        <w:t xml:space="preserve"> </w:t>
      </w:r>
      <w:r w:rsidR="00D237B0" w:rsidRPr="00C82EE1">
        <w:rPr>
          <w:rFonts w:ascii="Times New Roman" w:hAnsi="Times New Roman" w:cs="Times New Roman"/>
          <w:sz w:val="24"/>
          <w:szCs w:val="24"/>
        </w:rPr>
        <w:t xml:space="preserve">(Chan &amp; </w:t>
      </w:r>
      <w:proofErr w:type="spellStart"/>
      <w:r w:rsidR="00D237B0" w:rsidRPr="00C82EE1">
        <w:rPr>
          <w:rFonts w:ascii="Times New Roman" w:hAnsi="Times New Roman" w:cs="Times New Roman"/>
          <w:sz w:val="24"/>
          <w:szCs w:val="24"/>
        </w:rPr>
        <w:t>Parhankangas</w:t>
      </w:r>
      <w:proofErr w:type="spellEnd"/>
      <w:r w:rsidR="00D237B0" w:rsidRPr="00C82EE1">
        <w:rPr>
          <w:rFonts w:ascii="Times New Roman" w:hAnsi="Times New Roman" w:cs="Times New Roman"/>
          <w:sz w:val="24"/>
          <w:szCs w:val="24"/>
        </w:rPr>
        <w:t>, 2017; Fisch, 2019; Lee et al., 2016; Mahmood et al., 2019)</w:t>
      </w:r>
      <w:r w:rsidRPr="00C82EE1">
        <w:rPr>
          <w:rFonts w:ascii="Times New Roman" w:hAnsi="Times New Roman" w:cs="Times New Roman"/>
          <w:sz w:val="24"/>
          <w:szCs w:val="24"/>
        </w:rPr>
        <w:t xml:space="preserve">. Third, LC conveys professionalism and expertise, enhancing the perceived credibility of the ICO team </w:t>
      </w:r>
      <w:r w:rsidR="002B067B" w:rsidRPr="00C82EE1">
        <w:rPr>
          <w:rFonts w:ascii="Times New Roman" w:hAnsi="Times New Roman" w:cs="Times New Roman"/>
          <w:sz w:val="24"/>
          <w:szCs w:val="24"/>
        </w:rPr>
        <w:t>(Shardlow et al., 2021)</w:t>
      </w:r>
      <w:r w:rsidRPr="00C82EE1">
        <w:rPr>
          <w:rFonts w:ascii="Times New Roman" w:hAnsi="Times New Roman" w:cs="Times New Roman"/>
          <w:sz w:val="24"/>
          <w:szCs w:val="24"/>
        </w:rPr>
        <w:t xml:space="preserve">. Moreover, it contributes in reducing information asymmetry by providing clearer, more detailed insights into the project goals and implementation strategy, which increases investor confidence </w:t>
      </w:r>
      <w:r w:rsidR="002B067B" w:rsidRPr="00C82EE1">
        <w:rPr>
          <w:rFonts w:ascii="Times New Roman" w:hAnsi="Times New Roman" w:cs="Times New Roman"/>
          <w:sz w:val="24"/>
          <w:szCs w:val="24"/>
        </w:rPr>
        <w:t xml:space="preserve">(Barraza, 2019; </w:t>
      </w:r>
      <w:proofErr w:type="spellStart"/>
      <w:r w:rsidR="002B067B" w:rsidRPr="00C82EE1">
        <w:rPr>
          <w:rFonts w:ascii="Times New Roman" w:hAnsi="Times New Roman" w:cs="Times New Roman"/>
          <w:sz w:val="24"/>
          <w:szCs w:val="24"/>
        </w:rPr>
        <w:t>Joenväärä</w:t>
      </w:r>
      <w:proofErr w:type="spellEnd"/>
      <w:r w:rsidR="002B067B" w:rsidRPr="00C82EE1">
        <w:rPr>
          <w:rFonts w:ascii="Times New Roman" w:hAnsi="Times New Roman" w:cs="Times New Roman"/>
          <w:sz w:val="24"/>
          <w:szCs w:val="24"/>
        </w:rPr>
        <w:t xml:space="preserve"> et al., 2019)</w:t>
      </w:r>
      <w:r w:rsidRPr="00C82EE1">
        <w:rPr>
          <w:rFonts w:ascii="Times New Roman" w:hAnsi="Times New Roman" w:cs="Times New Roman"/>
          <w:sz w:val="24"/>
          <w:szCs w:val="24"/>
        </w:rPr>
        <w:t xml:space="preserve">. Prior studies also suggest that sophisticated textual disclosures signal competence and thorough preparation, thereby boosting investor trust </w:t>
      </w:r>
      <w:r w:rsidR="00D237B0" w:rsidRPr="00C82EE1">
        <w:rPr>
          <w:rFonts w:ascii="Times New Roman" w:hAnsi="Times New Roman" w:cs="Times New Roman"/>
          <w:sz w:val="24"/>
          <w:szCs w:val="24"/>
        </w:rPr>
        <w:t>(Thewissen et al., 2022)</w:t>
      </w:r>
      <w:r w:rsidRPr="00C82EE1">
        <w:rPr>
          <w:rFonts w:ascii="Times New Roman" w:hAnsi="Times New Roman" w:cs="Times New Roman"/>
          <w:sz w:val="24"/>
          <w:szCs w:val="24"/>
        </w:rPr>
        <w:t>.</w:t>
      </w:r>
      <w:r w:rsidR="005F428D" w:rsidRPr="00C82EE1">
        <w:rPr>
          <w:rFonts w:ascii="Times New Roman" w:hAnsi="Times New Roman" w:cs="Times New Roman"/>
          <w:sz w:val="24"/>
          <w:szCs w:val="24"/>
        </w:rPr>
        <w:t xml:space="preserve"> </w:t>
      </w:r>
      <w:r w:rsidRPr="00C82EE1">
        <w:rPr>
          <w:rFonts w:ascii="Times New Roman" w:hAnsi="Times New Roman" w:cs="Times New Roman"/>
          <w:sz w:val="24"/>
          <w:szCs w:val="24"/>
        </w:rPr>
        <w:t xml:space="preserve">In contrast, white papers that are vague or overly simplistic may trigger investor skepticism, making it harder to differentiate legitimate ventures from </w:t>
      </w:r>
      <w:r w:rsidR="008A76E9" w:rsidRPr="00C82EE1">
        <w:rPr>
          <w:rFonts w:ascii="Times New Roman" w:hAnsi="Times New Roman" w:cs="Times New Roman"/>
          <w:sz w:val="24"/>
          <w:szCs w:val="24"/>
        </w:rPr>
        <w:t xml:space="preserve">less credible </w:t>
      </w:r>
      <w:r w:rsidRPr="00C82EE1">
        <w:rPr>
          <w:rFonts w:ascii="Times New Roman" w:hAnsi="Times New Roman" w:cs="Times New Roman"/>
          <w:sz w:val="24"/>
          <w:szCs w:val="24"/>
        </w:rPr>
        <w:t xml:space="preserve">ones </w:t>
      </w:r>
      <w:r w:rsidR="004A037D" w:rsidRPr="00C82EE1">
        <w:rPr>
          <w:rFonts w:ascii="Times New Roman" w:hAnsi="Times New Roman" w:cs="Times New Roman"/>
          <w:sz w:val="24"/>
          <w:szCs w:val="24"/>
        </w:rPr>
        <w:t>(</w:t>
      </w:r>
      <w:proofErr w:type="spellStart"/>
      <w:r w:rsidR="004A037D" w:rsidRPr="00C82EE1">
        <w:rPr>
          <w:rFonts w:ascii="Times New Roman" w:hAnsi="Times New Roman" w:cs="Times New Roman"/>
          <w:sz w:val="24"/>
          <w:szCs w:val="24"/>
        </w:rPr>
        <w:t>Florysiak</w:t>
      </w:r>
      <w:proofErr w:type="spellEnd"/>
      <w:r w:rsidR="004A037D" w:rsidRPr="00C82EE1">
        <w:rPr>
          <w:rFonts w:ascii="Times New Roman" w:hAnsi="Times New Roman" w:cs="Times New Roman"/>
          <w:sz w:val="24"/>
          <w:szCs w:val="24"/>
        </w:rPr>
        <w:t xml:space="preserve"> &amp; </w:t>
      </w:r>
      <w:proofErr w:type="spellStart"/>
      <w:r w:rsidR="004A037D" w:rsidRPr="00C82EE1">
        <w:rPr>
          <w:rFonts w:ascii="Times New Roman" w:hAnsi="Times New Roman" w:cs="Times New Roman"/>
          <w:sz w:val="24"/>
          <w:szCs w:val="24"/>
        </w:rPr>
        <w:t>Schandlbauer</w:t>
      </w:r>
      <w:proofErr w:type="spellEnd"/>
      <w:r w:rsidR="004A037D" w:rsidRPr="00C82EE1">
        <w:rPr>
          <w:rFonts w:ascii="Times New Roman" w:hAnsi="Times New Roman" w:cs="Times New Roman"/>
          <w:sz w:val="24"/>
          <w:szCs w:val="24"/>
        </w:rPr>
        <w:t>, 2022)</w:t>
      </w:r>
      <w:r w:rsidRPr="00C82EE1">
        <w:rPr>
          <w:rFonts w:ascii="Times New Roman" w:hAnsi="Times New Roman" w:cs="Times New Roman"/>
          <w:sz w:val="24"/>
          <w:szCs w:val="24"/>
        </w:rPr>
        <w:t xml:space="preserve">. Therefore, a well-crafted white paper can credibly signal that the founders are serious, competent, and transparent, helping to attract investment despite the uncertainty inherent in ICO markets. Conversely, poorly written disclosures may reinforce doubts about the project quality, the team commitment, or even raise suspicions of fraud. Accordingly, we expect LC to </w:t>
      </w:r>
      <w:r w:rsidRPr="00C82EE1">
        <w:rPr>
          <w:rFonts w:ascii="Times New Roman" w:hAnsi="Times New Roman" w:cs="Times New Roman"/>
          <w:sz w:val="24"/>
          <w:szCs w:val="24"/>
        </w:rPr>
        <w:lastRenderedPageBreak/>
        <w:t xml:space="preserve">serve as a signal of quality, innovation, and transparency, ultimately leading to higher levels of investor funding. </w:t>
      </w:r>
    </w:p>
    <w:p w14:paraId="573B078E" w14:textId="67771AF2" w:rsidR="00481D5B"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However, investors may not respond to LC in white papers at all, as the discretionary nature and lack of regulation around these documents often raise concerns about their credibility and reliability </w:t>
      </w:r>
      <w:r w:rsidR="00622B8B" w:rsidRPr="00C82EE1">
        <w:rPr>
          <w:rFonts w:ascii="Times New Roman" w:hAnsi="Times New Roman" w:cs="Times New Roman"/>
          <w:sz w:val="24"/>
          <w:szCs w:val="24"/>
        </w:rPr>
        <w:t>(El-Haj et al., 2019)</w:t>
      </w:r>
      <w:r w:rsidRPr="00C82EE1">
        <w:rPr>
          <w:rFonts w:ascii="Times New Roman" w:hAnsi="Times New Roman" w:cs="Times New Roman"/>
          <w:sz w:val="24"/>
          <w:szCs w:val="24"/>
        </w:rPr>
        <w:t>, potentially diminishing LC impact on fundraising success. Additionally, the global and decentralized nature of ICOs complicates the assessment of investor linguistic proficiency, specifically regarding their ability to characterize the LC of the English language. How well ICO investors grasp the lexical and semantic nuances of English therefore challenges this relationship and may significantly diminish the significance of the impact of LC on the amount raised during the ICO. Given this backdrop, it remains an open question whether LC plays a decisive role in shaping investor choices. This leads us to propose the following hypotheses:</w:t>
      </w:r>
    </w:p>
    <w:p w14:paraId="7E32E84D" w14:textId="1DA58C5D" w:rsidR="00AA6AA3" w:rsidRPr="00AA6AA3" w:rsidRDefault="00AA6AA3" w:rsidP="00887F84">
      <w:pPr>
        <w:spacing w:after="120" w:line="360" w:lineRule="auto"/>
        <w:ind w:firstLine="340"/>
        <w:jc w:val="both"/>
        <w:rPr>
          <w:rFonts w:ascii="Times New Roman" w:hAnsi="Times New Roman" w:cs="Times New Roman"/>
          <w:i/>
          <w:sz w:val="24"/>
          <w:szCs w:val="24"/>
        </w:rPr>
      </w:pPr>
      <w:r w:rsidRPr="00C82EE1">
        <w:rPr>
          <w:rFonts w:ascii="Times New Roman" w:hAnsi="Times New Roman" w:cs="Times New Roman"/>
          <w:i/>
          <w:sz w:val="24"/>
          <w:szCs w:val="24"/>
        </w:rPr>
        <w:t>Hypothesis 1</w:t>
      </w:r>
      <w:r>
        <w:rPr>
          <w:rFonts w:ascii="Times New Roman" w:hAnsi="Times New Roman" w:cs="Times New Roman"/>
          <w:i/>
          <w:sz w:val="24"/>
          <w:szCs w:val="24"/>
        </w:rPr>
        <w:t>A</w:t>
      </w:r>
      <w:r w:rsidRPr="00C82EE1">
        <w:rPr>
          <w:rFonts w:ascii="Times New Roman" w:hAnsi="Times New Roman" w:cs="Times New Roman"/>
          <w:i/>
          <w:sz w:val="24"/>
          <w:szCs w:val="24"/>
        </w:rPr>
        <w:t xml:space="preserve">: The level of </w:t>
      </w:r>
      <w:r w:rsidRPr="00C82EE1">
        <w:rPr>
          <w:rFonts w:ascii="Times New Roman" w:hAnsi="Times New Roman" w:cs="Times New Roman"/>
          <w:i/>
          <w:sz w:val="24"/>
          <w:szCs w:val="24"/>
          <w:lang w:val="en-GB"/>
        </w:rPr>
        <w:t>LC</w:t>
      </w:r>
      <w:r w:rsidRPr="00C82EE1">
        <w:rPr>
          <w:rFonts w:ascii="Times New Roman" w:hAnsi="Times New Roman" w:cs="Times New Roman"/>
          <w:i/>
          <w:sz w:val="24"/>
          <w:szCs w:val="24"/>
        </w:rPr>
        <w:t xml:space="preserve"> is positively associated with the dollar amount raised during the ICO fundraising.</w:t>
      </w:r>
    </w:p>
    <w:p w14:paraId="6A4295F6" w14:textId="6A119BA1" w:rsidR="00481D5B" w:rsidRPr="00C82EE1" w:rsidRDefault="00481D5B" w:rsidP="00887F84">
      <w:pPr>
        <w:spacing w:after="120" w:line="360" w:lineRule="auto"/>
        <w:ind w:firstLine="340"/>
        <w:jc w:val="both"/>
        <w:rPr>
          <w:rFonts w:ascii="Times New Roman" w:hAnsi="Times New Roman" w:cs="Times New Roman"/>
          <w:i/>
          <w:sz w:val="24"/>
          <w:szCs w:val="24"/>
        </w:rPr>
      </w:pPr>
      <w:r w:rsidRPr="00C82EE1">
        <w:rPr>
          <w:rFonts w:ascii="Times New Roman" w:hAnsi="Times New Roman" w:cs="Times New Roman"/>
          <w:i/>
          <w:sz w:val="24"/>
          <w:szCs w:val="24"/>
        </w:rPr>
        <w:t>Hypothesis 1</w:t>
      </w:r>
      <w:r w:rsidR="00AA6AA3">
        <w:rPr>
          <w:rFonts w:ascii="Times New Roman" w:hAnsi="Times New Roman" w:cs="Times New Roman"/>
          <w:i/>
          <w:sz w:val="24"/>
          <w:szCs w:val="24"/>
        </w:rPr>
        <w:t>B</w:t>
      </w:r>
      <w:r w:rsidRPr="00C82EE1">
        <w:rPr>
          <w:rFonts w:ascii="Times New Roman" w:hAnsi="Times New Roman" w:cs="Times New Roman"/>
          <w:i/>
          <w:sz w:val="24"/>
          <w:szCs w:val="24"/>
        </w:rPr>
        <w:t xml:space="preserve">: The level of </w:t>
      </w:r>
      <w:r w:rsidRPr="00C82EE1">
        <w:rPr>
          <w:rFonts w:ascii="Times New Roman" w:hAnsi="Times New Roman" w:cs="Times New Roman"/>
          <w:i/>
          <w:sz w:val="24"/>
          <w:szCs w:val="24"/>
          <w:lang w:val="en-GB"/>
        </w:rPr>
        <w:t>LC</w:t>
      </w:r>
      <w:r w:rsidRPr="00C82EE1">
        <w:rPr>
          <w:rFonts w:ascii="Times New Roman" w:hAnsi="Times New Roman" w:cs="Times New Roman"/>
          <w:i/>
          <w:sz w:val="24"/>
          <w:szCs w:val="24"/>
        </w:rPr>
        <w:t xml:space="preserve"> is not associated with the dollar amount raised during the ICO fundraising.</w:t>
      </w:r>
    </w:p>
    <w:p w14:paraId="177FE22D" w14:textId="24B41B7F" w:rsidR="00481D5B" w:rsidRPr="00C82EE1" w:rsidRDefault="00481D5B" w:rsidP="00E223E9">
      <w:pPr>
        <w:pStyle w:val="Titre2"/>
        <w:rPr>
          <w:lang w:val="en-GB"/>
        </w:rPr>
      </w:pPr>
      <w:r w:rsidRPr="00C82EE1">
        <w:t>LC and the effect of the white paper readability</w:t>
      </w:r>
    </w:p>
    <w:p w14:paraId="02F5E82A" w14:textId="5B8A29C0" w:rsidR="005C318E" w:rsidRDefault="009A79F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We argue that the effectiveness of LC as a credibility signal depends, in part, on investor ability to process linguistic information in disclosures. In this regard, readability likely plays a moderating role: for LC to be impactful, investors must be able to extract relevant insights from a complex text. We therefore examine whether the readability of ICO white papers moderates the relationship between LC and fundraising success.</w:t>
      </w:r>
    </w:p>
    <w:p w14:paraId="012769D6" w14:textId="50E78A1C" w:rsidR="009A79FB" w:rsidRPr="00C82EE1" w:rsidRDefault="009A79F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While scholars have raised valid concerns about the appropriateness of traditional readability formulas in financial contexts </w:t>
      </w:r>
      <w:r w:rsidR="00622B8B" w:rsidRPr="00C82EE1">
        <w:rPr>
          <w:rFonts w:ascii="Times New Roman" w:hAnsi="Times New Roman" w:cs="Times New Roman"/>
          <w:sz w:val="24"/>
          <w:szCs w:val="24"/>
        </w:rPr>
        <w:t>(Loughran &amp; McDonald, 2014b, 2014a)</w:t>
      </w:r>
      <w:r w:rsidRPr="00C82EE1">
        <w:rPr>
          <w:rFonts w:ascii="Times New Roman" w:hAnsi="Times New Roman" w:cs="Times New Roman"/>
          <w:sz w:val="24"/>
          <w:szCs w:val="24"/>
        </w:rPr>
        <w:t xml:space="preserve">, readability remains essential for providing investors with clear and transparent information. This is particularly true in the ICO market, where high levels of information asymmetry persist. Prior research supports this claim: </w:t>
      </w:r>
      <w:proofErr w:type="spellStart"/>
      <w:r w:rsidR="00622B8B" w:rsidRPr="00C82EE1">
        <w:rPr>
          <w:rFonts w:ascii="Times New Roman" w:hAnsi="Times New Roman" w:cs="Times New Roman"/>
          <w:sz w:val="24"/>
          <w:szCs w:val="24"/>
        </w:rPr>
        <w:t>Samieifar</w:t>
      </w:r>
      <w:proofErr w:type="spellEnd"/>
      <w:r w:rsidR="00622B8B" w:rsidRPr="00C82EE1">
        <w:rPr>
          <w:rFonts w:ascii="Times New Roman" w:hAnsi="Times New Roman" w:cs="Times New Roman"/>
          <w:sz w:val="24"/>
          <w:szCs w:val="24"/>
        </w:rPr>
        <w:t xml:space="preserve"> &amp; Baur (2021)</w:t>
      </w:r>
      <w:r w:rsidRPr="00C82EE1">
        <w:rPr>
          <w:rFonts w:ascii="Times New Roman" w:hAnsi="Times New Roman" w:cs="Times New Roman"/>
          <w:sz w:val="24"/>
          <w:szCs w:val="24"/>
        </w:rPr>
        <w:t xml:space="preserve"> find a positive relationship between white paper readability and funding success, while </w:t>
      </w:r>
      <w:r w:rsidR="00622B8B" w:rsidRPr="00C82EE1">
        <w:rPr>
          <w:rFonts w:ascii="Times New Roman" w:hAnsi="Times New Roman" w:cs="Times New Roman"/>
          <w:sz w:val="24"/>
          <w:szCs w:val="24"/>
        </w:rPr>
        <w:t>Zhang et al. (2019)</w:t>
      </w:r>
      <w:r w:rsidRPr="00C82EE1">
        <w:rPr>
          <w:rFonts w:ascii="Times New Roman" w:hAnsi="Times New Roman" w:cs="Times New Roman"/>
          <w:sz w:val="24"/>
          <w:szCs w:val="24"/>
        </w:rPr>
        <w:t xml:space="preserve"> show that more readable white papers are associated with stronger first-day returns.</w:t>
      </w:r>
    </w:p>
    <w:p w14:paraId="4A61090B" w14:textId="1A71692D" w:rsidR="00481D5B" w:rsidRPr="00C82EE1" w:rsidRDefault="009A79F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Although conventional metrics such as FOG and </w:t>
      </w:r>
      <w:r w:rsidR="00DB7563">
        <w:rPr>
          <w:rFonts w:ascii="Times New Roman" w:hAnsi="Times New Roman" w:cs="Times New Roman"/>
          <w:sz w:val="24"/>
          <w:szCs w:val="24"/>
        </w:rPr>
        <w:t>FKG</w:t>
      </w:r>
      <w:r w:rsidRPr="00C82EE1">
        <w:rPr>
          <w:rFonts w:ascii="Times New Roman" w:hAnsi="Times New Roman" w:cs="Times New Roman"/>
          <w:sz w:val="24"/>
          <w:szCs w:val="24"/>
        </w:rPr>
        <w:t xml:space="preserve"> may not fully capture the nuanced nature of financial discourse, their importance in the ICO setting cannot be dismissed. For </w:t>
      </w:r>
      <w:r w:rsidRPr="00C82EE1">
        <w:rPr>
          <w:rFonts w:ascii="Times New Roman" w:hAnsi="Times New Roman" w:cs="Times New Roman"/>
          <w:sz w:val="24"/>
          <w:szCs w:val="24"/>
        </w:rPr>
        <w:lastRenderedPageBreak/>
        <w:t xml:space="preserve">instance, </w:t>
      </w:r>
      <w:r w:rsidR="00622B8B" w:rsidRPr="00C82EE1">
        <w:rPr>
          <w:rFonts w:ascii="Times New Roman" w:hAnsi="Times New Roman" w:cs="Times New Roman"/>
          <w:sz w:val="24"/>
          <w:szCs w:val="24"/>
        </w:rPr>
        <w:t>Burke et al. (2022)</w:t>
      </w:r>
      <w:r w:rsidRPr="00C82EE1">
        <w:rPr>
          <w:rFonts w:ascii="Times New Roman" w:hAnsi="Times New Roman" w:cs="Times New Roman"/>
          <w:sz w:val="24"/>
          <w:szCs w:val="24"/>
        </w:rPr>
        <w:t xml:space="preserve"> demonstrate that readability is positively associated with success, especially in white papers containing dense technical jargon. These findings suggest that readability and LC should be viewed as complementary rather than competing constructs: high readability can enhance the accessibility of lexically complex content, ensuring that key messages are effectively communicated. Conversely, overly simplistic language may undermine the perception of technical sophistication. </w:t>
      </w:r>
      <w:r w:rsidR="002479F1" w:rsidRPr="00C82EE1">
        <w:rPr>
          <w:rFonts w:ascii="Times New Roman" w:hAnsi="Times New Roman" w:cs="Times New Roman"/>
          <w:sz w:val="24"/>
          <w:szCs w:val="24"/>
        </w:rPr>
        <w:t xml:space="preserve">As such, readability and LC are not just academic metrics; they actively shape investor perceptions of expertise, and effort. When an ICO team strikes the right balance, delivering a lexically complex, yet clear narrative, it reduces uncertainty for investors, thereby increasing trust. This trust can translate into higher participation in the ICO and better post-ICO outcomes. </w:t>
      </w:r>
      <w:r w:rsidRPr="00C82EE1">
        <w:rPr>
          <w:rFonts w:ascii="Times New Roman" w:hAnsi="Times New Roman" w:cs="Times New Roman"/>
          <w:sz w:val="24"/>
          <w:szCs w:val="24"/>
        </w:rPr>
        <w:t>Accordingly, we posit the following hypothesis:</w:t>
      </w:r>
    </w:p>
    <w:p w14:paraId="518ED8DE" w14:textId="3B511523" w:rsidR="00481D5B" w:rsidRPr="00E223E9" w:rsidRDefault="00481D5B" w:rsidP="00887F84">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i/>
          <w:sz w:val="24"/>
          <w:szCs w:val="24"/>
        </w:rPr>
        <w:t xml:space="preserve">Hypothesis 2: The positive association between the level of </w:t>
      </w:r>
      <w:r w:rsidRPr="00C82EE1">
        <w:rPr>
          <w:rFonts w:ascii="Times New Roman" w:hAnsi="Times New Roman" w:cs="Times New Roman"/>
          <w:i/>
          <w:sz w:val="24"/>
          <w:szCs w:val="24"/>
          <w:lang w:val="en-GB"/>
        </w:rPr>
        <w:t>LC</w:t>
      </w:r>
      <w:r w:rsidRPr="00C82EE1">
        <w:rPr>
          <w:rFonts w:ascii="Times New Roman" w:hAnsi="Times New Roman" w:cs="Times New Roman"/>
          <w:i/>
          <w:sz w:val="24"/>
          <w:szCs w:val="24"/>
        </w:rPr>
        <w:t xml:space="preserve"> in ICO white papers and the funding outcome is strengthened when the white paper is more readable. </w:t>
      </w:r>
      <w:bookmarkEnd w:id="0"/>
    </w:p>
    <w:p w14:paraId="702299C8" w14:textId="77777777" w:rsidR="00481D5B" w:rsidRPr="00C40F09" w:rsidRDefault="00481D5B" w:rsidP="00887F84">
      <w:pPr>
        <w:pStyle w:val="Titre1"/>
      </w:pPr>
      <w:r w:rsidRPr="00C40F09">
        <w:t xml:space="preserve">Research design </w:t>
      </w:r>
    </w:p>
    <w:p w14:paraId="7A728563" w14:textId="77777777" w:rsidR="00481D5B"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This section presents the sample selection and construction steps, the variables definitions and the methods used to test the impact of LC on the amount raised during an ICO.</w:t>
      </w:r>
    </w:p>
    <w:p w14:paraId="1674315C" w14:textId="77777777" w:rsidR="00481D5B" w:rsidRPr="00C82EE1" w:rsidRDefault="00481D5B" w:rsidP="00E223E9">
      <w:pPr>
        <w:pStyle w:val="Titre2"/>
      </w:pPr>
      <w:r w:rsidRPr="00C82EE1">
        <w:t xml:space="preserve">Sample construction and selection </w:t>
      </w:r>
    </w:p>
    <w:p w14:paraId="02965CC9" w14:textId="23717728" w:rsidR="00481D5B"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As ICOs allow ventures to bypass intermediaries and rely on decentralization, collecting corresponding data for empirical analyses is a challenging task. This issue means that there exists no centralized repository containing detailed information about all </w:t>
      </w:r>
      <w:r w:rsidR="00D237B0" w:rsidRPr="00C82EE1">
        <w:rPr>
          <w:rFonts w:ascii="Times New Roman" w:hAnsi="Times New Roman" w:cs="Times New Roman"/>
          <w:sz w:val="24"/>
          <w:szCs w:val="24"/>
        </w:rPr>
        <w:t>(</w:t>
      </w:r>
      <w:proofErr w:type="spellStart"/>
      <w:r w:rsidR="00D237B0" w:rsidRPr="00C82EE1">
        <w:rPr>
          <w:rFonts w:ascii="Times New Roman" w:hAnsi="Times New Roman" w:cs="Times New Roman"/>
          <w:sz w:val="24"/>
          <w:szCs w:val="24"/>
        </w:rPr>
        <w:t>Lyandres</w:t>
      </w:r>
      <w:proofErr w:type="spellEnd"/>
      <w:r w:rsidR="00D237B0" w:rsidRPr="00C82EE1">
        <w:rPr>
          <w:rFonts w:ascii="Times New Roman" w:hAnsi="Times New Roman" w:cs="Times New Roman"/>
          <w:sz w:val="24"/>
          <w:szCs w:val="24"/>
        </w:rPr>
        <w:t xml:space="preserve"> et al., 2022; Thewissen et al., 2022)</w:t>
      </w:r>
      <w:r w:rsidRPr="00C82EE1">
        <w:rPr>
          <w:rFonts w:ascii="Times New Roman" w:hAnsi="Times New Roman" w:cs="Times New Roman"/>
          <w:sz w:val="24"/>
          <w:szCs w:val="24"/>
        </w:rPr>
        <w:t xml:space="preserve">. However, in response to the demands of both investors and researchers, third-party ICO aggregation websites have emerged to serve as intermediaries in the market </w:t>
      </w:r>
      <w:r w:rsidR="00622B8B" w:rsidRPr="00C82EE1">
        <w:rPr>
          <w:rFonts w:ascii="Times New Roman" w:hAnsi="Times New Roman" w:cs="Times New Roman"/>
          <w:sz w:val="24"/>
          <w:szCs w:val="24"/>
        </w:rPr>
        <w:t xml:space="preserve">(Howell et al., 2020; </w:t>
      </w:r>
      <w:proofErr w:type="spellStart"/>
      <w:r w:rsidR="00622B8B" w:rsidRPr="00C82EE1">
        <w:rPr>
          <w:rFonts w:ascii="Times New Roman" w:hAnsi="Times New Roman" w:cs="Times New Roman"/>
          <w:sz w:val="24"/>
          <w:szCs w:val="24"/>
        </w:rPr>
        <w:t>Lyandres</w:t>
      </w:r>
      <w:proofErr w:type="spellEnd"/>
      <w:r w:rsidR="00622B8B" w:rsidRPr="00C82EE1">
        <w:rPr>
          <w:rFonts w:ascii="Times New Roman" w:hAnsi="Times New Roman" w:cs="Times New Roman"/>
          <w:sz w:val="24"/>
          <w:szCs w:val="24"/>
        </w:rPr>
        <w:t xml:space="preserve"> et al., 2022)</w:t>
      </w:r>
      <w:r w:rsidRPr="00C82EE1">
        <w:rPr>
          <w:rFonts w:ascii="Times New Roman" w:hAnsi="Times New Roman" w:cs="Times New Roman"/>
          <w:sz w:val="24"/>
          <w:szCs w:val="24"/>
        </w:rPr>
        <w:t xml:space="preserve">. In this paper, we rely on the approach outlined by </w:t>
      </w:r>
      <w:r w:rsidR="00622B8B" w:rsidRPr="00C82EE1">
        <w:rPr>
          <w:rFonts w:ascii="Times New Roman" w:hAnsi="Times New Roman" w:cs="Times New Roman"/>
          <w:sz w:val="24"/>
          <w:szCs w:val="24"/>
        </w:rPr>
        <w:t>Thewissen et al. (2022)</w:t>
      </w:r>
      <w:r w:rsidRPr="00C82EE1">
        <w:rPr>
          <w:rFonts w:ascii="Times New Roman" w:hAnsi="Times New Roman" w:cs="Times New Roman"/>
          <w:sz w:val="24"/>
          <w:szCs w:val="24"/>
        </w:rPr>
        <w:t xml:space="preserve"> and utilize sources such as ICOHolder.com, ICOMarks.com, ICORatings.com, ICODrops.com, FoundICO.com, CoinMarketCap.com, and CryptoCompare.com to build the dataset. To ensure the accuracy and completeness of the data, we cross-reference official ICO websites and conduct web searches to manually fill in missing data and validate existing information. ICOs without available white papers or complete variables are removed from the sample. In addition, we exclude non-English white papers and corrupted files. Finally, we obtain a final sample of 1,202 observations from 2015 to 2021, </w:t>
      </w:r>
      <w:r w:rsidRPr="00C82EE1">
        <w:rPr>
          <w:rFonts w:ascii="Times New Roman" w:hAnsi="Times New Roman" w:cs="Times New Roman"/>
          <w:sz w:val="24"/>
          <w:szCs w:val="24"/>
        </w:rPr>
        <w:lastRenderedPageBreak/>
        <w:t>which is in line with previous studies (see, e.g</w:t>
      </w:r>
      <w:r w:rsidR="00622B8B" w:rsidRPr="00C82EE1">
        <w:rPr>
          <w:rFonts w:ascii="Times New Roman" w:hAnsi="Times New Roman" w:cs="Times New Roman"/>
          <w:sz w:val="24"/>
          <w:szCs w:val="24"/>
        </w:rPr>
        <w:t xml:space="preserve">., Fuchs &amp; </w:t>
      </w:r>
      <w:proofErr w:type="spellStart"/>
      <w:r w:rsidR="00622B8B" w:rsidRPr="00C82EE1">
        <w:rPr>
          <w:rFonts w:ascii="Times New Roman" w:hAnsi="Times New Roman" w:cs="Times New Roman"/>
          <w:sz w:val="24"/>
          <w:szCs w:val="24"/>
        </w:rPr>
        <w:t>Momtaz</w:t>
      </w:r>
      <w:proofErr w:type="spellEnd"/>
      <w:r w:rsidR="00622B8B" w:rsidRPr="00C82EE1">
        <w:rPr>
          <w:rFonts w:ascii="Times New Roman" w:hAnsi="Times New Roman" w:cs="Times New Roman"/>
          <w:sz w:val="24"/>
          <w:szCs w:val="24"/>
        </w:rPr>
        <w:t>, 2025; Huang et al., 2020; Xia et al., 2024b, 2024a, 2024c)</w:t>
      </w:r>
    </w:p>
    <w:p w14:paraId="5D722DA3" w14:textId="77777777" w:rsidR="00481D5B" w:rsidRPr="00C82EE1" w:rsidRDefault="00481D5B" w:rsidP="00887F84">
      <w:pPr>
        <w:pStyle w:val="Titre2"/>
      </w:pPr>
      <w:r w:rsidRPr="00C82EE1">
        <w:t xml:space="preserve">Variables </w:t>
      </w:r>
    </w:p>
    <w:p w14:paraId="004D9CEA" w14:textId="77777777" w:rsidR="00481D5B" w:rsidRPr="00C82EE1" w:rsidRDefault="00481D5B" w:rsidP="00887F84">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We next describe the different dependent, independent and control variables we use to conduct our study.</w:t>
      </w:r>
    </w:p>
    <w:p w14:paraId="3C896731" w14:textId="77777777" w:rsidR="00481D5B" w:rsidRPr="00C82EE1" w:rsidRDefault="00481D5B" w:rsidP="00E223E9">
      <w:pPr>
        <w:pStyle w:val="Titre3"/>
      </w:pPr>
      <w:r w:rsidRPr="00C82EE1">
        <w:t xml:space="preserve">Main variables </w:t>
      </w:r>
    </w:p>
    <w:p w14:paraId="44322E2D" w14:textId="7E6ABB17" w:rsidR="00481D5B" w:rsidRPr="00C82EE1" w:rsidRDefault="00481D5B" w:rsidP="003E0220">
      <w:pPr>
        <w:widowControl w:val="0"/>
        <w:tabs>
          <w:tab w:val="left" w:pos="0"/>
          <w:tab w:val="left" w:pos="180"/>
          <w:tab w:val="left" w:pos="540"/>
        </w:tabs>
        <w:autoSpaceDE w:val="0"/>
        <w:autoSpaceDN w:val="0"/>
        <w:spacing w:after="120" w:line="360" w:lineRule="auto"/>
        <w:jc w:val="both"/>
        <w:rPr>
          <w:rFonts w:ascii="Times New Roman" w:eastAsia="Times New Roman" w:hAnsi="Times New Roman" w:cs="Times New Roman"/>
          <w:w w:val="105"/>
          <w:sz w:val="24"/>
          <w:szCs w:val="24"/>
        </w:rPr>
      </w:pPr>
      <w:bookmarkStart w:id="3" w:name="_Hlk193838729"/>
      <w:r w:rsidRPr="00C82EE1">
        <w:rPr>
          <w:rFonts w:ascii="Times New Roman" w:hAnsi="Times New Roman" w:cs="Times New Roman"/>
          <w:sz w:val="24"/>
          <w:szCs w:val="24"/>
        </w:rPr>
        <w:t>As our primary indicator of ICO success, we follow previous literature and use the natural logarithm of the amount of US dollars raise</w:t>
      </w:r>
      <w:r w:rsidR="00C40F09">
        <w:rPr>
          <w:rFonts w:ascii="Times New Roman" w:hAnsi="Times New Roman" w:cs="Times New Roman"/>
          <w:sz w:val="24"/>
          <w:szCs w:val="24"/>
        </w:rPr>
        <w:t xml:space="preserve">d </w:t>
      </w:r>
      <w:r w:rsidRPr="00C82EE1">
        <w:rPr>
          <w:rFonts w:ascii="Times New Roman" w:hAnsi="Times New Roman" w:cs="Times New Roman"/>
          <w:sz w:val="24"/>
          <w:szCs w:val="24"/>
        </w:rPr>
        <w:t xml:space="preserve"> </w:t>
      </w:r>
      <m:oMath>
        <m:r>
          <w:rPr>
            <w:rFonts w:ascii="Cambria Math" w:hAnsi="Cambria Math" w:cs="Times New Roman"/>
            <w:sz w:val="24"/>
            <w:szCs w:val="24"/>
          </w:rPr>
          <m:t>(Amount raised)</m:t>
        </m:r>
      </m:oMath>
      <w:r w:rsidRPr="00C82EE1">
        <w:rPr>
          <w:rFonts w:ascii="Times New Roman" w:hAnsi="Times New Roman" w:cs="Times New Roman"/>
          <w:sz w:val="24"/>
          <w:szCs w:val="24"/>
        </w:rPr>
        <w:t xml:space="preserve"> during the coin offering </w:t>
      </w:r>
      <w:r w:rsidR="00D237B0" w:rsidRPr="00C82EE1">
        <w:rPr>
          <w:rFonts w:ascii="Times New Roman" w:hAnsi="Times New Roman" w:cs="Times New Roman"/>
          <w:sz w:val="24"/>
          <w:szCs w:val="24"/>
        </w:rPr>
        <w:t>(Fisch, 2019; Thewissen et al., 2022; Xia et al., 2024b)</w:t>
      </w:r>
      <w:r w:rsidRPr="00C82EE1">
        <w:rPr>
          <w:rFonts w:ascii="Times New Roman" w:hAnsi="Times New Roman" w:cs="Times New Roman"/>
          <w:sz w:val="24"/>
          <w:szCs w:val="24"/>
        </w:rPr>
        <w:t>.</w:t>
      </w:r>
      <w:r w:rsidRPr="00C82EE1">
        <w:rPr>
          <w:rStyle w:val="Appelnotedebasdep"/>
          <w:rFonts w:ascii="Times New Roman" w:hAnsi="Times New Roman" w:cs="Times New Roman"/>
          <w:sz w:val="24"/>
          <w:szCs w:val="24"/>
        </w:rPr>
        <w:footnoteReference w:id="3"/>
      </w:r>
      <w:r w:rsidRPr="00C82EE1">
        <w:rPr>
          <w:rFonts w:ascii="Times New Roman" w:hAnsi="Times New Roman" w:cs="Times New Roman"/>
          <w:sz w:val="24"/>
          <w:szCs w:val="24"/>
        </w:rPr>
        <w:t xml:space="preserve"> The variable is </w:t>
      </w:r>
      <w:proofErr w:type="spellStart"/>
      <w:r w:rsidRPr="00C82EE1">
        <w:rPr>
          <w:rFonts w:ascii="Times New Roman" w:hAnsi="Times New Roman" w:cs="Times New Roman"/>
          <w:sz w:val="24"/>
          <w:szCs w:val="24"/>
        </w:rPr>
        <w:t>winsorized</w:t>
      </w:r>
      <w:proofErr w:type="spellEnd"/>
      <w:r w:rsidRPr="00C82EE1">
        <w:rPr>
          <w:rFonts w:ascii="Times New Roman" w:hAnsi="Times New Roman" w:cs="Times New Roman"/>
          <w:sz w:val="24"/>
          <w:szCs w:val="24"/>
        </w:rPr>
        <w:t xml:space="preserve"> at 1% and 99% to avoid potential biases driven by extreme values. To measure the readability level of a white paper, we use the Flesch Reading Ease Score (</w:t>
      </w:r>
      <m:oMath>
        <m:r>
          <w:rPr>
            <w:rFonts w:ascii="Cambria Math" w:hAnsi="Cambria Math" w:cs="Times New Roman"/>
            <w:sz w:val="24"/>
            <w:szCs w:val="24"/>
          </w:rPr>
          <m:t>Readability_Flesch</m:t>
        </m:r>
      </m:oMath>
      <w:r w:rsidRPr="00C82EE1">
        <w:rPr>
          <w:rFonts w:ascii="Times New Roman" w:hAnsi="Times New Roman" w:cs="Times New Roman"/>
          <w:sz w:val="24"/>
          <w:szCs w:val="24"/>
        </w:rPr>
        <w:t xml:space="preserve">), a widely used readability metric that evaluates how easy a text is to understand based on average sentence length and the average number of syllables per word </w:t>
      </w:r>
      <w:r w:rsidR="00FE077C" w:rsidRPr="00C82EE1">
        <w:rPr>
          <w:rFonts w:ascii="Times New Roman" w:hAnsi="Times New Roman" w:cs="Times New Roman"/>
          <w:sz w:val="24"/>
          <w:szCs w:val="24"/>
        </w:rPr>
        <w:t>(Kincaid et al., 1975)</w:t>
      </w:r>
      <w:r w:rsidRPr="00C82EE1">
        <w:rPr>
          <w:rFonts w:ascii="Times New Roman" w:hAnsi="Times New Roman" w:cs="Times New Roman"/>
          <w:sz w:val="24"/>
          <w:szCs w:val="24"/>
        </w:rPr>
        <w:t>.</w:t>
      </w:r>
      <w:r w:rsidRPr="00C82EE1">
        <w:rPr>
          <w:rStyle w:val="Appelnotedebasdep"/>
          <w:rFonts w:ascii="Times New Roman" w:hAnsi="Times New Roman" w:cs="Times New Roman"/>
          <w:sz w:val="24"/>
          <w:szCs w:val="24"/>
        </w:rPr>
        <w:footnoteReference w:id="4"/>
      </w:r>
      <w:r w:rsidRPr="00C82EE1">
        <w:rPr>
          <w:rFonts w:ascii="Times New Roman" w:hAnsi="Times New Roman" w:cs="Times New Roman"/>
          <w:sz w:val="24"/>
          <w:szCs w:val="24"/>
        </w:rPr>
        <w:t xml:space="preserve"> A higher </w:t>
      </w:r>
      <m:oMath>
        <m:r>
          <w:rPr>
            <w:rFonts w:ascii="Cambria Math" w:hAnsi="Cambria Math" w:cs="Times New Roman"/>
            <w:sz w:val="24"/>
            <w:szCs w:val="24"/>
          </w:rPr>
          <m:t>Readability_Flesch</m:t>
        </m:r>
      </m:oMath>
      <w:r w:rsidRPr="00C82EE1">
        <w:rPr>
          <w:rFonts w:ascii="Times New Roman" w:eastAsiaTheme="minorEastAsia" w:hAnsi="Times New Roman" w:cs="Times New Roman"/>
          <w:sz w:val="24"/>
          <w:szCs w:val="24"/>
        </w:rPr>
        <w:t xml:space="preserve"> </w:t>
      </w:r>
      <w:r w:rsidRPr="00C82EE1">
        <w:rPr>
          <w:rFonts w:ascii="Times New Roman" w:hAnsi="Times New Roman" w:cs="Times New Roman"/>
          <w:sz w:val="24"/>
          <w:szCs w:val="24"/>
        </w:rPr>
        <w:t>score on this scale indicates more readable and accessible texts.</w:t>
      </w:r>
      <w:r w:rsidRPr="00C82EE1">
        <w:rPr>
          <w:rFonts w:ascii="Times New Roman" w:eastAsia="Times New Roman" w:hAnsi="Times New Roman" w:cs="Times New Roman"/>
          <w:w w:val="105"/>
          <w:sz w:val="24"/>
          <w:szCs w:val="24"/>
        </w:rPr>
        <w:t xml:space="preserve"> </w:t>
      </w:r>
      <w:bookmarkStart w:id="4" w:name="_Hlk198129439"/>
      <w:r w:rsidRPr="00C82EE1">
        <w:rPr>
          <w:rFonts w:ascii="Times New Roman" w:hAnsi="Times New Roman" w:cs="Times New Roman"/>
          <w:sz w:val="24"/>
          <w:szCs w:val="24"/>
        </w:rPr>
        <w:t>Definitions of these variables are provided in Table 1</w:t>
      </w:r>
      <w:r w:rsidRPr="00C82EE1">
        <w:rPr>
          <w:rFonts w:ascii="Times New Roman" w:eastAsia="Times New Roman" w:hAnsi="Times New Roman" w:cs="Times New Roman"/>
          <w:w w:val="105"/>
          <w:sz w:val="24"/>
          <w:szCs w:val="24"/>
        </w:rPr>
        <w:t>.</w:t>
      </w:r>
      <w:bookmarkEnd w:id="3"/>
      <w:bookmarkEnd w:id="4"/>
    </w:p>
    <w:p w14:paraId="4535010E" w14:textId="1ABF2650" w:rsidR="00481D5B" w:rsidRPr="00C82EE1" w:rsidRDefault="00481D5B" w:rsidP="009C6E52">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1 here.]</w:t>
      </w:r>
    </w:p>
    <w:p w14:paraId="1D76503A" w14:textId="77777777" w:rsidR="00481D5B" w:rsidRPr="00C82EE1" w:rsidRDefault="00481D5B" w:rsidP="00E223E9">
      <w:pPr>
        <w:pStyle w:val="Titre3"/>
      </w:pPr>
      <w:r w:rsidRPr="00C82EE1">
        <w:t>LC and principal component analysis</w:t>
      </w:r>
    </w:p>
    <w:p w14:paraId="5EF08840" w14:textId="2AC2E7ED" w:rsidR="00481D5B"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Based on </w:t>
      </w:r>
      <w:r w:rsidR="00C74821" w:rsidRPr="00C82EE1">
        <w:rPr>
          <w:rFonts w:ascii="Times New Roman" w:hAnsi="Times New Roman" w:cs="Times New Roman"/>
          <w:sz w:val="24"/>
          <w:szCs w:val="24"/>
        </w:rPr>
        <w:t>Lu (2012)</w:t>
      </w:r>
      <w:r w:rsidRPr="00C82EE1">
        <w:rPr>
          <w:rFonts w:ascii="Times New Roman" w:hAnsi="Times New Roman" w:cs="Times New Roman"/>
          <w:sz w:val="24"/>
          <w:szCs w:val="24"/>
        </w:rPr>
        <w:t xml:space="preserve">, we quantify and extract the 25 metrics that represent the text </w:t>
      </w:r>
      <w:r w:rsidRPr="00C82EE1">
        <w:rPr>
          <w:rFonts w:ascii="Times New Roman" w:hAnsi="Times New Roman" w:cs="Times New Roman"/>
          <w:sz w:val="24"/>
          <w:szCs w:val="24"/>
          <w:lang w:val="en-GB"/>
        </w:rPr>
        <w:t>LC</w:t>
      </w:r>
      <w:r w:rsidRPr="00C82EE1">
        <w:rPr>
          <w:rFonts w:ascii="Times New Roman" w:hAnsi="Times New Roman" w:cs="Times New Roman"/>
          <w:sz w:val="24"/>
          <w:szCs w:val="24"/>
        </w:rPr>
        <w:t xml:space="preserve"> level. These measurements define specific metrics addressing different components of </w:t>
      </w:r>
      <w:r w:rsidRPr="00C82EE1">
        <w:rPr>
          <w:rFonts w:ascii="Times New Roman" w:hAnsi="Times New Roman" w:cs="Times New Roman"/>
          <w:sz w:val="24"/>
          <w:szCs w:val="24"/>
          <w:lang w:val="en-GB"/>
        </w:rPr>
        <w:t>LC</w:t>
      </w:r>
      <w:r w:rsidRPr="00C82EE1">
        <w:rPr>
          <w:rFonts w:ascii="Times New Roman" w:hAnsi="Times New Roman" w:cs="Times New Roman"/>
          <w:sz w:val="24"/>
          <w:szCs w:val="24"/>
        </w:rPr>
        <w:t>, namely lexical density, sophistication, and diversity. All the 25 individual lexical metrics are detailed and defined in Table A1 in the Appendix</w:t>
      </w:r>
      <w:r w:rsidR="0047162D">
        <w:rPr>
          <w:rFonts w:ascii="Times New Roman" w:hAnsi="Times New Roman" w:cs="Times New Roman"/>
          <w:sz w:val="24"/>
          <w:szCs w:val="24"/>
        </w:rPr>
        <w:t>.</w:t>
      </w:r>
      <w:r w:rsidR="00066BC6">
        <w:rPr>
          <w:rStyle w:val="Appelnotedebasdep"/>
          <w:rFonts w:ascii="Times New Roman" w:hAnsi="Times New Roman" w:cs="Times New Roman"/>
          <w:sz w:val="24"/>
          <w:szCs w:val="24"/>
        </w:rPr>
        <w:footnoteReference w:id="5"/>
      </w:r>
      <w:r w:rsidRPr="00C82EE1">
        <w:rPr>
          <w:rFonts w:ascii="Times New Roman" w:hAnsi="Times New Roman" w:cs="Times New Roman"/>
          <w:sz w:val="24"/>
          <w:szCs w:val="24"/>
        </w:rPr>
        <w:t xml:space="preserve"> </w:t>
      </w:r>
    </w:p>
    <w:p w14:paraId="6176340A" w14:textId="10078C37" w:rsidR="00481D5B" w:rsidRPr="00C82EE1" w:rsidRDefault="00481D5B" w:rsidP="0047162D">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Lexical density is estimated by only one variable named </w:t>
      </w:r>
      <m:oMath>
        <m:r>
          <w:rPr>
            <w:rFonts w:ascii="Cambria Math" w:hAnsi="Cambria Math" w:cs="Times New Roman"/>
            <w:sz w:val="24"/>
            <w:szCs w:val="24"/>
          </w:rPr>
          <m:t>ld</m:t>
        </m:r>
      </m:oMath>
      <w:r w:rsidRPr="00C82EE1">
        <w:rPr>
          <w:rFonts w:ascii="Times New Roman" w:hAnsi="Times New Roman" w:cs="Times New Roman"/>
          <w:sz w:val="24"/>
          <w:szCs w:val="24"/>
        </w:rPr>
        <w:t xml:space="preserve">, </w:t>
      </w:r>
      <w:r w:rsidRPr="00C40F09">
        <w:rPr>
          <w:rFonts w:ascii="Times New Roman" w:hAnsi="Times New Roman" w:cs="Times New Roman"/>
          <w:sz w:val="24"/>
          <w:szCs w:val="24"/>
        </w:rPr>
        <w:t>representing</w:t>
      </w:r>
      <w:r w:rsidRPr="00C82EE1">
        <w:rPr>
          <w:rFonts w:ascii="Times New Roman" w:hAnsi="Times New Roman" w:cs="Times New Roman"/>
          <w:sz w:val="24"/>
          <w:szCs w:val="24"/>
        </w:rPr>
        <w:t xml:space="preserve"> the lexical density</w:t>
      </w:r>
      <w:r w:rsidR="00066BC6">
        <w:rPr>
          <w:rFonts w:ascii="Times New Roman" w:hAnsi="Times New Roman" w:cs="Times New Roman"/>
          <w:sz w:val="24"/>
          <w:szCs w:val="24"/>
        </w:rPr>
        <w:t xml:space="preserve"> of the text</w:t>
      </w:r>
      <w:r w:rsidRPr="00C82EE1">
        <w:rPr>
          <w:rFonts w:ascii="Times New Roman" w:hAnsi="Times New Roman" w:cs="Times New Roman"/>
          <w:sz w:val="24"/>
          <w:szCs w:val="24"/>
        </w:rPr>
        <w:t xml:space="preserve">. Lexical sophistication is measured using five variables. The </w:t>
      </w:r>
      <m:oMath>
        <m:r>
          <w:rPr>
            <w:rFonts w:ascii="Cambria Math" w:hAnsi="Cambria Math" w:cs="Times New Roman"/>
            <w:sz w:val="24"/>
            <w:szCs w:val="24"/>
          </w:rPr>
          <m:t>ls1</m:t>
        </m:r>
      </m:oMath>
      <w:r w:rsidRPr="00C82EE1">
        <w:rPr>
          <w:rFonts w:ascii="Times New Roman" w:hAnsi="Times New Roman" w:cs="Times New Roman"/>
          <w:sz w:val="24"/>
          <w:szCs w:val="24"/>
        </w:rPr>
        <w:t xml:space="preserve"> variable determines the proportion of sophisticated words in the document. Based on </w:t>
      </w:r>
      <w:r w:rsidR="00C74821" w:rsidRPr="00C82EE1">
        <w:rPr>
          <w:rFonts w:ascii="Times New Roman" w:hAnsi="Times New Roman" w:cs="Times New Roman"/>
          <w:sz w:val="24"/>
          <w:szCs w:val="24"/>
        </w:rPr>
        <w:t>Laufer (1995)</w:t>
      </w:r>
      <w:r w:rsidRPr="00C82EE1">
        <w:rPr>
          <w:rFonts w:ascii="Times New Roman" w:hAnsi="Times New Roman" w:cs="Times New Roman"/>
          <w:sz w:val="24"/>
          <w:szCs w:val="24"/>
        </w:rPr>
        <w:t xml:space="preserve">, </w:t>
      </w:r>
      <w:r w:rsidR="00C74821" w:rsidRPr="00C82EE1">
        <w:rPr>
          <w:rFonts w:ascii="Times New Roman" w:hAnsi="Times New Roman" w:cs="Times New Roman"/>
          <w:sz w:val="24"/>
          <w:szCs w:val="24"/>
        </w:rPr>
        <w:t xml:space="preserve">Leech et al. </w:t>
      </w:r>
      <w:r w:rsidR="00C74821" w:rsidRPr="00C82EE1">
        <w:rPr>
          <w:rFonts w:ascii="Times New Roman" w:hAnsi="Times New Roman" w:cs="Times New Roman"/>
          <w:sz w:val="24"/>
          <w:szCs w:val="24"/>
        </w:rPr>
        <w:lastRenderedPageBreak/>
        <w:t>(2001)</w:t>
      </w:r>
      <w:r w:rsidRPr="00C82EE1">
        <w:rPr>
          <w:rFonts w:ascii="Times New Roman" w:hAnsi="Times New Roman" w:cs="Times New Roman"/>
          <w:sz w:val="24"/>
          <w:szCs w:val="24"/>
        </w:rPr>
        <w:t xml:space="preserve"> and </w:t>
      </w:r>
      <w:r w:rsidR="00C74821" w:rsidRPr="00C82EE1">
        <w:rPr>
          <w:rFonts w:ascii="Times New Roman" w:hAnsi="Times New Roman" w:cs="Times New Roman"/>
          <w:sz w:val="24"/>
          <w:szCs w:val="24"/>
        </w:rPr>
        <w:t>Lu (2012)</w:t>
      </w:r>
      <w:r w:rsidRPr="00C82EE1">
        <w:rPr>
          <w:rFonts w:ascii="Times New Roman" w:hAnsi="Times New Roman" w:cs="Times New Roman"/>
          <w:sz w:val="24"/>
          <w:szCs w:val="24"/>
        </w:rPr>
        <w:t xml:space="preserve">, words are labelled as sophisticated if they do not appear in the list of the 2000 most frequent words provided by the British National Corpus </w:t>
      </w:r>
      <w:r w:rsidR="00C74821" w:rsidRPr="00C82EE1">
        <w:rPr>
          <w:rFonts w:ascii="Times New Roman" w:hAnsi="Times New Roman" w:cs="Times New Roman"/>
          <w:sz w:val="24"/>
          <w:szCs w:val="24"/>
        </w:rPr>
        <w:t>(BNC Consortium, 2007)</w:t>
      </w:r>
      <w:r w:rsidRPr="00C82EE1">
        <w:rPr>
          <w:rFonts w:ascii="Times New Roman" w:hAnsi="Times New Roman" w:cs="Times New Roman"/>
          <w:sz w:val="24"/>
          <w:szCs w:val="24"/>
        </w:rPr>
        <w:t xml:space="preserve">. Another type of sophistication measure is </w:t>
      </w:r>
      <m:oMath>
        <m:r>
          <w:rPr>
            <w:rFonts w:ascii="Cambria Math" w:hAnsi="Cambria Math" w:cs="Times New Roman"/>
            <w:sz w:val="24"/>
            <w:szCs w:val="24"/>
          </w:rPr>
          <m:t>ls2</m:t>
        </m:r>
      </m:oMath>
      <w:r w:rsidRPr="00C82EE1">
        <w:rPr>
          <w:rFonts w:ascii="Times New Roman" w:hAnsi="Times New Roman" w:cs="Times New Roman"/>
          <w:sz w:val="24"/>
          <w:szCs w:val="24"/>
        </w:rPr>
        <w:t>, which measures the number of sophisticated word t</w:t>
      </w:r>
      <w:proofErr w:type="spellStart"/>
      <w:r w:rsidRPr="00C82EE1">
        <w:rPr>
          <w:rFonts w:ascii="Times New Roman" w:hAnsi="Times New Roman" w:cs="Times New Roman"/>
          <w:sz w:val="24"/>
          <w:szCs w:val="24"/>
        </w:rPr>
        <w:t>ypes</w:t>
      </w:r>
      <w:proofErr w:type="spellEnd"/>
      <w:r w:rsidRPr="00C82EE1">
        <w:rPr>
          <w:rFonts w:ascii="Times New Roman" w:hAnsi="Times New Roman" w:cs="Times New Roman"/>
          <w:sz w:val="24"/>
          <w:szCs w:val="24"/>
        </w:rPr>
        <w:t xml:space="preserve">. This means that different inflections of the same lemma are considered as one only type of word (e.g., </w:t>
      </w:r>
      <w:bookmarkStart w:id="5" w:name="_Hlk194936799"/>
      <w:r w:rsidRPr="00C82EE1">
        <w:rPr>
          <w:rFonts w:ascii="Times New Roman" w:hAnsi="Times New Roman" w:cs="Times New Roman"/>
          <w:sz w:val="24"/>
          <w:szCs w:val="24"/>
        </w:rPr>
        <w:t>"</w:t>
      </w:r>
      <w:bookmarkEnd w:id="5"/>
      <w:proofErr w:type="spellStart"/>
      <w:r w:rsidRPr="00AD4704">
        <w:rPr>
          <w:rFonts w:ascii="Times New Roman" w:hAnsi="Times New Roman" w:cs="Times New Roman"/>
          <w:i/>
          <w:sz w:val="24"/>
          <w:szCs w:val="24"/>
        </w:rPr>
        <w:t>go</w:t>
      </w:r>
      <w:r w:rsidRPr="00C82EE1">
        <w:rPr>
          <w:rFonts w:ascii="Times New Roman" w:hAnsi="Times New Roman" w:cs="Times New Roman"/>
          <w:sz w:val="24"/>
          <w:szCs w:val="24"/>
        </w:rPr>
        <w:t>","</w:t>
      </w:r>
      <w:r w:rsidRPr="00AD4704">
        <w:rPr>
          <w:rFonts w:ascii="Times New Roman" w:hAnsi="Times New Roman" w:cs="Times New Roman"/>
          <w:i/>
          <w:sz w:val="24"/>
          <w:szCs w:val="24"/>
        </w:rPr>
        <w:t>goes</w:t>
      </w:r>
      <w:proofErr w:type="spellEnd"/>
      <w:r w:rsidRPr="00C82EE1">
        <w:rPr>
          <w:rFonts w:ascii="Times New Roman" w:hAnsi="Times New Roman" w:cs="Times New Roman"/>
          <w:sz w:val="24"/>
          <w:szCs w:val="24"/>
        </w:rPr>
        <w:t>"</w:t>
      </w:r>
      <w:r w:rsidR="00535880">
        <w:rPr>
          <w:rFonts w:ascii="Times New Roman" w:hAnsi="Times New Roman" w:cs="Times New Roman"/>
          <w:sz w:val="24"/>
          <w:szCs w:val="24"/>
        </w:rPr>
        <w:t>,</w:t>
      </w:r>
      <w:r w:rsidRPr="00C82EE1">
        <w:rPr>
          <w:rFonts w:ascii="Times New Roman" w:hAnsi="Times New Roman" w:cs="Times New Roman"/>
          <w:sz w:val="24"/>
          <w:szCs w:val="24"/>
        </w:rPr>
        <w:t xml:space="preserve"> "</w:t>
      </w:r>
      <w:r w:rsidRPr="00AD4704">
        <w:rPr>
          <w:rFonts w:ascii="Times New Roman" w:hAnsi="Times New Roman" w:cs="Times New Roman"/>
          <w:i/>
          <w:sz w:val="24"/>
          <w:szCs w:val="24"/>
        </w:rPr>
        <w:t>going</w:t>
      </w:r>
      <w:r w:rsidRPr="00C82EE1">
        <w:rPr>
          <w:rFonts w:ascii="Times New Roman" w:hAnsi="Times New Roman" w:cs="Times New Roman"/>
          <w:sz w:val="24"/>
          <w:szCs w:val="24"/>
        </w:rPr>
        <w:t>"</w:t>
      </w:r>
      <w:r w:rsidR="00535880">
        <w:rPr>
          <w:rFonts w:ascii="Times New Roman" w:hAnsi="Times New Roman" w:cs="Times New Roman"/>
          <w:sz w:val="24"/>
          <w:szCs w:val="24"/>
        </w:rPr>
        <w:t>,</w:t>
      </w:r>
      <w:r w:rsidRPr="00C82EE1">
        <w:rPr>
          <w:rFonts w:ascii="Times New Roman" w:hAnsi="Times New Roman" w:cs="Times New Roman"/>
          <w:sz w:val="24"/>
          <w:szCs w:val="24"/>
        </w:rPr>
        <w:t xml:space="preserve"> "</w:t>
      </w:r>
      <w:r w:rsidRPr="00AD4704">
        <w:rPr>
          <w:rFonts w:ascii="Times New Roman" w:hAnsi="Times New Roman" w:cs="Times New Roman"/>
          <w:i/>
          <w:sz w:val="24"/>
          <w:szCs w:val="24"/>
        </w:rPr>
        <w:t>went</w:t>
      </w:r>
      <w:r w:rsidRPr="00C82EE1">
        <w:rPr>
          <w:rFonts w:ascii="Times New Roman" w:hAnsi="Times New Roman" w:cs="Times New Roman"/>
          <w:sz w:val="24"/>
          <w:szCs w:val="24"/>
        </w:rPr>
        <w:t>"</w:t>
      </w:r>
      <w:r w:rsidR="00535880">
        <w:rPr>
          <w:rFonts w:ascii="Times New Roman" w:hAnsi="Times New Roman" w:cs="Times New Roman"/>
          <w:sz w:val="24"/>
          <w:szCs w:val="24"/>
        </w:rPr>
        <w:t>,</w:t>
      </w:r>
      <w:r w:rsidRPr="00C82EE1">
        <w:rPr>
          <w:rFonts w:ascii="Times New Roman" w:hAnsi="Times New Roman" w:cs="Times New Roman"/>
          <w:sz w:val="24"/>
          <w:szCs w:val="24"/>
        </w:rPr>
        <w:t xml:space="preserve"> and "</w:t>
      </w:r>
      <w:r w:rsidRPr="00AD4704">
        <w:rPr>
          <w:rFonts w:ascii="Times New Roman" w:hAnsi="Times New Roman" w:cs="Times New Roman"/>
          <w:i/>
          <w:sz w:val="24"/>
          <w:szCs w:val="24"/>
        </w:rPr>
        <w:t>gone</w:t>
      </w:r>
      <w:r w:rsidRPr="00C82EE1">
        <w:rPr>
          <w:rFonts w:ascii="Times New Roman" w:hAnsi="Times New Roman" w:cs="Times New Roman"/>
          <w:sz w:val="24"/>
          <w:szCs w:val="24"/>
        </w:rPr>
        <w:t xml:space="preserve">"). Lexical diversity or variation is captured by 19 variables, which assess word diversity, verb diversity, and lexical word diversity. The measure </w:t>
      </w:r>
      <m:oMath>
        <m:r>
          <w:rPr>
            <w:rFonts w:ascii="Cambria Math" w:hAnsi="Cambria Math" w:cs="Times New Roman"/>
            <w:sz w:val="24"/>
            <w:szCs w:val="24"/>
          </w:rPr>
          <m:t>ndw</m:t>
        </m:r>
      </m:oMath>
      <w:r w:rsidRPr="00C82EE1">
        <w:rPr>
          <w:rFonts w:ascii="Times New Roman" w:hAnsi="Times New Roman" w:cs="Times New Roman"/>
          <w:sz w:val="24"/>
          <w:szCs w:val="24"/>
        </w:rPr>
        <w:t xml:space="preserve"> depicts the number of different words in white papers. Since </w:t>
      </w:r>
      <m:oMath>
        <m:r>
          <w:rPr>
            <w:rFonts w:ascii="Cambria Math" w:hAnsi="Cambria Math" w:cs="Times New Roman"/>
            <w:sz w:val="24"/>
            <w:szCs w:val="24"/>
          </w:rPr>
          <m:t>ndw</m:t>
        </m:r>
      </m:oMath>
      <w:r w:rsidRPr="00C82EE1">
        <w:rPr>
          <w:rFonts w:ascii="Times New Roman" w:hAnsi="Times New Roman" w:cs="Times New Roman"/>
          <w:sz w:val="24"/>
          <w:szCs w:val="24"/>
        </w:rPr>
        <w:t xml:space="preserve"> is dependent on the length of the language sample, there are two standardized measures, </w:t>
      </w:r>
      <m:oMath>
        <m:r>
          <w:rPr>
            <w:rFonts w:ascii="Cambria Math" w:hAnsi="Cambria Math" w:cs="Times New Roman"/>
            <w:sz w:val="24"/>
            <w:szCs w:val="24"/>
          </w:rPr>
          <m:t>ndw-erz</m:t>
        </m:r>
      </m:oMath>
      <w:r w:rsidRPr="00C82EE1">
        <w:rPr>
          <w:rFonts w:ascii="Times New Roman" w:hAnsi="Times New Roman" w:cs="Times New Roman"/>
          <w:sz w:val="24"/>
          <w:szCs w:val="24"/>
        </w:rPr>
        <w:t xml:space="preserve"> and </w:t>
      </w:r>
      <m:oMath>
        <m:r>
          <w:rPr>
            <w:rFonts w:ascii="Cambria Math" w:hAnsi="Cambria Math" w:cs="Times New Roman"/>
            <w:sz w:val="24"/>
            <w:szCs w:val="24"/>
          </w:rPr>
          <m:t>ndw-esz</m:t>
        </m:r>
      </m:oMath>
      <w:r w:rsidRPr="00C82EE1">
        <w:rPr>
          <w:rFonts w:ascii="Times New Roman" w:hAnsi="Times New Roman" w:cs="Times New Roman"/>
          <w:sz w:val="24"/>
          <w:szCs w:val="24"/>
        </w:rPr>
        <w:t xml:space="preserve"> </w:t>
      </w:r>
      <w:r w:rsidR="00C74821" w:rsidRPr="00C82EE1">
        <w:rPr>
          <w:rFonts w:ascii="Times New Roman" w:hAnsi="Times New Roman" w:cs="Times New Roman"/>
          <w:sz w:val="24"/>
          <w:szCs w:val="24"/>
        </w:rPr>
        <w:t>(Malvern et al., 2004)</w:t>
      </w:r>
      <w:r w:rsidRPr="00C82EE1">
        <w:rPr>
          <w:rFonts w:ascii="Times New Roman" w:hAnsi="Times New Roman" w:cs="Times New Roman"/>
          <w:sz w:val="24"/>
          <w:szCs w:val="24"/>
        </w:rPr>
        <w:t>, allowing for comparison of samples of different length. Both procedures involve selecting two sub</w:t>
      </w:r>
      <w:r w:rsidR="00AF5A16">
        <w:rPr>
          <w:rFonts w:ascii="Times New Roman" w:hAnsi="Times New Roman" w:cs="Times New Roman"/>
          <w:sz w:val="24"/>
          <w:szCs w:val="24"/>
        </w:rPr>
        <w:t>-</w:t>
      </w:r>
      <w:r w:rsidRPr="00C82EE1">
        <w:rPr>
          <w:rFonts w:ascii="Times New Roman" w:hAnsi="Times New Roman" w:cs="Times New Roman"/>
          <w:sz w:val="24"/>
          <w:szCs w:val="24"/>
        </w:rPr>
        <w:t xml:space="preserve">samples of the same size as the sample and averaging out the expected </w:t>
      </w:r>
      <m:oMath>
        <m:r>
          <w:rPr>
            <w:rFonts w:ascii="Cambria Math" w:hAnsi="Cambria Math" w:cs="Times New Roman"/>
            <w:sz w:val="24"/>
            <w:szCs w:val="24"/>
          </w:rPr>
          <m:t>ndw</m:t>
        </m:r>
      </m:oMath>
      <w:r w:rsidRPr="00C82EE1">
        <w:rPr>
          <w:rFonts w:ascii="Times New Roman" w:hAnsi="Times New Roman" w:cs="Times New Roman"/>
          <w:sz w:val="24"/>
          <w:szCs w:val="24"/>
        </w:rPr>
        <w:t xml:space="preserve">, </w:t>
      </w:r>
      <m:oMath>
        <m:r>
          <w:rPr>
            <w:rFonts w:ascii="Cambria Math" w:hAnsi="Cambria Math" w:cs="Times New Roman"/>
            <w:sz w:val="24"/>
            <w:szCs w:val="24"/>
          </w:rPr>
          <m:t>ndw-erz</m:t>
        </m:r>
      </m:oMath>
      <w:r w:rsidRPr="00C82EE1">
        <w:rPr>
          <w:rFonts w:ascii="Times New Roman" w:hAnsi="Times New Roman" w:cs="Times New Roman"/>
          <w:sz w:val="24"/>
          <w:szCs w:val="24"/>
        </w:rPr>
        <w:t xml:space="preserve"> and </w:t>
      </w:r>
      <m:oMath>
        <m:r>
          <w:rPr>
            <w:rFonts w:ascii="Cambria Math" w:hAnsi="Cambria Math" w:cs="Times New Roman"/>
            <w:sz w:val="24"/>
            <w:szCs w:val="24"/>
          </w:rPr>
          <m:t>ndw-esz</m:t>
        </m:r>
      </m:oMath>
      <w:r w:rsidRPr="00C82EE1">
        <w:rPr>
          <w:rFonts w:ascii="Times New Roman" w:hAnsi="Times New Roman" w:cs="Times New Roman"/>
          <w:sz w:val="24"/>
          <w:szCs w:val="24"/>
        </w:rPr>
        <w:t xml:space="preserve"> being the respective output of 10 random 50-word samples and 10 random sequences of 50 words with a random starting point. </w:t>
      </w:r>
      <m:oMath>
        <m:r>
          <w:rPr>
            <w:rFonts w:ascii="Cambria Math" w:hAnsi="Cambria Math" w:cs="Times New Roman"/>
            <w:sz w:val="24"/>
            <w:szCs w:val="24"/>
          </w:rPr>
          <m:t>ttr</m:t>
        </m:r>
      </m:oMath>
      <w:r w:rsidR="007C1CC0">
        <w:rPr>
          <w:rFonts w:ascii="Times New Roman" w:hAnsi="Times New Roman" w:cs="Times New Roman"/>
          <w:sz w:val="24"/>
          <w:szCs w:val="24"/>
        </w:rPr>
        <w:t xml:space="preserve"> </w:t>
      </w:r>
      <w:r w:rsidRPr="00C82EE1">
        <w:rPr>
          <w:rFonts w:ascii="Times New Roman" w:hAnsi="Times New Roman" w:cs="Times New Roman"/>
          <w:sz w:val="24"/>
          <w:szCs w:val="24"/>
        </w:rPr>
        <w:t xml:space="preserve">measures the proportion of word types to the total number of words. Considering lexical word diversity, </w:t>
      </w:r>
      <m:oMath>
        <m:r>
          <w:rPr>
            <w:rFonts w:ascii="Cambria Math" w:hAnsi="Cambria Math" w:cs="Times New Roman"/>
            <w:sz w:val="24"/>
            <w:szCs w:val="24"/>
          </w:rPr>
          <m:t>lv</m:t>
        </m:r>
      </m:oMath>
      <w:r w:rsidRPr="00C82EE1">
        <w:rPr>
          <w:rFonts w:ascii="Times New Roman" w:hAnsi="Times New Roman" w:cs="Times New Roman"/>
          <w:sz w:val="24"/>
          <w:szCs w:val="24"/>
        </w:rPr>
        <w:t xml:space="preserve"> measures the number of word types, which are considered as lexical. Verb diversity is measured by </w:t>
      </w:r>
      <m:oMath>
        <m:r>
          <w:rPr>
            <w:rFonts w:ascii="Cambria Math" w:hAnsi="Cambria Math" w:cs="Times New Roman"/>
            <w:sz w:val="24"/>
            <w:szCs w:val="24"/>
          </w:rPr>
          <m:t>vv1</m:t>
        </m:r>
      </m:oMath>
      <w:r w:rsidRPr="00C82EE1">
        <w:rPr>
          <w:rFonts w:ascii="Times New Roman" w:hAnsi="Times New Roman" w:cs="Times New Roman"/>
          <w:sz w:val="24"/>
          <w:szCs w:val="24"/>
        </w:rPr>
        <w:t xml:space="preserve">. Finally, nouns, adjectives, and adverbs diversity are also measured by </w:t>
      </w:r>
      <m:oMath>
        <m:r>
          <w:rPr>
            <w:rFonts w:ascii="Cambria Math" w:hAnsi="Cambria Math" w:cs="Times New Roman"/>
            <w:sz w:val="24"/>
            <w:szCs w:val="24"/>
          </w:rPr>
          <m:t>nv</m:t>
        </m:r>
      </m:oMath>
      <w:r w:rsidRPr="00C82EE1">
        <w:rPr>
          <w:rFonts w:ascii="Times New Roman" w:hAnsi="Times New Roman" w:cs="Times New Roman"/>
          <w:sz w:val="24"/>
          <w:szCs w:val="24"/>
        </w:rPr>
        <w:t xml:space="preserve">, </w:t>
      </w:r>
      <m:oMath>
        <m:r>
          <w:rPr>
            <w:rFonts w:ascii="Cambria Math" w:hAnsi="Cambria Math" w:cs="Times New Roman"/>
            <w:sz w:val="24"/>
            <w:szCs w:val="24"/>
          </w:rPr>
          <m:t>adjv</m:t>
        </m:r>
      </m:oMath>
      <w:r w:rsidRPr="00C82EE1">
        <w:rPr>
          <w:rFonts w:ascii="Times New Roman" w:hAnsi="Times New Roman" w:cs="Times New Roman"/>
          <w:sz w:val="24"/>
          <w:szCs w:val="24"/>
        </w:rPr>
        <w:t xml:space="preserve">, and </w:t>
      </w:r>
      <m:oMath>
        <m:r>
          <w:rPr>
            <w:rFonts w:ascii="Cambria Math" w:hAnsi="Cambria Math" w:cs="Times New Roman"/>
            <w:sz w:val="24"/>
            <w:szCs w:val="24"/>
          </w:rPr>
          <m:t>advv</m:t>
        </m:r>
      </m:oMath>
      <w:r w:rsidRPr="00C82EE1">
        <w:rPr>
          <w:rFonts w:ascii="Times New Roman" w:hAnsi="Times New Roman" w:cs="Times New Roman"/>
          <w:sz w:val="24"/>
          <w:szCs w:val="24"/>
        </w:rPr>
        <w:t xml:space="preserve"> respectively.</w:t>
      </w:r>
      <w:r w:rsidR="0039121C">
        <w:rPr>
          <w:rFonts w:ascii="Times New Roman" w:hAnsi="Times New Roman" w:cs="Times New Roman"/>
          <w:sz w:val="24"/>
          <w:szCs w:val="24"/>
        </w:rPr>
        <w:t xml:space="preserve"> Please </w:t>
      </w:r>
      <w:r w:rsidR="004F0D31">
        <w:rPr>
          <w:rFonts w:ascii="Times New Roman" w:hAnsi="Times New Roman" w:cs="Times New Roman"/>
          <w:sz w:val="24"/>
          <w:szCs w:val="24"/>
        </w:rPr>
        <w:t>refer to Table A1 for detailed information of these variables.</w:t>
      </w:r>
    </w:p>
    <w:p w14:paraId="0EB747AA" w14:textId="1621B78E" w:rsidR="00481D5B" w:rsidRPr="00C82EE1" w:rsidRDefault="00481D5B" w:rsidP="003E0220">
      <w:pPr>
        <w:widowControl w:val="0"/>
        <w:autoSpaceDE w:val="0"/>
        <w:autoSpaceDN w:val="0"/>
        <w:spacing w:after="120" w:line="360" w:lineRule="auto"/>
        <w:ind w:firstLine="340"/>
        <w:jc w:val="both"/>
        <w:rPr>
          <w:rFonts w:ascii="Times New Roman" w:eastAsiaTheme="minorEastAsia" w:hAnsi="Times New Roman" w:cs="Times New Roman"/>
          <w:sz w:val="24"/>
          <w:szCs w:val="24"/>
        </w:rPr>
      </w:pPr>
      <w:r w:rsidRPr="00C82EE1">
        <w:rPr>
          <w:rFonts w:ascii="Times New Roman" w:eastAsiaTheme="minorEastAsia" w:hAnsi="Times New Roman" w:cs="Times New Roman"/>
          <w:sz w:val="24"/>
          <w:szCs w:val="24"/>
        </w:rPr>
        <w:t xml:space="preserve">There is a recognized correlation among various measures used in </w:t>
      </w:r>
      <w:proofErr w:type="spellStart"/>
      <w:r w:rsidRPr="00C82EE1">
        <w:rPr>
          <w:rFonts w:ascii="Times New Roman" w:eastAsiaTheme="minorEastAsia" w:hAnsi="Times New Roman" w:cs="Times New Roman"/>
          <w:sz w:val="24"/>
          <w:szCs w:val="24"/>
        </w:rPr>
        <w:t>theLCA</w:t>
      </w:r>
      <w:proofErr w:type="spellEnd"/>
      <w:r w:rsidRPr="00C82EE1">
        <w:rPr>
          <w:rFonts w:ascii="Times New Roman" w:eastAsiaTheme="minorEastAsia" w:hAnsi="Times New Roman" w:cs="Times New Roman"/>
          <w:sz w:val="24"/>
          <w:szCs w:val="24"/>
        </w:rPr>
        <w:t xml:space="preserve">) tool </w:t>
      </w:r>
      <w:r w:rsidR="00C74821" w:rsidRPr="00C82EE1">
        <w:rPr>
          <w:rFonts w:ascii="Times New Roman" w:hAnsi="Times New Roman" w:cs="Times New Roman"/>
          <w:sz w:val="24"/>
          <w:szCs w:val="24"/>
        </w:rPr>
        <w:t>(Norris &amp; Ortega, 2009)</w:t>
      </w:r>
      <w:r w:rsidRPr="00C82EE1">
        <w:rPr>
          <w:rFonts w:ascii="Times New Roman" w:eastAsiaTheme="minorEastAsia" w:hAnsi="Times New Roman" w:cs="Times New Roman"/>
          <w:sz w:val="24"/>
          <w:szCs w:val="24"/>
        </w:rPr>
        <w:t xml:space="preserve">. To address this potential overlap and isolate variables that serve as distinct attributes of </w:t>
      </w:r>
      <w:r w:rsidRPr="00C82EE1">
        <w:rPr>
          <w:rFonts w:ascii="Times New Roman" w:eastAsia="Times New Roman" w:hAnsi="Times New Roman" w:cs="Times New Roman"/>
          <w:sz w:val="24"/>
          <w:szCs w:val="24"/>
          <w:lang w:val="en-GB"/>
        </w:rPr>
        <w:t>LC</w:t>
      </w:r>
      <w:r w:rsidRPr="00C82EE1">
        <w:rPr>
          <w:rFonts w:ascii="Times New Roman" w:eastAsiaTheme="minorEastAsia" w:hAnsi="Times New Roman" w:cs="Times New Roman"/>
          <w:sz w:val="24"/>
          <w:szCs w:val="24"/>
        </w:rPr>
        <w:t xml:space="preserve">, we employ </w:t>
      </w:r>
      <w:r w:rsidR="00B31348" w:rsidRPr="00C82EE1">
        <w:rPr>
          <w:rFonts w:ascii="Times New Roman" w:eastAsiaTheme="minorEastAsia" w:hAnsi="Times New Roman" w:cs="Times New Roman"/>
          <w:sz w:val="24"/>
          <w:szCs w:val="24"/>
        </w:rPr>
        <w:t xml:space="preserve">the </w:t>
      </w:r>
      <w:r w:rsidRPr="00C82EE1">
        <w:rPr>
          <w:rFonts w:ascii="Times New Roman" w:eastAsiaTheme="minorEastAsia" w:hAnsi="Times New Roman" w:cs="Times New Roman"/>
          <w:sz w:val="24"/>
          <w:szCs w:val="24"/>
        </w:rPr>
        <w:t>PCA</w:t>
      </w:r>
      <w:r w:rsidR="00B31348" w:rsidRPr="00C82EE1">
        <w:rPr>
          <w:rFonts w:ascii="Times New Roman" w:eastAsiaTheme="minorEastAsia" w:hAnsi="Times New Roman" w:cs="Times New Roman"/>
          <w:sz w:val="24"/>
          <w:szCs w:val="24"/>
        </w:rPr>
        <w:t xml:space="preserve"> </w:t>
      </w:r>
      <w:r w:rsidRPr="00C82EE1">
        <w:rPr>
          <w:rFonts w:ascii="Times New Roman" w:eastAsiaTheme="minorEastAsia" w:hAnsi="Times New Roman" w:cs="Times New Roman"/>
          <w:sz w:val="24"/>
          <w:szCs w:val="24"/>
        </w:rPr>
        <w:t>method</w:t>
      </w:r>
      <w:r w:rsidR="00B31348" w:rsidRPr="00C82EE1">
        <w:rPr>
          <w:rFonts w:ascii="Times New Roman" w:eastAsiaTheme="minorEastAsia" w:hAnsi="Times New Roman" w:cs="Times New Roman"/>
          <w:sz w:val="24"/>
          <w:szCs w:val="24"/>
        </w:rPr>
        <w:t>, which</w:t>
      </w:r>
      <w:r w:rsidRPr="00C82EE1">
        <w:rPr>
          <w:rFonts w:ascii="Times New Roman" w:eastAsiaTheme="minorEastAsia" w:hAnsi="Times New Roman" w:cs="Times New Roman"/>
          <w:sz w:val="24"/>
          <w:szCs w:val="24"/>
        </w:rPr>
        <w:t xml:space="preserve"> aims to condense the dimensionality of the dataset, excising metrics that exhibit high correlation with one another. The PCA, by extension, divides the sample into multiple components that denote the directions of utmost variance within the data. Our PCA methodology first scrutinizes lexical density, sophistication, and diversity. We aggregate each measure from the LCA tool into their own category and extract their first components to build a measure of lexical diversity </w:t>
      </w:r>
      <m:oMath>
        <m:r>
          <w:rPr>
            <w:rFonts w:ascii="Cambria Math" w:eastAsiaTheme="minorEastAsia" w:hAnsi="Cambria Math" w:cs="Times New Roman"/>
            <w:sz w:val="24"/>
            <w:szCs w:val="24"/>
          </w:rPr>
          <m:t>(Diversity)</m:t>
        </m:r>
      </m:oMath>
      <w:r w:rsidRPr="00C82EE1">
        <w:rPr>
          <w:rFonts w:ascii="Times New Roman" w:eastAsiaTheme="minorEastAsia" w:hAnsi="Times New Roman" w:cs="Times New Roman"/>
          <w:sz w:val="24"/>
          <w:szCs w:val="24"/>
        </w:rPr>
        <w:t xml:space="preserve">, lexical sophistication </w:t>
      </w:r>
      <m:oMath>
        <m:r>
          <w:rPr>
            <w:rFonts w:ascii="Cambria Math" w:eastAsiaTheme="minorEastAsia" w:hAnsi="Cambria Math" w:cs="Times New Roman"/>
            <w:sz w:val="24"/>
            <w:szCs w:val="24"/>
          </w:rPr>
          <m:t>(Sophistication)</m:t>
        </m:r>
      </m:oMath>
      <w:r w:rsidRPr="00C82EE1">
        <w:rPr>
          <w:rFonts w:ascii="Times New Roman" w:eastAsiaTheme="minorEastAsia" w:hAnsi="Times New Roman" w:cs="Times New Roman"/>
          <w:sz w:val="24"/>
          <w:szCs w:val="24"/>
        </w:rPr>
        <w:t xml:space="preserve"> and lexical density </w:t>
      </w:r>
      <m:oMath>
        <m:r>
          <w:rPr>
            <w:rFonts w:ascii="Cambria Math" w:eastAsiaTheme="minorEastAsia" w:hAnsi="Cambria Math" w:cs="Times New Roman"/>
            <w:sz w:val="24"/>
            <w:szCs w:val="24"/>
          </w:rPr>
          <m:t>(Density)</m:t>
        </m:r>
      </m:oMath>
      <w:r w:rsidRPr="00C82EE1">
        <w:rPr>
          <w:rFonts w:ascii="Times New Roman" w:eastAsiaTheme="minorEastAsia" w:hAnsi="Times New Roman" w:cs="Times New Roman"/>
          <w:sz w:val="24"/>
          <w:szCs w:val="24"/>
        </w:rPr>
        <w:t xml:space="preserve">. Lastly, we posit a composite measure of the total level of </w:t>
      </w:r>
      <w:r w:rsidRPr="00C82EE1">
        <w:rPr>
          <w:rFonts w:ascii="Times New Roman" w:eastAsia="Times New Roman" w:hAnsi="Times New Roman" w:cs="Times New Roman"/>
          <w:sz w:val="24"/>
          <w:szCs w:val="24"/>
          <w:lang w:val="en-GB"/>
        </w:rPr>
        <w:t>LC</w:t>
      </w:r>
      <w:r w:rsidRPr="00C82EE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(LC)</m:t>
        </m:r>
      </m:oMath>
      <w:r w:rsidRPr="00C82EE1">
        <w:rPr>
          <w:rFonts w:ascii="Times New Roman" w:eastAsiaTheme="minorEastAsia" w:hAnsi="Times New Roman" w:cs="Times New Roman"/>
          <w:sz w:val="24"/>
          <w:szCs w:val="24"/>
        </w:rPr>
        <w:t xml:space="preserve">. This measure corresponds to the principal component of the total dataset composed of the 25 variables defined in the LCA tool and captures varying degrees of our sample variance. All four variables are </w:t>
      </w:r>
      <w:proofErr w:type="spellStart"/>
      <w:r w:rsidRPr="00C82EE1">
        <w:rPr>
          <w:rFonts w:ascii="Times New Roman" w:eastAsiaTheme="minorEastAsia" w:hAnsi="Times New Roman" w:cs="Times New Roman"/>
          <w:sz w:val="24"/>
          <w:szCs w:val="24"/>
        </w:rPr>
        <w:t>winsorized</w:t>
      </w:r>
      <w:proofErr w:type="spellEnd"/>
      <w:r w:rsidRPr="00C82EE1">
        <w:rPr>
          <w:rFonts w:ascii="Times New Roman" w:eastAsiaTheme="minorEastAsia" w:hAnsi="Times New Roman" w:cs="Times New Roman"/>
          <w:sz w:val="24"/>
          <w:szCs w:val="24"/>
        </w:rPr>
        <w:t xml:space="preserve"> at 1% and 99% to avoid potential biases driven by extreme values. This choice to prioritize the first dimension is predicated on its capacity to capture vital information within the dataset and provide an interpretable and relevant representation of the data. The decision to primarily focus on the first principal component was substantiated through a screen plot analysis, depicted in Figure 1. This </w:t>
      </w:r>
      <w:r w:rsidRPr="00C82EE1">
        <w:rPr>
          <w:rFonts w:ascii="Times New Roman" w:eastAsiaTheme="minorEastAsia" w:hAnsi="Times New Roman" w:cs="Times New Roman"/>
          <w:sz w:val="24"/>
          <w:szCs w:val="24"/>
        </w:rPr>
        <w:lastRenderedPageBreak/>
        <w:t>plot illustrates the percentage of total variance represented by each component.  First dimension accounts for a considerable proportion of the variance in the data, specifically 43.73%. This is highlighted by a significant drop when switching to the second dimension. Thus, we conclude that the first dimension adequately captures the critical characteristics of the data, making it the most suitable dimension for subsequent analysis.</w:t>
      </w:r>
    </w:p>
    <w:p w14:paraId="600E868D" w14:textId="27D3F943" w:rsidR="0045142B" w:rsidRPr="00E223E9" w:rsidRDefault="00481D5B" w:rsidP="009C6E52">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Figure 1 here.]</w:t>
      </w:r>
    </w:p>
    <w:p w14:paraId="7BC56701" w14:textId="77777777" w:rsidR="00481D5B" w:rsidRPr="00C82EE1" w:rsidRDefault="00481D5B" w:rsidP="00E223E9">
      <w:pPr>
        <w:pStyle w:val="Titre3"/>
      </w:pPr>
      <w:r w:rsidRPr="00C82EE1">
        <w:t>Control variables</w:t>
      </w:r>
    </w:p>
    <w:p w14:paraId="26BB97AB" w14:textId="0DDAEC08" w:rsidR="00481D5B"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To mitigate the potential estimation bias of </w:t>
      </w:r>
      <w:r w:rsidRPr="00C82EE1">
        <w:rPr>
          <w:rFonts w:ascii="Times New Roman" w:hAnsi="Times New Roman" w:cs="Times New Roman"/>
          <w:sz w:val="24"/>
          <w:szCs w:val="24"/>
          <w:lang w:val="en-GB"/>
        </w:rPr>
        <w:t>LC</w:t>
      </w:r>
      <w:r w:rsidRPr="00C82EE1">
        <w:rPr>
          <w:rFonts w:ascii="Times New Roman" w:hAnsi="Times New Roman" w:cs="Times New Roman"/>
          <w:sz w:val="24"/>
          <w:szCs w:val="24"/>
        </w:rPr>
        <w:t xml:space="preserve"> on the funding outcome, we select a wide array of control variables based on previous studies </w:t>
      </w:r>
      <w:r w:rsidR="00743F6C" w:rsidRPr="00C82EE1">
        <w:rPr>
          <w:rFonts w:ascii="Times New Roman" w:hAnsi="Times New Roman" w:cs="Times New Roman"/>
          <w:sz w:val="24"/>
          <w:szCs w:val="24"/>
        </w:rPr>
        <w:t xml:space="preserve">(Fuchs &amp; </w:t>
      </w:r>
      <w:proofErr w:type="spellStart"/>
      <w:r w:rsidR="00743F6C" w:rsidRPr="00C82EE1">
        <w:rPr>
          <w:rFonts w:ascii="Times New Roman" w:hAnsi="Times New Roman" w:cs="Times New Roman"/>
          <w:sz w:val="24"/>
          <w:szCs w:val="24"/>
        </w:rPr>
        <w:t>Momtaz</w:t>
      </w:r>
      <w:proofErr w:type="spellEnd"/>
      <w:r w:rsidR="00743F6C" w:rsidRPr="00C82EE1">
        <w:rPr>
          <w:rFonts w:ascii="Times New Roman" w:hAnsi="Times New Roman" w:cs="Times New Roman"/>
          <w:sz w:val="24"/>
          <w:szCs w:val="24"/>
        </w:rPr>
        <w:t xml:space="preserve">, 2025; </w:t>
      </w:r>
      <w:proofErr w:type="spellStart"/>
      <w:r w:rsidR="00743F6C" w:rsidRPr="00C82EE1">
        <w:rPr>
          <w:rFonts w:ascii="Times New Roman" w:hAnsi="Times New Roman" w:cs="Times New Roman"/>
          <w:sz w:val="24"/>
          <w:szCs w:val="24"/>
        </w:rPr>
        <w:t>Lyandres</w:t>
      </w:r>
      <w:proofErr w:type="spellEnd"/>
      <w:r w:rsidR="00743F6C" w:rsidRPr="00C82EE1">
        <w:rPr>
          <w:rFonts w:ascii="Times New Roman" w:hAnsi="Times New Roman" w:cs="Times New Roman"/>
          <w:sz w:val="24"/>
          <w:szCs w:val="24"/>
        </w:rPr>
        <w:t xml:space="preserve"> et al., 2022; </w:t>
      </w:r>
      <w:proofErr w:type="spellStart"/>
      <w:r w:rsidR="00743F6C" w:rsidRPr="00C82EE1">
        <w:rPr>
          <w:rFonts w:ascii="Times New Roman" w:hAnsi="Times New Roman" w:cs="Times New Roman"/>
          <w:sz w:val="24"/>
          <w:szCs w:val="24"/>
        </w:rPr>
        <w:t>Momtaz</w:t>
      </w:r>
      <w:proofErr w:type="spellEnd"/>
      <w:r w:rsidR="00743F6C" w:rsidRPr="00C82EE1">
        <w:rPr>
          <w:rFonts w:ascii="Times New Roman" w:hAnsi="Times New Roman" w:cs="Times New Roman"/>
          <w:sz w:val="24"/>
          <w:szCs w:val="24"/>
        </w:rPr>
        <w:t>, 2021b, 2021c)</w:t>
      </w:r>
      <w:r w:rsidRPr="00C82EE1">
        <w:rPr>
          <w:rFonts w:ascii="Times New Roman" w:hAnsi="Times New Roman" w:cs="Times New Roman"/>
          <w:sz w:val="24"/>
          <w:szCs w:val="24"/>
        </w:rPr>
        <w:t xml:space="preserve">. First, we incorporate ICO features to control for the effect of ICOs design on the funding outcome, like the number of social media pages used by the venture for promotion </w:t>
      </w:r>
      <m:oMath>
        <m:r>
          <w:rPr>
            <w:rFonts w:ascii="Cambria Math" w:hAnsi="Cambria Math" w:cs="Times New Roman"/>
            <w:sz w:val="24"/>
            <w:szCs w:val="24"/>
          </w:rPr>
          <m:t>(Social media)</m:t>
        </m:r>
      </m:oMath>
      <w:r w:rsidRPr="00C82EE1">
        <w:rPr>
          <w:rFonts w:ascii="Times New Roman" w:hAnsi="Times New Roman" w:cs="Times New Roman"/>
          <w:sz w:val="24"/>
          <w:szCs w:val="24"/>
        </w:rPr>
        <w:t xml:space="preserve"> or whether the ICO token is issued on the Ethereum platform </w:t>
      </w:r>
      <w:bookmarkStart w:id="6" w:name="_Hlk198130230"/>
      <m:oMath>
        <m:r>
          <w:rPr>
            <w:rFonts w:ascii="Cambria Math" w:hAnsi="Cambria Math" w:cs="Times New Roman"/>
            <w:sz w:val="24"/>
            <w:szCs w:val="24"/>
          </w:rPr>
          <m:t>(Eth)</m:t>
        </m:r>
      </m:oMath>
      <w:bookmarkEnd w:id="6"/>
      <w:r w:rsidRPr="00C82EE1">
        <w:rPr>
          <w:rFonts w:ascii="Times New Roman" w:hAnsi="Times New Roman" w:cs="Times New Roman"/>
          <w:sz w:val="24"/>
          <w:szCs w:val="24"/>
        </w:rPr>
        <w:t xml:space="preserve">, if the ICO provides a descriptive video of its project </w:t>
      </w:r>
      <m:oMath>
        <m:r>
          <w:rPr>
            <w:rFonts w:ascii="Cambria Math" w:hAnsi="Cambria Math" w:cs="Times New Roman"/>
            <w:sz w:val="24"/>
            <w:szCs w:val="24"/>
          </w:rPr>
          <m:t>(Video)</m:t>
        </m:r>
      </m:oMath>
      <w:r w:rsidRPr="00C82EE1">
        <w:rPr>
          <w:rFonts w:ascii="Times New Roman" w:hAnsi="Times New Roman" w:cs="Times New Roman"/>
          <w:sz w:val="24"/>
          <w:szCs w:val="24"/>
        </w:rPr>
        <w:t xml:space="preserve">, if the ICO specifies its token distribution </w:t>
      </w:r>
      <m:oMath>
        <m:r>
          <w:rPr>
            <w:rFonts w:ascii="Cambria Math" w:hAnsi="Cambria Math" w:cs="Times New Roman"/>
            <w:sz w:val="24"/>
            <w:szCs w:val="24"/>
          </w:rPr>
          <m:t>(Token distribution)</m:t>
        </m:r>
      </m:oMath>
      <w:r w:rsidRPr="00C82EE1">
        <w:rPr>
          <w:rFonts w:ascii="Times New Roman" w:hAnsi="Times New Roman" w:cs="Times New Roman"/>
          <w:sz w:val="24"/>
          <w:szCs w:val="24"/>
        </w:rPr>
        <w:t xml:space="preserve"> and whether the ICO offers bonus schemes </w:t>
      </w:r>
      <m:oMath>
        <m:r>
          <w:rPr>
            <w:rFonts w:ascii="Cambria Math" w:hAnsi="Cambria Math" w:cs="Times New Roman"/>
            <w:sz w:val="24"/>
            <w:szCs w:val="24"/>
          </w:rPr>
          <m:t>(Bonus)</m:t>
        </m:r>
      </m:oMath>
      <w:r w:rsidRPr="00C82EE1">
        <w:rPr>
          <w:rFonts w:ascii="Times New Roman" w:hAnsi="Times New Roman" w:cs="Times New Roman"/>
          <w:sz w:val="24"/>
          <w:szCs w:val="24"/>
        </w:rPr>
        <w:t xml:space="preserve">. Regarding the ICO financing information, we account for whether the ICO requires and specifies a minimum investment amount </w:t>
      </w:r>
      <m:oMath>
        <m:r>
          <w:rPr>
            <w:rFonts w:ascii="Cambria Math" w:hAnsi="Cambria Math" w:cs="Times New Roman"/>
            <w:sz w:val="24"/>
            <w:szCs w:val="24"/>
          </w:rPr>
          <m:t>(Minimum investment)</m:t>
        </m:r>
      </m:oMath>
      <w:r w:rsidRPr="00C82EE1">
        <w:rPr>
          <w:rFonts w:ascii="Times New Roman" w:hAnsi="Times New Roman" w:cs="Times New Roman"/>
          <w:sz w:val="24"/>
          <w:szCs w:val="24"/>
        </w:rPr>
        <w:t xml:space="preserve">, whether the ICO accepts fiat currencies as means of payment </w:t>
      </w:r>
      <m:oMath>
        <m:r>
          <w:rPr>
            <w:rFonts w:ascii="Cambria Math" w:hAnsi="Cambria Math" w:cs="Times New Roman"/>
            <w:sz w:val="24"/>
            <w:szCs w:val="24"/>
          </w:rPr>
          <m:t>(Fiat)</m:t>
        </m:r>
      </m:oMath>
      <w:r w:rsidRPr="00C82EE1">
        <w:rPr>
          <w:rFonts w:ascii="Times New Roman" w:hAnsi="Times New Roman" w:cs="Times New Roman"/>
          <w:sz w:val="24"/>
          <w:szCs w:val="24"/>
        </w:rPr>
        <w:t xml:space="preserve">, </w:t>
      </w:r>
      <w:bookmarkStart w:id="7" w:name="_Hlk198130565"/>
      <w:r w:rsidRPr="00C82EE1">
        <w:rPr>
          <w:rFonts w:ascii="Times New Roman" w:hAnsi="Times New Roman" w:cs="Times New Roman"/>
          <w:sz w:val="24"/>
          <w:szCs w:val="24"/>
        </w:rPr>
        <w:t xml:space="preserve">if the ICO restricts United States-based investors to participate in the project </w:t>
      </w:r>
      <m:oMath>
        <m:r>
          <w:rPr>
            <w:rFonts w:ascii="Cambria Math" w:hAnsi="Cambria Math" w:cs="Times New Roman"/>
            <w:sz w:val="24"/>
            <w:szCs w:val="24"/>
          </w:rPr>
          <m:t>(US restrict)</m:t>
        </m:r>
      </m:oMath>
      <w:bookmarkEnd w:id="7"/>
      <w:r w:rsidRPr="00C82EE1">
        <w:rPr>
          <w:rFonts w:ascii="Times New Roman" w:hAnsi="Times New Roman" w:cs="Times New Roman"/>
          <w:sz w:val="24"/>
          <w:szCs w:val="24"/>
        </w:rPr>
        <w:t xml:space="preserve"> and whether the ICO specifies funding caps </w:t>
      </w:r>
      <m:oMath>
        <m:r>
          <w:rPr>
            <w:rFonts w:ascii="Cambria Math" w:hAnsi="Cambria Math" w:cs="Times New Roman"/>
            <w:sz w:val="24"/>
            <w:szCs w:val="24"/>
          </w:rPr>
          <m:t>(Hardcap/Softcap)</m:t>
        </m:r>
      </m:oMath>
      <w:r w:rsidRPr="00C82EE1">
        <w:rPr>
          <w:rFonts w:ascii="Times New Roman" w:hAnsi="Times New Roman" w:cs="Times New Roman"/>
          <w:sz w:val="24"/>
          <w:szCs w:val="24"/>
        </w:rPr>
        <w:t>. We also a</w:t>
      </w:r>
      <w:proofErr w:type="spellStart"/>
      <w:r w:rsidRPr="00C82EE1">
        <w:rPr>
          <w:rFonts w:ascii="Times New Roman" w:hAnsi="Times New Roman" w:cs="Times New Roman"/>
          <w:sz w:val="24"/>
          <w:szCs w:val="24"/>
        </w:rPr>
        <w:t>ccount</w:t>
      </w:r>
      <w:proofErr w:type="spellEnd"/>
      <w:r w:rsidRPr="00C82EE1">
        <w:rPr>
          <w:rFonts w:ascii="Times New Roman" w:hAnsi="Times New Roman" w:cs="Times New Roman"/>
          <w:sz w:val="24"/>
          <w:szCs w:val="24"/>
        </w:rPr>
        <w:t xml:space="preserve"> for market conditions by controlling the Bitcoin price at the ICO issuance date </w:t>
      </w:r>
      <m:oMath>
        <m:r>
          <w:rPr>
            <w:rFonts w:ascii="Cambria Math" w:hAnsi="Cambria Math" w:cs="Times New Roman"/>
            <w:sz w:val="24"/>
            <w:szCs w:val="24"/>
          </w:rPr>
          <m:t>(PriceBit)</m:t>
        </m:r>
      </m:oMath>
      <w:r w:rsidRPr="00C82EE1">
        <w:rPr>
          <w:rFonts w:ascii="Times New Roman" w:hAnsi="Times New Roman" w:cs="Times New Roman"/>
          <w:sz w:val="24"/>
          <w:szCs w:val="24"/>
        </w:rPr>
        <w:t xml:space="preserve">. To account for other linguistics features of white papers, we control for the document readability </w:t>
      </w:r>
      <m:oMath>
        <m:r>
          <w:rPr>
            <w:rFonts w:ascii="Cambria Math" w:hAnsi="Cambria Math" w:cs="Times New Roman"/>
            <w:sz w:val="24"/>
            <w:szCs w:val="24"/>
          </w:rPr>
          <m:t>(Readability_Flesch)</m:t>
        </m:r>
      </m:oMath>
      <w:r w:rsidRPr="00C82EE1">
        <w:rPr>
          <w:rFonts w:ascii="Times New Roman" w:hAnsi="Times New Roman" w:cs="Times New Roman"/>
          <w:sz w:val="24"/>
          <w:szCs w:val="24"/>
        </w:rPr>
        <w:t>, a higher score represents a greater ease in comprehending the text. To account for the potential non-linear effects of readability</w:t>
      </w:r>
      <w:r w:rsidR="00743F6C" w:rsidRPr="00C82EE1">
        <w:rPr>
          <w:rFonts w:ascii="Times New Roman" w:hAnsi="Times New Roman" w:cs="Times New Roman"/>
          <w:sz w:val="24"/>
          <w:szCs w:val="24"/>
        </w:rPr>
        <w:t xml:space="preserve"> (</w:t>
      </w:r>
      <w:proofErr w:type="spellStart"/>
      <w:r w:rsidR="00743F6C" w:rsidRPr="00C82EE1">
        <w:rPr>
          <w:rFonts w:ascii="Times New Roman" w:hAnsi="Times New Roman" w:cs="Times New Roman"/>
          <w:sz w:val="24"/>
          <w:szCs w:val="24"/>
        </w:rPr>
        <w:t>Bormuth</w:t>
      </w:r>
      <w:proofErr w:type="spellEnd"/>
      <w:r w:rsidR="00743F6C" w:rsidRPr="00C82EE1">
        <w:rPr>
          <w:rFonts w:ascii="Times New Roman" w:hAnsi="Times New Roman" w:cs="Times New Roman"/>
          <w:sz w:val="24"/>
          <w:szCs w:val="24"/>
        </w:rPr>
        <w:t>, 1966; Hamby &amp; Ickes, 2015)</w:t>
      </w:r>
      <w:r w:rsidRPr="00C82EE1">
        <w:rPr>
          <w:rFonts w:ascii="Times New Roman" w:hAnsi="Times New Roman" w:cs="Times New Roman"/>
          <w:sz w:val="24"/>
          <w:szCs w:val="24"/>
        </w:rPr>
        <w:t xml:space="preserve"> on reader engagement, we include the squared term of the Flesch reading ease score </w:t>
      </w:r>
      <m:oMath>
        <m:r>
          <w:rPr>
            <w:rFonts w:ascii="Cambria Math" w:hAnsi="Cambria Math" w:cs="Times New Roman"/>
            <w:sz w:val="24"/>
            <w:szCs w:val="24"/>
          </w:rPr>
          <m:t>(Readability_Flesch.square)</m:t>
        </m:r>
      </m:oMath>
      <w:r w:rsidRPr="00C82EE1">
        <w:rPr>
          <w:rFonts w:ascii="Times New Roman" w:hAnsi="Times New Roman" w:cs="Times New Roman"/>
          <w:sz w:val="24"/>
          <w:szCs w:val="24"/>
        </w:rPr>
        <w:t xml:space="preserve">.  This allows to control for the impact of both highly readable and less readable white papers, ensuring a nuanced effect of readability. We also control for the average sentiment of the white paper text </w:t>
      </w:r>
      <m:oMath>
        <m:d>
          <m:dPr>
            <m:ctrlPr>
              <w:rPr>
                <w:rFonts w:ascii="Cambria Math" w:hAnsi="Cambria Math" w:cs="Times New Roman"/>
                <w:i/>
                <w:sz w:val="24"/>
                <w:szCs w:val="24"/>
              </w:rPr>
            </m:ctrlPr>
          </m:dPr>
          <m:e>
            <m:r>
              <w:rPr>
                <w:rFonts w:ascii="Cambria Math" w:hAnsi="Cambria Math" w:cs="Times New Roman"/>
                <w:sz w:val="24"/>
                <w:szCs w:val="24"/>
              </w:rPr>
              <m:t>Sentiment</m:t>
            </m:r>
          </m:e>
        </m:d>
        <m:r>
          <w:rPr>
            <w:rStyle w:val="Appelnotedebasdep"/>
            <w:rFonts w:ascii="Cambria Math" w:hAnsi="Cambria Math" w:cs="Times New Roman"/>
            <w:i/>
            <w:sz w:val="24"/>
            <w:szCs w:val="24"/>
          </w:rPr>
          <w:footnoteReference w:id="6"/>
        </m:r>
      </m:oMath>
      <w:r w:rsidR="00CA1401">
        <w:rPr>
          <w:rFonts w:ascii="Times New Roman" w:eastAsiaTheme="minorEastAsia" w:hAnsi="Times New Roman" w:cs="Times New Roman"/>
          <w:sz w:val="24"/>
          <w:szCs w:val="24"/>
        </w:rPr>
        <w:t xml:space="preserve"> and </w:t>
      </w:r>
      <w:bookmarkStart w:id="9" w:name="_Hlk198879606"/>
      <w:r w:rsidR="00CA1401">
        <w:rPr>
          <w:rFonts w:ascii="Times New Roman" w:eastAsiaTheme="minorEastAsia" w:hAnsi="Times New Roman" w:cs="Times New Roman"/>
          <w:sz w:val="24"/>
          <w:szCs w:val="24"/>
        </w:rPr>
        <w:t>the variety of topics in white papers (</w:t>
      </w:r>
      <m:oMath>
        <m:r>
          <w:rPr>
            <w:rFonts w:ascii="Cambria Math" w:eastAsiaTheme="minorEastAsia" w:hAnsi="Cambria Math" w:cs="Times New Roman"/>
            <w:sz w:val="24"/>
            <w:szCs w:val="24"/>
          </w:rPr>
          <m:t>Topic diversity</m:t>
        </m:r>
      </m:oMath>
      <w:r w:rsidR="00CA1401">
        <w:rPr>
          <w:rFonts w:ascii="Times New Roman" w:eastAsiaTheme="minorEastAsia" w:hAnsi="Times New Roman" w:cs="Times New Roman"/>
          <w:sz w:val="24"/>
          <w:szCs w:val="24"/>
        </w:rPr>
        <w:t>) according to the Sha</w:t>
      </w:r>
      <w:proofErr w:type="spellStart"/>
      <w:r w:rsidR="00CA1401">
        <w:rPr>
          <w:rFonts w:ascii="Times New Roman" w:eastAsiaTheme="minorEastAsia" w:hAnsi="Times New Roman" w:cs="Times New Roman"/>
          <w:sz w:val="24"/>
          <w:szCs w:val="24"/>
        </w:rPr>
        <w:t>nnon</w:t>
      </w:r>
      <w:proofErr w:type="spellEnd"/>
      <w:r w:rsidR="00CA1401">
        <w:rPr>
          <w:rFonts w:ascii="Times New Roman" w:eastAsiaTheme="minorEastAsia" w:hAnsi="Times New Roman" w:cs="Times New Roman"/>
          <w:sz w:val="24"/>
          <w:szCs w:val="24"/>
        </w:rPr>
        <w:t xml:space="preserve"> diversity index (Shannon, 1948).</w:t>
      </w:r>
      <w:r w:rsidRPr="00C82EE1">
        <w:rPr>
          <w:rFonts w:ascii="Times New Roman" w:hAnsi="Times New Roman" w:cs="Times New Roman"/>
          <w:sz w:val="24"/>
          <w:szCs w:val="24"/>
        </w:rPr>
        <w:t xml:space="preserve"> </w:t>
      </w:r>
      <w:bookmarkEnd w:id="9"/>
      <w:r w:rsidRPr="00C82EE1">
        <w:rPr>
          <w:rFonts w:ascii="Times New Roman" w:hAnsi="Times New Roman" w:cs="Times New Roman"/>
          <w:sz w:val="24"/>
          <w:szCs w:val="24"/>
        </w:rPr>
        <w:t xml:space="preserve">We further account for country-specific variables such as institutional quality of the ICO issuing country </w:t>
      </w:r>
      <m:oMath>
        <m:r>
          <w:rPr>
            <w:rFonts w:ascii="Cambria Math" w:hAnsi="Cambria Math" w:cs="Times New Roman"/>
            <w:sz w:val="24"/>
            <w:szCs w:val="24"/>
          </w:rPr>
          <m:t xml:space="preserve">(Institution) </m:t>
        </m:r>
      </m:oMath>
      <w:r w:rsidRPr="00C82EE1">
        <w:rPr>
          <w:rFonts w:ascii="Times New Roman" w:hAnsi="Times New Roman" w:cs="Times New Roman"/>
          <w:sz w:val="24"/>
          <w:szCs w:val="24"/>
        </w:rPr>
        <w:t xml:space="preserve">based on the Worldwide </w:t>
      </w:r>
      <w:r w:rsidRPr="00C82EE1">
        <w:rPr>
          <w:rFonts w:ascii="Times New Roman" w:hAnsi="Times New Roman" w:cs="Times New Roman"/>
          <w:sz w:val="24"/>
          <w:szCs w:val="24"/>
        </w:rPr>
        <w:lastRenderedPageBreak/>
        <w:t xml:space="preserve">Governance Indicators </w:t>
      </w:r>
      <w:r w:rsidR="00743F6C" w:rsidRPr="00C82EE1">
        <w:rPr>
          <w:rFonts w:ascii="Times New Roman" w:hAnsi="Times New Roman" w:cs="Times New Roman"/>
          <w:sz w:val="24"/>
          <w:szCs w:val="24"/>
        </w:rPr>
        <w:t>(Kaufmann et al., 2010)</w:t>
      </w:r>
      <w:r w:rsidRPr="00C82EE1">
        <w:rPr>
          <w:rFonts w:ascii="Times New Roman" w:hAnsi="Times New Roman" w:cs="Times New Roman"/>
          <w:sz w:val="24"/>
          <w:szCs w:val="24"/>
        </w:rPr>
        <w:t xml:space="preserve">. Finally, we include </w:t>
      </w:r>
      <w:r w:rsidR="008E7D1D">
        <w:rPr>
          <w:rFonts w:ascii="Times New Roman" w:hAnsi="Times New Roman" w:cs="Times New Roman"/>
          <w:sz w:val="24"/>
          <w:szCs w:val="24"/>
        </w:rPr>
        <w:t>year-quarter</w:t>
      </w:r>
      <w:r w:rsidRPr="00C82EE1">
        <w:rPr>
          <w:rFonts w:ascii="Times New Roman" w:hAnsi="Times New Roman" w:cs="Times New Roman"/>
          <w:sz w:val="24"/>
          <w:szCs w:val="24"/>
        </w:rPr>
        <w:t xml:space="preserve"> </w:t>
      </w:r>
      <m:oMath>
        <m:r>
          <w:rPr>
            <w:rFonts w:ascii="Cambria Math" w:hAnsi="Cambria Math" w:cs="Times New Roman"/>
            <w:sz w:val="24"/>
            <w:szCs w:val="24"/>
          </w:rPr>
          <m:t>(Year-Quarter)</m:t>
        </m:r>
      </m:oMath>
      <w:r w:rsidRPr="00C82EE1">
        <w:rPr>
          <w:rFonts w:ascii="Times New Roman" w:eastAsiaTheme="minorEastAsia" w:hAnsi="Times New Roman" w:cs="Times New Roman"/>
          <w:sz w:val="24"/>
          <w:szCs w:val="24"/>
        </w:rPr>
        <w:t>,</w:t>
      </w:r>
      <w:r w:rsidRPr="00C82EE1">
        <w:rPr>
          <w:rFonts w:ascii="Times New Roman" w:hAnsi="Times New Roman" w:cs="Times New Roman"/>
          <w:sz w:val="24"/>
          <w:szCs w:val="24"/>
        </w:rPr>
        <w:t xml:space="preserve"> regional </w:t>
      </w:r>
      <m:oMath>
        <m:r>
          <w:rPr>
            <w:rFonts w:ascii="Cambria Math" w:hAnsi="Cambria Math" w:cs="Times New Roman"/>
            <w:sz w:val="24"/>
            <w:szCs w:val="24"/>
          </w:rPr>
          <m:t>(Region)</m:t>
        </m:r>
      </m:oMath>
      <w:r w:rsidRPr="00C82EE1">
        <w:rPr>
          <w:rFonts w:ascii="Times New Roman" w:eastAsiaTheme="minorEastAsia" w:hAnsi="Times New Roman" w:cs="Times New Roman"/>
          <w:sz w:val="24"/>
          <w:szCs w:val="24"/>
        </w:rPr>
        <w:t xml:space="preserve"> and industry </w:t>
      </w:r>
      <m:oMath>
        <m:r>
          <w:rPr>
            <w:rFonts w:ascii="Cambria Math" w:eastAsiaTheme="minorEastAsia" w:hAnsi="Cambria Math" w:cs="Times New Roman"/>
            <w:sz w:val="24"/>
            <w:szCs w:val="24"/>
          </w:rPr>
          <m:t>(Industry)</m:t>
        </m:r>
      </m:oMath>
      <w:r w:rsidRPr="00C82EE1">
        <w:rPr>
          <w:rFonts w:ascii="Times New Roman" w:hAnsi="Times New Roman" w:cs="Times New Roman"/>
          <w:sz w:val="24"/>
          <w:szCs w:val="24"/>
        </w:rPr>
        <w:t xml:space="preserve"> fixed effects to account for time, geographical and industrial varying effects on the ICO fundraising success. The control variables are defined in Table 1.</w:t>
      </w:r>
    </w:p>
    <w:p w14:paraId="05B6454E" w14:textId="77777777" w:rsidR="00481D5B" w:rsidRPr="00C82EE1" w:rsidRDefault="00481D5B" w:rsidP="00E223E9">
      <w:pPr>
        <w:pStyle w:val="Titre2"/>
      </w:pPr>
      <w:r w:rsidRPr="00C82EE1">
        <w:t>Methods</w:t>
      </w:r>
    </w:p>
    <w:p w14:paraId="3C8D6E12" w14:textId="3A5F6882" w:rsidR="00481D5B" w:rsidRPr="00C82EE1" w:rsidRDefault="00481D5B" w:rsidP="00E223E9">
      <w:pPr>
        <w:pStyle w:val="Titre3"/>
      </w:pPr>
      <w:r w:rsidRPr="00C82EE1">
        <w:t>Model specification</w:t>
      </w:r>
    </w:p>
    <w:p w14:paraId="18C46CE0" w14:textId="58B65DCA" w:rsidR="00481D5B"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To test the first hypothesis, we estimate the following model with an ordinary least square</w:t>
      </w:r>
      <w:r w:rsidR="005D000A">
        <w:rPr>
          <w:rFonts w:ascii="Times New Roman" w:hAnsi="Times New Roman" w:cs="Times New Roman"/>
          <w:sz w:val="24"/>
          <w:szCs w:val="24"/>
        </w:rPr>
        <w:t>s</w:t>
      </w:r>
      <w:r w:rsidRPr="00C82EE1">
        <w:rPr>
          <w:rFonts w:ascii="Times New Roman" w:hAnsi="Times New Roman" w:cs="Times New Roman"/>
          <w:sz w:val="24"/>
          <w:szCs w:val="24"/>
        </w:rPr>
        <w:t xml:space="preserve"> (OLS) regression:</w:t>
      </w:r>
    </w:p>
    <w:p w14:paraId="7CE84E9D" w14:textId="77777777" w:rsidR="008E7D1D" w:rsidRPr="003C5FF9" w:rsidRDefault="008E7D1D" w:rsidP="009C6E52">
      <w:pPr>
        <w:pStyle w:val="Corpsdetexte"/>
        <w:spacing w:before="240" w:after="0"/>
        <w:jc w:val="center"/>
        <w:rPr>
          <w:rFonts w:eastAsiaTheme="minorEastAsia"/>
          <w:color w:val="000000" w:themeColor="text1"/>
          <w:szCs w:val="22"/>
        </w:rPr>
      </w:pPr>
      <w:bookmarkStart w:id="10" w:name="_Hlk179290398"/>
      <m:oMathPara>
        <m:oMath>
          <m:r>
            <w:rPr>
              <w:rFonts w:ascii="Cambria Math" w:hAnsi="Cambria Math"/>
              <w:color w:val="000000" w:themeColor="text1"/>
              <w:szCs w:val="22"/>
            </w:rPr>
            <m:t>Amount raised= ⍺+</m:t>
          </m:r>
          <m:sSub>
            <m:sSubPr>
              <m:ctrlPr>
                <w:rPr>
                  <w:rFonts w:ascii="Cambria Math" w:hAnsi="Cambria Math"/>
                  <w:i/>
                  <w:color w:val="000000" w:themeColor="text1"/>
                  <w:szCs w:val="22"/>
                </w:rPr>
              </m:ctrlPr>
            </m:sSubPr>
            <m:e>
              <m:r>
                <w:rPr>
                  <w:rFonts w:ascii="Cambria Math" w:hAnsi="Cambria Math"/>
                  <w:color w:val="000000" w:themeColor="text1"/>
                  <w:szCs w:val="22"/>
                </w:rPr>
                <m:t>β</m:t>
              </m:r>
            </m:e>
            <m:sub>
              <m:r>
                <w:rPr>
                  <w:rFonts w:ascii="Cambria Math" w:hAnsi="Cambria Math"/>
                  <w:color w:val="000000" w:themeColor="text1"/>
                  <w:szCs w:val="22"/>
                </w:rPr>
                <m:t>1</m:t>
              </m:r>
            </m:sub>
          </m:sSub>
          <m:r>
            <w:rPr>
              <w:rFonts w:ascii="Cambria Math" w:hAnsi="Cambria Math"/>
              <w:color w:val="000000" w:themeColor="text1"/>
              <w:szCs w:val="22"/>
            </w:rPr>
            <m:t>Complexity+Controls+ε,</m:t>
          </m:r>
        </m:oMath>
      </m:oMathPara>
    </w:p>
    <w:p w14:paraId="771CDE0F" w14:textId="560D39D6" w:rsidR="008E7D1D" w:rsidRPr="003C5FF9" w:rsidRDefault="008E7D1D" w:rsidP="009C6E52">
      <w:pPr>
        <w:pStyle w:val="Corpsdetexte"/>
        <w:spacing w:before="0" w:after="240"/>
        <w:jc w:val="center"/>
        <w:rPr>
          <w:color w:val="000000" w:themeColor="text1"/>
        </w:rPr>
      </w:pPr>
      <w:r w:rsidRPr="003C5FF9">
        <w:rPr>
          <w:rFonts w:eastAsiaTheme="minorEastAsia"/>
          <w:color w:val="000000" w:themeColor="text1"/>
        </w:rPr>
        <w:t xml:space="preserve"> </w:t>
      </w:r>
      <w:r w:rsidR="009C6E52">
        <w:rPr>
          <w:rFonts w:eastAsiaTheme="minorEastAsia"/>
          <w:color w:val="000000" w:themeColor="text1"/>
        </w:rPr>
        <w:tab/>
      </w:r>
      <w:r w:rsidRPr="003C5FF9">
        <w:rPr>
          <w:rFonts w:eastAsiaTheme="minorEastAsia"/>
          <w:color w:val="000000" w:themeColor="text1"/>
        </w:rPr>
        <w:t xml:space="preserve">              </w:t>
      </w:r>
      <m:oMath>
        <m:r>
          <w:rPr>
            <w:rFonts w:ascii="Cambria Math" w:hAnsi="Cambria Math"/>
            <w:color w:val="000000" w:themeColor="text1"/>
          </w:rPr>
          <m:t>Complexity ∈</m:t>
        </m:r>
        <m:d>
          <m:dPr>
            <m:begChr m:val="{"/>
            <m:endChr m:val="}"/>
            <m:ctrlPr>
              <w:rPr>
                <w:rFonts w:ascii="Cambria Math" w:hAnsi="Cambria Math"/>
                <w:i/>
                <w:color w:val="000000" w:themeColor="text1"/>
                <w:szCs w:val="22"/>
              </w:rPr>
            </m:ctrlPr>
          </m:dPr>
          <m:e>
            <m:r>
              <w:rPr>
                <w:rFonts w:ascii="Cambria Math" w:hAnsi="Cambria Math"/>
                <w:color w:val="000000" w:themeColor="text1"/>
              </w:rPr>
              <m:t>LC,  Density,  Sophistication,  Diversity</m:t>
            </m:r>
          </m:e>
        </m:d>
        <m:r>
          <w:rPr>
            <w:rFonts w:ascii="Cambria Math" w:eastAsiaTheme="minorEastAsia" w:hAnsi="Cambria Math"/>
            <w:color w:val="000000" w:themeColor="text1"/>
          </w:rPr>
          <m:t xml:space="preserve"> </m:t>
        </m:r>
      </m:oMath>
      <w:r w:rsidRPr="003C5FF9">
        <w:rPr>
          <w:rFonts w:eastAsiaTheme="minorEastAsia"/>
          <w:color w:val="000000" w:themeColor="text1"/>
          <w:sz w:val="22"/>
          <w:szCs w:val="22"/>
        </w:rPr>
        <w:t xml:space="preserve">            </w:t>
      </w:r>
      <w:r w:rsidR="009C6E52">
        <w:rPr>
          <w:rFonts w:eastAsiaTheme="minorEastAsia"/>
          <w:color w:val="000000" w:themeColor="text1"/>
          <w:sz w:val="22"/>
          <w:szCs w:val="22"/>
        </w:rPr>
        <w:tab/>
      </w:r>
      <w:r w:rsidRPr="003C5FF9">
        <w:rPr>
          <w:rFonts w:eastAsiaTheme="minorEastAsia"/>
          <w:color w:val="000000" w:themeColor="text1"/>
          <w:sz w:val="22"/>
          <w:szCs w:val="22"/>
        </w:rPr>
        <w:t xml:space="preserve">  </w:t>
      </w:r>
      <w:r w:rsidRPr="003C5FF9">
        <w:rPr>
          <w:rFonts w:eastAsiaTheme="minorEastAsia"/>
          <w:color w:val="000000" w:themeColor="text1"/>
        </w:rPr>
        <w:t>(1)</w:t>
      </w:r>
      <w:bookmarkEnd w:id="10"/>
    </w:p>
    <w:p w14:paraId="51893A9E" w14:textId="644BA60D" w:rsidR="005C318E"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where </w:t>
      </w:r>
      <m:oMath>
        <m:r>
          <w:rPr>
            <w:rFonts w:ascii="Cambria Math" w:hAnsi="Cambria Math" w:cs="Times New Roman"/>
            <w:sz w:val="24"/>
            <w:szCs w:val="24"/>
          </w:rPr>
          <m:t>Amount raised</m:t>
        </m:r>
      </m:oMath>
      <w:r w:rsidRPr="00C82EE1">
        <w:rPr>
          <w:rFonts w:ascii="Times New Roman" w:hAnsi="Times New Roman" w:cs="Times New Roman"/>
          <w:sz w:val="24"/>
          <w:szCs w:val="24"/>
        </w:rPr>
        <w:t xml:space="preserve"> is the natural logarithm of the ICO funding outcome in US dollars and proxies for the success of the coin offering. It directly reflects the ICO valuation and captures investor collective behavior towards the coin offering </w:t>
      </w:r>
      <w:bookmarkStart w:id="11" w:name="_Hlk198881088"/>
      <w:r w:rsidRPr="00C82EE1">
        <w:rPr>
          <w:rFonts w:ascii="Times New Roman" w:hAnsi="Times New Roman" w:cs="Times New Roman"/>
          <w:sz w:val="24"/>
          <w:szCs w:val="24"/>
        </w:rPr>
        <w:t>(see, e.g.</w:t>
      </w:r>
      <w:r w:rsidR="00743F6C" w:rsidRPr="00C82EE1">
        <w:rPr>
          <w:rFonts w:ascii="Times New Roman" w:hAnsi="Times New Roman" w:cs="Times New Roman"/>
          <w:sz w:val="24"/>
          <w:szCs w:val="24"/>
        </w:rPr>
        <w:t>, Fisch, 2019; Thewissen et al., 2022)</w:t>
      </w:r>
      <w:bookmarkEnd w:id="11"/>
      <w:r w:rsidR="00743F6C" w:rsidRPr="00C82EE1">
        <w:rPr>
          <w:rFonts w:ascii="Times New Roman" w:hAnsi="Times New Roman" w:cs="Times New Roman"/>
          <w:sz w:val="24"/>
          <w:szCs w:val="24"/>
        </w:rPr>
        <w:t xml:space="preserve">. </w:t>
      </w:r>
      <m:oMath>
        <m:r>
          <w:rPr>
            <w:rFonts w:ascii="Cambria Math" w:hAnsi="Cambria Math" w:cs="Times New Roman"/>
            <w:sz w:val="24"/>
            <w:szCs w:val="24"/>
          </w:rPr>
          <m:t>Complexity</m:t>
        </m:r>
      </m:oMath>
      <w:r w:rsidRPr="00C82EE1">
        <w:rPr>
          <w:rFonts w:ascii="Times New Roman" w:hAnsi="Times New Roman" w:cs="Times New Roman"/>
          <w:sz w:val="24"/>
          <w:szCs w:val="24"/>
        </w:rPr>
        <w:t xml:space="preserve"> represents the specific level of complexity in the white pap</w:t>
      </w:r>
      <w:proofErr w:type="spellStart"/>
      <w:r w:rsidRPr="00C82EE1">
        <w:rPr>
          <w:rFonts w:ascii="Times New Roman" w:hAnsi="Times New Roman" w:cs="Times New Roman"/>
          <w:sz w:val="24"/>
          <w:szCs w:val="24"/>
        </w:rPr>
        <w:t>er</w:t>
      </w:r>
      <w:proofErr w:type="spellEnd"/>
      <w:r w:rsidRPr="00C82EE1">
        <w:rPr>
          <w:rFonts w:ascii="Times New Roman" w:hAnsi="Times New Roman" w:cs="Times New Roman"/>
          <w:sz w:val="24"/>
          <w:szCs w:val="24"/>
        </w:rPr>
        <w:t xml:space="preserve"> and includes four different types of variables, each one being tested in a different regression model. </w:t>
      </w:r>
      <m:oMath>
        <m:r>
          <w:rPr>
            <w:rFonts w:ascii="Cambria Math" w:hAnsi="Cambria Math" w:cs="Times New Roman"/>
            <w:sz w:val="24"/>
            <w:szCs w:val="24"/>
          </w:rPr>
          <m:t>LC</m:t>
        </m:r>
      </m:oMath>
      <w:r w:rsidRPr="00C82EE1">
        <w:rPr>
          <w:rFonts w:ascii="Times New Roman" w:hAnsi="Times New Roman" w:cs="Times New Roman"/>
          <w:sz w:val="24"/>
          <w:szCs w:val="24"/>
        </w:rPr>
        <w:t xml:space="preserve"> represents the total level of LC in the white paper. We then examine the impact on the ICO funding outcome for the three complexity components se</w:t>
      </w:r>
      <w:proofErr w:type="spellStart"/>
      <w:r w:rsidRPr="00C82EE1">
        <w:rPr>
          <w:rFonts w:ascii="Times New Roman" w:hAnsi="Times New Roman" w:cs="Times New Roman"/>
          <w:sz w:val="24"/>
          <w:szCs w:val="24"/>
        </w:rPr>
        <w:t>parately</w:t>
      </w:r>
      <w:proofErr w:type="spellEnd"/>
      <w:r w:rsidRPr="00C82EE1">
        <w:rPr>
          <w:rFonts w:ascii="Times New Roman" w:hAnsi="Times New Roman" w:cs="Times New Roman"/>
          <w:sz w:val="24"/>
          <w:szCs w:val="24"/>
        </w:rPr>
        <w:t xml:space="preserve"> </w:t>
      </w:r>
      <w:r w:rsidR="00743F6C" w:rsidRPr="00C82EE1">
        <w:rPr>
          <w:rFonts w:ascii="Times New Roman" w:hAnsi="Times New Roman" w:cs="Times New Roman"/>
          <w:sz w:val="24"/>
          <w:szCs w:val="24"/>
        </w:rPr>
        <w:t>(Lu, 2012)</w:t>
      </w:r>
      <w:r w:rsidRPr="00C82EE1">
        <w:rPr>
          <w:rFonts w:ascii="Times New Roman" w:hAnsi="Times New Roman" w:cs="Times New Roman"/>
          <w:sz w:val="24"/>
          <w:szCs w:val="24"/>
        </w:rPr>
        <w:t xml:space="preserve">: </w:t>
      </w:r>
      <w:r w:rsidR="008E7D1D">
        <w:rPr>
          <w:rFonts w:ascii="Times New Roman" w:eastAsiaTheme="minorEastAsia" w:hAnsi="Times New Roman" w:cs="Times New Roman"/>
          <w:sz w:val="24"/>
          <w:szCs w:val="24"/>
        </w:rPr>
        <w:t>l</w:t>
      </w:r>
      <w:r w:rsidRPr="00C82EE1">
        <w:rPr>
          <w:rFonts w:ascii="Times New Roman" w:eastAsiaTheme="minorEastAsia" w:hAnsi="Times New Roman" w:cs="Times New Roman"/>
          <w:sz w:val="24"/>
          <w:szCs w:val="24"/>
        </w:rPr>
        <w:t>exical density (</w:t>
      </w:r>
      <m:oMath>
        <m:r>
          <w:rPr>
            <w:rFonts w:ascii="Cambria Math" w:hAnsi="Cambria Math" w:cs="Times New Roman"/>
            <w:sz w:val="24"/>
            <w:szCs w:val="24"/>
          </w:rPr>
          <m:t>Density)</m:t>
        </m:r>
      </m:oMath>
      <w:r w:rsidRPr="00C82EE1">
        <w:rPr>
          <w:rFonts w:ascii="Times New Roman" w:hAnsi="Times New Roman" w:cs="Times New Roman"/>
          <w:sz w:val="24"/>
          <w:szCs w:val="24"/>
        </w:rPr>
        <w:t xml:space="preserve">, lexical sophistication </w:t>
      </w:r>
      <m:oMath>
        <m:r>
          <w:rPr>
            <w:rFonts w:ascii="Cambria Math" w:hAnsi="Cambria Math" w:cs="Times New Roman"/>
            <w:sz w:val="24"/>
            <w:szCs w:val="24"/>
          </w:rPr>
          <m:t>(Sophistication</m:t>
        </m:r>
        <m:r>
          <w:rPr>
            <w:rFonts w:ascii="Cambria Math" w:eastAsiaTheme="minorEastAsia" w:hAnsi="Cambria Math" w:cs="Times New Roman"/>
            <w:sz w:val="24"/>
            <w:szCs w:val="24"/>
          </w:rPr>
          <m:t>)</m:t>
        </m:r>
      </m:oMath>
      <w:r w:rsidRPr="00C82EE1">
        <w:rPr>
          <w:rFonts w:ascii="Times New Roman" w:hAnsi="Times New Roman" w:cs="Times New Roman"/>
          <w:sz w:val="24"/>
          <w:szCs w:val="24"/>
        </w:rPr>
        <w:t xml:space="preserve">, and lexical diversity </w:t>
      </w:r>
      <m:oMath>
        <m:r>
          <w:rPr>
            <w:rFonts w:ascii="Cambria Math" w:hAnsi="Cambria Math" w:cs="Times New Roman"/>
            <w:sz w:val="24"/>
            <w:szCs w:val="24"/>
          </w:rPr>
          <m:t>(Diversity)</m:t>
        </m:r>
      </m:oMath>
      <w:r w:rsidRPr="00C82EE1">
        <w:rPr>
          <w:rFonts w:ascii="Times New Roman" w:hAnsi="Times New Roman" w:cs="Times New Roman"/>
          <w:sz w:val="24"/>
          <w:szCs w:val="24"/>
        </w:rPr>
        <w:t xml:space="preserve">. </w:t>
      </w:r>
      <m:oMath>
        <m:r>
          <w:rPr>
            <w:rFonts w:ascii="Cambria Math" w:hAnsi="Cambria Math" w:cs="Times New Roman"/>
            <w:sz w:val="24"/>
            <w:szCs w:val="24"/>
          </w:rPr>
          <m:t>Controls</m:t>
        </m:r>
      </m:oMath>
      <w:r w:rsidRPr="00C82EE1">
        <w:rPr>
          <w:rFonts w:ascii="Times New Roman" w:hAnsi="Times New Roman" w:cs="Times New Roman"/>
          <w:sz w:val="24"/>
          <w:szCs w:val="24"/>
        </w:rPr>
        <w:t xml:space="preserve"> represents the comprehensive set of control variables defined above, which have been shown to affect the success of the ICO. </w:t>
      </w:r>
      <m:oMath>
        <m:r>
          <w:rPr>
            <w:rFonts w:ascii="Cambria Math" w:hAnsi="Cambria Math" w:cs="Times New Roman"/>
            <w:sz w:val="24"/>
            <w:szCs w:val="24"/>
          </w:rPr>
          <m:t>ε</m:t>
        </m:r>
      </m:oMath>
      <w:r w:rsidRPr="00C82EE1">
        <w:rPr>
          <w:rFonts w:ascii="Times New Roman" w:hAnsi="Times New Roman" w:cs="Times New Roman"/>
          <w:sz w:val="24"/>
          <w:szCs w:val="24"/>
        </w:rPr>
        <w:t xml:space="preserve"> is the Newey-West standard error corrected for auto-correlation and heteroskedasticity cl</w:t>
      </w:r>
      <w:proofErr w:type="spellStart"/>
      <w:r w:rsidRPr="00C82EE1">
        <w:rPr>
          <w:rFonts w:ascii="Times New Roman" w:hAnsi="Times New Roman" w:cs="Times New Roman"/>
          <w:sz w:val="24"/>
          <w:szCs w:val="24"/>
        </w:rPr>
        <w:t>ustered</w:t>
      </w:r>
      <w:proofErr w:type="spellEnd"/>
      <w:r w:rsidRPr="00C82EE1">
        <w:rPr>
          <w:rFonts w:ascii="Times New Roman" w:hAnsi="Times New Roman" w:cs="Times New Roman"/>
          <w:sz w:val="24"/>
          <w:szCs w:val="24"/>
        </w:rPr>
        <w:t xml:space="preserve"> at the ICO year-quarter level.</w:t>
      </w:r>
      <w:r w:rsidRPr="00C82EE1">
        <w:rPr>
          <w:rStyle w:val="Appelnotedebasdep"/>
          <w:rFonts w:ascii="Times New Roman" w:hAnsi="Times New Roman" w:cs="Times New Roman"/>
          <w:sz w:val="24"/>
          <w:szCs w:val="24"/>
        </w:rPr>
        <w:footnoteReference w:id="7"/>
      </w:r>
    </w:p>
    <w:p w14:paraId="2F50E2A9" w14:textId="3ED49EE9" w:rsidR="00481D5B" w:rsidRPr="00C82EE1" w:rsidRDefault="00481D5B" w:rsidP="009C6E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Hypothesis 2 predicts a strengthened relationship between LC and the funding amount when the white paper is more readable. To test Hypothesis 2, a split</w:t>
      </w:r>
      <w:r w:rsidR="00AF5A16">
        <w:rPr>
          <w:rFonts w:ascii="Times New Roman" w:hAnsi="Times New Roman" w:cs="Times New Roman"/>
          <w:sz w:val="24"/>
          <w:szCs w:val="24"/>
        </w:rPr>
        <w:t>-</w:t>
      </w:r>
      <w:r w:rsidRPr="00C82EE1">
        <w:rPr>
          <w:rFonts w:ascii="Times New Roman" w:hAnsi="Times New Roman" w:cs="Times New Roman"/>
          <w:sz w:val="24"/>
          <w:szCs w:val="24"/>
        </w:rPr>
        <w:t>sample analysis is conducted. We split the sample based on the median readability score of the white paper and estimate Equation (1) separately for each sub</w:t>
      </w:r>
      <w:r w:rsidR="00AF5A16">
        <w:rPr>
          <w:rFonts w:ascii="Times New Roman" w:hAnsi="Times New Roman" w:cs="Times New Roman"/>
          <w:sz w:val="24"/>
          <w:szCs w:val="24"/>
        </w:rPr>
        <w:t>-</w:t>
      </w:r>
      <w:r w:rsidRPr="00C82EE1">
        <w:rPr>
          <w:rFonts w:ascii="Times New Roman" w:hAnsi="Times New Roman" w:cs="Times New Roman"/>
          <w:sz w:val="24"/>
          <w:szCs w:val="24"/>
        </w:rPr>
        <w:t xml:space="preserve">sample. To verify our hypothesis, we expect the coefficient loading for </w:t>
      </w:r>
      <w:bookmarkStart w:id="13" w:name="_Hlk198882964"/>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bookmarkEnd w:id="13"/>
      <w:r w:rsidRPr="00C82EE1">
        <w:rPr>
          <w:rFonts w:ascii="Times New Roman" w:hAnsi="Times New Roman" w:cs="Times New Roman"/>
          <w:sz w:val="24"/>
          <w:szCs w:val="24"/>
        </w:rPr>
        <w:t xml:space="preserve"> to be significantly larger for ICOs with a high readability score. To test the statist</w:t>
      </w:r>
      <w:proofErr w:type="spellStart"/>
      <w:r w:rsidRPr="00C82EE1">
        <w:rPr>
          <w:rFonts w:ascii="Times New Roman" w:hAnsi="Times New Roman" w:cs="Times New Roman"/>
          <w:sz w:val="24"/>
          <w:szCs w:val="24"/>
        </w:rPr>
        <w:t>ical</w:t>
      </w:r>
      <w:proofErr w:type="spellEnd"/>
      <w:r w:rsidRPr="00C82EE1">
        <w:rPr>
          <w:rFonts w:ascii="Times New Roman" w:hAnsi="Times New Roman" w:cs="Times New Roman"/>
          <w:sz w:val="24"/>
          <w:szCs w:val="24"/>
        </w:rPr>
        <w:t xml:space="preserve"> difference in coefficients across the two sub</w:t>
      </w:r>
      <w:r w:rsidR="00AF5A16">
        <w:rPr>
          <w:rFonts w:ascii="Times New Roman" w:hAnsi="Times New Roman" w:cs="Times New Roman"/>
          <w:sz w:val="24"/>
          <w:szCs w:val="24"/>
        </w:rPr>
        <w:t>-</w:t>
      </w:r>
      <w:r w:rsidRPr="00C82EE1">
        <w:rPr>
          <w:rFonts w:ascii="Times New Roman" w:hAnsi="Times New Roman" w:cs="Times New Roman"/>
          <w:sz w:val="24"/>
          <w:szCs w:val="24"/>
        </w:rPr>
        <w:t xml:space="preserve">samples, we follow </w:t>
      </w:r>
      <w:proofErr w:type="spellStart"/>
      <w:r w:rsidR="00743F6C" w:rsidRPr="00C82EE1">
        <w:rPr>
          <w:rFonts w:ascii="Times New Roman" w:hAnsi="Times New Roman" w:cs="Times New Roman"/>
          <w:sz w:val="24"/>
          <w:szCs w:val="24"/>
        </w:rPr>
        <w:t>Holzhacker</w:t>
      </w:r>
      <w:proofErr w:type="spellEnd"/>
      <w:r w:rsidR="00743F6C" w:rsidRPr="00C82EE1">
        <w:rPr>
          <w:rFonts w:ascii="Times New Roman" w:hAnsi="Times New Roman" w:cs="Times New Roman"/>
          <w:sz w:val="24"/>
          <w:szCs w:val="24"/>
        </w:rPr>
        <w:t xml:space="preserve"> et al. (2015)</w:t>
      </w:r>
      <w:r w:rsidRPr="00C82EE1">
        <w:rPr>
          <w:rFonts w:ascii="Times New Roman" w:hAnsi="Times New Roman" w:cs="Times New Roman"/>
          <w:sz w:val="24"/>
          <w:szCs w:val="24"/>
        </w:rPr>
        <w:t xml:space="preserve"> and test for the differences in coefficients based on </w:t>
      </w:r>
      <w:r w:rsidR="008E7D1D">
        <w:rPr>
          <w:rFonts w:ascii="Times New Roman" w:hAnsi="Times New Roman" w:cs="Times New Roman"/>
          <w:sz w:val="24"/>
          <w:szCs w:val="24"/>
        </w:rPr>
        <w:t>Z</w:t>
      </w:r>
      <w:r w:rsidRPr="00C82EE1">
        <w:rPr>
          <w:rFonts w:ascii="Times New Roman" w:hAnsi="Times New Roman" w:cs="Times New Roman"/>
          <w:sz w:val="24"/>
          <w:szCs w:val="24"/>
        </w:rPr>
        <w:t xml:space="preserve">-tests. The </w:t>
      </w:r>
      <w:r w:rsidR="008E7D1D">
        <w:rPr>
          <w:rFonts w:ascii="Times New Roman" w:hAnsi="Times New Roman" w:cs="Times New Roman"/>
          <w:sz w:val="24"/>
          <w:szCs w:val="24"/>
        </w:rPr>
        <w:t>Z</w:t>
      </w:r>
      <w:r w:rsidRPr="00C82EE1">
        <w:rPr>
          <w:rFonts w:ascii="Times New Roman" w:hAnsi="Times New Roman" w:cs="Times New Roman"/>
          <w:sz w:val="24"/>
          <w:szCs w:val="24"/>
        </w:rPr>
        <w:t xml:space="preserve">-statistic is calculated following </w:t>
      </w:r>
      <w:proofErr w:type="spellStart"/>
      <w:r w:rsidR="00743F6C" w:rsidRPr="00C82EE1">
        <w:rPr>
          <w:rFonts w:ascii="Times New Roman" w:hAnsi="Times New Roman" w:cs="Times New Roman"/>
          <w:sz w:val="24"/>
          <w:szCs w:val="24"/>
        </w:rPr>
        <w:t>Clogg</w:t>
      </w:r>
      <w:proofErr w:type="spellEnd"/>
      <w:r w:rsidR="00743F6C" w:rsidRPr="00C82EE1">
        <w:rPr>
          <w:rFonts w:ascii="Times New Roman" w:hAnsi="Times New Roman" w:cs="Times New Roman"/>
          <w:sz w:val="24"/>
          <w:szCs w:val="24"/>
        </w:rPr>
        <w:t xml:space="preserve"> et al. (1995)</w:t>
      </w:r>
      <w:r w:rsidRPr="00C82EE1">
        <w:rPr>
          <w:rFonts w:ascii="Times New Roman" w:hAnsi="Times New Roman" w:cs="Times New Roman"/>
          <w:sz w:val="24"/>
          <w:szCs w:val="24"/>
        </w:rPr>
        <w:t xml:space="preserve"> as follows:</w:t>
      </w:r>
    </w:p>
    <w:p w14:paraId="1937F16F" w14:textId="14EDE955" w:rsidR="00481D5B" w:rsidRPr="009C6E52" w:rsidRDefault="00481D5B" w:rsidP="009C6E52">
      <w:pPr>
        <w:spacing w:before="240" w:after="240" w:line="360" w:lineRule="auto"/>
        <w:ind w:left="2160" w:firstLine="720"/>
        <w:jc w:val="center"/>
        <w:rPr>
          <w:rFonts w:ascii="Cambria" w:hAnsi="Cambria" w:cs="Times New Roman"/>
          <w:sz w:val="24"/>
          <w:szCs w:val="24"/>
        </w:rPr>
      </w:pPr>
      <w:bookmarkStart w:id="14" w:name="_Hlk198883837"/>
      <m:oMath>
        <m:r>
          <w:rPr>
            <w:rFonts w:ascii="Cambria Math" w:hAnsi="Cambria Math" w:cs="Times New Roman"/>
            <w:sz w:val="24"/>
            <w:szCs w:val="24"/>
            <w:lang w:val="fr-BE"/>
          </w:rPr>
          <w:lastRenderedPageBreak/>
          <m:t>Z</m:t>
        </m:r>
        <m:r>
          <w:rPr>
            <w:rFonts w:ascii="Cambria Math" w:hAnsi="Cambria Math" w:cs="Times New Roman"/>
            <w:sz w:val="24"/>
            <w:szCs w:val="24"/>
          </w:rPr>
          <m:t xml:space="preserve">= </m:t>
        </m:r>
        <m:f>
          <m:fPr>
            <m:ctrlPr>
              <w:rPr>
                <w:rFonts w:ascii="Cambria Math" w:hAnsi="Cambria Math" w:cs="Times New Roman"/>
                <w:i/>
                <w:sz w:val="24"/>
                <w:szCs w:val="24"/>
                <w:lang w:val="fr-BE"/>
              </w:rPr>
            </m:ctrlPr>
          </m:fPr>
          <m:num>
            <m:sSub>
              <m:sSubPr>
                <m:ctrlPr>
                  <w:rPr>
                    <w:rFonts w:ascii="Cambria Math" w:hAnsi="Cambria Math" w:cs="Times New Roman"/>
                    <w:i/>
                    <w:sz w:val="24"/>
                    <w:szCs w:val="24"/>
                    <w:lang w:val="fr-BE"/>
                  </w:rPr>
                </m:ctrlPr>
              </m:sSubPr>
              <m:e>
                <m:acc>
                  <m:accPr>
                    <m:ctrlPr>
                      <w:rPr>
                        <w:rFonts w:ascii="Cambria Math" w:hAnsi="Cambria Math" w:cs="Times New Roman"/>
                        <w:i/>
                        <w:sz w:val="24"/>
                        <w:szCs w:val="24"/>
                        <w:lang w:val="fr-BE"/>
                      </w:rPr>
                    </m:ctrlPr>
                  </m:accPr>
                  <m:e>
                    <m:r>
                      <w:rPr>
                        <w:rFonts w:ascii="Cambria Math" w:hAnsi="Cambria Math" w:cs="Times New Roman"/>
                        <w:sz w:val="24"/>
                        <w:szCs w:val="24"/>
                        <w:lang w:val="fr-BE"/>
                      </w:rPr>
                      <m:t>β</m:t>
                    </m:r>
                  </m:e>
                </m:acc>
              </m:e>
              <m:sub>
                <m:r>
                  <w:rPr>
                    <w:rFonts w:ascii="Cambria Math" w:hAnsi="Cambria Math" w:cs="Times New Roman"/>
                    <w:sz w:val="24"/>
                    <w:szCs w:val="24"/>
                  </w:rPr>
                  <m:t xml:space="preserve">12, </m:t>
                </m:r>
                <m:r>
                  <w:rPr>
                    <w:rFonts w:ascii="Cambria Math" w:hAnsi="Cambria Math" w:cs="Times New Roman"/>
                    <w:sz w:val="24"/>
                    <w:szCs w:val="24"/>
                  </w:rPr>
                  <m:t>h</m:t>
                </m:r>
                <m:r>
                  <w:rPr>
                    <w:rFonts w:ascii="Cambria Math" w:hAnsi="Cambria Math" w:cs="Times New Roman"/>
                    <w:sz w:val="24"/>
                    <w:szCs w:val="24"/>
                    <w:lang w:val="fr-BE"/>
                  </w:rPr>
                  <m:t>ig</m:t>
                </m:r>
                <m:r>
                  <w:rPr>
                    <w:rFonts w:ascii="Cambria Math" w:hAnsi="Cambria Math" w:cs="Times New Roman"/>
                    <w:sz w:val="24"/>
                    <w:szCs w:val="24"/>
                  </w:rPr>
                  <m:t>h</m:t>
                </m:r>
              </m:sub>
            </m:sSub>
            <m:r>
              <w:rPr>
                <w:rFonts w:ascii="Cambria Math" w:hAnsi="Cambria Math" w:cs="Times New Roman"/>
                <w:sz w:val="24"/>
                <w:szCs w:val="24"/>
              </w:rPr>
              <m:t xml:space="preserve">- </m:t>
            </m:r>
            <m:sSub>
              <m:sSubPr>
                <m:ctrlPr>
                  <w:rPr>
                    <w:rFonts w:ascii="Cambria Math" w:hAnsi="Cambria Math" w:cs="Times New Roman"/>
                    <w:i/>
                    <w:sz w:val="24"/>
                    <w:szCs w:val="24"/>
                    <w:lang w:val="fr-BE"/>
                  </w:rPr>
                </m:ctrlPr>
              </m:sSubPr>
              <m:e>
                <m:acc>
                  <m:accPr>
                    <m:ctrlPr>
                      <w:rPr>
                        <w:rFonts w:ascii="Cambria Math" w:hAnsi="Cambria Math" w:cs="Times New Roman"/>
                        <w:i/>
                        <w:sz w:val="24"/>
                        <w:szCs w:val="24"/>
                        <w:lang w:val="fr-BE"/>
                      </w:rPr>
                    </m:ctrlPr>
                  </m:accPr>
                  <m:e>
                    <m:r>
                      <w:rPr>
                        <w:rFonts w:ascii="Cambria Math" w:hAnsi="Cambria Math" w:cs="Times New Roman"/>
                        <w:sz w:val="24"/>
                        <w:szCs w:val="24"/>
                        <w:lang w:val="fr-BE"/>
                      </w:rPr>
                      <m:t>β</m:t>
                    </m:r>
                  </m:e>
                </m:acc>
              </m:e>
              <m:sub>
                <m:r>
                  <w:rPr>
                    <w:rFonts w:ascii="Cambria Math" w:hAnsi="Cambria Math" w:cs="Times New Roman"/>
                    <w:sz w:val="24"/>
                    <w:szCs w:val="24"/>
                  </w:rPr>
                  <m:t xml:space="preserve">12, </m:t>
                </m:r>
                <m:r>
                  <w:rPr>
                    <w:rFonts w:ascii="Cambria Math" w:hAnsi="Cambria Math" w:cs="Times New Roman"/>
                    <w:sz w:val="24"/>
                    <w:szCs w:val="24"/>
                    <w:lang w:val="fr-BE"/>
                  </w:rPr>
                  <m:t>low</m:t>
                </m:r>
              </m:sub>
            </m:sSub>
            <m:r>
              <w:rPr>
                <w:rFonts w:ascii="Cambria Math" w:hAnsi="Cambria Math" w:cs="Times New Roman"/>
                <w:sz w:val="24"/>
                <w:szCs w:val="24"/>
              </w:rPr>
              <m:t xml:space="preserve"> </m:t>
            </m:r>
          </m:num>
          <m:den>
            <m:rad>
              <m:radPr>
                <m:degHide m:val="1"/>
                <m:ctrlPr>
                  <w:rPr>
                    <w:rFonts w:ascii="Cambria Math" w:hAnsi="Cambria Math" w:cs="Times New Roman"/>
                    <w:i/>
                    <w:sz w:val="24"/>
                    <w:szCs w:val="24"/>
                    <w:lang w:val="fr-BE"/>
                  </w:rPr>
                </m:ctrlPr>
              </m:radPr>
              <m:deg/>
              <m:e>
                <m:r>
                  <w:rPr>
                    <w:rFonts w:ascii="Cambria Math" w:hAnsi="Cambria Math" w:cs="Times New Roman"/>
                    <w:sz w:val="24"/>
                    <w:szCs w:val="24"/>
                    <w:lang w:val="fr-BE"/>
                  </w:rPr>
                  <m:t>SE</m:t>
                </m:r>
                <m:r>
                  <w:rPr>
                    <w:rFonts w:ascii="Cambria Math" w:hAnsi="Cambria Math" w:cs="Times New Roman"/>
                    <w:sz w:val="24"/>
                    <w:szCs w:val="24"/>
                  </w:rPr>
                  <m:t xml:space="preserve"> (</m:t>
                </m:r>
                <m:sSup>
                  <m:sSupPr>
                    <m:ctrlPr>
                      <w:rPr>
                        <w:rFonts w:ascii="Cambria Math" w:hAnsi="Cambria Math" w:cs="Times New Roman"/>
                        <w:i/>
                        <w:sz w:val="24"/>
                        <w:szCs w:val="24"/>
                        <w:lang w:val="fr-BE"/>
                      </w:rPr>
                    </m:ctrlPr>
                  </m:sSupPr>
                  <m:e>
                    <m:sSub>
                      <m:sSubPr>
                        <m:ctrlPr>
                          <w:rPr>
                            <w:rFonts w:ascii="Cambria Math" w:hAnsi="Cambria Math" w:cs="Times New Roman"/>
                            <w:i/>
                            <w:sz w:val="24"/>
                            <w:szCs w:val="24"/>
                            <w:lang w:val="fr-BE"/>
                          </w:rPr>
                        </m:ctrlPr>
                      </m:sSubPr>
                      <m:e>
                        <m:acc>
                          <m:accPr>
                            <m:ctrlPr>
                              <w:rPr>
                                <w:rFonts w:ascii="Cambria Math" w:hAnsi="Cambria Math" w:cs="Times New Roman"/>
                                <w:i/>
                                <w:sz w:val="24"/>
                                <w:szCs w:val="24"/>
                                <w:lang w:val="fr-BE"/>
                              </w:rPr>
                            </m:ctrlPr>
                          </m:accPr>
                          <m:e>
                            <m:r>
                              <w:rPr>
                                <w:rFonts w:ascii="Cambria Math" w:hAnsi="Cambria Math" w:cs="Times New Roman"/>
                                <w:sz w:val="24"/>
                                <w:szCs w:val="24"/>
                                <w:lang w:val="fr-BE"/>
                              </w:rPr>
                              <m:t>β</m:t>
                            </m:r>
                          </m:e>
                        </m:acc>
                      </m:e>
                      <m:sub>
                        <m:r>
                          <w:rPr>
                            <w:rFonts w:ascii="Cambria Math" w:hAnsi="Cambria Math" w:cs="Times New Roman"/>
                            <w:sz w:val="24"/>
                            <w:szCs w:val="24"/>
                          </w:rPr>
                          <m:t xml:space="preserve">12, </m:t>
                        </m:r>
                        <m:r>
                          <w:rPr>
                            <w:rFonts w:ascii="Cambria Math" w:hAnsi="Cambria Math" w:cs="Times New Roman"/>
                            <w:sz w:val="24"/>
                            <w:szCs w:val="24"/>
                          </w:rPr>
                          <m:t>h</m:t>
                        </m:r>
                        <m:r>
                          <w:rPr>
                            <w:rFonts w:ascii="Cambria Math" w:hAnsi="Cambria Math" w:cs="Times New Roman"/>
                            <w:sz w:val="24"/>
                            <w:szCs w:val="24"/>
                            <w:lang w:val="fr-BE"/>
                          </w:rPr>
                          <m:t>ig</m:t>
                        </m:r>
                        <m:r>
                          <w:rPr>
                            <w:rFonts w:ascii="Cambria Math" w:hAnsi="Cambria Math" w:cs="Times New Roman"/>
                            <w:sz w:val="24"/>
                            <w:szCs w:val="24"/>
                          </w:rPr>
                          <m:t>h</m:t>
                        </m:r>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 xml:space="preserve">+ </m:t>
                </m:r>
                <m:r>
                  <w:rPr>
                    <w:rFonts w:ascii="Cambria Math" w:hAnsi="Cambria Math" w:cs="Times New Roman"/>
                    <w:sz w:val="24"/>
                    <w:szCs w:val="24"/>
                    <w:lang w:val="fr-BE"/>
                  </w:rPr>
                  <m:t>SE</m:t>
                </m:r>
                <m:r>
                  <w:rPr>
                    <w:rFonts w:ascii="Cambria Math" w:hAnsi="Cambria Math" w:cs="Times New Roman"/>
                    <w:sz w:val="24"/>
                    <w:szCs w:val="24"/>
                  </w:rPr>
                  <m:t xml:space="preserve"> (</m:t>
                </m:r>
                <m:sSup>
                  <m:sSupPr>
                    <m:ctrlPr>
                      <w:rPr>
                        <w:rFonts w:ascii="Cambria Math" w:hAnsi="Cambria Math" w:cs="Times New Roman"/>
                        <w:i/>
                        <w:sz w:val="24"/>
                        <w:szCs w:val="24"/>
                        <w:lang w:val="fr-BE"/>
                      </w:rPr>
                    </m:ctrlPr>
                  </m:sSupPr>
                  <m:e>
                    <m:sSub>
                      <m:sSubPr>
                        <m:ctrlPr>
                          <w:rPr>
                            <w:rFonts w:ascii="Cambria Math" w:hAnsi="Cambria Math" w:cs="Times New Roman"/>
                            <w:i/>
                            <w:sz w:val="24"/>
                            <w:szCs w:val="24"/>
                            <w:lang w:val="fr-BE"/>
                          </w:rPr>
                        </m:ctrlPr>
                      </m:sSubPr>
                      <m:e>
                        <m:acc>
                          <m:accPr>
                            <m:ctrlPr>
                              <w:rPr>
                                <w:rFonts w:ascii="Cambria Math" w:hAnsi="Cambria Math" w:cs="Times New Roman"/>
                                <w:i/>
                                <w:sz w:val="24"/>
                                <w:szCs w:val="24"/>
                                <w:lang w:val="fr-BE"/>
                              </w:rPr>
                            </m:ctrlPr>
                          </m:accPr>
                          <m:e>
                            <m:r>
                              <w:rPr>
                                <w:rFonts w:ascii="Cambria Math" w:hAnsi="Cambria Math" w:cs="Times New Roman"/>
                                <w:sz w:val="24"/>
                                <w:szCs w:val="24"/>
                                <w:lang w:val="fr-BE"/>
                              </w:rPr>
                              <m:t>β</m:t>
                            </m:r>
                          </m:e>
                        </m:acc>
                      </m:e>
                      <m:sub>
                        <m:r>
                          <w:rPr>
                            <w:rFonts w:ascii="Cambria Math" w:hAnsi="Cambria Math" w:cs="Times New Roman"/>
                            <w:sz w:val="24"/>
                            <w:szCs w:val="24"/>
                          </w:rPr>
                          <m:t xml:space="preserve">12, </m:t>
                        </m:r>
                        <m:r>
                          <w:rPr>
                            <w:rFonts w:ascii="Cambria Math" w:hAnsi="Cambria Math" w:cs="Times New Roman"/>
                            <w:sz w:val="24"/>
                            <w:szCs w:val="24"/>
                          </w:rPr>
                          <m:t>h</m:t>
                        </m:r>
                        <m:r>
                          <w:rPr>
                            <w:rFonts w:ascii="Cambria Math" w:hAnsi="Cambria Math" w:cs="Times New Roman"/>
                            <w:sz w:val="24"/>
                            <w:szCs w:val="24"/>
                            <w:lang w:val="fr-BE"/>
                          </w:rPr>
                          <m:t>ig</m:t>
                        </m:r>
                        <m:r>
                          <w:rPr>
                            <w:rFonts w:ascii="Cambria Math" w:hAnsi="Cambria Math" w:cs="Times New Roman"/>
                            <w:sz w:val="24"/>
                            <w:szCs w:val="24"/>
                          </w:rPr>
                          <m:t>h</m:t>
                        </m:r>
                      </m:sub>
                    </m:sSub>
                    <m:r>
                      <w:rPr>
                        <w:rFonts w:ascii="Cambria Math" w:hAnsi="Cambria Math" w:cs="Times New Roman"/>
                        <w:sz w:val="24"/>
                        <w:szCs w:val="24"/>
                      </w:rPr>
                      <m:t>)</m:t>
                    </m:r>
                  </m:e>
                  <m:sup>
                    <m:r>
                      <w:rPr>
                        <w:rFonts w:ascii="Cambria Math" w:hAnsi="Cambria Math" w:cs="Times New Roman"/>
                        <w:sz w:val="24"/>
                        <w:szCs w:val="24"/>
                      </w:rPr>
                      <m:t>2</m:t>
                    </m:r>
                  </m:sup>
                </m:sSup>
              </m:e>
            </m:rad>
          </m:den>
        </m:f>
      </m:oMath>
      <w:proofErr w:type="gramStart"/>
      <w:r w:rsidR="008E7D1D" w:rsidRPr="008E7D1D">
        <w:rPr>
          <w:rFonts w:ascii="Cambria" w:hAnsi="Cambria" w:cs="Times New Roman"/>
          <w:sz w:val="24"/>
          <w:szCs w:val="24"/>
        </w:rPr>
        <w:t>,</w:t>
      </w:r>
      <w:r w:rsidRPr="008E7D1D">
        <w:rPr>
          <w:rFonts w:ascii="Cambria" w:hAnsi="Cambria" w:cs="Times New Roman"/>
          <w:sz w:val="24"/>
          <w:szCs w:val="24"/>
        </w:rPr>
        <w:t xml:space="preserve">   </w:t>
      </w:r>
      <w:proofErr w:type="gramEnd"/>
      <w:r w:rsidRPr="008E7D1D">
        <w:rPr>
          <w:rFonts w:ascii="Cambria" w:hAnsi="Cambria" w:cs="Times New Roman"/>
          <w:sz w:val="24"/>
          <w:szCs w:val="24"/>
        </w:rPr>
        <w:t xml:space="preserve">         </w:t>
      </w:r>
      <w:r w:rsidRPr="008E7D1D">
        <w:rPr>
          <w:rFonts w:ascii="Cambria" w:hAnsi="Cambria" w:cs="Times New Roman"/>
          <w:sz w:val="24"/>
          <w:szCs w:val="24"/>
        </w:rPr>
        <w:tab/>
        <w:t xml:space="preserve">         </w:t>
      </w:r>
      <w:r w:rsidR="009C6E52">
        <w:rPr>
          <w:rFonts w:ascii="Cambria" w:hAnsi="Cambria" w:cs="Times New Roman"/>
          <w:sz w:val="24"/>
          <w:szCs w:val="24"/>
        </w:rPr>
        <w:tab/>
      </w:r>
      <w:r w:rsidRPr="008E7D1D">
        <w:rPr>
          <w:rFonts w:ascii="Cambria" w:hAnsi="Cambria" w:cs="Times New Roman"/>
          <w:sz w:val="24"/>
          <w:szCs w:val="24"/>
        </w:rPr>
        <w:t xml:space="preserve">   </w:t>
      </w:r>
      <w:r w:rsidRPr="008E7D1D">
        <w:rPr>
          <w:rFonts w:ascii="Times New Roman" w:hAnsi="Times New Roman" w:cs="Times New Roman"/>
          <w:sz w:val="24"/>
          <w:szCs w:val="24"/>
        </w:rPr>
        <w:t>(2)</w:t>
      </w:r>
    </w:p>
    <w:bookmarkEnd w:id="14"/>
    <w:p w14:paraId="1235FB74" w14:textId="64F1A8C4" w:rsidR="00481D5B" w:rsidRPr="00C82EE1" w:rsidRDefault="00481D5B" w:rsidP="009C6E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where </w:t>
      </w:r>
      <w:bookmarkStart w:id="15" w:name="_Hlk198883866"/>
      <m:oMath>
        <m:r>
          <w:rPr>
            <w:rFonts w:ascii="Cambria Math" w:hAnsi="Cambria Math" w:cs="Times New Roman"/>
            <w:sz w:val="24"/>
            <w:szCs w:val="24"/>
          </w:rPr>
          <m:t>ε</m:t>
        </m:r>
      </m:oMath>
      <w:r w:rsidRPr="00C82EE1">
        <w:rPr>
          <w:rFonts w:ascii="Times New Roman" w:hAnsi="Times New Roman" w:cs="Times New Roman"/>
          <w:sz w:val="24"/>
          <w:szCs w:val="24"/>
        </w:rPr>
        <w:t xml:space="preserve"> </w:t>
      </w:r>
      <w:bookmarkEnd w:id="15"/>
      <w:r w:rsidRPr="00C82EE1">
        <w:rPr>
          <w:rFonts w:ascii="Times New Roman" w:hAnsi="Times New Roman" w:cs="Times New Roman"/>
          <w:sz w:val="24"/>
          <w:szCs w:val="24"/>
        </w:rPr>
        <w:t>is the Newey-West standard error corrected for auto-correlation and heteroskedasticity clustered at the ICO year-quarter level</w:t>
      </w:r>
      <w:r w:rsidR="004F0D31">
        <w:rPr>
          <w:rFonts w:ascii="Times New Roman" w:hAnsi="Times New Roman" w:cs="Times New Roman"/>
          <w:sz w:val="24"/>
          <w:szCs w:val="24"/>
        </w:rPr>
        <w:t>.</w:t>
      </w:r>
      <w:r w:rsidR="00AE2F5C">
        <w:rPr>
          <w:rStyle w:val="Appelnotedebasdep"/>
          <w:rFonts w:ascii="Times New Roman" w:hAnsi="Times New Roman" w:cs="Times New Roman"/>
          <w:sz w:val="24"/>
          <w:szCs w:val="24"/>
        </w:rPr>
        <w:footnoteReference w:customMarkFollows="1" w:id="8"/>
        <w:t>8</w:t>
      </w:r>
    </w:p>
    <w:p w14:paraId="3BFC5999" w14:textId="59DD601E" w:rsidR="00481D5B" w:rsidRPr="00E223E9" w:rsidRDefault="00481D5B" w:rsidP="009C6E52">
      <w:pPr>
        <w:pStyle w:val="Titre3"/>
      </w:pPr>
      <w:r w:rsidRPr="00E223E9">
        <w:t>Econometrical approach</w:t>
      </w:r>
    </w:p>
    <w:p w14:paraId="5B060EDC" w14:textId="4CEC73F1" w:rsidR="00481D5B" w:rsidRPr="00C82EE1" w:rsidRDefault="00481D5B" w:rsidP="003E0220">
      <w:pPr>
        <w:widowControl w:val="0"/>
        <w:autoSpaceDE w:val="0"/>
        <w:autoSpaceDN w:val="0"/>
        <w:spacing w:after="120" w:line="360" w:lineRule="auto"/>
        <w:jc w:val="both"/>
        <w:rPr>
          <w:rFonts w:ascii="Times New Roman" w:eastAsiaTheme="minorEastAsia" w:hAnsi="Times New Roman" w:cs="Times New Roman"/>
          <w:sz w:val="24"/>
          <w:szCs w:val="24"/>
        </w:rPr>
      </w:pPr>
      <w:r w:rsidRPr="00C82EE1">
        <w:rPr>
          <w:rFonts w:ascii="Times New Roman" w:eastAsiaTheme="minorEastAsia" w:hAnsi="Times New Roman" w:cs="Times New Roman"/>
          <w:sz w:val="24"/>
          <w:szCs w:val="24"/>
        </w:rPr>
        <w:t xml:space="preserve">Our main analysis examines the relationship between the level of LC in the ICO white paper and the ICO funding success. Nonetheless, this causal relationship suggests that the utilization of a certain level of LC may depend on other factors that are hardly observable and quantifiable but could be correlated with the ICO amount raised. For example, entrepreneurial characteristics such as manager cognitive skills, such as memory, curiosity, and precision </w:t>
      </w:r>
      <w:r w:rsidR="00743F6C" w:rsidRPr="00C82EE1">
        <w:rPr>
          <w:rFonts w:ascii="Times New Roman" w:hAnsi="Times New Roman" w:cs="Times New Roman"/>
          <w:sz w:val="24"/>
          <w:szCs w:val="24"/>
        </w:rPr>
        <w:t>(</w:t>
      </w:r>
      <w:proofErr w:type="spellStart"/>
      <w:r w:rsidR="00743F6C" w:rsidRPr="00C82EE1">
        <w:rPr>
          <w:rFonts w:ascii="Times New Roman" w:hAnsi="Times New Roman" w:cs="Times New Roman"/>
          <w:sz w:val="24"/>
          <w:szCs w:val="24"/>
        </w:rPr>
        <w:t>Joenväärä</w:t>
      </w:r>
      <w:proofErr w:type="spellEnd"/>
      <w:r w:rsidR="00743F6C" w:rsidRPr="00C82EE1">
        <w:rPr>
          <w:rFonts w:ascii="Times New Roman" w:hAnsi="Times New Roman" w:cs="Times New Roman"/>
          <w:sz w:val="24"/>
          <w:szCs w:val="24"/>
        </w:rPr>
        <w:t xml:space="preserve"> et al., 2019)</w:t>
      </w:r>
      <w:r w:rsidRPr="00C82EE1">
        <w:rPr>
          <w:rFonts w:ascii="Times New Roman" w:eastAsiaTheme="minorEastAsia" w:hAnsi="Times New Roman" w:cs="Times New Roman"/>
          <w:sz w:val="24"/>
          <w:szCs w:val="24"/>
        </w:rPr>
        <w:t xml:space="preserve">, may explain the utilization of a high level of LC, leading to ICO success. Given that such characteristics are not easily measurable, our current economic interpretation may be driven by an omitted variable bias. In line with prior literature </w:t>
      </w:r>
      <w:r w:rsidR="00B83AE7" w:rsidRPr="00C82EE1">
        <w:rPr>
          <w:rFonts w:ascii="Times New Roman" w:hAnsi="Times New Roman" w:cs="Times New Roman"/>
          <w:sz w:val="24"/>
          <w:szCs w:val="24"/>
        </w:rPr>
        <w:t xml:space="preserve">(Fisch &amp; </w:t>
      </w:r>
      <w:proofErr w:type="spellStart"/>
      <w:r w:rsidR="00B83AE7" w:rsidRPr="00C82EE1">
        <w:rPr>
          <w:rFonts w:ascii="Times New Roman" w:hAnsi="Times New Roman" w:cs="Times New Roman"/>
          <w:sz w:val="24"/>
          <w:szCs w:val="24"/>
        </w:rPr>
        <w:t>Momtaz</w:t>
      </w:r>
      <w:proofErr w:type="spellEnd"/>
      <w:r w:rsidR="00B83AE7" w:rsidRPr="00C82EE1">
        <w:rPr>
          <w:rFonts w:ascii="Times New Roman" w:hAnsi="Times New Roman" w:cs="Times New Roman"/>
          <w:sz w:val="24"/>
          <w:szCs w:val="24"/>
        </w:rPr>
        <w:t>, 2020)</w:t>
      </w:r>
      <w:r w:rsidRPr="00C82EE1">
        <w:rPr>
          <w:rFonts w:ascii="Times New Roman" w:eastAsiaTheme="minorEastAsia" w:hAnsi="Times New Roman" w:cs="Times New Roman"/>
          <w:sz w:val="24"/>
          <w:szCs w:val="24"/>
        </w:rPr>
        <w:t>, we employ the restricted control Function (</w:t>
      </w:r>
      <w:proofErr w:type="spellStart"/>
      <w:r w:rsidRPr="00C82EE1">
        <w:rPr>
          <w:rFonts w:ascii="Times New Roman" w:eastAsiaTheme="minorEastAsia" w:hAnsi="Times New Roman" w:cs="Times New Roman"/>
          <w:sz w:val="24"/>
          <w:szCs w:val="24"/>
        </w:rPr>
        <w:t>rCF</w:t>
      </w:r>
      <w:proofErr w:type="spellEnd"/>
      <w:r w:rsidRPr="00C82EE1">
        <w:rPr>
          <w:rFonts w:ascii="Times New Roman" w:eastAsiaTheme="minorEastAsia" w:hAnsi="Times New Roman" w:cs="Times New Roman"/>
          <w:sz w:val="24"/>
          <w:szCs w:val="24"/>
        </w:rPr>
        <w:t>) to address this concern and control for potential endogeneity in our model.</w:t>
      </w:r>
    </w:p>
    <w:p w14:paraId="1274E451" w14:textId="6738411F" w:rsidR="00481D5B" w:rsidRPr="00C82EE1" w:rsidRDefault="00481D5B" w:rsidP="003E0220">
      <w:pPr>
        <w:widowControl w:val="0"/>
        <w:autoSpaceDE w:val="0"/>
        <w:autoSpaceDN w:val="0"/>
        <w:spacing w:after="120" w:line="360" w:lineRule="auto"/>
        <w:ind w:firstLine="340"/>
        <w:jc w:val="both"/>
        <w:rPr>
          <w:rFonts w:ascii="Times New Roman" w:eastAsiaTheme="minorEastAsia" w:hAnsi="Times New Roman" w:cs="Times New Roman"/>
          <w:sz w:val="24"/>
          <w:szCs w:val="24"/>
        </w:rPr>
      </w:pPr>
      <w:r w:rsidRPr="00C82EE1">
        <w:rPr>
          <w:rFonts w:ascii="Times New Roman" w:eastAsiaTheme="minorEastAsia" w:hAnsi="Times New Roman" w:cs="Times New Roman"/>
          <w:sz w:val="24"/>
          <w:szCs w:val="24"/>
        </w:rPr>
        <w:t xml:space="preserve">We build on the formative work by </w:t>
      </w:r>
      <w:r w:rsidR="00B83AE7" w:rsidRPr="00C82EE1">
        <w:rPr>
          <w:rFonts w:ascii="Times New Roman" w:hAnsi="Times New Roman" w:cs="Times New Roman"/>
          <w:sz w:val="24"/>
          <w:szCs w:val="24"/>
        </w:rPr>
        <w:t xml:space="preserve">Mansouri &amp; </w:t>
      </w:r>
      <w:proofErr w:type="spellStart"/>
      <w:r w:rsidR="00B83AE7" w:rsidRPr="00750548">
        <w:rPr>
          <w:rFonts w:ascii="Times New Roman" w:hAnsi="Times New Roman" w:cs="Times New Roman"/>
          <w:sz w:val="24"/>
          <w:szCs w:val="24"/>
        </w:rPr>
        <w:t>Momtaz</w:t>
      </w:r>
      <w:proofErr w:type="spellEnd"/>
      <w:r w:rsidR="00B83AE7" w:rsidRPr="00C82EE1">
        <w:rPr>
          <w:rFonts w:ascii="Times New Roman" w:hAnsi="Times New Roman" w:cs="Times New Roman"/>
          <w:sz w:val="24"/>
          <w:szCs w:val="24"/>
        </w:rPr>
        <w:t xml:space="preserve"> (2022)</w:t>
      </w:r>
      <w:r w:rsidRPr="00C82EE1">
        <w:rPr>
          <w:rFonts w:ascii="Times New Roman" w:eastAsiaTheme="minorEastAsia" w:hAnsi="Times New Roman" w:cs="Times New Roman"/>
          <w:sz w:val="24"/>
          <w:szCs w:val="24"/>
        </w:rPr>
        <w:t xml:space="preserve"> and perform a restricted control function (</w:t>
      </w:r>
      <w:proofErr w:type="spellStart"/>
      <w:r w:rsidRPr="00C82EE1">
        <w:rPr>
          <w:rFonts w:ascii="Times New Roman" w:eastAsiaTheme="minorEastAsia" w:hAnsi="Times New Roman" w:cs="Times New Roman"/>
          <w:sz w:val="24"/>
          <w:szCs w:val="24"/>
        </w:rPr>
        <w:t>rCF</w:t>
      </w:r>
      <w:proofErr w:type="spellEnd"/>
      <w:r w:rsidRPr="00C82EE1">
        <w:rPr>
          <w:rFonts w:ascii="Times New Roman" w:eastAsiaTheme="minorEastAsia" w:hAnsi="Times New Roman" w:cs="Times New Roman"/>
          <w:sz w:val="24"/>
          <w:szCs w:val="24"/>
        </w:rPr>
        <w:t xml:space="preserve">) test to control for unobserved heterogeneity. Compared to matching methods such as the PSM, the </w:t>
      </w:r>
      <w:proofErr w:type="spellStart"/>
      <w:r w:rsidRPr="00C82EE1">
        <w:rPr>
          <w:rFonts w:ascii="Times New Roman" w:eastAsiaTheme="minorEastAsia" w:hAnsi="Times New Roman" w:cs="Times New Roman"/>
          <w:sz w:val="24"/>
          <w:szCs w:val="24"/>
        </w:rPr>
        <w:t>rCF</w:t>
      </w:r>
      <w:proofErr w:type="spellEnd"/>
      <w:r w:rsidRPr="00C82EE1">
        <w:rPr>
          <w:rFonts w:ascii="Times New Roman" w:eastAsiaTheme="minorEastAsia" w:hAnsi="Times New Roman" w:cs="Times New Roman"/>
          <w:sz w:val="24"/>
          <w:szCs w:val="24"/>
        </w:rPr>
        <w:t xml:space="preserve"> models omitted variables instead of assuming that a set of relevant covariates is sufficiently relevant </w:t>
      </w:r>
      <w:r w:rsidR="00B83AE7" w:rsidRPr="00C82EE1">
        <w:rPr>
          <w:rFonts w:ascii="Times New Roman" w:hAnsi="Times New Roman" w:cs="Times New Roman"/>
          <w:sz w:val="24"/>
          <w:szCs w:val="24"/>
        </w:rPr>
        <w:t>(</w:t>
      </w:r>
      <w:proofErr w:type="spellStart"/>
      <w:r w:rsidR="00B83AE7" w:rsidRPr="00C82EE1">
        <w:rPr>
          <w:rFonts w:ascii="Times New Roman" w:hAnsi="Times New Roman" w:cs="Times New Roman"/>
          <w:sz w:val="24"/>
          <w:szCs w:val="24"/>
        </w:rPr>
        <w:t>Heckmann</w:t>
      </w:r>
      <w:proofErr w:type="spellEnd"/>
      <w:r w:rsidR="00B83AE7" w:rsidRPr="00C82EE1">
        <w:rPr>
          <w:rFonts w:ascii="Times New Roman" w:hAnsi="Times New Roman" w:cs="Times New Roman"/>
          <w:sz w:val="24"/>
          <w:szCs w:val="24"/>
        </w:rPr>
        <w:t xml:space="preserve"> &amp; Navarro-Lozano, 2004)</w:t>
      </w:r>
      <w:r w:rsidRPr="00C82EE1">
        <w:rPr>
          <w:rFonts w:ascii="Times New Roman" w:eastAsiaTheme="minorEastAsia" w:hAnsi="Times New Roman" w:cs="Times New Roman"/>
          <w:sz w:val="24"/>
          <w:szCs w:val="24"/>
        </w:rPr>
        <w:t xml:space="preserve">. Furthermore, the generalized residuals extracted from the first stage of the </w:t>
      </w:r>
      <w:proofErr w:type="spellStart"/>
      <w:r w:rsidRPr="00C82EE1">
        <w:rPr>
          <w:rFonts w:ascii="Times New Roman" w:eastAsiaTheme="minorEastAsia" w:hAnsi="Times New Roman" w:cs="Times New Roman"/>
          <w:sz w:val="24"/>
          <w:szCs w:val="24"/>
        </w:rPr>
        <w:t>rCF</w:t>
      </w:r>
      <w:proofErr w:type="spellEnd"/>
      <w:r w:rsidRPr="00C82EE1">
        <w:rPr>
          <w:rFonts w:ascii="Times New Roman" w:eastAsiaTheme="minorEastAsia" w:hAnsi="Times New Roman" w:cs="Times New Roman"/>
          <w:sz w:val="24"/>
          <w:szCs w:val="24"/>
        </w:rPr>
        <w:t xml:space="preserve"> can be used as a clear test for endogeneity. The </w:t>
      </w:r>
      <w:proofErr w:type="spellStart"/>
      <w:r w:rsidRPr="00C82EE1">
        <w:rPr>
          <w:rFonts w:ascii="Times New Roman" w:eastAsiaTheme="minorEastAsia" w:hAnsi="Times New Roman" w:cs="Times New Roman"/>
          <w:sz w:val="24"/>
          <w:szCs w:val="24"/>
        </w:rPr>
        <w:t>rCF</w:t>
      </w:r>
      <w:proofErr w:type="spellEnd"/>
      <w:r w:rsidRPr="00C82EE1">
        <w:rPr>
          <w:rFonts w:ascii="Times New Roman" w:eastAsiaTheme="minorEastAsia" w:hAnsi="Times New Roman" w:cs="Times New Roman"/>
          <w:sz w:val="24"/>
          <w:szCs w:val="24"/>
        </w:rPr>
        <w:t xml:space="preserve"> approach mitigates the occurrence of endogeneity generated by reverse causality or spurious correlations, leading to the </w:t>
      </w:r>
      <w:r w:rsidR="00AD4704" w:rsidRPr="00C82EE1">
        <w:rPr>
          <w:rFonts w:ascii="Times New Roman" w:hAnsi="Times New Roman" w:cs="Times New Roman"/>
          <w:sz w:val="24"/>
          <w:szCs w:val="24"/>
        </w:rPr>
        <w:t>"</w:t>
      </w:r>
      <w:r w:rsidRPr="00AD4704">
        <w:rPr>
          <w:rFonts w:ascii="Times New Roman" w:eastAsiaTheme="minorEastAsia" w:hAnsi="Times New Roman" w:cs="Times New Roman"/>
          <w:i/>
          <w:sz w:val="24"/>
          <w:szCs w:val="24"/>
        </w:rPr>
        <w:t>experimental average treatment effect</w:t>
      </w:r>
      <w:r w:rsidR="00AD4704" w:rsidRPr="00C82EE1">
        <w:rPr>
          <w:rFonts w:ascii="Times New Roman" w:hAnsi="Times New Roman" w:cs="Times New Roman"/>
          <w:sz w:val="24"/>
          <w:szCs w:val="24"/>
        </w:rPr>
        <w:t xml:space="preserve">" </w:t>
      </w:r>
      <w:r w:rsidRPr="00C82EE1">
        <w:rPr>
          <w:rFonts w:ascii="Times New Roman" w:eastAsiaTheme="minorEastAsia" w:hAnsi="Times New Roman" w:cs="Times New Roman"/>
          <w:sz w:val="24"/>
          <w:szCs w:val="24"/>
        </w:rPr>
        <w:t>of the utilization of LC on ICO success</w:t>
      </w:r>
      <w:r w:rsidR="00B83AE7" w:rsidRPr="00C82EE1">
        <w:rPr>
          <w:rFonts w:ascii="Times New Roman" w:eastAsiaTheme="minorEastAsia" w:hAnsi="Times New Roman" w:cs="Times New Roman"/>
          <w:sz w:val="24"/>
          <w:szCs w:val="24"/>
        </w:rPr>
        <w:t xml:space="preserve"> </w:t>
      </w:r>
      <w:r w:rsidR="00B83AE7" w:rsidRPr="00C82EE1">
        <w:rPr>
          <w:rFonts w:ascii="Times New Roman" w:hAnsi="Times New Roman" w:cs="Times New Roman"/>
          <w:sz w:val="24"/>
          <w:szCs w:val="24"/>
        </w:rPr>
        <w:t xml:space="preserve">(Colombo &amp; </w:t>
      </w:r>
      <w:proofErr w:type="spellStart"/>
      <w:r w:rsidR="00B83AE7" w:rsidRPr="00C82EE1">
        <w:rPr>
          <w:rFonts w:ascii="Times New Roman" w:hAnsi="Times New Roman" w:cs="Times New Roman"/>
          <w:sz w:val="24"/>
          <w:szCs w:val="24"/>
        </w:rPr>
        <w:t>Grilli</w:t>
      </w:r>
      <w:proofErr w:type="spellEnd"/>
      <w:r w:rsidR="00B83AE7" w:rsidRPr="00C82EE1">
        <w:rPr>
          <w:rFonts w:ascii="Times New Roman" w:hAnsi="Times New Roman" w:cs="Times New Roman"/>
          <w:sz w:val="24"/>
          <w:szCs w:val="24"/>
        </w:rPr>
        <w:t>, 2010; Heckman, 1978; Thewissen et al., 2022)</w:t>
      </w:r>
      <w:r w:rsidRPr="00C82EE1">
        <w:rPr>
          <w:rFonts w:ascii="Times New Roman" w:eastAsiaTheme="minorEastAsia" w:hAnsi="Times New Roman" w:cs="Times New Roman"/>
          <w:sz w:val="24"/>
          <w:szCs w:val="24"/>
        </w:rPr>
        <w:t xml:space="preserve">. We conduct the </w:t>
      </w:r>
      <w:proofErr w:type="spellStart"/>
      <w:r w:rsidRPr="00C82EE1">
        <w:rPr>
          <w:rFonts w:ascii="Times New Roman" w:eastAsiaTheme="minorEastAsia" w:hAnsi="Times New Roman" w:cs="Times New Roman"/>
          <w:sz w:val="24"/>
          <w:szCs w:val="24"/>
        </w:rPr>
        <w:t>rCF</w:t>
      </w:r>
      <w:proofErr w:type="spellEnd"/>
      <w:r w:rsidRPr="00C82EE1">
        <w:rPr>
          <w:rFonts w:ascii="Times New Roman" w:eastAsiaTheme="minorEastAsia" w:hAnsi="Times New Roman" w:cs="Times New Roman"/>
          <w:sz w:val="24"/>
          <w:szCs w:val="24"/>
        </w:rPr>
        <w:t xml:space="preserve"> using a two-step approach. In the first step, we estimate an equation to obtain the generalized residuals. We first model the selection of ICO observations having a high level of LC based on the median level of white papers LC in our sample. We employ the following </w:t>
      </w:r>
      <w:proofErr w:type="spellStart"/>
      <w:r w:rsidRPr="00C82EE1">
        <w:rPr>
          <w:rFonts w:ascii="Times New Roman" w:eastAsiaTheme="minorEastAsia" w:hAnsi="Times New Roman" w:cs="Times New Roman"/>
          <w:sz w:val="24"/>
          <w:szCs w:val="24"/>
        </w:rPr>
        <w:t>Probit</w:t>
      </w:r>
      <w:proofErr w:type="spellEnd"/>
      <w:r w:rsidRPr="00C82EE1">
        <w:rPr>
          <w:rFonts w:ascii="Times New Roman" w:eastAsiaTheme="minorEastAsia" w:hAnsi="Times New Roman" w:cs="Times New Roman"/>
          <w:sz w:val="24"/>
          <w:szCs w:val="24"/>
        </w:rPr>
        <w:t xml:space="preserve"> model to estimate the probability that a given white paper contains a high level of LC</w:t>
      </w:r>
      <w:r w:rsidR="00B45747">
        <w:rPr>
          <w:rFonts w:ascii="Times New Roman" w:eastAsiaTheme="minorEastAsia" w:hAnsi="Times New Roman" w:cs="Times New Roman"/>
          <w:sz w:val="24"/>
          <w:szCs w:val="24"/>
        </w:rPr>
        <w:t>:</w:t>
      </w:r>
    </w:p>
    <w:p w14:paraId="2967BB76" w14:textId="4357B55F" w:rsidR="00481D5B" w:rsidRPr="00770ADA" w:rsidRDefault="00876173" w:rsidP="00B849B4">
      <w:pPr>
        <w:widowControl w:val="0"/>
        <w:autoSpaceDE w:val="0"/>
        <w:autoSpaceDN w:val="0"/>
        <w:spacing w:before="240" w:after="240" w:line="360" w:lineRule="auto"/>
        <w:ind w:left="2880"/>
        <w:jc w:val="center"/>
        <w:rPr>
          <w:rFonts w:ascii="Times New Roman" w:eastAsia="Times New Roman" w:hAnsi="Times New Roman" w:cs="Times New Roman"/>
          <w:w w:val="115"/>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r>
              <w:rPr>
                <w:rFonts w:ascii="Cambria Math" w:eastAsiaTheme="minorEastAsia" w:hAnsi="Cambria Math" w:cs="Times New Roman"/>
                <w:sz w:val="24"/>
                <w:szCs w:val="24"/>
                <w:lang w:eastAsia="zh-CN"/>
              </w:rPr>
              <m:t>iComplexity</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p>
          <m:sSupPr>
            <m:ctrlPr>
              <w:rPr>
                <w:rFonts w:ascii="Cambria Math" w:eastAsia="Times New Roman" w:hAnsi="Cambria Math" w:cs="Times New Roman"/>
                <w:i/>
                <w:spacing w:val="12"/>
                <w:w w:val="105"/>
                <w:sz w:val="24"/>
                <w:szCs w:val="24"/>
              </w:rPr>
            </m:ctrlPr>
          </m:sSupPr>
          <m:e>
            <m:r>
              <m:rPr>
                <m:sty m:val="p"/>
              </m:rPr>
              <w:rPr>
                <w:rFonts w:ascii="Cambria Math" w:eastAsia="Times New Roman" w:hAnsi="Cambria Math" w:cs="Times New Roman"/>
                <w:w w:val="105"/>
                <w:sz w:val="24"/>
                <w:szCs w:val="24"/>
              </w:rPr>
              <m:t>Φ(</m:t>
            </m:r>
            <m:r>
              <w:rPr>
                <w:rFonts w:ascii="Cambria Math" w:eastAsia="Times New Roman" w:hAnsi="Cambria Math" w:cs="Times New Roman"/>
                <w:spacing w:val="12"/>
                <w:w w:val="105"/>
                <w:sz w:val="24"/>
                <w:szCs w:val="24"/>
              </w:rPr>
              <m:t>Ω</m:t>
            </m:r>
          </m:e>
          <m:sup>
            <m:r>
              <w:rPr>
                <w:rFonts w:ascii="Cambria Math" w:eastAsia="Times New Roman" w:hAnsi="Cambria Math" w:cs="Times New Roman"/>
                <w:spacing w:val="12"/>
                <w:w w:val="105"/>
                <w:sz w:val="24"/>
                <w:szCs w:val="24"/>
              </w:rPr>
              <m:t>c</m:t>
            </m:r>
          </m:sup>
        </m:sSup>
        <m:r>
          <w:rPr>
            <w:rFonts w:ascii="Cambria Math" w:eastAsia="Times New Roman" w:hAnsi="Cambria Math" w:cs="Times New Roman"/>
            <w:sz w:val="24"/>
            <w:szCs w:val="24"/>
          </w:rPr>
          <m:t xml:space="preserve">δ+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ξ</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m:t>
        </m:r>
      </m:oMath>
      <w:r w:rsidR="00481D5B" w:rsidRPr="00770ADA">
        <w:rPr>
          <w:rFonts w:ascii="Times New Roman" w:eastAsia="Times New Roman" w:hAnsi="Times New Roman" w:cs="Times New Roman"/>
          <w:w w:val="115"/>
          <w:sz w:val="24"/>
          <w:szCs w:val="24"/>
        </w:rPr>
        <w:t xml:space="preserve">     </w:t>
      </w:r>
      <w:r w:rsidR="00481D5B" w:rsidRPr="00770ADA">
        <w:rPr>
          <w:rFonts w:ascii="Times New Roman" w:eastAsiaTheme="minorEastAsia" w:hAnsi="Times New Roman" w:cs="Times New Roman"/>
          <w:w w:val="115"/>
          <w:sz w:val="24"/>
          <w:szCs w:val="24"/>
          <w:lang w:eastAsia="zh-CN"/>
        </w:rPr>
        <w:t xml:space="preserve">                  </w:t>
      </w:r>
      <w:r w:rsidR="005D000A">
        <w:rPr>
          <w:rFonts w:ascii="Times New Roman" w:eastAsiaTheme="minorEastAsia" w:hAnsi="Times New Roman" w:cs="Times New Roman"/>
          <w:w w:val="115"/>
          <w:sz w:val="24"/>
          <w:szCs w:val="24"/>
          <w:lang w:eastAsia="zh-CN"/>
        </w:rPr>
        <w:tab/>
      </w:r>
      <w:r w:rsidR="00481D5B" w:rsidRPr="00770ADA">
        <w:rPr>
          <w:rFonts w:ascii="Times New Roman" w:eastAsiaTheme="minorEastAsia" w:hAnsi="Times New Roman" w:cs="Times New Roman"/>
          <w:w w:val="115"/>
          <w:sz w:val="24"/>
          <w:szCs w:val="24"/>
          <w:lang w:eastAsia="zh-CN"/>
        </w:rPr>
        <w:t xml:space="preserve">          </w:t>
      </w:r>
      <w:r w:rsidR="00481D5B" w:rsidRPr="00770ADA">
        <w:rPr>
          <w:rFonts w:ascii="Times New Roman" w:eastAsia="Times New Roman" w:hAnsi="Times New Roman" w:cs="Times New Roman"/>
          <w:w w:val="115"/>
          <w:sz w:val="24"/>
          <w:szCs w:val="24"/>
        </w:rPr>
        <w:t>(</w:t>
      </w:r>
      <w:r w:rsidR="00481D5B" w:rsidRPr="00770ADA">
        <w:rPr>
          <w:rFonts w:ascii="Times New Roman" w:eastAsiaTheme="minorEastAsia" w:hAnsi="Times New Roman" w:cs="Times New Roman"/>
          <w:w w:val="115"/>
          <w:sz w:val="24"/>
          <w:szCs w:val="24"/>
          <w:lang w:eastAsia="zh-CN"/>
        </w:rPr>
        <w:t>3</w:t>
      </w:r>
      <w:r w:rsidR="00481D5B" w:rsidRPr="00770ADA">
        <w:rPr>
          <w:rFonts w:ascii="Times New Roman" w:eastAsia="Times New Roman" w:hAnsi="Times New Roman" w:cs="Times New Roman"/>
          <w:w w:val="115"/>
          <w:sz w:val="24"/>
          <w:szCs w:val="24"/>
        </w:rPr>
        <w:t>)</w:t>
      </w:r>
    </w:p>
    <w:p w14:paraId="1988B116" w14:textId="7394A8AF" w:rsidR="00481D5B" w:rsidRPr="00C82EE1" w:rsidRDefault="00481D5B" w:rsidP="00B849B4">
      <w:pPr>
        <w:widowControl w:val="0"/>
        <w:autoSpaceDE w:val="0"/>
        <w:autoSpaceDN w:val="0"/>
        <w:spacing w:after="120" w:line="360" w:lineRule="auto"/>
        <w:ind w:left="113" w:right="170" w:firstLine="340"/>
        <w:jc w:val="both"/>
        <w:rPr>
          <w:rFonts w:ascii="Times New Roman" w:eastAsia="Times New Roman" w:hAnsi="Times New Roman" w:cs="Times New Roman"/>
          <w:sz w:val="24"/>
          <w:szCs w:val="24"/>
        </w:rPr>
      </w:pPr>
      <w:r w:rsidRPr="00C82EE1">
        <w:rPr>
          <w:rFonts w:ascii="Times New Roman" w:eastAsia="Times New Roman" w:hAnsi="Times New Roman" w:cs="Times New Roman"/>
          <w:sz w:val="24"/>
          <w:szCs w:val="24"/>
        </w:rPr>
        <w:lastRenderedPageBreak/>
        <w:t xml:space="preserve">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hiComplexity</m:t>
            </m:r>
          </m:e>
          <m:sub>
            <m:r>
              <w:rPr>
                <w:rFonts w:ascii="Cambria Math" w:eastAsia="Times New Roman" w:hAnsi="Cambria Math" w:cs="Times New Roman"/>
                <w:sz w:val="24"/>
                <w:szCs w:val="24"/>
              </w:rPr>
              <m:t>i</m:t>
            </m:r>
          </m:sub>
        </m:sSub>
      </m:oMath>
      <w:r w:rsidRPr="00C82EE1">
        <w:rPr>
          <w:rFonts w:ascii="Times New Roman" w:eastAsia="Times New Roman" w:hAnsi="Times New Roman" w:cs="Times New Roman"/>
          <w:sz w:val="24"/>
          <w:szCs w:val="24"/>
        </w:rPr>
        <w:t xml:space="preserve"> represents a dummy that takes the value of one if the ICO </w:t>
      </w:r>
      <w:bookmarkStart w:id="16" w:name="_Hlk198887920"/>
      <m:oMath>
        <m:r>
          <w:rPr>
            <w:rFonts w:ascii="Cambria Math" w:eastAsia="Times New Roman" w:hAnsi="Cambria Math" w:cs="Times New Roman"/>
            <w:sz w:val="24"/>
            <w:szCs w:val="24"/>
          </w:rPr>
          <m:t>i</m:t>
        </m:r>
      </m:oMath>
      <w:bookmarkEnd w:id="16"/>
      <w:r w:rsidRPr="00C82EE1">
        <w:rPr>
          <w:rFonts w:ascii="Times New Roman" w:eastAsia="Times New Roman" w:hAnsi="Times New Roman" w:cs="Times New Roman"/>
          <w:sz w:val="24"/>
          <w:szCs w:val="24"/>
        </w:rPr>
        <w:t xml:space="preserve"> has a level of LC which is higher than the sample median, and zero otherwise. </w:t>
      </w:r>
      <w:bookmarkStart w:id="17" w:name="_Hlk198887981"/>
      <m:oMath>
        <m:sSup>
          <m:sSupPr>
            <m:ctrlPr>
              <w:rPr>
                <w:rFonts w:ascii="Cambria Math" w:eastAsia="Times New Roman" w:hAnsi="Cambria Math" w:cs="Times New Roman"/>
                <w:i/>
                <w:spacing w:val="12"/>
                <w:w w:val="105"/>
                <w:sz w:val="24"/>
                <w:szCs w:val="24"/>
              </w:rPr>
            </m:ctrlPr>
          </m:sSupPr>
          <m:e>
            <m:r>
              <w:rPr>
                <w:rFonts w:ascii="Cambria Math" w:eastAsia="Times New Roman" w:hAnsi="Cambria Math" w:cs="Times New Roman"/>
                <w:spacing w:val="12"/>
                <w:w w:val="105"/>
                <w:sz w:val="24"/>
                <w:szCs w:val="24"/>
              </w:rPr>
              <m:t>Ω</m:t>
            </m:r>
          </m:e>
          <m:sup>
            <m:r>
              <w:rPr>
                <w:rFonts w:ascii="Cambria Math" w:eastAsia="Times New Roman" w:hAnsi="Cambria Math" w:cs="Times New Roman"/>
                <w:spacing w:val="12"/>
                <w:w w:val="105"/>
                <w:sz w:val="24"/>
                <w:szCs w:val="24"/>
              </w:rPr>
              <m:t>c</m:t>
            </m:r>
          </m:sup>
        </m:sSup>
      </m:oMath>
      <w:r w:rsidRPr="00C82EE1">
        <w:rPr>
          <w:rFonts w:ascii="Times New Roman" w:eastAsia="Times New Roman" w:hAnsi="Times New Roman" w:cs="Times New Roman"/>
          <w:sz w:val="24"/>
          <w:szCs w:val="24"/>
        </w:rPr>
        <w:t xml:space="preserve"> represents a set of set of exogeneous covariates. We then compute the generalized residuals </w:t>
      </w:r>
      <m:oMath>
        <m:r>
          <w:rPr>
            <w:rFonts w:ascii="Cambria Math" w:eastAsia="Times New Roman" w:hAnsi="Cambria Math" w:cs="Times New Roman"/>
            <w:sz w:val="24"/>
            <w:szCs w:val="24"/>
          </w:rPr>
          <m:t>(GENRES)</m:t>
        </m:r>
      </m:oMath>
      <w:r w:rsidRPr="00C82EE1">
        <w:rPr>
          <w:rFonts w:ascii="Times New Roman" w:eastAsia="Times New Roman" w:hAnsi="Times New Roman" w:cs="Times New Roman"/>
          <w:sz w:val="24"/>
          <w:szCs w:val="24"/>
        </w:rPr>
        <w:t xml:space="preserve"> from the first-step model based on </w:t>
      </w:r>
      <w:proofErr w:type="spellStart"/>
      <w:r w:rsidR="00B83AE7" w:rsidRPr="00C82EE1">
        <w:rPr>
          <w:rFonts w:ascii="Times New Roman" w:hAnsi="Times New Roman" w:cs="Times New Roman"/>
          <w:sz w:val="24"/>
          <w:szCs w:val="24"/>
        </w:rPr>
        <w:t>Gourieroux</w:t>
      </w:r>
      <w:proofErr w:type="spellEnd"/>
      <w:r w:rsidR="00B83AE7" w:rsidRPr="00C82EE1">
        <w:rPr>
          <w:rFonts w:ascii="Times New Roman" w:hAnsi="Times New Roman" w:cs="Times New Roman"/>
          <w:sz w:val="24"/>
          <w:szCs w:val="24"/>
        </w:rPr>
        <w:t xml:space="preserve"> et al. (1987)</w:t>
      </w:r>
      <w:r w:rsidRPr="00C82EE1">
        <w:rPr>
          <w:rFonts w:ascii="Times New Roman" w:eastAsia="Times New Roman" w:hAnsi="Times New Roman" w:cs="Times New Roman"/>
          <w:sz w:val="24"/>
          <w:szCs w:val="24"/>
        </w:rPr>
        <w:t xml:space="preserve"> and </w:t>
      </w:r>
      <w:r w:rsidR="00B83AE7" w:rsidRPr="00C82EE1">
        <w:rPr>
          <w:rFonts w:ascii="Times New Roman" w:hAnsi="Times New Roman" w:cs="Times New Roman"/>
          <w:sz w:val="24"/>
          <w:szCs w:val="24"/>
        </w:rPr>
        <w:t xml:space="preserve">Mansouri &amp; </w:t>
      </w:r>
      <w:proofErr w:type="spellStart"/>
      <w:r w:rsidR="00B83AE7" w:rsidRPr="00C82EE1">
        <w:rPr>
          <w:rFonts w:ascii="Times New Roman" w:hAnsi="Times New Roman" w:cs="Times New Roman"/>
          <w:sz w:val="24"/>
          <w:szCs w:val="24"/>
        </w:rPr>
        <w:t>Momtaz</w:t>
      </w:r>
      <w:proofErr w:type="spellEnd"/>
      <w:r w:rsidR="00B83AE7" w:rsidRPr="00C82EE1">
        <w:rPr>
          <w:rFonts w:ascii="Times New Roman" w:hAnsi="Times New Roman" w:cs="Times New Roman"/>
          <w:sz w:val="24"/>
          <w:szCs w:val="24"/>
        </w:rPr>
        <w:t xml:space="preserve"> (2022)</w:t>
      </w:r>
      <w:r w:rsidRPr="00C82EE1">
        <w:rPr>
          <w:rFonts w:ascii="Times New Roman" w:eastAsia="Times New Roman" w:hAnsi="Times New Roman" w:cs="Times New Roman"/>
          <w:sz w:val="24"/>
          <w:szCs w:val="24"/>
        </w:rPr>
        <w:t>.</w:t>
      </w:r>
    </w:p>
    <w:bookmarkEnd w:id="17"/>
    <w:p w14:paraId="54F3B2D6" w14:textId="3587EA05" w:rsidR="00481D5B" w:rsidRPr="00B849B4" w:rsidRDefault="00876173" w:rsidP="00B849B4">
      <w:pPr>
        <w:widowControl w:val="0"/>
        <w:autoSpaceDE w:val="0"/>
        <w:autoSpaceDN w:val="0"/>
        <w:spacing w:before="240" w:after="240" w:line="360" w:lineRule="auto"/>
        <w:jc w:val="right"/>
        <w:rPr>
          <w:rFonts w:ascii="Times New Roman" w:eastAsia="SimSun" w:hAnsi="Times New Roman" w:cs="Times New Roman"/>
          <w:sz w:val="24"/>
          <w:szCs w:val="24"/>
          <w:lang w:eastAsia="zh-CN"/>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i/>
                <w:sz w:val="24"/>
                <w:szCs w:val="24"/>
              </w:rPr>
              <m:t>GENRES</m:t>
            </m:r>
          </m:e>
          <m:sub>
            <w:proofErr w:type="spellStart"/>
            <m:r>
              <m:rPr>
                <m:nor/>
              </m:rPr>
              <w:rPr>
                <w:rFonts w:ascii="Times New Roman" w:eastAsia="Times New Roman" w:hAnsi="Times New Roman" w:cs="Times New Roman"/>
                <w:i/>
                <w:sz w:val="24"/>
                <w:szCs w:val="24"/>
              </w:rPr>
              <m:t>i</m:t>
            </m:r>
            <w:proofErr w:type="spellEnd"/>
          </m:sub>
        </m:sSub>
        <m:r>
          <m:rPr>
            <m:nor/>
          </m:rPr>
          <w:rPr>
            <w:rFonts w:ascii="Times New Roman" w:eastAsia="SimSun" w:hAnsi="Times New Roman" w:cs="Times New Roman"/>
            <w:i/>
            <w:sz w:val="24"/>
            <w:szCs w:val="24"/>
            <w:lang w:eastAsia="zh-CN"/>
          </w:rPr>
          <m:t xml:space="preserve"> </m:t>
        </m:r>
        <m:r>
          <m:rPr>
            <m:nor/>
          </m:rPr>
          <w:rPr>
            <w:rFonts w:ascii="Times New Roman" w:eastAsia="Times New Roman" w:hAnsi="Times New Roman" w:cs="Times New Roman"/>
            <w:i/>
            <w:sz w:val="24"/>
            <w:szCs w:val="24"/>
          </w:rPr>
          <m:t>=</m:t>
        </m:r>
        <m:sSub>
          <m:sSubPr>
            <m:ctrlPr>
              <w:rPr>
                <w:rFonts w:ascii="Cambria Math" w:eastAsia="Times New Roman" w:hAnsi="Cambria Math" w:cs="Times New Roman"/>
                <w:i/>
                <w:sz w:val="24"/>
                <w:szCs w:val="24"/>
              </w:rPr>
            </m:ctrlPr>
          </m:sSubPr>
          <m:e>
            <m:r>
              <m:rPr>
                <m:nor/>
              </m:rPr>
              <w:rPr>
                <w:rFonts w:ascii="Times New Roman" w:eastAsia="SimSun" w:hAnsi="Times New Roman" w:cs="Times New Roman"/>
                <w:i/>
                <w:sz w:val="24"/>
                <w:szCs w:val="24"/>
                <w:lang w:eastAsia="zh-CN"/>
              </w:rPr>
              <m:t xml:space="preserve"> </m:t>
            </m:r>
            <w:proofErr w:type="spellStart"/>
            <m:r>
              <m:rPr>
                <m:nor/>
              </m:rPr>
              <w:rPr>
                <w:rFonts w:ascii="Times New Roman" w:eastAsia="Times New Roman" w:hAnsi="Times New Roman" w:cs="Times New Roman"/>
                <w:i/>
                <w:sz w:val="24"/>
                <w:szCs w:val="24"/>
              </w:rPr>
              <m:t>hi</m:t>
            </m:r>
            <m:r>
              <m:rPr>
                <m:nor/>
              </m:rPr>
              <w:rPr>
                <w:rFonts w:ascii="Times New Roman" w:eastAsia="SimSun" w:hAnsi="Times New Roman" w:cs="Times New Roman"/>
                <w:i/>
                <w:sz w:val="24"/>
                <w:szCs w:val="24"/>
                <w:lang w:eastAsia="zh-CN"/>
              </w:rPr>
              <m:t>Complexity</m:t>
            </m:r>
            <w:proofErr w:type="spellEnd"/>
          </m:e>
          <m:sub>
            <w:proofErr w:type="spellStart"/>
            <m:r>
              <m:rPr>
                <m:nor/>
              </m:rPr>
              <w:rPr>
                <w:rFonts w:ascii="Times New Roman" w:eastAsia="Times New Roman" w:hAnsi="Times New Roman" w:cs="Times New Roman"/>
                <w:i/>
                <w:sz w:val="24"/>
                <w:szCs w:val="24"/>
              </w:rPr>
              <m:t>i</m:t>
            </m:r>
            <w:proofErr w:type="spellEnd"/>
          </m:sub>
        </m:sSub>
        <m:r>
          <m:rPr>
            <m:nor/>
          </m:rPr>
          <w:rPr>
            <w:rFonts w:ascii="Times New Roman" w:eastAsia="Times New Roman" w:hAnsi="Times New Roman" w:cs="Times New Roman"/>
            <w:i/>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i/>
                <w:sz w:val="24"/>
                <w:szCs w:val="24"/>
              </w:rPr>
              <m:t>ϕ(</m:t>
            </m:r>
            <m:r>
              <w:rPr>
                <w:rFonts w:ascii="Cambria Math" w:eastAsia="Times New Roman" w:hAnsi="Cambria Math" w:cs="Times New Roman"/>
                <w:sz w:val="24"/>
                <w:szCs w:val="24"/>
              </w:rPr>
              <m:t>-</m:t>
            </m:r>
            <m:sSup>
              <m:sSupPr>
                <m:ctrlPr>
                  <w:rPr>
                    <w:rFonts w:ascii="Cambria Math" w:eastAsia="Times New Roman" w:hAnsi="Cambria Math" w:cs="Times New Roman"/>
                    <w:i/>
                    <w:spacing w:val="12"/>
                    <w:w w:val="105"/>
                    <w:sz w:val="24"/>
                    <w:szCs w:val="24"/>
                  </w:rPr>
                </m:ctrlPr>
              </m:sSupPr>
              <m:e>
                <m:r>
                  <w:rPr>
                    <w:rFonts w:ascii="Cambria Math" w:eastAsia="Times New Roman" w:hAnsi="Cambria Math" w:cs="Times New Roman"/>
                    <w:spacing w:val="12"/>
                    <w:w w:val="105"/>
                    <w:sz w:val="24"/>
                    <w:szCs w:val="24"/>
                  </w:rPr>
                  <m:t>Ω</m:t>
                </m:r>
              </m:e>
              <m:sup>
                <m:r>
                  <w:rPr>
                    <w:rFonts w:ascii="Cambria Math" w:eastAsia="Times New Roman" w:hAnsi="Cambria Math" w:cs="Times New Roman"/>
                    <w:spacing w:val="12"/>
                    <w:w w:val="105"/>
                    <w:sz w:val="24"/>
                    <w:szCs w:val="24"/>
                  </w:rPr>
                  <m:t>c</m:t>
                </m:r>
              </m:sup>
            </m:sSup>
            <m:r>
              <m:rPr>
                <m:nor/>
              </m:rPr>
              <w:rPr>
                <w:rFonts w:ascii="Times New Roman" w:eastAsia="Times New Roman" w:hAnsi="Times New Roman" w:cs="Times New Roman"/>
                <w:i/>
                <w:sz w:val="24"/>
                <w:szCs w:val="24"/>
              </w:rPr>
              <m:t>δ)</m:t>
            </m:r>
          </m:num>
          <m:den>
            <m:r>
              <m:rPr>
                <m:nor/>
              </m:rPr>
              <w:rPr>
                <w:rFonts w:ascii="Times New Roman" w:eastAsia="Times New Roman" w:hAnsi="Times New Roman" w:cs="Times New Roman"/>
                <w:i/>
                <w:sz w:val="24"/>
                <w:szCs w:val="24"/>
              </w:rPr>
              <m:t>1</m:t>
            </m:r>
            <m:r>
              <w:rPr>
                <w:rFonts w:ascii="Cambria Math" w:eastAsia="Times New Roman" w:hAnsi="Cambria Math" w:cs="Times New Roman"/>
                <w:sz w:val="24"/>
                <w:szCs w:val="24"/>
              </w:rPr>
              <m:t>-</m:t>
            </m:r>
            <m:r>
              <m:rPr>
                <m:sty m:val="p"/>
              </m:rPr>
              <w:rPr>
                <w:rFonts w:ascii="Cambria Math" w:eastAsia="Times New Roman" w:hAnsi="Cambria Math" w:cs="Times New Roman"/>
                <w:w w:val="105"/>
                <w:sz w:val="24"/>
                <w:szCs w:val="24"/>
              </w:rPr>
              <m:t>Φ</m:t>
            </m:r>
            <m:r>
              <m:rPr>
                <m:nor/>
              </m:rPr>
              <w:rPr>
                <w:rFonts w:ascii="Times New Roman" w:eastAsia="Times New Roman" w:hAnsi="Times New Roman" w:cs="Times New Roman"/>
                <w:i/>
                <w:sz w:val="24"/>
                <w:szCs w:val="24"/>
              </w:rPr>
              <m:t>(</m:t>
            </m:r>
            <m:r>
              <w:rPr>
                <w:rFonts w:ascii="Cambria Math" w:eastAsia="Times New Roman" w:hAnsi="Cambria Math" w:cs="Times New Roman"/>
                <w:sz w:val="24"/>
                <w:szCs w:val="24"/>
              </w:rPr>
              <m:t>-</m:t>
            </m:r>
            <m:sSup>
              <m:sSupPr>
                <m:ctrlPr>
                  <w:rPr>
                    <w:rFonts w:ascii="Cambria Math" w:eastAsia="Times New Roman" w:hAnsi="Cambria Math" w:cs="Times New Roman"/>
                    <w:i/>
                    <w:spacing w:val="12"/>
                    <w:w w:val="105"/>
                    <w:sz w:val="24"/>
                    <w:szCs w:val="24"/>
                  </w:rPr>
                </m:ctrlPr>
              </m:sSupPr>
              <m:e>
                <m:r>
                  <w:rPr>
                    <w:rFonts w:ascii="Cambria Math" w:eastAsia="Times New Roman" w:hAnsi="Cambria Math" w:cs="Times New Roman"/>
                    <w:spacing w:val="12"/>
                    <w:w w:val="105"/>
                    <w:sz w:val="24"/>
                    <w:szCs w:val="24"/>
                  </w:rPr>
                  <m:t>Ω</m:t>
                </m:r>
              </m:e>
              <m:sup>
                <m:r>
                  <w:rPr>
                    <w:rFonts w:ascii="Cambria Math" w:eastAsia="Times New Roman" w:hAnsi="Cambria Math" w:cs="Times New Roman"/>
                    <w:spacing w:val="12"/>
                    <w:w w:val="105"/>
                    <w:sz w:val="24"/>
                    <w:szCs w:val="24"/>
                  </w:rPr>
                  <m:t>c</m:t>
                </m:r>
              </m:sup>
            </m:sSup>
            <m:r>
              <m:rPr>
                <m:nor/>
              </m:rPr>
              <w:rPr>
                <w:rFonts w:ascii="Times New Roman" w:eastAsia="Times New Roman" w:hAnsi="Times New Roman" w:cs="Times New Roman"/>
                <w:i/>
                <w:sz w:val="24"/>
                <w:szCs w:val="24"/>
              </w:rPr>
              <m:t>δ)</m:t>
            </m:r>
          </m:den>
        </m:f>
        <m:r>
          <w:rPr>
            <w:rFonts w:ascii="Cambria Math" w:eastAsia="Times New Roman" w:hAnsi="Cambria Math" w:cs="Times New Roman"/>
            <w:sz w:val="24"/>
            <w:szCs w:val="24"/>
          </w:rPr>
          <m:t>+(1-</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hiComplexity</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r>
              <m:rPr>
                <m:nor/>
              </m:rPr>
              <w:rPr>
                <w:rFonts w:ascii="Times New Roman" w:eastAsia="Times New Roman" w:hAnsi="Times New Roman" w:cs="Times New Roman"/>
                <w:i/>
                <w:sz w:val="24"/>
                <w:szCs w:val="24"/>
              </w:rPr>
              <m:t>ϕ(</m:t>
            </m:r>
            <m:sSup>
              <m:sSupPr>
                <m:ctrlPr>
                  <w:rPr>
                    <w:rFonts w:ascii="Cambria Math" w:eastAsia="Times New Roman" w:hAnsi="Cambria Math" w:cs="Times New Roman"/>
                    <w:i/>
                    <w:spacing w:val="12"/>
                    <w:w w:val="105"/>
                    <w:sz w:val="24"/>
                    <w:szCs w:val="24"/>
                  </w:rPr>
                </m:ctrlPr>
              </m:sSupPr>
              <m:e>
                <m:r>
                  <w:rPr>
                    <w:rFonts w:ascii="Cambria Math" w:eastAsia="Times New Roman" w:hAnsi="Cambria Math" w:cs="Times New Roman"/>
                    <w:spacing w:val="12"/>
                    <w:w w:val="105"/>
                    <w:sz w:val="24"/>
                    <w:szCs w:val="24"/>
                  </w:rPr>
                  <m:t>Ω</m:t>
                </m:r>
              </m:e>
              <m:sup>
                <m:r>
                  <w:rPr>
                    <w:rFonts w:ascii="Cambria Math" w:eastAsia="Times New Roman" w:hAnsi="Cambria Math" w:cs="Times New Roman"/>
                    <w:spacing w:val="12"/>
                    <w:w w:val="105"/>
                    <w:sz w:val="24"/>
                    <w:szCs w:val="24"/>
                  </w:rPr>
                  <m:t>c</m:t>
                </m:r>
              </m:sup>
            </m:sSup>
            <m:r>
              <m:rPr>
                <m:nor/>
              </m:rPr>
              <w:rPr>
                <w:rFonts w:ascii="Times New Roman" w:eastAsia="Times New Roman" w:hAnsi="Times New Roman" w:cs="Times New Roman"/>
                <w:i/>
                <w:sz w:val="24"/>
                <w:szCs w:val="24"/>
              </w:rPr>
              <m:t>δ)</m:t>
            </m:r>
          </m:num>
          <m:den>
            <m:r>
              <m:rPr>
                <m:sty m:val="p"/>
              </m:rPr>
              <w:rPr>
                <w:rFonts w:ascii="Cambria Math" w:eastAsia="Times New Roman" w:hAnsi="Cambria Math" w:cs="Times New Roman"/>
                <w:w w:val="105"/>
                <w:sz w:val="24"/>
                <w:szCs w:val="24"/>
              </w:rPr>
              <m:t>Φ</m:t>
            </m:r>
            <m:r>
              <m:rPr>
                <m:nor/>
              </m:rPr>
              <w:rPr>
                <w:rFonts w:ascii="Times New Roman" w:eastAsia="Times New Roman" w:hAnsi="Times New Roman" w:cs="Times New Roman"/>
                <w:i/>
                <w:sz w:val="24"/>
                <w:szCs w:val="24"/>
              </w:rPr>
              <m:t>(</m:t>
            </m:r>
            <m:r>
              <w:rPr>
                <w:rFonts w:ascii="Cambria Math" w:eastAsia="Times New Roman" w:hAnsi="Cambria Math" w:cs="Times New Roman"/>
                <w:sz w:val="24"/>
                <w:szCs w:val="24"/>
              </w:rPr>
              <m:t>-</m:t>
            </m:r>
            <m:sSup>
              <m:sSupPr>
                <m:ctrlPr>
                  <w:rPr>
                    <w:rFonts w:ascii="Cambria Math" w:eastAsia="Times New Roman" w:hAnsi="Cambria Math" w:cs="Times New Roman"/>
                    <w:i/>
                    <w:spacing w:val="12"/>
                    <w:w w:val="105"/>
                    <w:sz w:val="24"/>
                    <w:szCs w:val="24"/>
                  </w:rPr>
                </m:ctrlPr>
              </m:sSupPr>
              <m:e>
                <m:r>
                  <w:rPr>
                    <w:rFonts w:ascii="Cambria Math" w:eastAsia="Times New Roman" w:hAnsi="Cambria Math" w:cs="Times New Roman"/>
                    <w:spacing w:val="12"/>
                    <w:w w:val="105"/>
                    <w:sz w:val="24"/>
                    <w:szCs w:val="24"/>
                  </w:rPr>
                  <m:t>Ω</m:t>
                </m:r>
              </m:e>
              <m:sup>
                <m:r>
                  <w:rPr>
                    <w:rFonts w:ascii="Cambria Math" w:eastAsia="Times New Roman" w:hAnsi="Cambria Math" w:cs="Times New Roman"/>
                    <w:spacing w:val="12"/>
                    <w:w w:val="105"/>
                    <w:sz w:val="24"/>
                    <w:szCs w:val="24"/>
                  </w:rPr>
                  <m:t>c</m:t>
                </m:r>
              </m:sup>
            </m:sSup>
            <m:r>
              <m:rPr>
                <m:nor/>
              </m:rPr>
              <w:rPr>
                <w:rFonts w:ascii="Times New Roman" w:eastAsia="Times New Roman" w:hAnsi="Times New Roman" w:cs="Times New Roman"/>
                <w:i/>
                <w:sz w:val="24"/>
                <w:szCs w:val="24"/>
              </w:rPr>
              <m:t>δ)</m:t>
            </m:r>
          </m:den>
        </m:f>
      </m:oMath>
      <w:r w:rsidR="00481D5B" w:rsidRPr="00770ADA">
        <w:rPr>
          <w:rFonts w:ascii="Times New Roman" w:eastAsia="Times New Roman" w:hAnsi="Times New Roman" w:cs="Times New Roman"/>
          <w:iCs/>
          <w:sz w:val="24"/>
          <w:szCs w:val="24"/>
        </w:rPr>
        <w:t xml:space="preserve"> </w:t>
      </w:r>
      <w:proofErr w:type="gramStart"/>
      <w:r w:rsidR="00481D5B" w:rsidRPr="00770ADA">
        <w:rPr>
          <w:rFonts w:ascii="Times New Roman" w:eastAsia="Times New Roman" w:hAnsi="Times New Roman" w:cs="Times New Roman"/>
          <w:iCs/>
          <w:sz w:val="24"/>
          <w:szCs w:val="24"/>
        </w:rPr>
        <w:t xml:space="preserve">,   </w:t>
      </w:r>
      <w:proofErr w:type="gramEnd"/>
      <w:r w:rsidR="00481D5B" w:rsidRPr="00770ADA">
        <w:rPr>
          <w:rFonts w:ascii="Times New Roman" w:eastAsia="Times New Roman" w:hAnsi="Times New Roman" w:cs="Times New Roman"/>
          <w:iCs/>
          <w:sz w:val="24"/>
          <w:szCs w:val="24"/>
        </w:rPr>
        <w:tab/>
        <w:t xml:space="preserve"> </w:t>
      </w:r>
      <w:r w:rsidR="00481D5B" w:rsidRPr="00770ADA">
        <w:rPr>
          <w:rFonts w:ascii="Times New Roman" w:eastAsia="SimSun" w:hAnsi="Times New Roman" w:cs="Times New Roman"/>
          <w:sz w:val="24"/>
          <w:szCs w:val="24"/>
          <w:lang w:eastAsia="zh-CN"/>
        </w:rPr>
        <w:t>(4)</w:t>
      </w:r>
    </w:p>
    <w:p w14:paraId="2420932F" w14:textId="45DD89C2" w:rsidR="00481D5B" w:rsidRPr="00C82EE1" w:rsidRDefault="00481D5B" w:rsidP="00B849B4">
      <w:pPr>
        <w:spacing w:after="120" w:line="360" w:lineRule="auto"/>
        <w:ind w:right="170" w:firstLine="340"/>
        <w:jc w:val="both"/>
        <w:rPr>
          <w:rFonts w:ascii="Times New Roman" w:hAnsi="Times New Roman" w:cs="Times New Roman"/>
          <w:sz w:val="24"/>
          <w:szCs w:val="24"/>
          <w:shd w:val="clear" w:color="auto" w:fill="FFFFFF"/>
        </w:rPr>
      </w:pPr>
      <w:r w:rsidRPr="00C82EE1">
        <w:rPr>
          <w:rFonts w:ascii="Times New Roman" w:hAnsi="Times New Roman" w:cs="Times New Roman"/>
          <w:sz w:val="24"/>
          <w:szCs w:val="24"/>
        </w:rPr>
        <w:t xml:space="preserve">where </w:t>
      </w:r>
      <m:oMath>
        <m:r>
          <w:rPr>
            <w:rFonts w:ascii="Cambria Math" w:hAnsi="Cambria Math" w:cs="Times New Roman"/>
            <w:spacing w:val="-14"/>
            <w:w w:val="110"/>
            <w:sz w:val="24"/>
            <w:szCs w:val="24"/>
            <w:lang w:val="fr-BE"/>
          </w:rPr>
          <m:t>ϕ</m:t>
        </m:r>
        <m:r>
          <w:rPr>
            <w:rFonts w:ascii="Cambria Math" w:hAnsi="Cambria Math" w:cs="Times New Roman"/>
            <w:spacing w:val="-14"/>
            <w:w w:val="110"/>
            <w:sz w:val="24"/>
            <w:szCs w:val="24"/>
          </w:rPr>
          <m:t>(.)</m:t>
        </m:r>
      </m:oMath>
      <w:r w:rsidRPr="00C82EE1">
        <w:rPr>
          <w:rFonts w:ascii="Times New Roman" w:hAnsi="Times New Roman" w:cs="Times New Roman"/>
          <w:spacing w:val="-15"/>
          <w:w w:val="110"/>
          <w:sz w:val="24"/>
          <w:szCs w:val="24"/>
        </w:rPr>
        <w:t xml:space="preserve"> </w:t>
      </w:r>
      <w:r w:rsidRPr="00C82EE1">
        <w:rPr>
          <w:rFonts w:ascii="Times New Roman" w:hAnsi="Times New Roman" w:cs="Times New Roman"/>
          <w:w w:val="110"/>
          <w:sz w:val="24"/>
          <w:szCs w:val="24"/>
        </w:rPr>
        <w:t>represents</w:t>
      </w:r>
      <w:r w:rsidRPr="00C82EE1">
        <w:rPr>
          <w:rFonts w:ascii="Times New Roman" w:hAnsi="Times New Roman" w:cs="Times New Roman"/>
          <w:spacing w:val="-15"/>
          <w:w w:val="110"/>
          <w:sz w:val="24"/>
          <w:szCs w:val="24"/>
        </w:rPr>
        <w:t xml:space="preserve"> </w:t>
      </w:r>
      <w:r w:rsidRPr="00C82EE1">
        <w:rPr>
          <w:rFonts w:ascii="Times New Roman" w:hAnsi="Times New Roman" w:cs="Times New Roman"/>
          <w:w w:val="110"/>
          <w:sz w:val="24"/>
          <w:szCs w:val="24"/>
        </w:rPr>
        <w:t>the</w:t>
      </w:r>
      <w:r w:rsidRPr="00C82EE1">
        <w:rPr>
          <w:rFonts w:ascii="Times New Roman" w:hAnsi="Times New Roman" w:cs="Times New Roman"/>
          <w:spacing w:val="-16"/>
          <w:w w:val="110"/>
          <w:sz w:val="24"/>
          <w:szCs w:val="24"/>
        </w:rPr>
        <w:t xml:space="preserve"> </w:t>
      </w:r>
      <w:r w:rsidRPr="00C82EE1">
        <w:rPr>
          <w:rFonts w:ascii="Times New Roman" w:hAnsi="Times New Roman" w:cs="Times New Roman"/>
          <w:w w:val="110"/>
          <w:sz w:val="24"/>
          <w:szCs w:val="24"/>
        </w:rPr>
        <w:t xml:space="preserve">probability </w:t>
      </w:r>
      <w:r w:rsidRPr="00C82EE1">
        <w:rPr>
          <w:rFonts w:ascii="Times New Roman" w:hAnsi="Times New Roman" w:cs="Times New Roman"/>
          <w:w w:val="105"/>
          <w:sz w:val="24"/>
          <w:szCs w:val="24"/>
        </w:rPr>
        <w:t xml:space="preserve">density and </w:t>
      </w:r>
      <m:oMath>
        <m:r>
          <m:rPr>
            <m:sty m:val="p"/>
          </m:rPr>
          <w:rPr>
            <w:rFonts w:ascii="Cambria Math" w:hAnsi="Cambria Math" w:cs="Times New Roman"/>
            <w:w w:val="105"/>
            <w:sz w:val="24"/>
            <w:szCs w:val="24"/>
            <w:lang w:val="fr-BE"/>
          </w:rPr>
          <m:t>Φ</m:t>
        </m:r>
        <m:r>
          <w:rPr>
            <w:rFonts w:ascii="Cambria Math" w:hAnsi="Cambria Math" w:cs="Times New Roman"/>
            <w:w w:val="105"/>
            <w:sz w:val="24"/>
            <w:szCs w:val="24"/>
          </w:rPr>
          <m:t>(.)</m:t>
        </m:r>
      </m:oMath>
      <w:r w:rsidRPr="00C82EE1">
        <w:rPr>
          <w:rFonts w:ascii="Times New Roman" w:hAnsi="Times New Roman" w:cs="Times New Roman"/>
          <w:w w:val="105"/>
          <w:sz w:val="24"/>
          <w:szCs w:val="24"/>
        </w:rPr>
        <w:t xml:space="preserve"> </w:t>
      </w:r>
      <w:r w:rsidR="004F0D31">
        <w:rPr>
          <w:rFonts w:ascii="Times New Roman" w:hAnsi="Times New Roman" w:cs="Times New Roman"/>
          <w:w w:val="105"/>
          <w:sz w:val="24"/>
          <w:szCs w:val="24"/>
        </w:rPr>
        <w:t>denotes</w:t>
      </w:r>
      <w:r w:rsidR="004F0D31" w:rsidRPr="00C82EE1">
        <w:rPr>
          <w:rFonts w:ascii="Times New Roman" w:hAnsi="Times New Roman" w:cs="Times New Roman"/>
          <w:w w:val="105"/>
          <w:sz w:val="24"/>
          <w:szCs w:val="24"/>
        </w:rPr>
        <w:t xml:space="preserve"> </w:t>
      </w:r>
      <w:r w:rsidRPr="00C82EE1">
        <w:rPr>
          <w:rFonts w:ascii="Times New Roman" w:hAnsi="Times New Roman" w:cs="Times New Roman"/>
          <w:w w:val="105"/>
          <w:sz w:val="24"/>
          <w:szCs w:val="24"/>
        </w:rPr>
        <w:t>the cumulative density functions</w:t>
      </w:r>
      <w:r w:rsidR="004F0D31">
        <w:rPr>
          <w:rFonts w:ascii="Times New Roman" w:hAnsi="Times New Roman" w:cs="Times New Roman"/>
          <w:w w:val="105"/>
          <w:sz w:val="24"/>
          <w:szCs w:val="24"/>
        </w:rPr>
        <w:t xml:space="preserve"> (CDF)</w:t>
      </w:r>
      <w:r w:rsidRPr="00C82EE1">
        <w:rPr>
          <w:rFonts w:ascii="Times New Roman" w:hAnsi="Times New Roman" w:cs="Times New Roman"/>
          <w:w w:val="105"/>
          <w:sz w:val="24"/>
          <w:szCs w:val="24"/>
        </w:rPr>
        <w:t xml:space="preserve"> of the standard normal distribution. </w:t>
      </w:r>
      <w:r w:rsidRPr="00C82EE1">
        <w:rPr>
          <w:rFonts w:ascii="Times New Roman" w:hAnsi="Times New Roman" w:cs="Times New Roman"/>
          <w:sz w:val="24"/>
          <w:szCs w:val="24"/>
          <w:shd w:val="clear" w:color="auto" w:fill="FFFFFF"/>
        </w:rPr>
        <w:t xml:space="preserve">We then add </w:t>
      </w:r>
      <m:oMath>
        <m:r>
          <w:rPr>
            <w:rFonts w:ascii="Cambria Math" w:hAnsi="Cambria Math" w:cs="Times New Roman"/>
            <w:sz w:val="24"/>
            <w:szCs w:val="24"/>
            <w:shd w:val="clear" w:color="auto" w:fill="FFFFFF"/>
          </w:rPr>
          <m:t>GENRES</m:t>
        </m:r>
      </m:oMath>
      <w:r w:rsidRPr="00C82EE1">
        <w:rPr>
          <w:rFonts w:ascii="Times New Roman" w:hAnsi="Times New Roman" w:cs="Times New Roman"/>
          <w:sz w:val="24"/>
          <w:szCs w:val="24"/>
          <w:shd w:val="clear" w:color="auto" w:fill="FFFFFF"/>
        </w:rPr>
        <w:t xml:space="preserve"> to our main model as an additional control</w:t>
      </w:r>
      <w:r w:rsidRPr="00C82EE1">
        <w:rPr>
          <w:rFonts w:ascii="Times New Roman" w:hAnsi="Times New Roman" w:cs="Times New Roman"/>
          <w:sz w:val="24"/>
          <w:szCs w:val="24"/>
        </w:rPr>
        <w:t xml:space="preserve"> </w:t>
      </w:r>
      <w:r w:rsidRPr="00C82EE1">
        <w:rPr>
          <w:rFonts w:ascii="Times New Roman" w:hAnsi="Times New Roman" w:cs="Times New Roman"/>
          <w:sz w:val="24"/>
          <w:szCs w:val="24"/>
          <w:shd w:val="clear" w:color="auto" w:fill="FFFFFF"/>
        </w:rPr>
        <w:t>for unobserved endogeneity to re-estimate it.</w:t>
      </w:r>
      <w:r w:rsidR="00ED435F" w:rsidRPr="00C82EE1">
        <w:rPr>
          <w:rFonts w:ascii="Times New Roman" w:hAnsi="Times New Roman" w:cs="Times New Roman"/>
          <w:sz w:val="24"/>
          <w:szCs w:val="24"/>
          <w:shd w:val="clear" w:color="auto" w:fill="FFFFFF"/>
        </w:rPr>
        <w:t xml:space="preserve"> </w:t>
      </w:r>
    </w:p>
    <w:p w14:paraId="10BB4AF1" w14:textId="77777777" w:rsidR="00481D5B" w:rsidRPr="00E223E9" w:rsidRDefault="00481D5B" w:rsidP="00E223E9">
      <w:pPr>
        <w:pStyle w:val="Titre1"/>
      </w:pPr>
      <w:r w:rsidRPr="00E223E9">
        <w:t>Empirical analysis</w:t>
      </w:r>
    </w:p>
    <w:p w14:paraId="7C36C35C" w14:textId="77777777" w:rsidR="00481D5B" w:rsidRPr="00C82EE1" w:rsidRDefault="00481D5B" w:rsidP="00E223E9">
      <w:pPr>
        <w:pStyle w:val="Titre2"/>
      </w:pPr>
      <w:r w:rsidRPr="00C82EE1">
        <w:t>Summary statistics</w:t>
      </w:r>
    </w:p>
    <w:p w14:paraId="5BF18905" w14:textId="04DF4D5A" w:rsidR="00481D5B"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Panel A of Table 2 offers descriptive statistics of the 25 metrics described in the LCA tool </w:t>
      </w:r>
      <w:r w:rsidR="00B83AE7" w:rsidRPr="00C82EE1">
        <w:rPr>
          <w:rFonts w:ascii="Times New Roman" w:hAnsi="Times New Roman" w:cs="Times New Roman"/>
          <w:sz w:val="24"/>
          <w:szCs w:val="24"/>
        </w:rPr>
        <w:t>(Lu, 2012)</w:t>
      </w:r>
      <w:r w:rsidRPr="00C82EE1">
        <w:rPr>
          <w:rFonts w:ascii="Times New Roman" w:hAnsi="Times New Roman" w:cs="Times New Roman"/>
          <w:sz w:val="24"/>
          <w:szCs w:val="24"/>
        </w:rPr>
        <w:t>. We classify them according to the three LC sub</w:t>
      </w:r>
      <w:r w:rsidR="00AF5A16">
        <w:rPr>
          <w:rFonts w:ascii="Times New Roman" w:hAnsi="Times New Roman" w:cs="Times New Roman"/>
          <w:sz w:val="24"/>
          <w:szCs w:val="24"/>
        </w:rPr>
        <w:t>-</w:t>
      </w:r>
      <w:r w:rsidRPr="00C82EE1">
        <w:rPr>
          <w:rFonts w:ascii="Times New Roman" w:hAnsi="Times New Roman" w:cs="Times New Roman"/>
          <w:sz w:val="24"/>
          <w:szCs w:val="24"/>
        </w:rPr>
        <w:t xml:space="preserve">categories: </w:t>
      </w:r>
      <w:r w:rsidR="00750548" w:rsidRPr="003431FD">
        <w:rPr>
          <w:rFonts w:ascii="Times New Roman" w:hAnsi="Times New Roman" w:cs="Times New Roman"/>
          <w:sz w:val="24"/>
          <w:szCs w:val="24"/>
        </w:rPr>
        <w:t>l</w:t>
      </w:r>
      <w:r w:rsidRPr="003431FD">
        <w:rPr>
          <w:rFonts w:ascii="Times New Roman" w:hAnsi="Times New Roman" w:cs="Times New Roman"/>
          <w:sz w:val="24"/>
          <w:szCs w:val="24"/>
        </w:rPr>
        <w:t>exical density</w:t>
      </w:r>
      <w:r w:rsidRPr="00C82EE1">
        <w:rPr>
          <w:rFonts w:ascii="Times New Roman" w:hAnsi="Times New Roman" w:cs="Times New Roman"/>
          <w:sz w:val="24"/>
          <w:szCs w:val="24"/>
        </w:rPr>
        <w:t xml:space="preserve"> (</w:t>
      </w:r>
      <m:oMath>
        <m:r>
          <w:rPr>
            <w:rFonts w:ascii="Cambria Math" w:hAnsi="Cambria Math" w:cs="Times New Roman"/>
            <w:sz w:val="24"/>
            <w:szCs w:val="24"/>
          </w:rPr>
          <m:t>Density)</m:t>
        </m:r>
      </m:oMath>
      <w:r w:rsidRPr="00C82EE1">
        <w:rPr>
          <w:rFonts w:ascii="Times New Roman" w:hAnsi="Times New Roman" w:cs="Times New Roman"/>
          <w:sz w:val="24"/>
          <w:szCs w:val="24"/>
        </w:rPr>
        <w:t>, lexical sophistication (</w:t>
      </w:r>
      <m:oMath>
        <m:r>
          <w:rPr>
            <w:rFonts w:ascii="Cambria Math" w:hAnsi="Cambria Math" w:cs="Times New Roman"/>
            <w:sz w:val="24"/>
            <w:szCs w:val="24"/>
          </w:rPr>
          <m:t>Sophistication)</m:t>
        </m:r>
      </m:oMath>
      <w:r w:rsidRPr="00C82EE1">
        <w:rPr>
          <w:rFonts w:ascii="Times New Roman" w:hAnsi="Times New Roman" w:cs="Times New Roman"/>
          <w:sz w:val="24"/>
          <w:szCs w:val="24"/>
        </w:rPr>
        <w:t>, and</w:t>
      </w:r>
      <w:r w:rsidRPr="00C82EE1">
        <w:rPr>
          <w:rFonts w:ascii="Times New Roman" w:eastAsiaTheme="minorEastAsia" w:hAnsi="Times New Roman" w:cs="Times New Roman"/>
          <w:sz w:val="24"/>
          <w:szCs w:val="24"/>
        </w:rPr>
        <w:t xml:space="preserve"> lexical diversity</w:t>
      </w:r>
      <m:oMath>
        <m:r>
          <w:rPr>
            <w:rFonts w:ascii="Cambria Math" w:hAnsi="Cambria Math" w:cs="Times New Roman"/>
            <w:sz w:val="24"/>
            <w:szCs w:val="24"/>
          </w:rPr>
          <m:t xml:space="preserve"> </m:t>
        </m:r>
      </m:oMath>
      <w:r w:rsidRPr="00C82EE1">
        <w:rPr>
          <w:rFonts w:ascii="Times New Roman" w:eastAsiaTheme="minorEastAsia" w:hAnsi="Times New Roman" w:cs="Times New Roman"/>
          <w:sz w:val="24"/>
          <w:szCs w:val="24"/>
        </w:rPr>
        <w:t>(</w:t>
      </w:r>
      <m:oMath>
        <m:r>
          <w:rPr>
            <w:rFonts w:ascii="Cambria Math" w:hAnsi="Cambria Math" w:cs="Times New Roman"/>
            <w:sz w:val="24"/>
            <w:szCs w:val="24"/>
          </w:rPr>
          <m:t>Diversity)</m:t>
        </m:r>
      </m:oMath>
      <w:r w:rsidRPr="00C82EE1">
        <w:rPr>
          <w:rFonts w:ascii="Times New Roman" w:hAnsi="Times New Roman" w:cs="Times New Roman"/>
          <w:sz w:val="24"/>
          <w:szCs w:val="24"/>
        </w:rPr>
        <w:t>. On average, a white paper contains 56.2% of lexical words</w:t>
      </w:r>
      <w:r w:rsidR="00052C2F">
        <w:rPr>
          <w:rFonts w:ascii="Times New Roman" w:eastAsiaTheme="minorEastAsia" w:hAnsi="Times New Roman" w:cs="Times New Roman"/>
          <w:sz w:val="24"/>
          <w:szCs w:val="24"/>
        </w:rPr>
        <w:t xml:space="preserve"> </w:t>
      </w:r>
      <m:oMath>
        <m:r>
          <w:rPr>
            <w:rFonts w:ascii="Cambria Math" w:hAnsi="Cambria Math" w:cs="Times New Roman"/>
            <w:sz w:val="24"/>
            <w:szCs w:val="24"/>
          </w:rPr>
          <m:t>(ld)</m:t>
        </m:r>
      </m:oMath>
      <w:r w:rsidR="007C1CC0" w:rsidRPr="00C82EE1">
        <w:rPr>
          <w:rFonts w:ascii="Times New Roman" w:hAnsi="Times New Roman" w:cs="Times New Roman"/>
          <w:sz w:val="24"/>
          <w:szCs w:val="24"/>
        </w:rPr>
        <w:t>.</w:t>
      </w:r>
      <w:r w:rsidR="00AE2F5C">
        <w:rPr>
          <w:rStyle w:val="Appelnotedebasdep"/>
          <w:rFonts w:ascii="Times New Roman" w:hAnsi="Times New Roman" w:cs="Times New Roman"/>
          <w:sz w:val="24"/>
          <w:szCs w:val="24"/>
        </w:rPr>
        <w:footnoteReference w:customMarkFollows="1" w:id="9"/>
        <w:t>9</w:t>
      </w:r>
      <w:r w:rsidRPr="00C82EE1">
        <w:rPr>
          <w:rFonts w:ascii="Times New Roman" w:hAnsi="Times New Roman" w:cs="Times New Roman"/>
          <w:sz w:val="24"/>
          <w:szCs w:val="24"/>
        </w:rPr>
        <w:t xml:space="preserve"> We also observe that 40.1% of lexical words in a white paper are on average categorized as sophisticated </w:t>
      </w:r>
      <m:oMath>
        <m:r>
          <w:rPr>
            <w:rFonts w:ascii="Cambria Math" w:hAnsi="Cambria Math" w:cs="Times New Roman"/>
            <w:sz w:val="24"/>
            <w:szCs w:val="24"/>
          </w:rPr>
          <m:t>(ls1)</m:t>
        </m:r>
      </m:oMath>
      <w:r w:rsidRPr="00C82EE1">
        <w:rPr>
          <w:rFonts w:ascii="Times New Roman" w:hAnsi="Times New Roman" w:cs="Times New Roman"/>
          <w:sz w:val="24"/>
          <w:szCs w:val="24"/>
        </w:rPr>
        <w:t xml:space="preserve"> (not belonging to the 2000 most frequent English words </w:t>
      </w:r>
      <w:r w:rsidR="00B83AE7" w:rsidRPr="00C82EE1">
        <w:rPr>
          <w:rFonts w:ascii="Times New Roman" w:hAnsi="Times New Roman" w:cs="Times New Roman"/>
          <w:sz w:val="24"/>
          <w:szCs w:val="24"/>
        </w:rPr>
        <w:t>(BNC Consortium, 2007)</w:t>
      </w:r>
      <w:r w:rsidRPr="00C82EE1">
        <w:rPr>
          <w:rFonts w:ascii="Times New Roman" w:hAnsi="Times New Roman" w:cs="Times New Roman"/>
          <w:sz w:val="24"/>
          <w:szCs w:val="24"/>
        </w:rPr>
        <w:t>), while an average of 43.7% of a white paper total lexical word types</w:t>
      </w:r>
      <w:r w:rsidR="00AE2F5C">
        <w:rPr>
          <w:rFonts w:ascii="Times New Roman" w:hAnsi="Times New Roman" w:cs="Times New Roman"/>
          <w:sz w:val="24"/>
          <w:szCs w:val="24"/>
        </w:rPr>
        <w:t xml:space="preserve"> </w:t>
      </w:r>
      <w:r w:rsidRPr="00C82EE1">
        <w:rPr>
          <w:rFonts w:ascii="Times New Roman" w:hAnsi="Times New Roman" w:cs="Times New Roman"/>
          <w:sz w:val="24"/>
          <w:szCs w:val="24"/>
        </w:rPr>
        <w:t xml:space="preserve">are sophisticated </w:t>
      </w:r>
      <m:oMath>
        <m:r>
          <w:rPr>
            <w:rFonts w:ascii="Cambria Math" w:hAnsi="Cambria Math" w:cs="Times New Roman"/>
            <w:sz w:val="24"/>
            <w:szCs w:val="24"/>
          </w:rPr>
          <m:t>(ls2)</m:t>
        </m:r>
      </m:oMath>
      <w:r w:rsidRPr="00C82EE1">
        <w:rPr>
          <w:rFonts w:ascii="Times New Roman" w:hAnsi="Times New Roman" w:cs="Times New Roman"/>
          <w:sz w:val="24"/>
          <w:szCs w:val="24"/>
        </w:rPr>
        <w:t>.</w:t>
      </w:r>
      <w:r w:rsidR="00AE2F5C">
        <w:rPr>
          <w:rStyle w:val="Appelnotedebasdep"/>
          <w:rFonts w:ascii="Times New Roman" w:hAnsi="Times New Roman" w:cs="Times New Roman"/>
          <w:sz w:val="24"/>
          <w:szCs w:val="24"/>
        </w:rPr>
        <w:footnoteReference w:customMarkFollows="1" w:id="10"/>
        <w:t>10</w:t>
      </w:r>
      <w:r w:rsidRPr="00C82EE1">
        <w:rPr>
          <w:rFonts w:ascii="Times New Roman" w:hAnsi="Times New Roman" w:cs="Times New Roman"/>
          <w:sz w:val="24"/>
          <w:szCs w:val="24"/>
        </w:rPr>
        <w:t xml:space="preserve"> The average white paper contains 15.8% of sophisticated verbs relative to the total number of lexical words </w:t>
      </w:r>
      <m:oMath>
        <m:r>
          <w:rPr>
            <w:rFonts w:ascii="Cambria Math" w:hAnsi="Cambria Math" w:cs="Times New Roman"/>
            <w:sz w:val="24"/>
            <w:szCs w:val="24"/>
          </w:rPr>
          <m:t>(vs1)</m:t>
        </m:r>
      </m:oMath>
      <w:r w:rsidRPr="00C82EE1">
        <w:rPr>
          <w:rFonts w:ascii="Times New Roman" w:hAnsi="Times New Roman" w:cs="Times New Roman"/>
          <w:sz w:val="24"/>
          <w:szCs w:val="24"/>
        </w:rPr>
        <w:t xml:space="preserve"> in a white paper. </w:t>
      </w:r>
    </w:p>
    <w:p w14:paraId="5C227488" w14:textId="7E053ECF" w:rsidR="00481D5B" w:rsidRPr="00C82EE1"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Regarding lexical diversity metrics and the variety of the vocabulary used, we find that the average ICO white paper contains 1,175 words different words </w:t>
      </w:r>
      <m:oMath>
        <m:r>
          <w:rPr>
            <w:rFonts w:ascii="Cambria Math" w:hAnsi="Cambria Math" w:cs="Times New Roman"/>
            <w:sz w:val="24"/>
            <w:szCs w:val="24"/>
          </w:rPr>
          <m:t>(ndw)</m:t>
        </m:r>
      </m:oMath>
      <w:r w:rsidRPr="00C82EE1">
        <w:rPr>
          <w:rFonts w:ascii="Times New Roman" w:hAnsi="Times New Roman" w:cs="Times New Roman"/>
          <w:sz w:val="24"/>
          <w:szCs w:val="24"/>
        </w:rPr>
        <w:t xml:space="preserve">. Our data also shows a relatively low ratio of 19.5% of the number of different words to the total number of words in the white paper </w:t>
      </w:r>
      <m:oMath>
        <m:r>
          <w:rPr>
            <w:rFonts w:ascii="Cambria Math" w:hAnsi="Cambria Math" w:cs="Times New Roman"/>
            <w:sz w:val="24"/>
            <w:szCs w:val="24"/>
          </w:rPr>
          <m:t>(ttr</m:t>
        </m:r>
      </m:oMath>
      <w:r w:rsidRPr="00C82EE1">
        <w:rPr>
          <w:rFonts w:ascii="Times New Roman" w:hAnsi="Times New Roman" w:cs="Times New Roman"/>
          <w:sz w:val="24"/>
          <w:szCs w:val="24"/>
        </w:rPr>
        <w:t xml:space="preserve">). The table also highlights that 42.2% of the verbs used in an ICO white paper are different </w:t>
      </w:r>
      <m:oMath>
        <m:r>
          <w:rPr>
            <w:rFonts w:ascii="Cambria Math" w:hAnsi="Cambria Math" w:cs="Times New Roman"/>
            <w:sz w:val="24"/>
            <w:szCs w:val="24"/>
          </w:rPr>
          <m:t>(vv1)</m:t>
        </m:r>
      </m:oMath>
      <w:r w:rsidRPr="00C82EE1">
        <w:rPr>
          <w:rFonts w:ascii="Times New Roman" w:hAnsi="Times New Roman" w:cs="Times New Roman"/>
          <w:sz w:val="24"/>
          <w:szCs w:val="24"/>
        </w:rPr>
        <w:t xml:space="preserve">, suggesting more variety in the use of verbs than total words in general. We also see a greater diversity of nouns </w:t>
      </w:r>
      <m:oMath>
        <m:r>
          <w:rPr>
            <w:rFonts w:ascii="Cambria Math" w:hAnsi="Cambria Math" w:cs="Times New Roman"/>
            <w:sz w:val="24"/>
            <w:szCs w:val="24"/>
          </w:rPr>
          <m:t>(nv)</m:t>
        </m:r>
      </m:oMath>
      <w:r w:rsidRPr="00C82EE1">
        <w:rPr>
          <w:rFonts w:ascii="Times New Roman" w:hAnsi="Times New Roman" w:cs="Times New Roman"/>
          <w:sz w:val="24"/>
          <w:szCs w:val="24"/>
        </w:rPr>
        <w:t xml:space="preserve"> than adjectives </w:t>
      </w:r>
      <m:oMath>
        <m:r>
          <w:rPr>
            <w:rFonts w:ascii="Cambria Math" w:hAnsi="Cambria Math" w:cs="Times New Roman"/>
            <w:sz w:val="24"/>
            <w:szCs w:val="24"/>
          </w:rPr>
          <m:t>(adjv)</m:t>
        </m:r>
      </m:oMath>
      <w:r w:rsidRPr="00C82EE1">
        <w:rPr>
          <w:rFonts w:ascii="Times New Roman" w:hAnsi="Times New Roman" w:cs="Times New Roman"/>
          <w:sz w:val="24"/>
          <w:szCs w:val="24"/>
        </w:rPr>
        <w:t xml:space="preserve"> and adverbs </w:t>
      </w:r>
      <m:oMath>
        <m:r>
          <w:rPr>
            <w:rFonts w:ascii="Cambria Math" w:hAnsi="Cambria Math" w:cs="Times New Roman"/>
            <w:sz w:val="24"/>
            <w:szCs w:val="24"/>
          </w:rPr>
          <m:t>(advv)</m:t>
        </m:r>
      </m:oMath>
      <w:r w:rsidRPr="00C82EE1">
        <w:rPr>
          <w:rFonts w:ascii="Times New Roman" w:eastAsiaTheme="minorEastAsia" w:hAnsi="Times New Roman" w:cs="Times New Roman"/>
          <w:sz w:val="24"/>
          <w:szCs w:val="24"/>
        </w:rPr>
        <w:t xml:space="preserve"> with a mean of 27.6%, 6.6% and 1.3% respectively</w:t>
      </w:r>
      <w:r w:rsidRPr="00C82EE1">
        <w:rPr>
          <w:rFonts w:ascii="Times New Roman" w:hAnsi="Times New Roman" w:cs="Times New Roman"/>
          <w:sz w:val="24"/>
          <w:szCs w:val="24"/>
        </w:rPr>
        <w:t xml:space="preserve">. </w:t>
      </w:r>
    </w:p>
    <w:p w14:paraId="30DD7EF1" w14:textId="77777777" w:rsidR="00481D5B" w:rsidRPr="00C82EE1"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Panel B of Table 2 provides the descriptive statistics of the variables defined in Section 4.2.2. We observe an average LC level </w:t>
      </w:r>
      <m:oMath>
        <m:r>
          <m:rPr>
            <m:sty m:val="p"/>
          </m:rPr>
          <w:rPr>
            <w:rFonts w:ascii="Cambria Math" w:hAnsi="Cambria Math" w:cs="Times New Roman"/>
            <w:sz w:val="24"/>
            <w:szCs w:val="24"/>
          </w:rPr>
          <m:t>(</m:t>
        </m:r>
        <m:r>
          <w:rPr>
            <w:rFonts w:ascii="Cambria Math" w:hAnsi="Cambria Math" w:cs="Times New Roman"/>
            <w:sz w:val="24"/>
            <w:szCs w:val="24"/>
          </w:rPr>
          <m:t>LC</m:t>
        </m:r>
        <m:r>
          <m:rPr>
            <m:sty m:val="p"/>
          </m:rPr>
          <w:rPr>
            <w:rFonts w:ascii="Cambria Math" w:hAnsi="Cambria Math" w:cs="Times New Roman"/>
            <w:sz w:val="24"/>
            <w:szCs w:val="24"/>
          </w:rPr>
          <m:t xml:space="preserve">) </m:t>
        </m:r>
      </m:oMath>
      <w:r w:rsidRPr="00C82EE1">
        <w:rPr>
          <w:rFonts w:ascii="Times New Roman" w:hAnsi="Times New Roman" w:cs="Times New Roman"/>
          <w:sz w:val="24"/>
          <w:szCs w:val="24"/>
        </w:rPr>
        <w:t xml:space="preserve">of 0.437 and a standard deviation of 2.962 in our </w:t>
      </w:r>
      <w:r w:rsidRPr="00C82EE1">
        <w:rPr>
          <w:rFonts w:ascii="Times New Roman" w:hAnsi="Times New Roman" w:cs="Times New Roman"/>
          <w:sz w:val="24"/>
          <w:szCs w:val="24"/>
        </w:rPr>
        <w:lastRenderedPageBreak/>
        <w:t xml:space="preserve">sample. </w:t>
      </w:r>
      <m:oMath>
        <m:r>
          <w:rPr>
            <w:rFonts w:ascii="Cambria Math" w:hAnsi="Cambria Math" w:cs="Times New Roman"/>
            <w:sz w:val="24"/>
            <w:szCs w:val="24"/>
          </w:rPr>
          <m:t>Density</m:t>
        </m:r>
      </m:oMath>
      <w:r w:rsidRPr="00C82EE1">
        <w:rPr>
          <w:rFonts w:ascii="Times New Roman" w:hAnsi="Times New Roman" w:cs="Times New Roman"/>
          <w:sz w:val="24"/>
          <w:szCs w:val="24"/>
        </w:rPr>
        <w:t xml:space="preserve"> has a mean of 0.038 and a standard deviation of 0.970, which are both lower compared to </w:t>
      </w:r>
      <m:oMath>
        <m:r>
          <w:rPr>
            <w:rFonts w:ascii="Cambria Math" w:hAnsi="Cambria Math" w:cs="Times New Roman"/>
            <w:sz w:val="24"/>
            <w:szCs w:val="24"/>
          </w:rPr>
          <m:t>LC.</m:t>
        </m:r>
      </m:oMath>
      <w:r w:rsidRPr="00C82EE1">
        <w:rPr>
          <w:rFonts w:ascii="Times New Roman" w:hAnsi="Times New Roman" w:cs="Times New Roman"/>
          <w:sz w:val="24"/>
          <w:szCs w:val="24"/>
        </w:rPr>
        <w:t xml:space="preserve"> A similar pattern is observed for </w:t>
      </w:r>
      <m:oMath>
        <m:r>
          <w:rPr>
            <w:rFonts w:ascii="Cambria Math" w:hAnsi="Cambria Math" w:cs="Times New Roman"/>
            <w:sz w:val="24"/>
            <w:szCs w:val="24"/>
          </w:rPr>
          <m:t>Sophistication</m:t>
        </m:r>
      </m:oMath>
      <w:r w:rsidRPr="00C82EE1">
        <w:rPr>
          <w:rFonts w:ascii="Times New Roman" w:hAnsi="Times New Roman" w:cs="Times New Roman"/>
          <w:sz w:val="24"/>
          <w:szCs w:val="24"/>
        </w:rPr>
        <w:t xml:space="preserve">, with a mean of 0.110 and a standard deviation of 1.657. Compared to the two other complexity components, </w:t>
      </w:r>
      <m:oMath>
        <m:r>
          <w:rPr>
            <w:rFonts w:ascii="Cambria Math" w:hAnsi="Cambria Math" w:cs="Times New Roman"/>
            <w:sz w:val="24"/>
            <w:szCs w:val="24"/>
          </w:rPr>
          <m:t>Diversity</m:t>
        </m:r>
      </m:oMath>
      <w:r w:rsidRPr="00C82EE1">
        <w:rPr>
          <w:rFonts w:ascii="Times New Roman" w:hAnsi="Times New Roman" w:cs="Times New Roman"/>
          <w:sz w:val="24"/>
          <w:szCs w:val="24"/>
        </w:rPr>
        <w:t xml:space="preserve"> stands out as the most prominent measure of LC in our sample in terms of both mean (0.396) and standard deviation (2.715).</w:t>
      </w:r>
    </w:p>
    <w:p w14:paraId="244FD017" w14:textId="1AAAE9EC" w:rsidR="00481D5B" w:rsidRPr="00C82EE1"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Panel C of Table 2 presents the summary statistics of </w:t>
      </w:r>
      <w:r w:rsidR="00435237" w:rsidRPr="00C82EE1">
        <w:rPr>
          <w:rFonts w:ascii="Times New Roman" w:hAnsi="Times New Roman" w:cs="Times New Roman"/>
          <w:sz w:val="24"/>
          <w:szCs w:val="24"/>
        </w:rPr>
        <w:t>our main</w:t>
      </w:r>
      <w:r w:rsidRPr="00C82EE1">
        <w:rPr>
          <w:rFonts w:ascii="Times New Roman" w:hAnsi="Times New Roman" w:cs="Times New Roman"/>
          <w:sz w:val="24"/>
          <w:szCs w:val="24"/>
        </w:rPr>
        <w:t xml:space="preserve"> variables. The mean value of the ICO funding </w:t>
      </w:r>
      <m:oMath>
        <m:r>
          <w:rPr>
            <w:rFonts w:ascii="Cambria Math" w:hAnsi="Cambria Math" w:cs="Times New Roman"/>
            <w:sz w:val="24"/>
            <w:szCs w:val="24"/>
          </w:rPr>
          <m:t>(Amount raised)</m:t>
        </m:r>
      </m:oMath>
      <w:r w:rsidRPr="00C82EE1">
        <w:rPr>
          <w:rFonts w:ascii="Times New Roman" w:hAnsi="Times New Roman" w:cs="Times New Roman"/>
          <w:sz w:val="24"/>
          <w:szCs w:val="24"/>
        </w:rPr>
        <w:t xml:space="preserve"> is $8.72mil., which is in line with prior literature </w:t>
      </w:r>
      <w:r w:rsidR="00B83AE7" w:rsidRPr="00C82EE1">
        <w:rPr>
          <w:rFonts w:ascii="Times New Roman" w:hAnsi="Times New Roman" w:cs="Times New Roman"/>
          <w:sz w:val="24"/>
          <w:szCs w:val="24"/>
        </w:rPr>
        <w:t xml:space="preserve">(Mansouri &amp; </w:t>
      </w:r>
      <w:proofErr w:type="spellStart"/>
      <w:r w:rsidR="00B83AE7" w:rsidRPr="00C82EE1">
        <w:rPr>
          <w:rFonts w:ascii="Times New Roman" w:hAnsi="Times New Roman" w:cs="Times New Roman"/>
          <w:sz w:val="24"/>
          <w:szCs w:val="24"/>
        </w:rPr>
        <w:t>Momtaz</w:t>
      </w:r>
      <w:proofErr w:type="spellEnd"/>
      <w:r w:rsidR="00B83AE7" w:rsidRPr="00C82EE1">
        <w:rPr>
          <w:rFonts w:ascii="Times New Roman" w:hAnsi="Times New Roman" w:cs="Times New Roman"/>
          <w:sz w:val="24"/>
          <w:szCs w:val="24"/>
        </w:rPr>
        <w:t xml:space="preserve">, 2022; </w:t>
      </w:r>
      <w:proofErr w:type="spellStart"/>
      <w:r w:rsidR="00B83AE7" w:rsidRPr="00C82EE1">
        <w:rPr>
          <w:rFonts w:ascii="Times New Roman" w:hAnsi="Times New Roman" w:cs="Times New Roman"/>
          <w:sz w:val="24"/>
          <w:szCs w:val="24"/>
        </w:rPr>
        <w:t>Momtaz</w:t>
      </w:r>
      <w:proofErr w:type="spellEnd"/>
      <w:r w:rsidR="00B83AE7" w:rsidRPr="00C82EE1">
        <w:rPr>
          <w:rFonts w:ascii="Times New Roman" w:hAnsi="Times New Roman" w:cs="Times New Roman"/>
          <w:sz w:val="24"/>
          <w:szCs w:val="24"/>
        </w:rPr>
        <w:t>, 2021a)</w:t>
      </w:r>
      <w:r w:rsidRPr="00C82EE1">
        <w:rPr>
          <w:rFonts w:ascii="Times New Roman" w:hAnsi="Times New Roman" w:cs="Times New Roman"/>
          <w:sz w:val="24"/>
          <w:szCs w:val="24"/>
        </w:rPr>
        <w:t xml:space="preserve">. </w:t>
      </w:r>
      <w:bookmarkStart w:id="18" w:name="_Hlk179393100"/>
      <w:r w:rsidRPr="00C82EE1">
        <w:rPr>
          <w:rFonts w:ascii="Times New Roman" w:hAnsi="Times New Roman" w:cs="Times New Roman"/>
          <w:sz w:val="24"/>
          <w:szCs w:val="24"/>
        </w:rPr>
        <w:t xml:space="preserve"> </w:t>
      </w:r>
      <w:bookmarkEnd w:id="18"/>
      <w:r w:rsidRPr="00C82EE1">
        <w:rPr>
          <w:rFonts w:ascii="Times New Roman" w:hAnsi="Times New Roman" w:cs="Times New Roman"/>
          <w:sz w:val="24"/>
          <w:szCs w:val="24"/>
        </w:rPr>
        <w:t xml:space="preserve">Regarding measures of readability, the average Flesch Reading Ease score </w:t>
      </w:r>
      <m:oMath>
        <m:r>
          <w:rPr>
            <w:rFonts w:ascii="Cambria Math" w:hAnsi="Cambria Math" w:cs="Times New Roman"/>
            <w:sz w:val="24"/>
            <w:szCs w:val="24"/>
          </w:rPr>
          <m:t>(Readability_Flesch)</m:t>
        </m:r>
      </m:oMath>
      <w:r w:rsidRPr="00C82EE1">
        <w:rPr>
          <w:rFonts w:ascii="Times New Roman" w:hAnsi="Times New Roman" w:cs="Times New Roman"/>
          <w:sz w:val="24"/>
          <w:szCs w:val="24"/>
        </w:rPr>
        <w:t xml:space="preserve"> is 40.6</w:t>
      </w:r>
      <w:r w:rsidR="007C1CC0">
        <w:rPr>
          <w:rFonts w:ascii="Times New Roman" w:hAnsi="Times New Roman" w:cs="Times New Roman"/>
          <w:sz w:val="24"/>
          <w:szCs w:val="24"/>
        </w:rPr>
        <w:t>52</w:t>
      </w:r>
      <w:r w:rsidRPr="00C82EE1">
        <w:rPr>
          <w:rFonts w:ascii="Times New Roman" w:hAnsi="Times New Roman" w:cs="Times New Roman"/>
          <w:sz w:val="24"/>
          <w:szCs w:val="24"/>
        </w:rPr>
        <w:t xml:space="preserve">, while the average Gunning FOG Index </w:t>
      </w:r>
      <m:oMath>
        <m:d>
          <m:dPr>
            <m:ctrlPr>
              <w:rPr>
                <w:rFonts w:ascii="Cambria Math" w:hAnsi="Cambria Math" w:cs="Times New Roman"/>
                <w:i/>
                <w:sz w:val="24"/>
                <w:szCs w:val="24"/>
              </w:rPr>
            </m:ctrlPr>
          </m:dPr>
          <m:e>
            <m:r>
              <w:rPr>
                <w:rFonts w:ascii="Cambria Math" w:hAnsi="Cambria Math" w:cs="Times New Roman"/>
                <w:sz w:val="24"/>
                <w:szCs w:val="24"/>
              </w:rPr>
              <m:t>Readability_FOG</m:t>
            </m:r>
          </m:e>
        </m:d>
        <m:r>
          <w:rPr>
            <w:rFonts w:ascii="Cambria Math" w:hAnsi="Cambria Math" w:cs="Times New Roman"/>
            <w:sz w:val="24"/>
            <w:szCs w:val="24"/>
          </w:rPr>
          <m:t xml:space="preserve"> </m:t>
        </m:r>
      </m:oMath>
      <w:r w:rsidRPr="00C82EE1">
        <w:rPr>
          <w:rFonts w:ascii="Times New Roman" w:hAnsi="Times New Roman" w:cs="Times New Roman"/>
          <w:sz w:val="24"/>
          <w:szCs w:val="24"/>
        </w:rPr>
        <w:t>is -15.5</w:t>
      </w:r>
      <w:r w:rsidR="007C1CC0">
        <w:rPr>
          <w:rFonts w:ascii="Times New Roman" w:hAnsi="Times New Roman" w:cs="Times New Roman"/>
          <w:sz w:val="24"/>
          <w:szCs w:val="24"/>
        </w:rPr>
        <w:t>16</w:t>
      </w:r>
      <w:r w:rsidRPr="00C82EE1">
        <w:rPr>
          <w:rFonts w:ascii="Times New Roman" w:hAnsi="Times New Roman" w:cs="Times New Roman"/>
          <w:sz w:val="24"/>
          <w:szCs w:val="24"/>
        </w:rPr>
        <w:t xml:space="preserve">,  meaning that white papers are in general difficult to understand and accessible on average by college graduates. The average number of pages in the white paper </w:t>
      </w:r>
      <m:oMath>
        <m:r>
          <w:rPr>
            <w:rFonts w:ascii="Cambria Math" w:hAnsi="Cambria Math" w:cs="Times New Roman"/>
            <w:sz w:val="24"/>
            <w:szCs w:val="24"/>
          </w:rPr>
          <m:t>(Readability_Size)</m:t>
        </m:r>
      </m:oMath>
      <w:r w:rsidRPr="00C82EE1">
        <w:rPr>
          <w:rFonts w:ascii="Times New Roman" w:eastAsiaTheme="minorEastAsia" w:hAnsi="Times New Roman" w:cs="Times New Roman"/>
          <w:sz w:val="24"/>
          <w:szCs w:val="24"/>
        </w:rPr>
        <w:t xml:space="preserve"> </w:t>
      </w:r>
      <w:r w:rsidRPr="00C82EE1">
        <w:rPr>
          <w:rFonts w:ascii="Times New Roman" w:hAnsi="Times New Roman" w:cs="Times New Roman"/>
          <w:sz w:val="24"/>
          <w:szCs w:val="24"/>
        </w:rPr>
        <w:t>is 34.63</w:t>
      </w:r>
      <w:r w:rsidR="007C1CC0">
        <w:rPr>
          <w:rFonts w:ascii="Times New Roman" w:hAnsi="Times New Roman" w:cs="Times New Roman"/>
          <w:sz w:val="24"/>
          <w:szCs w:val="24"/>
        </w:rPr>
        <w:t>1</w:t>
      </w:r>
      <w:r w:rsidRPr="00C82EE1">
        <w:rPr>
          <w:rFonts w:ascii="Times New Roman" w:hAnsi="Times New Roman" w:cs="Times New Roman"/>
          <w:sz w:val="24"/>
          <w:szCs w:val="24"/>
        </w:rPr>
        <w:t xml:space="preserve">. Regarding other textual characteristics, we find an average sentiment score </w:t>
      </w:r>
      <m:oMath>
        <m:r>
          <w:rPr>
            <w:rFonts w:ascii="Cambria Math" w:hAnsi="Cambria Math" w:cs="Times New Roman"/>
            <w:sz w:val="24"/>
            <w:szCs w:val="24"/>
          </w:rPr>
          <m:t>(Sentiment)</m:t>
        </m:r>
      </m:oMath>
      <w:r w:rsidRPr="00C82EE1">
        <w:rPr>
          <w:rFonts w:ascii="Times New Roman" w:hAnsi="Times New Roman" w:cs="Times New Roman"/>
          <w:sz w:val="24"/>
          <w:szCs w:val="24"/>
        </w:rPr>
        <w:t xml:space="preserve"> of 0.002, suggesting neutral sentiment in the white papers in our sample</w:t>
      </w:r>
      <w:r w:rsidR="00CA1401">
        <w:rPr>
          <w:rFonts w:ascii="Times New Roman" w:hAnsi="Times New Roman" w:cs="Times New Roman"/>
          <w:sz w:val="24"/>
          <w:szCs w:val="24"/>
        </w:rPr>
        <w:t>.</w:t>
      </w:r>
    </w:p>
    <w:p w14:paraId="24EED59A" w14:textId="3CB4EA41" w:rsidR="00481D5B" w:rsidRPr="00C82EE1"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We further find an average score of 2.35</w:t>
      </w:r>
      <w:r w:rsidR="007C1CC0">
        <w:rPr>
          <w:rFonts w:ascii="Times New Roman" w:hAnsi="Times New Roman" w:cs="Times New Roman"/>
          <w:sz w:val="24"/>
          <w:szCs w:val="24"/>
        </w:rPr>
        <w:t>4</w:t>
      </w:r>
      <w:r w:rsidRPr="00C82EE1">
        <w:rPr>
          <w:rFonts w:ascii="Times New Roman" w:hAnsi="Times New Roman" w:cs="Times New Roman"/>
          <w:sz w:val="24"/>
          <w:szCs w:val="24"/>
        </w:rPr>
        <w:t xml:space="preserve"> for the institutional strength of the ICO country </w:t>
      </w:r>
      <m:oMath>
        <m:r>
          <w:rPr>
            <w:rFonts w:ascii="Cambria Math" w:hAnsi="Cambria Math" w:cs="Times New Roman"/>
            <w:sz w:val="24"/>
            <w:szCs w:val="24"/>
          </w:rPr>
          <m:t>(Institution)</m:t>
        </m:r>
      </m:oMath>
      <w:r w:rsidRPr="00C82EE1">
        <w:rPr>
          <w:rFonts w:ascii="Times New Roman" w:eastAsiaTheme="minorEastAsia" w:hAnsi="Times New Roman" w:cs="Times New Roman"/>
          <w:sz w:val="24"/>
          <w:szCs w:val="24"/>
        </w:rPr>
        <w:t xml:space="preserve">, which is similar to </w:t>
      </w:r>
      <w:r w:rsidR="00B83AE7" w:rsidRPr="00C82EE1">
        <w:rPr>
          <w:rFonts w:ascii="Times New Roman" w:hAnsi="Times New Roman" w:cs="Times New Roman"/>
          <w:sz w:val="24"/>
          <w:szCs w:val="24"/>
        </w:rPr>
        <w:t>Shrestha et al. (2021)</w:t>
      </w:r>
      <w:r w:rsidRPr="00C82EE1">
        <w:rPr>
          <w:rFonts w:ascii="Times New Roman" w:eastAsiaTheme="minorEastAsia" w:hAnsi="Times New Roman" w:cs="Times New Roman"/>
          <w:sz w:val="24"/>
          <w:szCs w:val="24"/>
        </w:rPr>
        <w:t xml:space="preserve">. </w:t>
      </w:r>
      <w:r w:rsidRPr="00C82EE1">
        <w:rPr>
          <w:rFonts w:ascii="Times New Roman" w:hAnsi="Times New Roman" w:cs="Times New Roman"/>
          <w:sz w:val="24"/>
          <w:szCs w:val="24"/>
        </w:rPr>
        <w:t xml:space="preserve">From project-specific attributes, we find that 45.3% of ICOs in our sample restrict investors from the US </w:t>
      </w:r>
      <m:oMath>
        <m:r>
          <w:rPr>
            <w:rFonts w:ascii="Cambria Math" w:hAnsi="Cambria Math" w:cs="Times New Roman"/>
            <w:sz w:val="24"/>
            <w:szCs w:val="24"/>
          </w:rPr>
          <m:t>(US restrict)</m:t>
        </m:r>
      </m:oMath>
      <w:r w:rsidRPr="00C82EE1">
        <w:rPr>
          <w:rFonts w:ascii="Times New Roman" w:hAnsi="Times New Roman" w:cs="Times New Roman"/>
          <w:sz w:val="24"/>
          <w:szCs w:val="24"/>
        </w:rPr>
        <w:t xml:space="preserve">. Additionally, 88.8% of ICOs include an introductory video </w:t>
      </w:r>
      <m:oMath>
        <m:r>
          <w:rPr>
            <w:rFonts w:ascii="Cambria Math" w:hAnsi="Cambria Math" w:cs="Times New Roman"/>
            <w:sz w:val="24"/>
            <w:szCs w:val="24"/>
          </w:rPr>
          <m:t>(Video)</m:t>
        </m:r>
      </m:oMath>
      <w:r w:rsidRPr="00C82EE1">
        <w:rPr>
          <w:rFonts w:ascii="Times New Roman" w:hAnsi="Times New Roman" w:cs="Times New Roman"/>
          <w:sz w:val="24"/>
          <w:szCs w:val="24"/>
        </w:rPr>
        <w:t>, and each project reaches, on average, 6.8</w:t>
      </w:r>
      <w:r w:rsidR="007C1CC0">
        <w:rPr>
          <w:rFonts w:ascii="Times New Roman" w:hAnsi="Times New Roman" w:cs="Times New Roman"/>
          <w:sz w:val="24"/>
          <w:szCs w:val="24"/>
        </w:rPr>
        <w:t>88</w:t>
      </w:r>
      <w:r w:rsidRPr="00C82EE1">
        <w:rPr>
          <w:rFonts w:ascii="Times New Roman" w:hAnsi="Times New Roman" w:cs="Times New Roman"/>
          <w:sz w:val="24"/>
          <w:szCs w:val="24"/>
        </w:rPr>
        <w:t xml:space="preserve"> social media pages </w:t>
      </w:r>
      <m:oMath>
        <m:r>
          <w:rPr>
            <w:rFonts w:ascii="Cambria Math" w:hAnsi="Cambria Math" w:cs="Times New Roman"/>
            <w:sz w:val="24"/>
            <w:szCs w:val="24"/>
          </w:rPr>
          <m:t>(Social media)</m:t>
        </m:r>
      </m:oMath>
      <w:r w:rsidRPr="00C82EE1">
        <w:rPr>
          <w:rFonts w:ascii="Times New Roman" w:hAnsi="Times New Roman" w:cs="Times New Roman"/>
          <w:sz w:val="24"/>
          <w:szCs w:val="24"/>
        </w:rPr>
        <w:t xml:space="preserve">, as well as 88.7% of the projects are issued on the Ethereum blockchain </w:t>
      </w:r>
      <m:oMath>
        <m:r>
          <w:rPr>
            <w:rFonts w:ascii="Cambria Math" w:hAnsi="Cambria Math" w:cs="Times New Roman"/>
            <w:sz w:val="24"/>
            <w:szCs w:val="24"/>
          </w:rPr>
          <m:t>(Eth)</m:t>
        </m:r>
      </m:oMath>
      <w:r w:rsidRPr="00C82EE1">
        <w:rPr>
          <w:rFonts w:ascii="Times New Roman" w:hAnsi="Times New Roman" w:cs="Times New Roman"/>
          <w:sz w:val="24"/>
          <w:szCs w:val="24"/>
        </w:rPr>
        <w:t xml:space="preserve">. </w:t>
      </w:r>
    </w:p>
    <w:p w14:paraId="3BFA9C5F" w14:textId="5DC35842" w:rsidR="007C1CC0"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Regarding token distribution, a significant proportion of ICOs, 97.1%, provides details on the number of tokens to be distributed </w:t>
      </w:r>
      <m:oMath>
        <m:r>
          <w:rPr>
            <w:rFonts w:ascii="Cambria Math" w:hAnsi="Cambria Math" w:cs="Times New Roman"/>
            <w:sz w:val="24"/>
            <w:szCs w:val="24"/>
          </w:rPr>
          <m:t>(Token distribution)</m:t>
        </m:r>
      </m:oMath>
      <w:r w:rsidRPr="00C82EE1">
        <w:rPr>
          <w:rFonts w:ascii="Times New Roman" w:hAnsi="Times New Roman" w:cs="Times New Roman"/>
          <w:sz w:val="24"/>
          <w:szCs w:val="24"/>
        </w:rPr>
        <w:t xml:space="preserve">. Furthermore, we find that 52.2% of ICOs require a minimum investment amount </w:t>
      </w:r>
      <m:oMath>
        <m:r>
          <w:rPr>
            <w:rFonts w:ascii="Cambria Math" w:hAnsi="Cambria Math" w:cs="Times New Roman"/>
            <w:sz w:val="24"/>
            <w:szCs w:val="24"/>
          </w:rPr>
          <m:t>(Minimum investment)</m:t>
        </m:r>
      </m:oMath>
      <w:r w:rsidRPr="00C82EE1">
        <w:rPr>
          <w:rFonts w:ascii="Times New Roman" w:hAnsi="Times New Roman" w:cs="Times New Roman"/>
          <w:sz w:val="24"/>
          <w:szCs w:val="24"/>
        </w:rPr>
        <w:t xml:space="preserve">. Finally, 92.3% and 82.9% of ICOs specify a hardcap and softcap amount, respectively </w:t>
      </w:r>
      <m:oMath>
        <m:r>
          <w:rPr>
            <w:rFonts w:ascii="Cambria Math" w:hAnsi="Cambria Math" w:cs="Times New Roman"/>
            <w:sz w:val="24"/>
            <w:szCs w:val="24"/>
          </w:rPr>
          <m:t xml:space="preserve">(Hardcap/Softcap), </m:t>
        </m:r>
      </m:oMath>
      <w:r w:rsidRPr="00C82EE1">
        <w:rPr>
          <w:rFonts w:ascii="Times New Roman" w:hAnsi="Times New Roman" w:cs="Times New Roman"/>
          <w:sz w:val="24"/>
          <w:szCs w:val="24"/>
        </w:rPr>
        <w:t xml:space="preserve">72.1% publicize a bonus </w:t>
      </w:r>
      <m:oMath>
        <m:r>
          <w:rPr>
            <w:rFonts w:ascii="Cambria Math" w:hAnsi="Cambria Math" w:cs="Times New Roman"/>
            <w:sz w:val="24"/>
            <w:szCs w:val="24"/>
          </w:rPr>
          <m:t>(Bonus)</m:t>
        </m:r>
      </m:oMath>
      <w:r w:rsidRPr="00C82EE1">
        <w:rPr>
          <w:rFonts w:ascii="Times New Roman" w:hAnsi="Times New Roman" w:cs="Times New Roman"/>
          <w:sz w:val="24"/>
          <w:szCs w:val="24"/>
        </w:rPr>
        <w:t xml:space="preserve">, and the average value of the ICO price on the issuance date is $7,678 </w:t>
      </w:r>
      <m:oMath>
        <m:r>
          <w:rPr>
            <w:rFonts w:ascii="Cambria Math" w:hAnsi="Cambria Math" w:cs="Times New Roman"/>
            <w:sz w:val="24"/>
            <w:szCs w:val="24"/>
          </w:rPr>
          <m:t>(PriceBit)</m:t>
        </m:r>
      </m:oMath>
      <w:r w:rsidRPr="00C82EE1">
        <w:rPr>
          <w:rFonts w:ascii="Times New Roman" w:hAnsi="Times New Roman" w:cs="Times New Roman"/>
          <w:sz w:val="24"/>
          <w:szCs w:val="24"/>
        </w:rPr>
        <w:t xml:space="preserve"> (in absolute value).</w:t>
      </w:r>
      <w:r w:rsidR="00234730">
        <w:rPr>
          <w:rStyle w:val="Appelnotedebasdep"/>
          <w:rFonts w:ascii="Times New Roman" w:hAnsi="Times New Roman" w:cs="Times New Roman"/>
          <w:sz w:val="24"/>
          <w:szCs w:val="24"/>
        </w:rPr>
        <w:footnoteReference w:customMarkFollows="1" w:id="11"/>
        <w:t>1</w:t>
      </w:r>
      <w:r w:rsidR="00AE2F5C">
        <w:rPr>
          <w:rStyle w:val="Appelnotedebasdep"/>
          <w:rFonts w:ascii="Times New Roman" w:hAnsi="Times New Roman" w:cs="Times New Roman"/>
          <w:sz w:val="24"/>
          <w:szCs w:val="24"/>
        </w:rPr>
        <w:t>1</w:t>
      </w:r>
    </w:p>
    <w:p w14:paraId="7B76193C" w14:textId="7495D261" w:rsidR="007C1CC0" w:rsidRDefault="007C1CC0" w:rsidP="009C6E52">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2 here.]</w:t>
      </w:r>
    </w:p>
    <w:p w14:paraId="79854737" w14:textId="41A7D708" w:rsidR="00481D5B" w:rsidRPr="00C82EE1" w:rsidRDefault="00481D5B" w:rsidP="00B849B4">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Table 3 displays the Pearson correlations between ICO success, LC and the readability scores. We find a significantly positive correlation of 0.166 between </w:t>
      </w:r>
      <m:oMath>
        <m:r>
          <w:rPr>
            <w:rFonts w:ascii="Cambria Math" w:hAnsi="Cambria Math" w:cs="Times New Roman"/>
            <w:sz w:val="24"/>
            <w:szCs w:val="24"/>
          </w:rPr>
          <m:t>LC</m:t>
        </m:r>
      </m:oMath>
      <w:r w:rsidRPr="00C82EE1">
        <w:rPr>
          <w:rFonts w:ascii="Times New Roman" w:eastAsiaTheme="minorEastAsia" w:hAnsi="Times New Roman" w:cs="Times New Roman"/>
          <w:sz w:val="24"/>
          <w:szCs w:val="24"/>
        </w:rPr>
        <w:t xml:space="preserve"> </w:t>
      </w:r>
      <w:r w:rsidRPr="00C82EE1">
        <w:rPr>
          <w:rFonts w:ascii="Times New Roman" w:hAnsi="Times New Roman" w:cs="Times New Roman"/>
          <w:sz w:val="24"/>
          <w:szCs w:val="24"/>
        </w:rPr>
        <w:t xml:space="preserve">and the </w:t>
      </w:r>
      <m:oMath>
        <m:r>
          <w:rPr>
            <w:rFonts w:ascii="Cambria Math" w:hAnsi="Cambria Math" w:cs="Times New Roman"/>
            <w:sz w:val="24"/>
            <w:szCs w:val="24"/>
          </w:rPr>
          <w:lastRenderedPageBreak/>
          <m:t>Amount raised</m:t>
        </m:r>
      </m:oMath>
      <w:r w:rsidRPr="00C82EE1">
        <w:rPr>
          <w:rFonts w:ascii="Times New Roman" w:hAnsi="Times New Roman" w:cs="Times New Roman"/>
          <w:sz w:val="24"/>
          <w:szCs w:val="24"/>
        </w:rPr>
        <w:t xml:space="preserve">, </w:t>
      </w:r>
      <w:r w:rsidR="00DB2699">
        <w:rPr>
          <w:rFonts w:ascii="Times New Roman" w:hAnsi="Times New Roman" w:cs="Times New Roman"/>
          <w:sz w:val="24"/>
          <w:szCs w:val="24"/>
        </w:rPr>
        <w:t>which is</w:t>
      </w:r>
      <w:r w:rsidR="00DB2699" w:rsidRPr="00C82EE1">
        <w:rPr>
          <w:rFonts w:ascii="Times New Roman" w:hAnsi="Times New Roman" w:cs="Times New Roman"/>
          <w:sz w:val="24"/>
          <w:szCs w:val="24"/>
        </w:rPr>
        <w:t xml:space="preserve"> </w:t>
      </w:r>
      <w:r w:rsidRPr="00C82EE1">
        <w:rPr>
          <w:rFonts w:ascii="Times New Roman" w:hAnsi="Times New Roman" w:cs="Times New Roman"/>
          <w:sz w:val="24"/>
          <w:szCs w:val="24"/>
        </w:rPr>
        <w:t>statistical</w:t>
      </w:r>
      <w:r w:rsidR="00DB2699">
        <w:rPr>
          <w:rFonts w:ascii="Times New Roman" w:hAnsi="Times New Roman" w:cs="Times New Roman"/>
          <w:sz w:val="24"/>
          <w:szCs w:val="24"/>
        </w:rPr>
        <w:t>ly</w:t>
      </w:r>
      <w:r w:rsidRPr="00C82EE1">
        <w:rPr>
          <w:rFonts w:ascii="Times New Roman" w:hAnsi="Times New Roman" w:cs="Times New Roman"/>
          <w:sz w:val="24"/>
          <w:szCs w:val="24"/>
        </w:rPr>
        <w:t xml:space="preserve"> </w:t>
      </w:r>
      <w:r w:rsidR="00DB2699">
        <w:rPr>
          <w:rFonts w:ascii="Times New Roman" w:hAnsi="Times New Roman" w:cs="Times New Roman"/>
          <w:sz w:val="24"/>
          <w:szCs w:val="24"/>
        </w:rPr>
        <w:t>significant</w:t>
      </w:r>
      <w:r w:rsidR="00DB2699" w:rsidRPr="00C82EE1">
        <w:rPr>
          <w:rFonts w:ascii="Times New Roman" w:hAnsi="Times New Roman" w:cs="Times New Roman"/>
          <w:sz w:val="24"/>
          <w:szCs w:val="24"/>
        </w:rPr>
        <w:t xml:space="preserve"> </w:t>
      </w:r>
      <w:r w:rsidR="00DB2699">
        <w:rPr>
          <w:rFonts w:ascii="Times New Roman" w:hAnsi="Times New Roman" w:cs="Times New Roman"/>
          <w:sz w:val="24"/>
          <w:szCs w:val="24"/>
        </w:rPr>
        <w:t>at the</w:t>
      </w:r>
      <w:r w:rsidRPr="00C82EE1">
        <w:rPr>
          <w:rFonts w:ascii="Times New Roman" w:hAnsi="Times New Roman" w:cs="Times New Roman"/>
          <w:sz w:val="24"/>
          <w:szCs w:val="24"/>
        </w:rPr>
        <w:t xml:space="preserve"> </w:t>
      </w:r>
      <w:r w:rsidR="00DB2699">
        <w:rPr>
          <w:rFonts w:ascii="Times New Roman" w:hAnsi="Times New Roman" w:cs="Times New Roman"/>
          <w:sz w:val="24"/>
          <w:szCs w:val="24"/>
        </w:rPr>
        <w:t>1</w:t>
      </w:r>
      <w:r w:rsidRPr="00C82EE1">
        <w:rPr>
          <w:rFonts w:ascii="Times New Roman" w:hAnsi="Times New Roman" w:cs="Times New Roman"/>
          <w:sz w:val="24"/>
          <w:szCs w:val="24"/>
        </w:rPr>
        <w:t xml:space="preserve">%. The relationship between ICO funding and </w:t>
      </w:r>
      <m:oMath>
        <m:r>
          <w:rPr>
            <w:rFonts w:ascii="Cambria Math" w:hAnsi="Cambria Math" w:cs="Times New Roman"/>
            <w:sz w:val="24"/>
            <w:szCs w:val="24"/>
          </w:rPr>
          <m:t>Density</m:t>
        </m:r>
      </m:oMath>
      <w:r w:rsidRPr="00C82EE1">
        <w:rPr>
          <w:rFonts w:ascii="Times New Roman" w:hAnsi="Times New Roman" w:cs="Times New Roman"/>
          <w:sz w:val="24"/>
          <w:szCs w:val="24"/>
        </w:rPr>
        <w:t xml:space="preserve">, </w:t>
      </w:r>
      <m:oMath>
        <m:r>
          <w:rPr>
            <w:rFonts w:ascii="Cambria Math" w:hAnsi="Cambria Math" w:cs="Times New Roman"/>
            <w:sz w:val="24"/>
            <w:szCs w:val="24"/>
          </w:rPr>
          <m:t>Sophistication</m:t>
        </m:r>
      </m:oMath>
      <w:r w:rsidRPr="00C82EE1">
        <w:rPr>
          <w:rFonts w:ascii="Times New Roman" w:hAnsi="Times New Roman" w:cs="Times New Roman"/>
          <w:sz w:val="24"/>
          <w:szCs w:val="24"/>
        </w:rPr>
        <w:t xml:space="preserve">, and </w:t>
      </w:r>
      <m:oMath>
        <m:r>
          <w:rPr>
            <w:rFonts w:ascii="Cambria Math" w:hAnsi="Cambria Math" w:cs="Times New Roman"/>
            <w:sz w:val="24"/>
            <w:szCs w:val="24"/>
          </w:rPr>
          <m:t>Diversity</m:t>
        </m:r>
      </m:oMath>
      <w:r w:rsidRPr="00C82EE1">
        <w:rPr>
          <w:rFonts w:ascii="Times New Roman" w:hAnsi="Times New Roman" w:cs="Times New Roman"/>
          <w:sz w:val="24"/>
          <w:szCs w:val="24"/>
        </w:rPr>
        <w:t xml:space="preserve"> is similar in terms of direction and significance. We also observe a positive correlation between the ICO white paper readability score and the ICO funding. In particular, the correlation between the </w:t>
      </w:r>
      <m:oMath>
        <m:r>
          <w:rPr>
            <w:rFonts w:ascii="Cambria Math" w:hAnsi="Cambria Math" w:cs="Times New Roman"/>
            <w:sz w:val="24"/>
            <w:szCs w:val="24"/>
          </w:rPr>
          <m:t>Readability_Flesch</m:t>
        </m:r>
      </m:oMath>
      <w:r w:rsidRPr="00C82EE1">
        <w:rPr>
          <w:rFonts w:ascii="Times New Roman" w:hAnsi="Times New Roman" w:cs="Times New Roman"/>
          <w:sz w:val="24"/>
          <w:szCs w:val="24"/>
        </w:rPr>
        <w:t xml:space="preserve"> va</w:t>
      </w:r>
      <w:proofErr w:type="spellStart"/>
      <w:r w:rsidRPr="00C82EE1">
        <w:rPr>
          <w:rFonts w:ascii="Times New Roman" w:hAnsi="Times New Roman" w:cs="Times New Roman"/>
          <w:sz w:val="24"/>
          <w:szCs w:val="24"/>
        </w:rPr>
        <w:t>riable</w:t>
      </w:r>
      <w:proofErr w:type="spellEnd"/>
      <w:r w:rsidRPr="00C82EE1">
        <w:rPr>
          <w:rFonts w:ascii="Times New Roman" w:hAnsi="Times New Roman" w:cs="Times New Roman"/>
          <w:sz w:val="24"/>
          <w:szCs w:val="24"/>
        </w:rPr>
        <w:t xml:space="preserve"> and </w:t>
      </w:r>
      <m:oMath>
        <m:r>
          <w:rPr>
            <w:rFonts w:ascii="Cambria Math" w:hAnsi="Cambria Math" w:cs="Times New Roman"/>
            <w:sz w:val="24"/>
            <w:szCs w:val="24"/>
          </w:rPr>
          <m:t>Amount raised</m:t>
        </m:r>
      </m:oMath>
      <w:r w:rsidRPr="00C82EE1">
        <w:rPr>
          <w:rFonts w:ascii="Times New Roman" w:eastAsiaTheme="minorEastAsia" w:hAnsi="Times New Roman" w:cs="Times New Roman"/>
          <w:sz w:val="24"/>
          <w:szCs w:val="24"/>
        </w:rPr>
        <w:t xml:space="preserve"> is equal to 1.9%, which is statistically significant at </w:t>
      </w:r>
      <w:r w:rsidR="00DB2699">
        <w:rPr>
          <w:rFonts w:ascii="Times New Roman" w:eastAsiaTheme="minorEastAsia" w:hAnsi="Times New Roman" w:cs="Times New Roman"/>
          <w:sz w:val="24"/>
          <w:szCs w:val="24"/>
        </w:rPr>
        <w:t>the 10</w:t>
      </w:r>
      <w:r w:rsidRPr="00C82EE1">
        <w:rPr>
          <w:rFonts w:ascii="Times New Roman" w:eastAsiaTheme="minorEastAsia" w:hAnsi="Times New Roman" w:cs="Times New Roman"/>
          <w:sz w:val="24"/>
          <w:szCs w:val="24"/>
        </w:rPr>
        <w:t>% level.</w:t>
      </w:r>
      <w:r w:rsidR="00AE2F5C">
        <w:rPr>
          <w:rStyle w:val="Appelnotedebasdep"/>
        </w:rPr>
        <w:footnoteReference w:customMarkFollows="1" w:id="12"/>
        <w:t>12</w:t>
      </w:r>
      <w:r w:rsidR="000F08D6">
        <w:t xml:space="preserve"> </w:t>
      </w:r>
      <w:r w:rsidRPr="00C82EE1">
        <w:rPr>
          <w:rFonts w:ascii="Times New Roman" w:eastAsiaTheme="minorEastAsia" w:hAnsi="Times New Roman" w:cs="Times New Roman"/>
          <w:sz w:val="24"/>
          <w:szCs w:val="24"/>
        </w:rPr>
        <w:t xml:space="preserve">Overall, </w:t>
      </w:r>
      <w:r w:rsidRPr="00C82EE1">
        <w:rPr>
          <w:rFonts w:ascii="Times New Roman" w:hAnsi="Times New Roman" w:cs="Times New Roman"/>
          <w:sz w:val="24"/>
          <w:szCs w:val="24"/>
        </w:rPr>
        <w:t>these results provide initial evidence supporting Hypothesis 1A that the level of LC increases the funding outcome during the ICO.</w:t>
      </w:r>
      <w:r w:rsidR="00AE2F5C">
        <w:rPr>
          <w:rStyle w:val="Appelnotedebasdep"/>
          <w:rFonts w:ascii="Times New Roman" w:hAnsi="Times New Roman" w:cs="Times New Roman"/>
          <w:sz w:val="24"/>
          <w:szCs w:val="24"/>
        </w:rPr>
        <w:footnoteReference w:customMarkFollows="1" w:id="13"/>
        <w:t>13</w:t>
      </w:r>
    </w:p>
    <w:p w14:paraId="69E708EA" w14:textId="5D092777" w:rsidR="00481D5B" w:rsidRPr="00C82EE1" w:rsidRDefault="00481D5B" w:rsidP="009C6E52">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3 here.]</w:t>
      </w:r>
    </w:p>
    <w:p w14:paraId="5F4DF16A" w14:textId="77777777" w:rsidR="00481D5B" w:rsidRPr="00C82EE1" w:rsidRDefault="00481D5B" w:rsidP="00E223E9">
      <w:pPr>
        <w:pStyle w:val="Titre2"/>
      </w:pPr>
      <w:r w:rsidRPr="00C82EE1">
        <w:t>The impact of LC on the amount raised during the ICO</w:t>
      </w:r>
    </w:p>
    <w:p w14:paraId="4C336BBD" w14:textId="558853E3" w:rsidR="00481D5B" w:rsidRPr="00C82EE1" w:rsidRDefault="00481D5B" w:rsidP="003E0220">
      <w:pPr>
        <w:spacing w:after="120" w:line="360" w:lineRule="auto"/>
        <w:jc w:val="both"/>
        <w:rPr>
          <w:rFonts w:ascii="Times New Roman" w:eastAsiaTheme="minorEastAsia" w:hAnsi="Times New Roman" w:cs="Times New Roman"/>
          <w:sz w:val="24"/>
          <w:szCs w:val="24"/>
        </w:rPr>
      </w:pPr>
      <w:r w:rsidRPr="00C82EE1">
        <w:rPr>
          <w:rFonts w:ascii="Times New Roman" w:hAnsi="Times New Roman" w:cs="Times New Roman"/>
          <w:sz w:val="24"/>
          <w:szCs w:val="24"/>
        </w:rPr>
        <w:t>Hypothesis 1 test</w:t>
      </w:r>
      <w:r w:rsidR="00E0660E" w:rsidRPr="00C82EE1">
        <w:rPr>
          <w:rFonts w:ascii="Times New Roman" w:hAnsi="Times New Roman" w:cs="Times New Roman"/>
          <w:sz w:val="24"/>
          <w:szCs w:val="24"/>
        </w:rPr>
        <w:t>s</w:t>
      </w:r>
      <w:r w:rsidRPr="00C82EE1">
        <w:rPr>
          <w:rFonts w:ascii="Times New Roman" w:hAnsi="Times New Roman" w:cs="Times New Roman"/>
          <w:sz w:val="24"/>
          <w:szCs w:val="24"/>
        </w:rPr>
        <w:t xml:space="preserve"> whether LC leads to a higher ICO funding. Table 4 introduces our main results regarding the impact of LC on the amount raised. We first test the impact of LC on the amount raised without the text readability score. Model (1) presents the regression results. We find a positive impact of LC of 0.137 (</w:t>
      </w:r>
      <w:r w:rsidR="00DB2699">
        <w:rPr>
          <w:rFonts w:ascii="Times New Roman" w:hAnsi="Times New Roman" w:cs="Times New Roman"/>
          <w:sz w:val="24"/>
          <w:szCs w:val="24"/>
        </w:rPr>
        <w:t>statistically significant</w:t>
      </w:r>
      <w:r w:rsidR="00DB2699" w:rsidRPr="00C82EE1">
        <w:rPr>
          <w:rFonts w:ascii="Times New Roman" w:hAnsi="Times New Roman" w:cs="Times New Roman"/>
          <w:sz w:val="24"/>
          <w:szCs w:val="24"/>
        </w:rPr>
        <w:t xml:space="preserve"> </w:t>
      </w:r>
      <w:r w:rsidRPr="00C82EE1">
        <w:rPr>
          <w:rFonts w:ascii="Times New Roman" w:hAnsi="Times New Roman" w:cs="Times New Roman"/>
          <w:sz w:val="24"/>
          <w:szCs w:val="24"/>
        </w:rPr>
        <w:t xml:space="preserve">at </w:t>
      </w:r>
      <w:r w:rsidR="00DB2699">
        <w:rPr>
          <w:rFonts w:ascii="Times New Roman" w:hAnsi="Times New Roman" w:cs="Times New Roman"/>
          <w:sz w:val="24"/>
          <w:szCs w:val="24"/>
        </w:rPr>
        <w:t>the</w:t>
      </w:r>
      <w:r w:rsidRPr="00C82EE1">
        <w:rPr>
          <w:rFonts w:ascii="Times New Roman" w:hAnsi="Times New Roman" w:cs="Times New Roman"/>
          <w:sz w:val="24"/>
          <w:szCs w:val="24"/>
        </w:rPr>
        <w:t xml:space="preserve"> </w:t>
      </w:r>
      <w:r w:rsidR="00DB2699">
        <w:rPr>
          <w:rFonts w:ascii="Times New Roman" w:hAnsi="Times New Roman" w:cs="Times New Roman"/>
          <w:sz w:val="24"/>
          <w:szCs w:val="24"/>
        </w:rPr>
        <w:t>1%</w:t>
      </w:r>
      <w:r w:rsidRPr="00C82EE1">
        <w:rPr>
          <w:rFonts w:ascii="Times New Roman" w:hAnsi="Times New Roman" w:cs="Times New Roman"/>
          <w:sz w:val="24"/>
          <w:szCs w:val="24"/>
        </w:rPr>
        <w:t xml:space="preserve"> level), indicating that the level of LC disclosed in the white paper increases the funding outcome during the ICO. In Model (2) of Table 4, we then test whether the relationship sustains </w:t>
      </w:r>
      <w:r w:rsidRPr="00D0413A">
        <w:rPr>
          <w:rFonts w:ascii="Times New Roman" w:hAnsi="Times New Roman" w:cs="Times New Roman"/>
          <w:sz w:val="24"/>
          <w:szCs w:val="24"/>
        </w:rPr>
        <w:t>if we include</w:t>
      </w:r>
      <w:r w:rsidRPr="00C82EE1">
        <w:rPr>
          <w:rFonts w:ascii="Times New Roman" w:hAnsi="Times New Roman" w:cs="Times New Roman"/>
          <w:sz w:val="24"/>
          <w:szCs w:val="24"/>
        </w:rPr>
        <w:t xml:space="preserve"> the ICO white paper readability to control for the white paper readability effect </w:t>
      </w:r>
      <w:r w:rsidRPr="00C82EE1">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Readability_Flesch</m:t>
        </m:r>
      </m:oMath>
      <w:r w:rsidRPr="00C82EE1">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Readability_Flesch.square)</m:t>
        </m:r>
      </m:oMath>
      <w:r w:rsidRPr="00C82EE1">
        <w:rPr>
          <w:rFonts w:ascii="Times New Roman" w:eastAsiaTheme="minorEastAsia" w:hAnsi="Times New Roman" w:cs="Times New Roman"/>
          <w:sz w:val="24"/>
          <w:szCs w:val="24"/>
        </w:rPr>
        <w:t xml:space="preserve">. We find </w:t>
      </w:r>
      <w:r w:rsidR="00435237" w:rsidRPr="00C82EE1">
        <w:rPr>
          <w:rFonts w:ascii="Times New Roman" w:eastAsiaTheme="minorEastAsia" w:hAnsi="Times New Roman" w:cs="Times New Roman"/>
          <w:sz w:val="24"/>
          <w:szCs w:val="24"/>
        </w:rPr>
        <w:t xml:space="preserve">a similar </w:t>
      </w:r>
      <w:r w:rsidRPr="00C82EE1">
        <w:rPr>
          <w:rFonts w:ascii="Times New Roman" w:eastAsiaTheme="minorEastAsia" w:hAnsi="Times New Roman" w:cs="Times New Roman"/>
          <w:sz w:val="24"/>
          <w:szCs w:val="24"/>
        </w:rPr>
        <w:t xml:space="preserve">relationship in terms of direction and significance, suggesting that </w:t>
      </w:r>
      <w:r w:rsidR="00435237" w:rsidRPr="00C82EE1">
        <w:rPr>
          <w:rFonts w:ascii="Times New Roman" w:eastAsiaTheme="minorEastAsia" w:hAnsi="Times New Roman" w:cs="Times New Roman"/>
          <w:sz w:val="24"/>
          <w:szCs w:val="24"/>
        </w:rPr>
        <w:t>the impact</w:t>
      </w:r>
      <w:r w:rsidRPr="00C82EE1">
        <w:rPr>
          <w:rFonts w:ascii="Times New Roman" w:eastAsiaTheme="minorEastAsia" w:hAnsi="Times New Roman" w:cs="Times New Roman"/>
          <w:sz w:val="24"/>
          <w:szCs w:val="24"/>
        </w:rPr>
        <w:t xml:space="preserve"> of LC on the ICO amount raised persist</w:t>
      </w:r>
      <w:r w:rsidR="00435237" w:rsidRPr="00C82EE1">
        <w:rPr>
          <w:rFonts w:ascii="Times New Roman" w:eastAsiaTheme="minorEastAsia" w:hAnsi="Times New Roman" w:cs="Times New Roman"/>
          <w:sz w:val="24"/>
          <w:szCs w:val="24"/>
        </w:rPr>
        <w:t>s</w:t>
      </w:r>
      <w:r w:rsidRPr="00C82EE1">
        <w:rPr>
          <w:rFonts w:ascii="Times New Roman" w:eastAsiaTheme="minorEastAsia" w:hAnsi="Times New Roman" w:cs="Times New Roman"/>
          <w:sz w:val="24"/>
          <w:szCs w:val="24"/>
        </w:rPr>
        <w:t xml:space="preserve"> after accounting for readability. </w:t>
      </w:r>
    </w:p>
    <w:p w14:paraId="6BB911A4" w14:textId="2CCD5734" w:rsidR="00481D5B" w:rsidRPr="00C82EE1"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In Panel A of Table 4, Model (3), (4), and (5) test the impact of lexical density, lexical sophistication and lexical diversity on the ICO amount raised, respectively. We find a positive coefficient of 0.211, 0.</w:t>
      </w:r>
      <w:r w:rsidRPr="0020031B">
        <w:rPr>
          <w:rFonts w:ascii="Times New Roman" w:hAnsi="Times New Roman" w:cs="Times New Roman"/>
          <w:sz w:val="24"/>
          <w:szCs w:val="24"/>
        </w:rPr>
        <w:t>274</w:t>
      </w:r>
      <w:r w:rsidRPr="00C82EE1">
        <w:rPr>
          <w:rFonts w:ascii="Times New Roman" w:hAnsi="Times New Roman" w:cs="Times New Roman"/>
          <w:sz w:val="24"/>
          <w:szCs w:val="24"/>
        </w:rPr>
        <w:t xml:space="preserve">, and 0.126 for </w:t>
      </w:r>
      <m:oMath>
        <m:r>
          <w:rPr>
            <w:rFonts w:ascii="Cambria Math" w:hAnsi="Cambria Math" w:cs="Times New Roman"/>
            <w:sz w:val="24"/>
            <w:szCs w:val="24"/>
          </w:rPr>
          <m:t>Density</m:t>
        </m:r>
      </m:oMath>
      <w:r w:rsidRPr="00C82EE1">
        <w:rPr>
          <w:rFonts w:ascii="Times New Roman" w:hAnsi="Times New Roman" w:cs="Times New Roman"/>
          <w:sz w:val="24"/>
          <w:szCs w:val="24"/>
        </w:rPr>
        <w:t xml:space="preserve">, </w:t>
      </w:r>
      <m:oMath>
        <m:r>
          <w:rPr>
            <w:rFonts w:ascii="Cambria Math" w:hAnsi="Cambria Math" w:cs="Times New Roman"/>
            <w:sz w:val="24"/>
            <w:szCs w:val="24"/>
          </w:rPr>
          <m:t>Sophistication</m:t>
        </m:r>
      </m:oMath>
      <w:r w:rsidRPr="00C82EE1">
        <w:rPr>
          <w:rFonts w:ascii="Times New Roman" w:hAnsi="Times New Roman" w:cs="Times New Roman"/>
          <w:sz w:val="24"/>
          <w:szCs w:val="24"/>
        </w:rPr>
        <w:t xml:space="preserve">, and </w:t>
      </w:r>
      <m:oMath>
        <m:r>
          <w:rPr>
            <w:rFonts w:ascii="Cambria Math" w:hAnsi="Cambria Math" w:cs="Times New Roman"/>
            <w:sz w:val="24"/>
            <w:szCs w:val="24"/>
          </w:rPr>
          <m:t>Diversity</m:t>
        </m:r>
      </m:oMath>
      <w:r w:rsidRPr="00C82EE1">
        <w:rPr>
          <w:rFonts w:ascii="Times New Roman" w:hAnsi="Times New Roman" w:cs="Times New Roman"/>
          <w:sz w:val="24"/>
          <w:szCs w:val="24"/>
        </w:rPr>
        <w:t xml:space="preserve">, which are statistically significant at </w:t>
      </w:r>
      <w:r w:rsidR="00DB2699">
        <w:rPr>
          <w:rFonts w:ascii="Times New Roman" w:hAnsi="Times New Roman" w:cs="Times New Roman"/>
          <w:sz w:val="24"/>
          <w:szCs w:val="24"/>
        </w:rPr>
        <w:t>the</w:t>
      </w:r>
      <w:r w:rsidR="00DB2699" w:rsidRPr="00C82EE1">
        <w:rPr>
          <w:rFonts w:ascii="Times New Roman" w:hAnsi="Times New Roman" w:cs="Times New Roman"/>
          <w:sz w:val="24"/>
          <w:szCs w:val="24"/>
        </w:rPr>
        <w:t xml:space="preserve"> </w:t>
      </w:r>
      <w:r w:rsidR="00DB2699">
        <w:rPr>
          <w:rFonts w:ascii="Times New Roman" w:hAnsi="Times New Roman" w:cs="Times New Roman"/>
          <w:sz w:val="24"/>
          <w:szCs w:val="24"/>
        </w:rPr>
        <w:t>1</w:t>
      </w:r>
      <w:r w:rsidRPr="00C82EE1">
        <w:rPr>
          <w:rFonts w:ascii="Times New Roman" w:hAnsi="Times New Roman" w:cs="Times New Roman"/>
          <w:sz w:val="24"/>
          <w:szCs w:val="24"/>
        </w:rPr>
        <w:t xml:space="preserve">% level. In line with Hypothesis 1A, our results are consistent and indicate a positive and significant association between the use of LC and ICO success. </w:t>
      </w:r>
    </w:p>
    <w:p w14:paraId="35E6B491" w14:textId="02C54E13" w:rsidR="00481D5B" w:rsidRPr="00C82EE1" w:rsidRDefault="00481D5B" w:rsidP="00B849B4">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We next examine the robustness of our results towards potential endogeneity concerns as discussed in Section 4.3.2. In Model (6), we report the results of the second stage of the </w:t>
      </w:r>
      <w:proofErr w:type="spellStart"/>
      <w:r w:rsidRPr="00C82EE1">
        <w:rPr>
          <w:rFonts w:ascii="Times New Roman" w:hAnsi="Times New Roman" w:cs="Times New Roman"/>
          <w:sz w:val="24"/>
          <w:szCs w:val="24"/>
        </w:rPr>
        <w:t>rCF</w:t>
      </w:r>
      <w:proofErr w:type="spellEnd"/>
      <w:r w:rsidRPr="00C82EE1">
        <w:rPr>
          <w:rFonts w:ascii="Times New Roman" w:hAnsi="Times New Roman" w:cs="Times New Roman"/>
          <w:sz w:val="24"/>
          <w:szCs w:val="24"/>
        </w:rPr>
        <w:t xml:space="preserve"> approach, and the coefficient of </w:t>
      </w:r>
      <m:oMath>
        <m:r>
          <w:rPr>
            <w:rFonts w:ascii="Cambria Math" w:hAnsi="Cambria Math" w:cs="Times New Roman"/>
            <w:sz w:val="24"/>
            <w:szCs w:val="24"/>
          </w:rPr>
          <m:t>LC</m:t>
        </m:r>
      </m:oMath>
      <w:r w:rsidRPr="00C82EE1">
        <w:rPr>
          <w:rFonts w:ascii="Times New Roman" w:hAnsi="Times New Roman" w:cs="Times New Roman"/>
          <w:i/>
          <w:sz w:val="24"/>
          <w:szCs w:val="24"/>
        </w:rPr>
        <w:t xml:space="preserve"> </w:t>
      </w:r>
      <w:r w:rsidRPr="00C82EE1">
        <w:rPr>
          <w:rFonts w:ascii="Times New Roman" w:hAnsi="Times New Roman" w:cs="Times New Roman"/>
          <w:sz w:val="24"/>
          <w:szCs w:val="24"/>
        </w:rPr>
        <w:t>is 0.111, which is</w:t>
      </w:r>
      <w:r w:rsidR="00DB2699">
        <w:rPr>
          <w:rFonts w:ascii="Times New Roman" w:hAnsi="Times New Roman" w:cs="Times New Roman"/>
          <w:sz w:val="24"/>
          <w:szCs w:val="24"/>
        </w:rPr>
        <w:t xml:space="preserve"> statistically</w:t>
      </w:r>
      <w:r w:rsidRPr="00C82EE1">
        <w:rPr>
          <w:rFonts w:ascii="Times New Roman" w:hAnsi="Times New Roman" w:cs="Times New Roman"/>
          <w:sz w:val="24"/>
          <w:szCs w:val="24"/>
        </w:rPr>
        <w:t xml:space="preserve"> significant at </w:t>
      </w:r>
      <w:r w:rsidR="00DB2699">
        <w:rPr>
          <w:rFonts w:ascii="Times New Roman" w:hAnsi="Times New Roman" w:cs="Times New Roman"/>
          <w:sz w:val="24"/>
          <w:szCs w:val="24"/>
        </w:rPr>
        <w:t>the</w:t>
      </w:r>
      <w:r w:rsidR="00DB2699" w:rsidRPr="00C82EE1">
        <w:rPr>
          <w:rFonts w:ascii="Times New Roman" w:hAnsi="Times New Roman" w:cs="Times New Roman"/>
          <w:sz w:val="24"/>
          <w:szCs w:val="24"/>
        </w:rPr>
        <w:t xml:space="preserve"> </w:t>
      </w:r>
      <w:r w:rsidR="00DB2699">
        <w:rPr>
          <w:rFonts w:ascii="Times New Roman" w:hAnsi="Times New Roman" w:cs="Times New Roman"/>
          <w:sz w:val="24"/>
          <w:szCs w:val="24"/>
        </w:rPr>
        <w:t>1</w:t>
      </w:r>
      <w:r w:rsidRPr="00C82EE1">
        <w:rPr>
          <w:rFonts w:ascii="Times New Roman" w:hAnsi="Times New Roman" w:cs="Times New Roman"/>
          <w:sz w:val="24"/>
          <w:szCs w:val="24"/>
        </w:rPr>
        <w:t xml:space="preserve">% level. </w:t>
      </w:r>
      <w:r w:rsidRPr="00C82EE1">
        <w:rPr>
          <w:rFonts w:ascii="Times New Roman" w:hAnsi="Times New Roman" w:cs="Times New Roman"/>
          <w:sz w:val="24"/>
          <w:szCs w:val="24"/>
        </w:rPr>
        <w:lastRenderedPageBreak/>
        <w:t xml:space="preserve">From these results, we can observe a small </w:t>
      </w:r>
      <w:r w:rsidR="00435237" w:rsidRPr="00C82EE1">
        <w:rPr>
          <w:rFonts w:ascii="Times New Roman" w:hAnsi="Times New Roman" w:cs="Times New Roman"/>
          <w:sz w:val="24"/>
          <w:szCs w:val="24"/>
        </w:rPr>
        <w:t xml:space="preserve">decrease </w:t>
      </w:r>
      <w:r w:rsidRPr="00C82EE1">
        <w:rPr>
          <w:rFonts w:ascii="Times New Roman" w:hAnsi="Times New Roman" w:cs="Times New Roman"/>
          <w:sz w:val="24"/>
          <w:szCs w:val="24"/>
        </w:rPr>
        <w:t xml:space="preserve">in the magnitude of the relationship. However, the statistical significance remains very high at </w:t>
      </w:r>
      <w:r w:rsidR="00DB2699">
        <w:rPr>
          <w:rFonts w:ascii="Times New Roman" w:hAnsi="Times New Roman" w:cs="Times New Roman"/>
          <w:sz w:val="24"/>
          <w:szCs w:val="24"/>
        </w:rPr>
        <w:t>the</w:t>
      </w:r>
      <w:r w:rsidR="00DB2699" w:rsidRPr="00C82EE1">
        <w:rPr>
          <w:rFonts w:ascii="Times New Roman" w:hAnsi="Times New Roman" w:cs="Times New Roman"/>
          <w:sz w:val="24"/>
          <w:szCs w:val="24"/>
        </w:rPr>
        <w:t xml:space="preserve"> </w:t>
      </w:r>
      <w:r w:rsidR="00DB2699">
        <w:rPr>
          <w:rFonts w:ascii="Times New Roman" w:hAnsi="Times New Roman" w:cs="Times New Roman"/>
          <w:sz w:val="24"/>
          <w:szCs w:val="24"/>
        </w:rPr>
        <w:t>1</w:t>
      </w:r>
      <w:r w:rsidRPr="00C82EE1">
        <w:rPr>
          <w:rFonts w:ascii="Times New Roman" w:hAnsi="Times New Roman" w:cs="Times New Roman"/>
          <w:sz w:val="24"/>
          <w:szCs w:val="24"/>
        </w:rPr>
        <w:t>% level. Therefore, after addressing potential endogeneity concerns from unobserved factors, we conclude that the utilization of LC in ICO white papers is beneficial for fundraising success.</w:t>
      </w:r>
    </w:p>
    <w:p w14:paraId="0AB825BB" w14:textId="6CA1EB0D" w:rsidR="00481D5B" w:rsidRDefault="00481D5B" w:rsidP="00B849B4">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This result suggests that using lexically complex language can enhance ICO funding. However, excessive complexity or convoluted language may have the opposite effect. If a white paper is overly complex (e.g.</w:t>
      </w:r>
      <w:r w:rsidR="0020031B">
        <w:rPr>
          <w:rFonts w:ascii="Times New Roman" w:hAnsi="Times New Roman" w:cs="Times New Roman"/>
          <w:sz w:val="24"/>
          <w:szCs w:val="24"/>
        </w:rPr>
        <w:t>,</w:t>
      </w:r>
      <w:r w:rsidRPr="00C82EE1">
        <w:rPr>
          <w:rFonts w:ascii="Times New Roman" w:hAnsi="Times New Roman" w:cs="Times New Roman"/>
          <w:sz w:val="24"/>
          <w:szCs w:val="24"/>
        </w:rPr>
        <w:t xml:space="preserve"> jargon or buzzwords), investors may perceive it as intentional obfuscation or </w:t>
      </w:r>
      <w:r w:rsidR="00AD4704" w:rsidRPr="00C82EE1">
        <w:rPr>
          <w:rFonts w:ascii="Times New Roman" w:hAnsi="Times New Roman" w:cs="Times New Roman"/>
          <w:sz w:val="24"/>
          <w:szCs w:val="24"/>
        </w:rPr>
        <w:t>"</w:t>
      </w:r>
      <w:r w:rsidRPr="00AD4704">
        <w:rPr>
          <w:rFonts w:ascii="Times New Roman" w:hAnsi="Times New Roman" w:cs="Times New Roman"/>
          <w:i/>
          <w:sz w:val="24"/>
          <w:szCs w:val="24"/>
        </w:rPr>
        <w:t>window dressing</w:t>
      </w:r>
      <w:r w:rsidR="00AD4704" w:rsidRPr="00C82EE1">
        <w:rPr>
          <w:rFonts w:ascii="Times New Roman" w:hAnsi="Times New Roman" w:cs="Times New Roman"/>
          <w:sz w:val="24"/>
          <w:szCs w:val="24"/>
        </w:rPr>
        <w:t>"</w:t>
      </w:r>
      <w:r w:rsidR="00900CD4" w:rsidRPr="00C82EE1">
        <w:rPr>
          <w:rFonts w:ascii="Times New Roman" w:hAnsi="Times New Roman" w:cs="Times New Roman"/>
          <w:sz w:val="24"/>
          <w:szCs w:val="24"/>
        </w:rPr>
        <w:t>.</w:t>
      </w:r>
      <w:r w:rsidRPr="00C82EE1">
        <w:rPr>
          <w:rFonts w:ascii="Times New Roman" w:hAnsi="Times New Roman" w:cs="Times New Roman"/>
          <w:sz w:val="24"/>
          <w:szCs w:val="24"/>
        </w:rPr>
        <w:t xml:space="preserve"> In the ICO landscape, where startups have an incentive to appear innovative, investors may become skeptical of an unnecessarily intricate text, suspecting it serves to obfuscate a lack of substance. While a certain level of complexity can signal expertise, an appropriate balance is likely to be a more effective signal for a broader investor base. Striking a balance in LC is therefore crucial: the goal is to provide detailed, informative content without resorting to excessive complexity that raises investor skepticism. To test this balance, we further investigate whether the relationship between </w:t>
      </w:r>
      <m:oMath>
        <m:r>
          <w:rPr>
            <w:rFonts w:ascii="Cambria Math" w:hAnsi="Cambria Math" w:cs="Times New Roman"/>
            <w:sz w:val="24"/>
            <w:szCs w:val="24"/>
          </w:rPr>
          <m:t>LC</m:t>
        </m:r>
      </m:oMath>
      <w:r w:rsidRPr="00C82EE1">
        <w:rPr>
          <w:rFonts w:ascii="Times New Roman" w:hAnsi="Times New Roman" w:cs="Times New Roman"/>
          <w:sz w:val="24"/>
          <w:szCs w:val="24"/>
        </w:rPr>
        <w:t xml:space="preserve"> and </w:t>
      </w:r>
      <m:oMath>
        <m:r>
          <w:rPr>
            <w:rFonts w:ascii="Cambria Math" w:hAnsi="Cambria Math" w:cs="Times New Roman"/>
            <w:sz w:val="24"/>
            <w:szCs w:val="24"/>
          </w:rPr>
          <m:t>Amount raised</m:t>
        </m:r>
      </m:oMath>
      <w:r w:rsidRPr="00C82EE1">
        <w:rPr>
          <w:rFonts w:ascii="Times New Roman" w:hAnsi="Times New Roman" w:cs="Times New Roman"/>
          <w:sz w:val="24"/>
          <w:szCs w:val="24"/>
        </w:rPr>
        <w:t xml:space="preserve"> is curvilinear. Intuitively, as the level of LC in ICO white papers increases, we expect its marginal impact to decrease. To account for this curvilinear relationship, we include in Equation (1), the squared terms of </w:t>
      </w:r>
      <m:oMath>
        <m:r>
          <w:rPr>
            <w:rFonts w:ascii="Cambria Math" w:hAnsi="Cambria Math" w:cs="Times New Roman"/>
            <w:sz w:val="24"/>
            <w:szCs w:val="24"/>
          </w:rPr>
          <m:t>LC</m:t>
        </m:r>
      </m:oMath>
      <w:r w:rsidRPr="00C82EE1">
        <w:rPr>
          <w:rFonts w:ascii="Times New Roman" w:hAnsi="Times New Roman" w:cs="Times New Roman"/>
          <w:sz w:val="24"/>
          <w:szCs w:val="24"/>
        </w:rPr>
        <w:t xml:space="preserve">, </w:t>
      </w:r>
      <m:oMath>
        <m:r>
          <w:rPr>
            <w:rFonts w:ascii="Cambria Math" w:hAnsi="Cambria Math" w:cs="Times New Roman"/>
            <w:sz w:val="24"/>
            <w:szCs w:val="24"/>
          </w:rPr>
          <m:t>Density</m:t>
        </m:r>
      </m:oMath>
      <w:r w:rsidRPr="00C82EE1">
        <w:rPr>
          <w:rFonts w:ascii="Times New Roman" w:hAnsi="Times New Roman" w:cs="Times New Roman"/>
          <w:sz w:val="24"/>
          <w:szCs w:val="24"/>
        </w:rPr>
        <w:t xml:space="preserve">, </w:t>
      </w:r>
      <m:oMath>
        <m:r>
          <w:rPr>
            <w:rFonts w:ascii="Cambria Math" w:hAnsi="Cambria Math" w:cs="Times New Roman"/>
            <w:sz w:val="24"/>
            <w:szCs w:val="24"/>
          </w:rPr>
          <m:t>Sophistication</m:t>
        </m:r>
      </m:oMath>
      <w:r w:rsidRPr="00C82EE1">
        <w:rPr>
          <w:rFonts w:ascii="Times New Roman" w:hAnsi="Times New Roman" w:cs="Times New Roman"/>
          <w:sz w:val="24"/>
          <w:szCs w:val="24"/>
        </w:rPr>
        <w:t xml:space="preserve"> and </w:t>
      </w:r>
      <m:oMath>
        <m:r>
          <w:rPr>
            <w:rFonts w:ascii="Cambria Math" w:hAnsi="Cambria Math" w:cs="Times New Roman"/>
            <w:sz w:val="24"/>
            <w:szCs w:val="24"/>
          </w:rPr>
          <m:t>Diversity</m:t>
        </m:r>
      </m:oMath>
      <w:r w:rsidRPr="00C82EE1">
        <w:rPr>
          <w:rFonts w:ascii="Times New Roman" w:hAnsi="Times New Roman" w:cs="Times New Roman"/>
          <w:sz w:val="24"/>
          <w:szCs w:val="24"/>
        </w:rPr>
        <w:t>. Table 4 also provides the regression results. From Model (7) to (11)</w:t>
      </w:r>
      <w:r w:rsidR="00D0413A">
        <w:rPr>
          <w:rFonts w:ascii="Times New Roman" w:hAnsi="Times New Roman" w:cs="Times New Roman"/>
          <w:sz w:val="24"/>
          <w:szCs w:val="24"/>
        </w:rPr>
        <w:t xml:space="preserve"> in Panel B</w:t>
      </w:r>
      <w:r w:rsidRPr="00C82EE1">
        <w:rPr>
          <w:rFonts w:ascii="Times New Roman" w:hAnsi="Times New Roman" w:cs="Times New Roman"/>
          <w:sz w:val="24"/>
          <w:szCs w:val="24"/>
        </w:rPr>
        <w:t>, we observe a significant and positive curvilinear relationship</w:t>
      </w:r>
      <w:r w:rsidR="00D0413A">
        <w:rPr>
          <w:rFonts w:ascii="Times New Roman" w:hAnsi="Times New Roman" w:cs="Times New Roman"/>
          <w:sz w:val="24"/>
          <w:szCs w:val="24"/>
        </w:rPr>
        <w:t xml:space="preserve"> of LC measures</w:t>
      </w:r>
      <w:r w:rsidRPr="00C82EE1">
        <w:rPr>
          <w:rFonts w:ascii="Times New Roman" w:hAnsi="Times New Roman" w:cs="Times New Roman"/>
          <w:sz w:val="24"/>
          <w:szCs w:val="24"/>
        </w:rPr>
        <w:t xml:space="preserve"> with </w:t>
      </w:r>
      <m:oMath>
        <m:r>
          <w:rPr>
            <w:rFonts w:ascii="Cambria Math" w:hAnsi="Cambria Math" w:cs="Times New Roman"/>
            <w:sz w:val="24"/>
            <w:szCs w:val="24"/>
          </w:rPr>
          <m:t>Amount raised</m:t>
        </m:r>
      </m:oMath>
      <w:r w:rsidRPr="00C82EE1">
        <w:rPr>
          <w:rFonts w:ascii="Times New Roman" w:hAnsi="Times New Roman" w:cs="Times New Roman"/>
          <w:sz w:val="24"/>
          <w:szCs w:val="24"/>
        </w:rPr>
        <w:t xml:space="preserve">, except for the variable </w:t>
      </w:r>
      <m:oMath>
        <m:r>
          <w:rPr>
            <w:rFonts w:ascii="Cambria Math" w:hAnsi="Cambria Math" w:cs="Times New Roman"/>
            <w:sz w:val="24"/>
            <w:szCs w:val="24"/>
          </w:rPr>
          <m:t>Density</m:t>
        </m:r>
      </m:oMath>
      <w:r w:rsidRPr="00C82EE1">
        <w:rPr>
          <w:rFonts w:ascii="Times New Roman" w:hAnsi="Times New Roman" w:cs="Times New Roman"/>
          <w:sz w:val="24"/>
          <w:szCs w:val="24"/>
        </w:rPr>
        <w:t>. In Model (11), we further find that our conclusions are robust to potential endogeneity concerns. This result suggests that the impact of LC does not linearly influence ICO funding su</w:t>
      </w:r>
      <w:proofErr w:type="spellStart"/>
      <w:r w:rsidRPr="00C82EE1">
        <w:rPr>
          <w:rFonts w:ascii="Times New Roman" w:hAnsi="Times New Roman" w:cs="Times New Roman"/>
          <w:sz w:val="24"/>
          <w:szCs w:val="24"/>
        </w:rPr>
        <w:t>ccess</w:t>
      </w:r>
      <w:proofErr w:type="spellEnd"/>
      <w:r w:rsidRPr="00C82EE1">
        <w:rPr>
          <w:rFonts w:ascii="Times New Roman" w:hAnsi="Times New Roman" w:cs="Times New Roman"/>
          <w:sz w:val="24"/>
          <w:szCs w:val="24"/>
        </w:rPr>
        <w:t xml:space="preserve">, but that the positive impact of a text LC on ICO success marginally decreases as its complexity increases, except for lexical density. </w:t>
      </w:r>
    </w:p>
    <w:p w14:paraId="40848AF0" w14:textId="3185F371" w:rsidR="00B849B4" w:rsidRPr="00C82EE1" w:rsidRDefault="00B849B4" w:rsidP="00B849B4">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4 here.]</w:t>
      </w:r>
    </w:p>
    <w:p w14:paraId="558C2E9B" w14:textId="15C6D328" w:rsidR="00481D5B" w:rsidRPr="00C82EE1" w:rsidRDefault="00481D5B" w:rsidP="003E0220">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To illustrate the relationship between LC and the amount raised during the ICO, Figure 2 graphically illustrates curvilinear relationships for reasonable levels of </w:t>
      </w:r>
      <w:r w:rsidRPr="00C82EE1">
        <w:rPr>
          <w:rFonts w:ascii="Times New Roman" w:hAnsi="Times New Roman" w:cs="Times New Roman"/>
          <w:i/>
          <w:iCs/>
          <w:sz w:val="24"/>
          <w:szCs w:val="24"/>
        </w:rPr>
        <w:t xml:space="preserve">(a) </w:t>
      </w:r>
      <m:oMath>
        <m:r>
          <w:rPr>
            <w:rFonts w:ascii="Cambria Math" w:hAnsi="Cambria Math" w:cs="Times New Roman"/>
            <w:sz w:val="24"/>
            <w:szCs w:val="24"/>
          </w:rPr>
          <m:t>LC</m:t>
        </m:r>
      </m:oMath>
      <w:r w:rsidRPr="00C82EE1">
        <w:rPr>
          <w:rFonts w:ascii="Times New Roman" w:hAnsi="Times New Roman" w:cs="Times New Roman"/>
          <w:i/>
          <w:iCs/>
          <w:sz w:val="24"/>
          <w:szCs w:val="24"/>
        </w:rPr>
        <w:t xml:space="preserve">, (b) </w:t>
      </w:r>
      <m:oMath>
        <m:r>
          <w:rPr>
            <w:rFonts w:ascii="Cambria Math" w:hAnsi="Cambria Math" w:cs="Times New Roman"/>
            <w:sz w:val="24"/>
            <w:szCs w:val="24"/>
          </w:rPr>
          <m:t>Density</m:t>
        </m:r>
      </m:oMath>
      <w:r w:rsidRPr="00C82EE1">
        <w:rPr>
          <w:rFonts w:ascii="Times New Roman" w:hAnsi="Times New Roman" w:cs="Times New Roman"/>
          <w:i/>
          <w:iCs/>
          <w:sz w:val="24"/>
          <w:szCs w:val="24"/>
        </w:rPr>
        <w:t xml:space="preserve">, (c) </w:t>
      </w:r>
      <m:oMath>
        <m:r>
          <w:rPr>
            <w:rFonts w:ascii="Cambria Math" w:hAnsi="Cambria Math" w:cs="Times New Roman"/>
            <w:sz w:val="24"/>
            <w:szCs w:val="24"/>
          </w:rPr>
          <m:t>Sophistication</m:t>
        </m:r>
      </m:oMath>
      <w:r w:rsidRPr="00C82EE1">
        <w:rPr>
          <w:rFonts w:ascii="Times New Roman" w:hAnsi="Times New Roman" w:cs="Times New Roman"/>
          <w:i/>
          <w:iCs/>
          <w:sz w:val="24"/>
          <w:szCs w:val="24"/>
        </w:rPr>
        <w:t xml:space="preserve"> and (d) </w:t>
      </w:r>
      <m:oMath>
        <m:r>
          <w:rPr>
            <w:rFonts w:ascii="Cambria Math" w:hAnsi="Cambria Math" w:cs="Times New Roman"/>
            <w:sz w:val="24"/>
            <w:szCs w:val="24"/>
          </w:rPr>
          <m:t>Diversity</m:t>
        </m:r>
      </m:oMath>
      <w:r w:rsidRPr="00C82EE1">
        <w:rPr>
          <w:rFonts w:ascii="Times New Roman" w:hAnsi="Times New Roman" w:cs="Times New Roman"/>
          <w:sz w:val="24"/>
          <w:szCs w:val="24"/>
        </w:rPr>
        <w:t>. We define reasonable levels of LC as the minimum and maximum values of these variables, as r</w:t>
      </w:r>
      <w:proofErr w:type="spellStart"/>
      <w:r w:rsidRPr="00C82EE1">
        <w:rPr>
          <w:rFonts w:ascii="Times New Roman" w:hAnsi="Times New Roman" w:cs="Times New Roman"/>
          <w:sz w:val="24"/>
          <w:szCs w:val="24"/>
        </w:rPr>
        <w:t>eported</w:t>
      </w:r>
      <w:proofErr w:type="spellEnd"/>
      <w:r w:rsidRPr="00C82EE1">
        <w:rPr>
          <w:rFonts w:ascii="Times New Roman" w:hAnsi="Times New Roman" w:cs="Times New Roman"/>
          <w:sz w:val="24"/>
          <w:szCs w:val="24"/>
        </w:rPr>
        <w:t xml:space="preserve"> in Panel B of Table 2. We find clear curvilinear relationships between the level of LC, lexical sophistication and lexical diversity and the amount raised.</w:t>
      </w:r>
      <w:r w:rsidR="00D0413A">
        <w:rPr>
          <w:rFonts w:ascii="Times New Roman" w:hAnsi="Times New Roman" w:cs="Times New Roman"/>
          <w:sz w:val="24"/>
          <w:szCs w:val="24"/>
        </w:rPr>
        <w:t xml:space="preserve"> Indeed,</w:t>
      </w:r>
      <w:r w:rsidRPr="00C82EE1">
        <w:rPr>
          <w:rFonts w:ascii="Times New Roman" w:hAnsi="Times New Roman" w:cs="Times New Roman"/>
          <w:sz w:val="24"/>
          <w:szCs w:val="24"/>
        </w:rPr>
        <w:t xml:space="preserve"> </w:t>
      </w:r>
      <m:oMath>
        <m:r>
          <w:rPr>
            <w:rFonts w:ascii="Cambria Math" w:hAnsi="Cambria Math" w:cs="Times New Roman"/>
            <w:sz w:val="24"/>
            <w:szCs w:val="24"/>
          </w:rPr>
          <m:t>LC</m:t>
        </m:r>
      </m:oMath>
      <w:r w:rsidRPr="00C82EE1">
        <w:rPr>
          <w:rFonts w:ascii="Times New Roman" w:eastAsiaTheme="minorEastAsia" w:hAnsi="Times New Roman" w:cs="Times New Roman"/>
          <w:sz w:val="24"/>
          <w:szCs w:val="24"/>
        </w:rPr>
        <w:t>,</w:t>
      </w:r>
      <w:r w:rsidRPr="00C82EE1">
        <w:rPr>
          <w:rFonts w:ascii="Times New Roman" w:hAnsi="Times New Roman" w:cs="Times New Roman"/>
          <w:sz w:val="24"/>
          <w:szCs w:val="24"/>
        </w:rPr>
        <w:t xml:space="preserve"> </w:t>
      </w:r>
      <m:oMath>
        <m:r>
          <w:rPr>
            <w:rFonts w:ascii="Cambria Math" w:hAnsi="Cambria Math" w:cs="Times New Roman"/>
            <w:sz w:val="24"/>
            <w:szCs w:val="24"/>
          </w:rPr>
          <m:t>Sophistication</m:t>
        </m:r>
      </m:oMath>
      <w:r w:rsidRPr="00C82EE1">
        <w:rPr>
          <w:rFonts w:ascii="Times New Roman" w:hAnsi="Times New Roman" w:cs="Times New Roman"/>
          <w:i/>
          <w:sz w:val="24"/>
          <w:szCs w:val="24"/>
        </w:rPr>
        <w:t xml:space="preserve"> </w:t>
      </w:r>
      <w:r w:rsidRPr="00C82EE1">
        <w:rPr>
          <w:rFonts w:ascii="Times New Roman" w:hAnsi="Times New Roman" w:cs="Times New Roman"/>
          <w:sz w:val="24"/>
          <w:szCs w:val="24"/>
        </w:rPr>
        <w:t xml:space="preserve">and </w:t>
      </w:r>
      <m:oMath>
        <m:r>
          <w:rPr>
            <w:rFonts w:ascii="Cambria Math" w:hAnsi="Cambria Math" w:cs="Times New Roman"/>
            <w:sz w:val="24"/>
            <w:szCs w:val="24"/>
          </w:rPr>
          <m:t>Diversity</m:t>
        </m:r>
      </m:oMath>
      <w:r w:rsidRPr="00C82EE1">
        <w:rPr>
          <w:rFonts w:ascii="Times New Roman" w:hAnsi="Times New Roman" w:cs="Times New Roman"/>
          <w:sz w:val="24"/>
          <w:szCs w:val="24"/>
        </w:rPr>
        <w:t xml:space="preserve"> show a clear curvilinear re</w:t>
      </w:r>
      <w:proofErr w:type="spellStart"/>
      <w:r w:rsidRPr="00C82EE1">
        <w:rPr>
          <w:rFonts w:ascii="Times New Roman" w:hAnsi="Times New Roman" w:cs="Times New Roman"/>
          <w:sz w:val="24"/>
          <w:szCs w:val="24"/>
        </w:rPr>
        <w:t>lationship</w:t>
      </w:r>
      <w:proofErr w:type="spellEnd"/>
      <w:r w:rsidRPr="00C82EE1">
        <w:rPr>
          <w:rFonts w:ascii="Times New Roman" w:hAnsi="Times New Roman" w:cs="Times New Roman"/>
          <w:sz w:val="24"/>
          <w:szCs w:val="24"/>
        </w:rPr>
        <w:t xml:space="preserve"> with the ICO funding, with an optimal level of 6.13, 3.22 and 5.76, respectively. </w:t>
      </w:r>
      <w:r w:rsidRPr="00C82EE1">
        <w:rPr>
          <w:rFonts w:ascii="Times New Roman" w:hAnsi="Times New Roman" w:cs="Times New Roman"/>
          <w:sz w:val="24"/>
          <w:szCs w:val="24"/>
        </w:rPr>
        <w:lastRenderedPageBreak/>
        <w:t>We also observe a clear curvilinear relationship in Figure 2(b) for lexical density, but this relationship is not significant.</w:t>
      </w:r>
    </w:p>
    <w:p w14:paraId="7DE4C892" w14:textId="113A56AD" w:rsidR="00481D5B" w:rsidRPr="00C82EE1" w:rsidRDefault="00481D5B" w:rsidP="009C6E52">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Figure 2 here.]</w:t>
      </w:r>
    </w:p>
    <w:p w14:paraId="4CEF8831" w14:textId="743187AF" w:rsidR="00481D5B" w:rsidRPr="00C82EE1" w:rsidRDefault="00481D5B" w:rsidP="00B849B4">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Overall, our results support Hypothesis 1A and provide evidence of a causal relationship between the level of LC on the amount raised during the ICO. Furthermore, we find that this relationship tends to be non-linear, except for lexical density. This means that LC positively influences the amount raised during the ICO, but, beyond a specific threshold, an incremental increase in LC starts to negatively influence investor willingness to invest in the project.</w:t>
      </w:r>
    </w:p>
    <w:p w14:paraId="1C48A315" w14:textId="463BA782" w:rsidR="00481D5B" w:rsidRPr="00C82EE1" w:rsidRDefault="00481D5B" w:rsidP="00CB5640">
      <w:pPr>
        <w:pStyle w:val="Titre2"/>
      </w:pPr>
      <w:r w:rsidRPr="00C82EE1">
        <w:t>The moderation effect of the white paper readability</w:t>
      </w:r>
    </w:p>
    <w:p w14:paraId="29A529F5" w14:textId="48BBBE6B" w:rsidR="00481D5B" w:rsidRPr="00C82EE1" w:rsidRDefault="00481D5B" w:rsidP="00CB5640">
      <w:pPr>
        <w:spacing w:after="120" w:line="360" w:lineRule="auto"/>
        <w:jc w:val="both"/>
        <w:rPr>
          <w:rFonts w:ascii="Times New Roman" w:eastAsiaTheme="minorEastAsia" w:hAnsi="Times New Roman" w:cs="Times New Roman"/>
          <w:sz w:val="24"/>
          <w:szCs w:val="24"/>
        </w:rPr>
      </w:pPr>
      <w:r w:rsidRPr="00C82EE1">
        <w:rPr>
          <w:rFonts w:ascii="Times New Roman" w:hAnsi="Times New Roman" w:cs="Times New Roman"/>
          <w:sz w:val="24"/>
          <w:szCs w:val="24"/>
        </w:rPr>
        <w:t xml:space="preserve">Hypothesis 2 states that the impact of a text LC is more pronounced when the text is more readable </w:t>
      </w:r>
      <w:r w:rsidR="00610504" w:rsidRPr="00C82EE1">
        <w:rPr>
          <w:rFonts w:ascii="Times New Roman" w:hAnsi="Times New Roman" w:cs="Times New Roman"/>
          <w:sz w:val="24"/>
          <w:szCs w:val="24"/>
        </w:rPr>
        <w:t xml:space="preserve">(Burke et al., 2022; </w:t>
      </w:r>
      <w:proofErr w:type="spellStart"/>
      <w:r w:rsidR="00610504" w:rsidRPr="00C82EE1">
        <w:rPr>
          <w:rFonts w:ascii="Times New Roman" w:hAnsi="Times New Roman" w:cs="Times New Roman"/>
          <w:sz w:val="24"/>
          <w:szCs w:val="24"/>
        </w:rPr>
        <w:t>Florysiak</w:t>
      </w:r>
      <w:proofErr w:type="spellEnd"/>
      <w:r w:rsidR="00610504" w:rsidRPr="00C82EE1">
        <w:rPr>
          <w:rFonts w:ascii="Times New Roman" w:hAnsi="Times New Roman" w:cs="Times New Roman"/>
          <w:sz w:val="24"/>
          <w:szCs w:val="24"/>
        </w:rPr>
        <w:t xml:space="preserve"> &amp; </w:t>
      </w:r>
      <w:proofErr w:type="spellStart"/>
      <w:r w:rsidR="00610504" w:rsidRPr="00C82EE1">
        <w:rPr>
          <w:rFonts w:ascii="Times New Roman" w:hAnsi="Times New Roman" w:cs="Times New Roman"/>
          <w:sz w:val="24"/>
          <w:szCs w:val="24"/>
        </w:rPr>
        <w:t>Schandlbauer</w:t>
      </w:r>
      <w:proofErr w:type="spellEnd"/>
      <w:r w:rsidR="00610504" w:rsidRPr="00C82EE1">
        <w:rPr>
          <w:rFonts w:ascii="Times New Roman" w:hAnsi="Times New Roman" w:cs="Times New Roman"/>
          <w:sz w:val="24"/>
          <w:szCs w:val="24"/>
        </w:rPr>
        <w:t>, 2022)</w:t>
      </w:r>
      <w:r w:rsidRPr="00C82EE1">
        <w:rPr>
          <w:rFonts w:ascii="Times New Roman" w:hAnsi="Times New Roman" w:cs="Times New Roman"/>
          <w:sz w:val="24"/>
          <w:szCs w:val="24"/>
        </w:rPr>
        <w:t>. Using the Flesch Reading Ease Score as a proxy for readability, we divide our sample into two sub</w:t>
      </w:r>
      <w:r w:rsidR="00AF5A16">
        <w:rPr>
          <w:rFonts w:ascii="Times New Roman" w:hAnsi="Times New Roman" w:cs="Times New Roman"/>
          <w:sz w:val="24"/>
          <w:szCs w:val="24"/>
        </w:rPr>
        <w:t>-</w:t>
      </w:r>
      <w:r w:rsidRPr="00C82EE1">
        <w:rPr>
          <w:rFonts w:ascii="Times New Roman" w:hAnsi="Times New Roman" w:cs="Times New Roman"/>
          <w:sz w:val="24"/>
          <w:szCs w:val="24"/>
        </w:rPr>
        <w:t>samples with high and low readability based on the median of the readability score. In Table 5, we report the results of Equation (1) with below median Flesch scores in Model (1) and scores equal or above the median level in Model (2). While, we find both coefficients of LC to significantly impact the ICO funding (</w:t>
      </w:r>
      <w:r w:rsidR="00DB2699">
        <w:rPr>
          <w:rFonts w:ascii="Times New Roman" w:hAnsi="Times New Roman" w:cs="Times New Roman"/>
          <w:sz w:val="24"/>
          <w:szCs w:val="24"/>
        </w:rPr>
        <w:t>statistically significant</w:t>
      </w:r>
      <w:r w:rsidR="00DB2699" w:rsidRPr="00C82EE1">
        <w:rPr>
          <w:rFonts w:ascii="Times New Roman" w:hAnsi="Times New Roman" w:cs="Times New Roman"/>
          <w:sz w:val="24"/>
          <w:szCs w:val="24"/>
        </w:rPr>
        <w:t xml:space="preserve"> </w:t>
      </w:r>
      <w:r w:rsidRPr="00C82EE1">
        <w:rPr>
          <w:rFonts w:ascii="Times New Roman" w:hAnsi="Times New Roman" w:cs="Times New Roman"/>
          <w:sz w:val="24"/>
          <w:szCs w:val="24"/>
        </w:rPr>
        <w:t xml:space="preserve">at </w:t>
      </w:r>
      <w:r w:rsidR="00DB2699">
        <w:rPr>
          <w:rFonts w:ascii="Times New Roman" w:hAnsi="Times New Roman" w:cs="Times New Roman"/>
          <w:sz w:val="24"/>
          <w:szCs w:val="24"/>
        </w:rPr>
        <w:t>the</w:t>
      </w:r>
      <w:r w:rsidRPr="00C82EE1">
        <w:rPr>
          <w:rFonts w:ascii="Times New Roman" w:hAnsi="Times New Roman" w:cs="Times New Roman"/>
          <w:sz w:val="24"/>
          <w:szCs w:val="24"/>
        </w:rPr>
        <w:t xml:space="preserve"> </w:t>
      </w:r>
      <w:r w:rsidR="00DB2699">
        <w:rPr>
          <w:rFonts w:ascii="Times New Roman" w:hAnsi="Times New Roman" w:cs="Times New Roman"/>
          <w:sz w:val="24"/>
          <w:szCs w:val="24"/>
        </w:rPr>
        <w:t>1</w:t>
      </w:r>
      <w:r w:rsidRPr="00C82EE1">
        <w:rPr>
          <w:rFonts w:ascii="Times New Roman" w:hAnsi="Times New Roman" w:cs="Times New Roman"/>
          <w:sz w:val="24"/>
          <w:szCs w:val="24"/>
        </w:rPr>
        <w:t xml:space="preserve">% level), which is consistent with previous findings, we also observe the impact to be more prominent when the readability level </w:t>
      </w:r>
      <m:oMath>
        <m:r>
          <w:rPr>
            <w:rFonts w:ascii="Cambria Math" w:hAnsi="Cambria Math" w:cs="Times New Roman"/>
            <w:sz w:val="24"/>
            <w:szCs w:val="24"/>
          </w:rPr>
          <m:t>(Readability_Flesch)</m:t>
        </m:r>
      </m:oMath>
      <w:r w:rsidRPr="00C82EE1">
        <w:rPr>
          <w:rFonts w:ascii="Times New Roman" w:eastAsiaTheme="minorEastAsia" w:hAnsi="Times New Roman" w:cs="Times New Roman"/>
          <w:sz w:val="24"/>
          <w:szCs w:val="24"/>
        </w:rPr>
        <w:t xml:space="preserve"> is above the median. The Z-statistic between coefficients of both sub</w:t>
      </w:r>
      <w:r w:rsidR="00AF5A16">
        <w:rPr>
          <w:rFonts w:ascii="Times New Roman" w:eastAsiaTheme="minorEastAsia" w:hAnsi="Times New Roman" w:cs="Times New Roman"/>
          <w:sz w:val="24"/>
          <w:szCs w:val="24"/>
        </w:rPr>
        <w:t>-</w:t>
      </w:r>
      <w:r w:rsidRPr="00C82EE1">
        <w:rPr>
          <w:rFonts w:ascii="Times New Roman" w:eastAsiaTheme="minorEastAsia" w:hAnsi="Times New Roman" w:cs="Times New Roman"/>
          <w:sz w:val="24"/>
          <w:szCs w:val="24"/>
        </w:rPr>
        <w:t xml:space="preserve">samples is </w:t>
      </w:r>
      <w:r w:rsidR="00DB2699">
        <w:rPr>
          <w:rFonts w:ascii="Times New Roman" w:eastAsiaTheme="minorEastAsia" w:hAnsi="Times New Roman" w:cs="Times New Roman"/>
          <w:sz w:val="24"/>
          <w:szCs w:val="24"/>
        </w:rPr>
        <w:t xml:space="preserve">statistically </w:t>
      </w:r>
      <w:r w:rsidRPr="00C82EE1">
        <w:rPr>
          <w:rFonts w:ascii="Times New Roman" w:eastAsiaTheme="minorEastAsia" w:hAnsi="Times New Roman" w:cs="Times New Roman"/>
          <w:sz w:val="24"/>
          <w:szCs w:val="24"/>
        </w:rPr>
        <w:t xml:space="preserve">significant at </w:t>
      </w:r>
      <w:r w:rsidR="00DB2699">
        <w:rPr>
          <w:rFonts w:ascii="Times New Roman" w:eastAsiaTheme="minorEastAsia" w:hAnsi="Times New Roman" w:cs="Times New Roman"/>
          <w:sz w:val="24"/>
          <w:szCs w:val="24"/>
        </w:rPr>
        <w:t>the</w:t>
      </w:r>
      <w:r w:rsidR="00DB2699" w:rsidRPr="00C82EE1">
        <w:rPr>
          <w:rFonts w:ascii="Times New Roman" w:eastAsiaTheme="minorEastAsia" w:hAnsi="Times New Roman" w:cs="Times New Roman"/>
          <w:sz w:val="24"/>
          <w:szCs w:val="24"/>
        </w:rPr>
        <w:t xml:space="preserve"> </w:t>
      </w:r>
      <w:r w:rsidR="00DB2699">
        <w:rPr>
          <w:rFonts w:ascii="Times New Roman" w:eastAsiaTheme="minorEastAsia" w:hAnsi="Times New Roman" w:cs="Times New Roman"/>
          <w:sz w:val="24"/>
          <w:szCs w:val="24"/>
        </w:rPr>
        <w:t>1</w:t>
      </w:r>
      <w:r w:rsidRPr="00C82EE1">
        <w:rPr>
          <w:rFonts w:ascii="Times New Roman" w:eastAsiaTheme="minorEastAsia" w:hAnsi="Times New Roman" w:cs="Times New Roman"/>
          <w:sz w:val="24"/>
          <w:szCs w:val="24"/>
        </w:rPr>
        <w:t>% level, indicating a statistical difference between both sub</w:t>
      </w:r>
      <w:r w:rsidR="00AF5A16">
        <w:rPr>
          <w:rFonts w:ascii="Times New Roman" w:eastAsiaTheme="minorEastAsia" w:hAnsi="Times New Roman" w:cs="Times New Roman"/>
          <w:sz w:val="24"/>
          <w:szCs w:val="24"/>
        </w:rPr>
        <w:t>-</w:t>
      </w:r>
      <w:r w:rsidRPr="00C82EE1">
        <w:rPr>
          <w:rFonts w:ascii="Times New Roman" w:eastAsiaTheme="minorEastAsia" w:hAnsi="Times New Roman" w:cs="Times New Roman"/>
          <w:sz w:val="24"/>
          <w:szCs w:val="24"/>
        </w:rPr>
        <w:t xml:space="preserve">groups </w:t>
      </w:r>
      <w:r w:rsidR="00610504" w:rsidRPr="00C82EE1">
        <w:rPr>
          <w:rFonts w:ascii="Times New Roman" w:hAnsi="Times New Roman" w:cs="Times New Roman"/>
          <w:sz w:val="24"/>
          <w:szCs w:val="24"/>
        </w:rPr>
        <w:t>(</w:t>
      </w:r>
      <w:proofErr w:type="spellStart"/>
      <w:r w:rsidR="00610504" w:rsidRPr="00C82EE1">
        <w:rPr>
          <w:rFonts w:ascii="Times New Roman" w:hAnsi="Times New Roman" w:cs="Times New Roman"/>
          <w:sz w:val="24"/>
          <w:szCs w:val="24"/>
        </w:rPr>
        <w:t>Holzhacker</w:t>
      </w:r>
      <w:proofErr w:type="spellEnd"/>
      <w:r w:rsidR="00610504" w:rsidRPr="00C82EE1">
        <w:rPr>
          <w:rFonts w:ascii="Times New Roman" w:hAnsi="Times New Roman" w:cs="Times New Roman"/>
          <w:sz w:val="24"/>
          <w:szCs w:val="24"/>
        </w:rPr>
        <w:t xml:space="preserve"> et al., 2015)</w:t>
      </w:r>
      <w:r w:rsidRPr="00C82EE1">
        <w:rPr>
          <w:rFonts w:ascii="Times New Roman" w:eastAsiaTheme="minorEastAsia" w:hAnsi="Times New Roman" w:cs="Times New Roman"/>
          <w:sz w:val="24"/>
          <w:szCs w:val="24"/>
        </w:rPr>
        <w:t>. This result provides support for Hypothesis 2 and indicates that, as the white paper is more readable, the positive association between the level of LC in ICO white papers and the amount raised during the ICO campaign is more pronounced.</w:t>
      </w:r>
      <w:r w:rsidR="00AE2F5C">
        <w:rPr>
          <w:rStyle w:val="Appelnotedebasdep"/>
          <w:rFonts w:ascii="Times New Roman" w:eastAsiaTheme="minorEastAsia" w:hAnsi="Times New Roman" w:cs="Times New Roman"/>
          <w:sz w:val="24"/>
          <w:szCs w:val="24"/>
        </w:rPr>
        <w:footnoteReference w:customMarkFollows="1" w:id="14"/>
        <w:t>14</w:t>
      </w:r>
      <w:r w:rsidRPr="00C82EE1">
        <w:rPr>
          <w:rFonts w:ascii="Times New Roman" w:eastAsiaTheme="minorEastAsia" w:hAnsi="Times New Roman" w:cs="Times New Roman"/>
          <w:sz w:val="24"/>
          <w:szCs w:val="24"/>
        </w:rPr>
        <w:t xml:space="preserve"> Overall, these results illustrate the dynamics between readability and LC and show that investors process both constructs together during their decision-making process.</w:t>
      </w:r>
    </w:p>
    <w:p w14:paraId="404760DD" w14:textId="433BD905" w:rsidR="00481D5B" w:rsidRPr="00C82EE1" w:rsidRDefault="00481D5B" w:rsidP="009C6E52">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5 here.]</w:t>
      </w:r>
    </w:p>
    <w:p w14:paraId="0D5BD55B" w14:textId="77777777" w:rsidR="00481D5B" w:rsidRPr="00C82EE1" w:rsidRDefault="00481D5B" w:rsidP="00CB5640">
      <w:pPr>
        <w:pStyle w:val="Titre2"/>
      </w:pPr>
      <w:r w:rsidRPr="00C82EE1">
        <w:t>Channel analyses</w:t>
      </w:r>
    </w:p>
    <w:p w14:paraId="1133900C" w14:textId="69B5961C" w:rsidR="00481D5B" w:rsidRPr="00C82EE1" w:rsidRDefault="00481D5B" w:rsidP="003E0220">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This section focuses on the identification of the underlying mechanisms that drive this relationship. Specifically, we focus on four mechanisms through which a white paper </w:t>
      </w:r>
      <w:r w:rsidRPr="00C82EE1">
        <w:rPr>
          <w:rFonts w:ascii="Times New Roman" w:hAnsi="Times New Roman" w:cs="Times New Roman"/>
          <w:sz w:val="24"/>
          <w:szCs w:val="24"/>
        </w:rPr>
        <w:lastRenderedPageBreak/>
        <w:t>complexity can affect fundraising: (</w:t>
      </w:r>
      <w:proofErr w:type="spellStart"/>
      <w:r w:rsidRPr="00C82EE1">
        <w:rPr>
          <w:rFonts w:ascii="Times New Roman" w:hAnsi="Times New Roman" w:cs="Times New Roman"/>
          <w:sz w:val="24"/>
          <w:szCs w:val="24"/>
        </w:rPr>
        <w:t>i</w:t>
      </w:r>
      <w:proofErr w:type="spellEnd"/>
      <w:r w:rsidRPr="00C82EE1">
        <w:rPr>
          <w:rFonts w:ascii="Times New Roman" w:hAnsi="Times New Roman" w:cs="Times New Roman"/>
          <w:sz w:val="24"/>
          <w:szCs w:val="24"/>
        </w:rPr>
        <w:t>) enhancing the perceptions on ICO innovation, (ii) improving investor confidence in the ICO quality, (iii) reducing information asymmetry and (iv) increasing investor attention.</w:t>
      </w:r>
      <w:r w:rsidR="00AE2F5C">
        <w:rPr>
          <w:rStyle w:val="Appelnotedebasdep"/>
          <w:rFonts w:ascii="Times New Roman" w:hAnsi="Times New Roman" w:cs="Times New Roman"/>
          <w:sz w:val="24"/>
          <w:szCs w:val="24"/>
        </w:rPr>
        <w:footnoteReference w:customMarkFollows="1" w:id="15"/>
        <w:t>15</w:t>
      </w:r>
      <w:r w:rsidRPr="00C82EE1">
        <w:rPr>
          <w:rFonts w:ascii="Times New Roman" w:hAnsi="Times New Roman" w:cs="Times New Roman"/>
          <w:sz w:val="24"/>
          <w:szCs w:val="24"/>
        </w:rPr>
        <w:t xml:space="preserve"> We follow </w:t>
      </w:r>
      <w:r w:rsidR="00610504" w:rsidRPr="00C82EE1">
        <w:rPr>
          <w:rFonts w:ascii="Times New Roman" w:hAnsi="Times New Roman" w:cs="Times New Roman"/>
          <w:sz w:val="24"/>
          <w:szCs w:val="24"/>
        </w:rPr>
        <w:t>Baron &amp; Kenny (1986)</w:t>
      </w:r>
      <w:r w:rsidRPr="00C82EE1">
        <w:rPr>
          <w:rFonts w:ascii="Times New Roman" w:hAnsi="Times New Roman" w:cs="Times New Roman"/>
          <w:sz w:val="24"/>
          <w:szCs w:val="24"/>
        </w:rPr>
        <w:t xml:space="preserve"> and </w:t>
      </w:r>
      <w:r w:rsidR="00610504" w:rsidRPr="00C82EE1">
        <w:rPr>
          <w:rFonts w:ascii="Times New Roman" w:hAnsi="Times New Roman" w:cs="Times New Roman"/>
          <w:sz w:val="24"/>
          <w:szCs w:val="24"/>
        </w:rPr>
        <w:t>Singh et al. (2022)</w:t>
      </w:r>
      <w:r w:rsidRPr="00C82EE1">
        <w:rPr>
          <w:rFonts w:ascii="Times New Roman" w:hAnsi="Times New Roman" w:cs="Times New Roman"/>
          <w:sz w:val="24"/>
          <w:szCs w:val="24"/>
        </w:rPr>
        <w:t xml:space="preserve"> to assess such indirect impacts and test serial mediation models. For each </w:t>
      </w:r>
      <w:r w:rsidR="00CB5640">
        <w:rPr>
          <w:rFonts w:ascii="Times New Roman" w:hAnsi="Times New Roman" w:cs="Times New Roman"/>
          <w:sz w:val="24"/>
          <w:szCs w:val="24"/>
        </w:rPr>
        <w:t>mechanism</w:t>
      </w:r>
      <w:r w:rsidRPr="00C82EE1">
        <w:rPr>
          <w:rFonts w:ascii="Times New Roman" w:hAnsi="Times New Roman" w:cs="Times New Roman"/>
          <w:sz w:val="24"/>
          <w:szCs w:val="24"/>
        </w:rPr>
        <w:t xml:space="preserve">, we proceed in two steps. We first regress each </w:t>
      </w:r>
      <m:oMath>
        <m:r>
          <w:rPr>
            <w:rFonts w:ascii="Cambria Math" w:hAnsi="Cambria Math" w:cs="Times New Roman"/>
            <w:sz w:val="24"/>
            <w:szCs w:val="24"/>
          </w:rPr>
          <m:t>Mechanism</m:t>
        </m:r>
      </m:oMath>
      <w:r w:rsidRPr="00C82EE1">
        <w:rPr>
          <w:rFonts w:ascii="Times New Roman" w:hAnsi="Times New Roman" w:cs="Times New Roman"/>
          <w:sz w:val="24"/>
          <w:szCs w:val="24"/>
        </w:rPr>
        <w:t xml:space="preserve"> on </w:t>
      </w:r>
      <m:oMath>
        <m:r>
          <w:rPr>
            <w:rFonts w:ascii="Cambria Math" w:hAnsi="Cambria Math" w:cs="Times New Roman"/>
            <w:sz w:val="24"/>
            <w:szCs w:val="24"/>
          </w:rPr>
          <m:t>LC</m:t>
        </m:r>
      </m:oMath>
      <w:r w:rsidRPr="00C82EE1">
        <w:rPr>
          <w:rFonts w:ascii="Times New Roman" w:hAnsi="Times New Roman" w:cs="Times New Roman"/>
          <w:i/>
          <w:sz w:val="24"/>
          <w:szCs w:val="24"/>
        </w:rPr>
        <w:t xml:space="preserve"> </w:t>
      </w:r>
      <w:r w:rsidRPr="00C82EE1">
        <w:rPr>
          <w:rFonts w:ascii="Times New Roman" w:hAnsi="Times New Roman" w:cs="Times New Roman"/>
          <w:sz w:val="24"/>
          <w:szCs w:val="24"/>
        </w:rPr>
        <w:t>to examine the relationship between the two variables:</w:t>
      </w:r>
    </w:p>
    <w:p w14:paraId="0229DCBA" w14:textId="1B9DF623" w:rsidR="00481D5B" w:rsidRPr="00770ADA" w:rsidRDefault="00481D5B" w:rsidP="009C6E52">
      <w:pPr>
        <w:widowControl w:val="0"/>
        <w:autoSpaceDE w:val="0"/>
        <w:autoSpaceDN w:val="0"/>
        <w:spacing w:before="240" w:after="240" w:line="360" w:lineRule="auto"/>
        <w:ind w:left="2138"/>
        <w:jc w:val="center"/>
        <w:rPr>
          <w:rFonts w:ascii="Times New Roman" w:hAnsi="Times New Roman" w:cs="Times New Roman"/>
          <w:sz w:val="24"/>
          <w:szCs w:val="24"/>
        </w:rPr>
      </w:pPr>
      <m:oMath>
        <m:r>
          <w:rPr>
            <w:rFonts w:ascii="Cambria Math" w:hAnsi="Cambria Math" w:cs="Times New Roman"/>
            <w:sz w:val="24"/>
            <w:szCs w:val="24"/>
          </w:rPr>
          <m:t>Mechanism</m:t>
        </m:r>
        <m:r>
          <m:rPr>
            <m:sty m:val="p"/>
          </m:rPr>
          <w:rPr>
            <w:rFonts w:ascii="Cambria Math" w:hAnsi="Cambria Math" w:cs="Times New Roman"/>
            <w:sz w:val="24"/>
            <w:szCs w:val="24"/>
          </w:rPr>
          <m:t xml:space="preserve"> </m:t>
        </m:r>
        <m:r>
          <w:rPr>
            <w:rFonts w:ascii="Cambria Math" w:eastAsia="Times New Roman" w:hAnsi="Cambria Math" w:cs="Times New Roman"/>
            <w:sz w:val="24"/>
            <w:szCs w:val="24"/>
          </w:rPr>
          <m:t>=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LC+ Controls+ε, </m:t>
        </m:r>
      </m:oMath>
      <w:r w:rsidRPr="00770ADA">
        <w:rPr>
          <w:rFonts w:ascii="Times New Roman" w:eastAsia="SimSun" w:hAnsi="Times New Roman" w:cs="Times New Roman"/>
          <w:sz w:val="24"/>
          <w:szCs w:val="24"/>
          <w:lang w:eastAsia="zh-CN"/>
        </w:rPr>
        <w:t xml:space="preserve">         </w:t>
      </w:r>
      <w:r w:rsidRPr="00770ADA">
        <w:rPr>
          <w:rFonts w:ascii="Times New Roman" w:eastAsia="SimSun" w:hAnsi="Times New Roman" w:cs="Times New Roman"/>
          <w:sz w:val="24"/>
          <w:szCs w:val="24"/>
          <w:lang w:eastAsia="zh-CN"/>
        </w:rPr>
        <w:tab/>
      </w:r>
      <w:r w:rsidRPr="00770ADA">
        <w:rPr>
          <w:rFonts w:ascii="Times New Roman" w:eastAsia="SimSun" w:hAnsi="Times New Roman" w:cs="Times New Roman"/>
          <w:sz w:val="24"/>
          <w:szCs w:val="24"/>
          <w:lang w:eastAsia="zh-CN"/>
        </w:rPr>
        <w:tab/>
      </w:r>
      <w:r w:rsidR="003E0220">
        <w:rPr>
          <w:rFonts w:ascii="Times New Roman" w:eastAsia="SimSun" w:hAnsi="Times New Roman" w:cs="Times New Roman"/>
          <w:sz w:val="24"/>
          <w:szCs w:val="24"/>
          <w:lang w:eastAsia="zh-CN"/>
        </w:rPr>
        <w:tab/>
      </w:r>
      <w:r w:rsidRPr="00770ADA">
        <w:rPr>
          <w:rFonts w:ascii="Times New Roman" w:eastAsia="Times New Roman" w:hAnsi="Times New Roman" w:cs="Times New Roman"/>
          <w:sz w:val="24"/>
          <w:szCs w:val="24"/>
        </w:rPr>
        <w:t>(</w:t>
      </w:r>
      <w:r w:rsidRPr="00770ADA">
        <w:rPr>
          <w:rFonts w:ascii="Times New Roman" w:eastAsia="SimSun" w:hAnsi="Times New Roman" w:cs="Times New Roman"/>
          <w:sz w:val="24"/>
          <w:szCs w:val="24"/>
          <w:lang w:eastAsia="zh-CN"/>
        </w:rPr>
        <w:t>5</w:t>
      </w:r>
      <w:r w:rsidRPr="00770ADA">
        <w:rPr>
          <w:rFonts w:ascii="Times New Roman" w:eastAsia="Times New Roman" w:hAnsi="Times New Roman" w:cs="Times New Roman"/>
          <w:sz w:val="24"/>
          <w:szCs w:val="24"/>
        </w:rPr>
        <w:t>)</w:t>
      </w:r>
    </w:p>
    <w:p w14:paraId="1B05802C" w14:textId="7F79CC47" w:rsidR="00481D5B" w:rsidRPr="00C82EE1" w:rsidRDefault="00481D5B" w:rsidP="007F3752">
      <w:pPr>
        <w:spacing w:after="120" w:line="360" w:lineRule="auto"/>
        <w:ind w:firstLine="340"/>
        <w:jc w:val="both"/>
        <w:rPr>
          <w:rFonts w:ascii="Times New Roman" w:eastAsiaTheme="minorEastAsia" w:hAnsi="Times New Roman" w:cs="Times New Roman"/>
          <w:sz w:val="24"/>
          <w:szCs w:val="24"/>
        </w:rPr>
      </w:pPr>
      <w:r w:rsidRPr="00C82EE1">
        <w:rPr>
          <w:rFonts w:ascii="Times New Roman" w:eastAsiaTheme="minorEastAsia" w:hAnsi="Times New Roman" w:cs="Times New Roman"/>
          <w:sz w:val="24"/>
          <w:szCs w:val="24"/>
        </w:rPr>
        <w:t xml:space="preserve">The coefficient for </w:t>
      </w:r>
      <m:oMath>
        <m:r>
          <w:rPr>
            <w:rFonts w:ascii="Cambria Math" w:eastAsiaTheme="minorEastAsia" w:hAnsi="Cambria Math" w:cs="Times New Roman"/>
            <w:sz w:val="24"/>
            <w:szCs w:val="24"/>
          </w:rPr>
          <m:t>LC</m:t>
        </m:r>
      </m:oMath>
      <w:r w:rsidRPr="00C82EE1">
        <w:rPr>
          <w:rFonts w:ascii="Times New Roman" w:eastAsiaTheme="minorEastAsia"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oMath>
      <w:r w:rsidRPr="00C82EE1">
        <w:rPr>
          <w:rFonts w:ascii="Times New Roman" w:eastAsiaTheme="minorEastAsia" w:hAnsi="Times New Roman" w:cs="Times New Roman"/>
          <w:sz w:val="24"/>
          <w:szCs w:val="24"/>
        </w:rPr>
        <w:t xml:space="preserve"> indicates whether our assumptions regarding the impact of LC on the specific </w:t>
      </w:r>
      <w:r w:rsidR="00CB5640">
        <w:rPr>
          <w:rFonts w:ascii="Times New Roman" w:eastAsiaTheme="minorEastAsia" w:hAnsi="Times New Roman" w:cs="Times New Roman"/>
          <w:sz w:val="24"/>
          <w:szCs w:val="24"/>
        </w:rPr>
        <w:t>mechanism</w:t>
      </w:r>
      <w:r w:rsidRPr="00C82EE1">
        <w:rPr>
          <w:rFonts w:ascii="Times New Roman" w:eastAsiaTheme="minorEastAsia" w:hAnsi="Times New Roman" w:cs="Times New Roman"/>
          <w:sz w:val="24"/>
          <w:szCs w:val="24"/>
        </w:rPr>
        <w:t xml:space="preserve"> follows our expectations. In a second step, we regress </w:t>
      </w:r>
      <m:oMath>
        <m:r>
          <w:rPr>
            <w:rFonts w:ascii="Cambria Math" w:eastAsiaTheme="minorEastAsia" w:hAnsi="Cambria Math" w:cs="Times New Roman"/>
            <w:sz w:val="24"/>
            <w:szCs w:val="24"/>
          </w:rPr>
          <m:t>Amount raised</m:t>
        </m:r>
      </m:oMath>
      <w:r w:rsidRPr="00C82EE1">
        <w:rPr>
          <w:rFonts w:ascii="Times New Roman" w:eastAsiaTheme="minorEastAsia" w:hAnsi="Times New Roman" w:cs="Times New Roman"/>
          <w:sz w:val="24"/>
          <w:szCs w:val="24"/>
        </w:rPr>
        <w:t xml:space="preserve"> on </w:t>
      </w:r>
      <m:oMath>
        <m:r>
          <w:rPr>
            <w:rFonts w:ascii="Cambria Math" w:eastAsiaTheme="minorEastAsia" w:hAnsi="Cambria Math" w:cs="Times New Roman"/>
            <w:sz w:val="24"/>
            <w:szCs w:val="24"/>
          </w:rPr>
          <m:t>LC</m:t>
        </m:r>
      </m:oMath>
      <w:r w:rsidRPr="00C82EE1">
        <w:rPr>
          <w:rFonts w:ascii="Times New Roman" w:eastAsiaTheme="minorEastAsia" w:hAnsi="Times New Roman" w:cs="Times New Roman"/>
          <w:i/>
          <w:sz w:val="24"/>
          <w:szCs w:val="24"/>
        </w:rPr>
        <w:t xml:space="preserve"> </w:t>
      </w:r>
      <w:r w:rsidRPr="00C82EE1">
        <w:rPr>
          <w:rFonts w:ascii="Times New Roman" w:eastAsiaTheme="minorEastAsia" w:hAnsi="Times New Roman" w:cs="Times New Roman"/>
          <w:sz w:val="24"/>
          <w:szCs w:val="24"/>
        </w:rPr>
        <w:t xml:space="preserve">and </w:t>
      </w:r>
      <m:oMath>
        <m:r>
          <w:rPr>
            <w:rFonts w:ascii="Cambria Math" w:eastAsiaTheme="minorEastAsia" w:hAnsi="Cambria Math" w:cs="Times New Roman"/>
            <w:sz w:val="24"/>
            <w:szCs w:val="24"/>
          </w:rPr>
          <m:t>Mechanism</m:t>
        </m:r>
      </m:oMath>
      <w:r w:rsidRPr="00C82EE1">
        <w:rPr>
          <w:rFonts w:ascii="Times New Roman" w:eastAsiaTheme="minorEastAsia" w:hAnsi="Times New Roman" w:cs="Times New Roman"/>
          <w:sz w:val="24"/>
          <w:szCs w:val="24"/>
        </w:rPr>
        <w:t xml:space="preserve"> using Equation (6):</w:t>
      </w:r>
    </w:p>
    <w:p w14:paraId="3D12DF18" w14:textId="6BC37764" w:rsidR="00481D5B" w:rsidRPr="00C82EE1" w:rsidRDefault="00481D5B" w:rsidP="009C6E52">
      <w:pPr>
        <w:widowControl w:val="0"/>
        <w:autoSpaceDE w:val="0"/>
        <w:autoSpaceDN w:val="0"/>
        <w:spacing w:before="240" w:after="240" w:line="360" w:lineRule="auto"/>
        <w:ind w:left="720" w:firstLine="720"/>
        <w:jc w:val="center"/>
        <w:rPr>
          <w:rFonts w:ascii="Times New Roman" w:hAnsi="Times New Roman" w:cs="Times New Roman"/>
          <w:sz w:val="24"/>
          <w:szCs w:val="24"/>
        </w:rPr>
      </w:pPr>
      <m:oMath>
        <m:r>
          <w:rPr>
            <w:rFonts w:ascii="Cambria Math" w:eastAsia="Times New Roman" w:hAnsi="Cambria Math" w:cs="Times New Roman"/>
            <w:sz w:val="24"/>
            <w:szCs w:val="24"/>
          </w:rPr>
          <m:t>Amount raised =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LC+</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Mechanism+  Controls+ε,</m:t>
        </m:r>
      </m:oMath>
      <w:r w:rsidRPr="00C82EE1">
        <w:rPr>
          <w:rFonts w:ascii="Times New Roman" w:eastAsia="SimSun" w:hAnsi="Times New Roman" w:cs="Times New Roman"/>
          <w:sz w:val="24"/>
          <w:szCs w:val="24"/>
          <w:lang w:eastAsia="zh-CN"/>
        </w:rPr>
        <w:t xml:space="preserve">        </w:t>
      </w:r>
      <w:r w:rsidR="009C6E52">
        <w:rPr>
          <w:rFonts w:ascii="Times New Roman" w:eastAsia="SimSun" w:hAnsi="Times New Roman" w:cs="Times New Roman"/>
          <w:sz w:val="24"/>
          <w:szCs w:val="24"/>
          <w:lang w:eastAsia="zh-CN"/>
        </w:rPr>
        <w:t xml:space="preserve"> </w:t>
      </w:r>
      <w:r w:rsidR="00BD331B">
        <w:rPr>
          <w:rFonts w:ascii="Times New Roman" w:eastAsia="SimSun" w:hAnsi="Times New Roman" w:cs="Times New Roman"/>
          <w:sz w:val="24"/>
          <w:szCs w:val="24"/>
          <w:lang w:eastAsia="zh-CN"/>
        </w:rPr>
        <w:tab/>
      </w:r>
      <w:r w:rsidRPr="00C82EE1">
        <w:rPr>
          <w:rFonts w:ascii="Times New Roman" w:eastAsia="Times New Roman" w:hAnsi="Times New Roman" w:cs="Times New Roman"/>
          <w:sz w:val="24"/>
          <w:szCs w:val="24"/>
        </w:rPr>
        <w:t>(</w:t>
      </w:r>
      <w:r w:rsidRPr="00C82EE1">
        <w:rPr>
          <w:rFonts w:ascii="Times New Roman" w:eastAsia="SimSun" w:hAnsi="Times New Roman" w:cs="Times New Roman"/>
          <w:sz w:val="24"/>
          <w:szCs w:val="24"/>
          <w:lang w:eastAsia="zh-CN"/>
        </w:rPr>
        <w:t>6</w:t>
      </w:r>
      <w:r w:rsidRPr="00C82EE1">
        <w:rPr>
          <w:rFonts w:ascii="Times New Roman" w:eastAsia="Times New Roman" w:hAnsi="Times New Roman" w:cs="Times New Roman"/>
          <w:sz w:val="24"/>
          <w:szCs w:val="24"/>
        </w:rPr>
        <w:t>)</w:t>
      </w:r>
    </w:p>
    <w:p w14:paraId="180574A9" w14:textId="3350F4C2" w:rsidR="00481D5B" w:rsidRPr="00C82EE1" w:rsidRDefault="00770ADA" w:rsidP="007F3752">
      <w:pPr>
        <w:spacing w:after="120" w:line="360" w:lineRule="auto"/>
        <w:ind w:firstLine="340"/>
        <w:jc w:val="both"/>
        <w:rPr>
          <w:rFonts w:ascii="Times New Roman" w:hAnsi="Times New Roman" w:cs="Times New Roman"/>
          <w:sz w:val="24"/>
          <w:szCs w:val="24"/>
        </w:rPr>
      </w:pPr>
      <w:r>
        <w:rPr>
          <w:rFonts w:ascii="Times New Roman" w:hAnsi="Times New Roman" w:cs="Times New Roman"/>
          <w:sz w:val="24"/>
          <w:szCs w:val="24"/>
        </w:rPr>
        <w:t>a</w:t>
      </w:r>
      <w:r w:rsidR="00481D5B" w:rsidRPr="00C82EE1">
        <w:rPr>
          <w:rFonts w:ascii="Times New Roman" w:hAnsi="Times New Roman" w:cs="Times New Roman"/>
          <w:sz w:val="24"/>
          <w:szCs w:val="24"/>
        </w:rPr>
        <w:t xml:space="preserve"> significant coefficient for </w:t>
      </w:r>
      <m:oMath>
        <m:r>
          <w:rPr>
            <w:rFonts w:ascii="Cambria Math" w:hAnsi="Cambria Math" w:cs="Times New Roman"/>
            <w:sz w:val="24"/>
            <w:szCs w:val="24"/>
          </w:rPr>
          <m:t>LC</m:t>
        </m:r>
      </m:oMath>
      <w:r w:rsidR="00481D5B" w:rsidRPr="00C82EE1">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oMath>
      <w:r w:rsidR="00481D5B" w:rsidRPr="00C82EE1">
        <w:rPr>
          <w:rFonts w:ascii="Times New Roman" w:hAnsi="Times New Roman" w:cs="Times New Roman"/>
          <w:sz w:val="24"/>
          <w:szCs w:val="24"/>
        </w:rPr>
        <w:t xml:space="preserve">), alongside a significant coefficient for </w:t>
      </w:r>
      <m:oMath>
        <m:r>
          <w:rPr>
            <w:rFonts w:ascii="Cambria Math" w:hAnsi="Cambria Math" w:cs="Times New Roman"/>
            <w:sz w:val="24"/>
            <w:szCs w:val="24"/>
          </w:rPr>
          <m:t>Mechanism</m:t>
        </m:r>
        <m:r>
          <m:rPr>
            <m:sty m:val="p"/>
          </m:rPr>
          <w:rPr>
            <w:rFonts w:ascii="Cambria Math" w:hAnsi="Cambria Math" w:cs="Times New Roman"/>
            <w:sz w:val="24"/>
            <w:szCs w:val="24"/>
          </w:rPr>
          <m:t xml:space="preserve"> </m:t>
        </m:r>
      </m:oMath>
      <w:r w:rsidR="00481D5B" w:rsidRPr="00C82EE1">
        <w:rPr>
          <w:rFonts w:ascii="Times New Roman" w:hAnsi="Times New Roman" w:cs="Times New Roman"/>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oMath>
      <w:r w:rsidR="00481D5B" w:rsidRPr="00C82EE1">
        <w:rPr>
          <w:rFonts w:ascii="Times New Roman" w:eastAsiaTheme="minorEastAsia" w:hAnsi="Times New Roman" w:cs="Times New Roman"/>
          <w:sz w:val="24"/>
          <w:szCs w:val="24"/>
        </w:rPr>
        <w:t xml:space="preserve"> </w:t>
      </w:r>
      <w:r w:rsidR="00481D5B" w:rsidRPr="00C82EE1">
        <w:rPr>
          <w:rFonts w:ascii="Times New Roman" w:hAnsi="Times New Roman" w:cs="Times New Roman"/>
          <w:sz w:val="24"/>
          <w:szCs w:val="24"/>
        </w:rPr>
        <w:t xml:space="preserve">indicates that the </w:t>
      </w:r>
      <w:r w:rsidR="001C7CA1">
        <w:rPr>
          <w:rFonts w:ascii="Times New Roman" w:hAnsi="Times New Roman" w:cs="Times New Roman"/>
          <w:sz w:val="24"/>
          <w:szCs w:val="24"/>
        </w:rPr>
        <w:t>impact</w:t>
      </w:r>
      <w:r w:rsidR="00481D5B" w:rsidRPr="00C82EE1">
        <w:rPr>
          <w:rFonts w:ascii="Times New Roman" w:hAnsi="Times New Roman" w:cs="Times New Roman"/>
          <w:sz w:val="24"/>
          <w:szCs w:val="24"/>
        </w:rPr>
        <w:t xml:space="preserve"> of </w:t>
      </w:r>
      <w:r w:rsidR="00595E22">
        <w:rPr>
          <w:rFonts w:ascii="Times New Roman" w:hAnsi="Times New Roman" w:cs="Times New Roman"/>
          <w:sz w:val="24"/>
          <w:szCs w:val="24"/>
        </w:rPr>
        <w:t>LC</w:t>
      </w:r>
      <w:r w:rsidR="00481D5B" w:rsidRPr="00C82EE1">
        <w:rPr>
          <w:rFonts w:ascii="Times New Roman" w:hAnsi="Times New Roman" w:cs="Times New Roman"/>
          <w:sz w:val="24"/>
          <w:szCs w:val="24"/>
        </w:rPr>
        <w:t xml:space="preserve"> on fundraising success persists, although we control for the channel.</w:t>
      </w:r>
    </w:p>
    <w:p w14:paraId="2459422D" w14:textId="10C47106" w:rsidR="00481D5B" w:rsidRPr="00A22B22" w:rsidRDefault="00481D5B" w:rsidP="00E223E9">
      <w:pPr>
        <w:pStyle w:val="Titre3"/>
      </w:pPr>
      <w:r w:rsidRPr="00A22B22">
        <w:t xml:space="preserve">The mediation effect of white paper innovation </w:t>
      </w:r>
    </w:p>
    <w:p w14:paraId="0F4C7677" w14:textId="2F712805" w:rsidR="00481D5B" w:rsidRPr="00C82EE1" w:rsidRDefault="00481D5B" w:rsidP="007F3752">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We first test whether LC enhances the ICO perception of innovation, </w:t>
      </w:r>
      <w:r w:rsidR="007F37CB" w:rsidRPr="00C82EE1">
        <w:rPr>
          <w:rFonts w:ascii="Times New Roman" w:hAnsi="Times New Roman" w:cs="Times New Roman"/>
          <w:sz w:val="24"/>
          <w:szCs w:val="24"/>
        </w:rPr>
        <w:t xml:space="preserve">therefore </w:t>
      </w:r>
      <w:r w:rsidRPr="00C82EE1">
        <w:rPr>
          <w:rFonts w:ascii="Times New Roman" w:hAnsi="Times New Roman" w:cs="Times New Roman"/>
          <w:sz w:val="24"/>
          <w:szCs w:val="24"/>
        </w:rPr>
        <w:t>leading to more funding</w:t>
      </w:r>
      <w:r w:rsidR="00D611C1" w:rsidRPr="00C82EE1">
        <w:rPr>
          <w:rFonts w:ascii="Times New Roman" w:hAnsi="Times New Roman" w:cs="Times New Roman"/>
          <w:sz w:val="24"/>
          <w:szCs w:val="24"/>
        </w:rPr>
        <w:t xml:space="preserve"> </w:t>
      </w:r>
      <w:r w:rsidR="00D611C1" w:rsidRPr="002C79E6">
        <w:rPr>
          <w:rFonts w:ascii="Times New Roman" w:hAnsi="Times New Roman" w:cs="Times New Roman"/>
          <w:sz w:val="24"/>
          <w:szCs w:val="24"/>
        </w:rPr>
        <w:t>(Jiménez-Jiménez &amp; Sanz-Valle, 2011; Lee et al., 2016; Thewissen et al., 2022)</w:t>
      </w:r>
      <w:r w:rsidRPr="002C79E6">
        <w:rPr>
          <w:rFonts w:ascii="Times New Roman" w:hAnsi="Times New Roman" w:cs="Times New Roman"/>
          <w:sz w:val="24"/>
          <w:szCs w:val="24"/>
        </w:rPr>
        <w:t xml:space="preserve">. </w:t>
      </w:r>
      <w:r w:rsidRPr="00C82EE1">
        <w:rPr>
          <w:rFonts w:ascii="Times New Roman" w:hAnsi="Times New Roman" w:cs="Times New Roman"/>
          <w:sz w:val="24"/>
          <w:szCs w:val="24"/>
        </w:rPr>
        <w:t xml:space="preserve">Prior studies indicate that the technicality of a project or product is associated with the development of new technologies and products </w:t>
      </w:r>
      <w:r w:rsidR="00D611C1" w:rsidRPr="00C82EE1">
        <w:rPr>
          <w:rFonts w:ascii="Times New Roman" w:hAnsi="Times New Roman" w:cs="Times New Roman"/>
          <w:sz w:val="24"/>
          <w:szCs w:val="24"/>
        </w:rPr>
        <w:t>(</w:t>
      </w:r>
      <w:proofErr w:type="spellStart"/>
      <w:r w:rsidR="00D611C1" w:rsidRPr="00C82EE1">
        <w:rPr>
          <w:rFonts w:ascii="Times New Roman" w:hAnsi="Times New Roman" w:cs="Times New Roman"/>
          <w:sz w:val="24"/>
          <w:szCs w:val="24"/>
        </w:rPr>
        <w:t>Voncken</w:t>
      </w:r>
      <w:proofErr w:type="spellEnd"/>
      <w:r w:rsidR="00D611C1" w:rsidRPr="00C82EE1">
        <w:rPr>
          <w:rFonts w:ascii="Times New Roman" w:hAnsi="Times New Roman" w:cs="Times New Roman"/>
          <w:sz w:val="24"/>
          <w:szCs w:val="24"/>
        </w:rPr>
        <w:t xml:space="preserve"> et al., 2004)</w:t>
      </w:r>
      <w:r w:rsidRPr="00C82EE1">
        <w:rPr>
          <w:rFonts w:ascii="Times New Roman" w:hAnsi="Times New Roman" w:cs="Times New Roman"/>
          <w:sz w:val="24"/>
          <w:szCs w:val="24"/>
        </w:rPr>
        <w:t xml:space="preserve">, leading to a higher degree of innovation around these projects or products </w:t>
      </w:r>
      <w:r w:rsidR="00D611C1" w:rsidRPr="00C82EE1">
        <w:rPr>
          <w:rFonts w:ascii="Times New Roman" w:hAnsi="Times New Roman" w:cs="Times New Roman"/>
          <w:sz w:val="24"/>
          <w:szCs w:val="24"/>
        </w:rPr>
        <w:t>(Jiménez-Jiménez &amp; Sanz-Valle, 2011; Lee et al., 2016)</w:t>
      </w:r>
      <w:r w:rsidRPr="00C82EE1">
        <w:rPr>
          <w:rFonts w:ascii="Times New Roman" w:hAnsi="Times New Roman" w:cs="Times New Roman"/>
          <w:sz w:val="24"/>
          <w:szCs w:val="24"/>
        </w:rPr>
        <w:t xml:space="preserve">. A product incorporating significant improvements in technical sophistication is seen as innovative </w:t>
      </w:r>
      <w:r w:rsidR="00D611C1" w:rsidRPr="00C82EE1">
        <w:rPr>
          <w:rFonts w:ascii="Times New Roman" w:hAnsi="Times New Roman" w:cs="Times New Roman"/>
          <w:sz w:val="24"/>
          <w:szCs w:val="24"/>
        </w:rPr>
        <w:t>(Lee et al., 2016)</w:t>
      </w:r>
      <w:r w:rsidRPr="00C82EE1">
        <w:rPr>
          <w:rFonts w:ascii="Times New Roman" w:hAnsi="Times New Roman" w:cs="Times New Roman"/>
          <w:sz w:val="24"/>
          <w:szCs w:val="24"/>
        </w:rPr>
        <w:t xml:space="preserve">, which is also a key driver of firm innovation </w:t>
      </w:r>
      <w:r w:rsidR="00D611C1" w:rsidRPr="00C82EE1">
        <w:rPr>
          <w:rFonts w:ascii="Times New Roman" w:hAnsi="Times New Roman" w:cs="Times New Roman"/>
          <w:sz w:val="24"/>
          <w:szCs w:val="24"/>
        </w:rPr>
        <w:t>(Dougherty &amp; Hardy, 1996)</w:t>
      </w:r>
      <w:r w:rsidRPr="00C82EE1">
        <w:rPr>
          <w:rFonts w:ascii="Times New Roman" w:hAnsi="Times New Roman" w:cs="Times New Roman"/>
          <w:sz w:val="24"/>
          <w:szCs w:val="24"/>
        </w:rPr>
        <w:t xml:space="preserve">. Innovation has been related to performance in the context of crowdfunding and venture firms </w:t>
      </w:r>
      <w:r w:rsidR="00D237B0" w:rsidRPr="00C82EE1">
        <w:rPr>
          <w:rFonts w:ascii="Times New Roman" w:hAnsi="Times New Roman" w:cs="Times New Roman"/>
          <w:sz w:val="24"/>
          <w:szCs w:val="24"/>
        </w:rPr>
        <w:t>(Barraza, 2019; Thewissen</w:t>
      </w:r>
      <w:r w:rsidR="00EC661E" w:rsidRPr="00C82EE1">
        <w:rPr>
          <w:rFonts w:ascii="Times New Roman" w:hAnsi="Times New Roman" w:cs="Times New Roman"/>
          <w:sz w:val="24"/>
          <w:szCs w:val="24"/>
        </w:rPr>
        <w:t xml:space="preserve"> </w:t>
      </w:r>
      <w:r w:rsidR="00D237B0" w:rsidRPr="00C82EE1">
        <w:rPr>
          <w:rFonts w:ascii="Times New Roman" w:hAnsi="Times New Roman" w:cs="Times New Roman"/>
          <w:sz w:val="24"/>
          <w:szCs w:val="24"/>
        </w:rPr>
        <w:t>et al., 2022)</w:t>
      </w:r>
      <w:r w:rsidRPr="00C82EE1">
        <w:rPr>
          <w:rFonts w:ascii="Times New Roman" w:hAnsi="Times New Roman" w:cs="Times New Roman"/>
          <w:sz w:val="24"/>
          <w:szCs w:val="24"/>
        </w:rPr>
        <w:t xml:space="preserve">. For instance, </w:t>
      </w:r>
      <w:r w:rsidR="00D611C1" w:rsidRPr="00C82EE1">
        <w:rPr>
          <w:rFonts w:ascii="Times New Roman" w:hAnsi="Times New Roman" w:cs="Times New Roman"/>
          <w:sz w:val="24"/>
          <w:szCs w:val="24"/>
        </w:rPr>
        <w:t>Howell et al. (2020)</w:t>
      </w:r>
      <w:r w:rsidRPr="00C82EE1">
        <w:rPr>
          <w:rFonts w:ascii="Times New Roman" w:hAnsi="Times New Roman" w:cs="Times New Roman"/>
          <w:sz w:val="24"/>
          <w:szCs w:val="24"/>
        </w:rPr>
        <w:t xml:space="preserve"> find that ICOs characterized by data computing and blockchain protocols obtain better performance, while </w:t>
      </w:r>
      <w:r w:rsidR="00D611C1" w:rsidRPr="00C82EE1">
        <w:rPr>
          <w:rFonts w:ascii="Times New Roman" w:hAnsi="Times New Roman" w:cs="Times New Roman"/>
          <w:sz w:val="24"/>
          <w:szCs w:val="24"/>
        </w:rPr>
        <w:lastRenderedPageBreak/>
        <w:t xml:space="preserve">Chan &amp; </w:t>
      </w:r>
      <w:proofErr w:type="spellStart"/>
      <w:r w:rsidR="00D611C1" w:rsidRPr="00C82EE1">
        <w:rPr>
          <w:rFonts w:ascii="Times New Roman" w:hAnsi="Times New Roman" w:cs="Times New Roman"/>
          <w:sz w:val="24"/>
          <w:szCs w:val="24"/>
        </w:rPr>
        <w:t>Parhankangas</w:t>
      </w:r>
      <w:proofErr w:type="spellEnd"/>
      <w:r w:rsidR="00D611C1" w:rsidRPr="00C82EE1">
        <w:rPr>
          <w:rFonts w:ascii="Times New Roman" w:hAnsi="Times New Roman" w:cs="Times New Roman"/>
          <w:sz w:val="24"/>
          <w:szCs w:val="24"/>
        </w:rPr>
        <w:t xml:space="preserve"> (2017)</w:t>
      </w:r>
      <w:r w:rsidRPr="00C82EE1">
        <w:rPr>
          <w:rFonts w:ascii="Times New Roman" w:hAnsi="Times New Roman" w:cs="Times New Roman"/>
          <w:sz w:val="24"/>
          <w:szCs w:val="24"/>
        </w:rPr>
        <w:t xml:space="preserve"> find that incremental innovativeness results in more favorable funding outcomes in crowdfunding campaigns. We therefore propose that the degree of technicality in a white paper mediates the relationship between the level of LC in white papers and the ICO fundraising success</w:t>
      </w:r>
      <w:r w:rsidR="001C7CA1">
        <w:rPr>
          <w:rFonts w:ascii="Times New Roman" w:hAnsi="Times New Roman" w:cs="Times New Roman"/>
          <w:sz w:val="24"/>
          <w:szCs w:val="24"/>
        </w:rPr>
        <w:t>.</w:t>
      </w:r>
    </w:p>
    <w:p w14:paraId="03697CF7" w14:textId="153556DB" w:rsidR="00481D5B" w:rsidRPr="00C82EE1" w:rsidRDefault="00481D5B" w:rsidP="00B45657">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To measure the technicality of a white paper </w:t>
      </w:r>
      <m:oMath>
        <m:r>
          <w:rPr>
            <w:rFonts w:ascii="Cambria Math" w:hAnsi="Cambria Math" w:cs="Times New Roman"/>
            <w:sz w:val="24"/>
            <w:szCs w:val="24"/>
          </w:rPr>
          <m:t>(Technicality)</m:t>
        </m:r>
      </m:oMath>
      <w:r w:rsidRPr="00C82EE1">
        <w:rPr>
          <w:rFonts w:ascii="Times New Roman" w:hAnsi="Times New Roman" w:cs="Times New Roman"/>
          <w:sz w:val="24"/>
          <w:szCs w:val="24"/>
        </w:rPr>
        <w:t xml:space="preserve">, we rely on </w:t>
      </w:r>
      <w:r w:rsidR="00D611C1" w:rsidRPr="00C82EE1">
        <w:rPr>
          <w:rFonts w:ascii="Times New Roman" w:hAnsi="Times New Roman" w:cs="Times New Roman"/>
          <w:sz w:val="24"/>
          <w:szCs w:val="24"/>
        </w:rPr>
        <w:t>Thewissen et al. (2022)</w:t>
      </w:r>
      <w:r w:rsidRPr="00C82EE1">
        <w:rPr>
          <w:rFonts w:ascii="Times New Roman" w:hAnsi="Times New Roman" w:cs="Times New Roman"/>
          <w:sz w:val="24"/>
          <w:szCs w:val="24"/>
        </w:rPr>
        <w:t xml:space="preserve"> and </w:t>
      </w:r>
      <w:r w:rsidR="00D611C1" w:rsidRPr="00C82EE1">
        <w:rPr>
          <w:rFonts w:ascii="Times New Roman" w:hAnsi="Times New Roman" w:cs="Times New Roman"/>
          <w:sz w:val="24"/>
          <w:szCs w:val="24"/>
        </w:rPr>
        <w:t xml:space="preserve">Xia et al. </w:t>
      </w:r>
      <w:r w:rsidR="00EC661E" w:rsidRPr="00C82EE1">
        <w:rPr>
          <w:rFonts w:ascii="Times New Roman" w:hAnsi="Times New Roman" w:cs="Times New Roman"/>
          <w:sz w:val="24"/>
          <w:szCs w:val="24"/>
        </w:rPr>
        <w:t>(</w:t>
      </w:r>
      <w:r w:rsidR="00D611C1" w:rsidRPr="00C82EE1">
        <w:rPr>
          <w:rFonts w:ascii="Times New Roman" w:hAnsi="Times New Roman" w:cs="Times New Roman"/>
          <w:sz w:val="24"/>
          <w:szCs w:val="24"/>
        </w:rPr>
        <w:t>2024c</w:t>
      </w:r>
      <w:r w:rsidR="00EC661E"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modeling approach by adding the sentences to technological-related topics in white papers. In their study, they identify 10 topic categories: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ICO</w:t>
      </w:r>
      <w:r w:rsidR="00AD4704" w:rsidRPr="00C82EE1">
        <w:rPr>
          <w:rFonts w:ascii="Times New Roman" w:hAnsi="Times New Roman" w:cs="Times New Roman"/>
          <w:sz w:val="24"/>
          <w:szCs w:val="24"/>
        </w:rPr>
        <w:t>"</w:t>
      </w:r>
      <w:r w:rsidR="00535880">
        <w:rPr>
          <w:rFonts w:ascii="Times New Roman" w:hAnsi="Times New Roman" w:cs="Times New Roman"/>
          <w:sz w:val="24"/>
          <w:szCs w:val="24"/>
        </w:rPr>
        <w:t>,</w:t>
      </w:r>
      <w:r w:rsidR="00AD4704" w:rsidRPr="00C82EE1">
        <w:rPr>
          <w:rFonts w:ascii="Times New Roman" w:hAnsi="Times New Roman" w:cs="Times New Roman"/>
          <w:sz w:val="24"/>
          <w:szCs w:val="24"/>
        </w:rPr>
        <w:t xml:space="preserve"> "</w:t>
      </w:r>
      <w:r w:rsidRPr="00C82EE1">
        <w:rPr>
          <w:rFonts w:ascii="Times New Roman" w:hAnsi="Times New Roman" w:cs="Times New Roman"/>
          <w:i/>
          <w:sz w:val="24"/>
          <w:szCs w:val="24"/>
        </w:rPr>
        <w:t>Blockchain</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Mining</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Security</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People</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Product</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Profitability</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Network</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Innovation</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and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Risk</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We select topics under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Blockchain</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Mining</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Security</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Network</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and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Innovation</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as technology-related topics.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Blockchain</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describes blockchain development and smart contract design.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Mining</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specifies mining-related details.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Security</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discusses on-chain encryption and regulatory issues.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Network</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focuses on digital platforms building.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Innovation</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emphasizes research, data, and AI issues. For topics that are not considered technology-related,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ICO</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describes ICO details such as sale timelines and roadmaps.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People</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introduces team member expertise.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Profitability</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focuses on investment and market size. The </w:t>
      </w:r>
      <w:r w:rsidR="00AD4704" w:rsidRPr="00C82EE1">
        <w:rPr>
          <w:rFonts w:ascii="Times New Roman" w:hAnsi="Times New Roman" w:cs="Times New Roman"/>
          <w:sz w:val="24"/>
          <w:szCs w:val="24"/>
        </w:rPr>
        <w:t>"</w:t>
      </w:r>
      <w:r w:rsidRPr="00C82EE1">
        <w:rPr>
          <w:rFonts w:ascii="Times New Roman" w:hAnsi="Times New Roman" w:cs="Times New Roman"/>
          <w:i/>
          <w:sz w:val="24"/>
          <w:szCs w:val="24"/>
        </w:rPr>
        <w:t>Risk</w:t>
      </w:r>
      <w:r w:rsidR="00AD4704" w:rsidRPr="00C82EE1">
        <w:rPr>
          <w:rFonts w:ascii="Times New Roman" w:hAnsi="Times New Roman" w:cs="Times New Roman"/>
          <w:sz w:val="24"/>
          <w:szCs w:val="24"/>
        </w:rPr>
        <w:t>"</w:t>
      </w:r>
      <w:r w:rsidRPr="00C82EE1">
        <w:rPr>
          <w:rFonts w:ascii="Times New Roman" w:hAnsi="Times New Roman" w:cs="Times New Roman"/>
          <w:sz w:val="24"/>
          <w:szCs w:val="24"/>
        </w:rPr>
        <w:t xml:space="preserve"> topic focuses on legal risk issues. </w:t>
      </w:r>
      <w:r w:rsidRPr="00C82EE1">
        <w:rPr>
          <w:rFonts w:ascii="Times New Roman" w:eastAsiaTheme="minorEastAsia" w:hAnsi="Times New Roman" w:cs="Times New Roman"/>
          <w:sz w:val="24"/>
          <w:szCs w:val="24"/>
        </w:rPr>
        <w:t>The results for Equation (5)</w:t>
      </w:r>
      <w:r w:rsidR="00BD331B">
        <w:rPr>
          <w:rFonts w:ascii="Times New Roman" w:eastAsiaTheme="minorEastAsia" w:hAnsi="Times New Roman" w:cs="Times New Roman"/>
          <w:sz w:val="24"/>
          <w:szCs w:val="24"/>
        </w:rPr>
        <w:t xml:space="preserve"> </w:t>
      </w:r>
      <w:r w:rsidRPr="00C82EE1">
        <w:rPr>
          <w:rFonts w:ascii="Times New Roman" w:eastAsiaTheme="minorEastAsia" w:hAnsi="Times New Roman" w:cs="Times New Roman"/>
          <w:sz w:val="24"/>
          <w:szCs w:val="24"/>
        </w:rPr>
        <w:t xml:space="preserve">with </w:t>
      </w:r>
      <m:oMath>
        <m:r>
          <w:rPr>
            <w:rFonts w:ascii="Cambria Math" w:eastAsia="Times New Roman" w:hAnsi="Cambria Math" w:cs="Times New Roman"/>
            <w:sz w:val="24"/>
            <w:szCs w:val="24"/>
          </w:rPr>
          <m:t>Technicality</m:t>
        </m:r>
      </m:oMath>
      <w:r w:rsidRPr="00C82EE1">
        <w:rPr>
          <w:rFonts w:ascii="Times New Roman" w:eastAsia="Times New Roman" w:hAnsi="Times New Roman" w:cs="Times New Roman"/>
          <w:i/>
          <w:sz w:val="24"/>
          <w:szCs w:val="24"/>
        </w:rPr>
        <w:t xml:space="preserve"> </w:t>
      </w:r>
      <w:r w:rsidRPr="00C82EE1">
        <w:rPr>
          <w:rFonts w:ascii="Times New Roman" w:eastAsiaTheme="minorEastAsia" w:hAnsi="Times New Roman" w:cs="Times New Roman"/>
          <w:sz w:val="24"/>
          <w:szCs w:val="24"/>
        </w:rPr>
        <w:t xml:space="preserve">as a </w:t>
      </w:r>
      <w:r w:rsidR="00BD331B">
        <w:rPr>
          <w:rFonts w:ascii="Times New Roman" w:eastAsiaTheme="minorEastAsia" w:hAnsi="Times New Roman" w:cs="Times New Roman"/>
          <w:sz w:val="24"/>
          <w:szCs w:val="24"/>
        </w:rPr>
        <w:t>mechanism</w:t>
      </w:r>
      <w:r w:rsidRPr="00C82EE1">
        <w:rPr>
          <w:rFonts w:ascii="Times New Roman" w:eastAsiaTheme="minorEastAsia" w:hAnsi="Times New Roman" w:cs="Times New Roman"/>
          <w:sz w:val="24"/>
          <w:szCs w:val="24"/>
        </w:rPr>
        <w:t xml:space="preserve"> are reported in Model (1) of Table 6. We find a positive and significant relationship between </w:t>
      </w:r>
      <m:oMath>
        <m:r>
          <w:rPr>
            <w:rFonts w:ascii="Cambria Math" w:eastAsiaTheme="minorEastAsia" w:hAnsi="Cambria Math" w:cs="Times New Roman"/>
            <w:sz w:val="24"/>
            <w:szCs w:val="24"/>
          </w:rPr>
          <m:t>LC</m:t>
        </m:r>
      </m:oMath>
      <w:r w:rsidRPr="00C82EE1">
        <w:rPr>
          <w:rFonts w:ascii="Times New Roman" w:eastAsiaTheme="minorEastAsia" w:hAnsi="Times New Roman" w:cs="Times New Roman"/>
          <w:i/>
          <w:sz w:val="24"/>
          <w:szCs w:val="24"/>
        </w:rPr>
        <w:t xml:space="preserve"> </w:t>
      </w:r>
      <w:r w:rsidRPr="00C82EE1">
        <w:rPr>
          <w:rFonts w:ascii="Times New Roman" w:eastAsiaTheme="minorEastAsia" w:hAnsi="Times New Roman" w:cs="Times New Roman"/>
          <w:sz w:val="24"/>
          <w:szCs w:val="24"/>
        </w:rPr>
        <w:t xml:space="preserve">and </w:t>
      </w:r>
      <m:oMath>
        <m:r>
          <w:rPr>
            <w:rFonts w:ascii="Cambria Math" w:eastAsiaTheme="minorEastAsia" w:hAnsi="Cambria Math" w:cs="Times New Roman"/>
            <w:sz w:val="24"/>
            <w:szCs w:val="24"/>
          </w:rPr>
          <m:t>Technicality</m:t>
        </m:r>
      </m:oMath>
      <w:r w:rsidRPr="00C82EE1">
        <w:rPr>
          <w:rFonts w:ascii="Times New Roman" w:eastAsiaTheme="minorEastAsia" w:hAnsi="Times New Roman" w:cs="Times New Roman"/>
          <w:sz w:val="24"/>
          <w:szCs w:val="24"/>
        </w:rPr>
        <w:t xml:space="preserve">, which is statistically significant (at </w:t>
      </w:r>
      <w:r w:rsidR="00DB2699">
        <w:rPr>
          <w:rFonts w:ascii="Times New Roman" w:eastAsiaTheme="minorEastAsia" w:hAnsi="Times New Roman" w:cs="Times New Roman"/>
          <w:sz w:val="24"/>
          <w:szCs w:val="24"/>
        </w:rPr>
        <w:t>the</w:t>
      </w:r>
      <w:r w:rsidR="00DB2699" w:rsidRPr="00C82EE1">
        <w:rPr>
          <w:rFonts w:ascii="Times New Roman" w:eastAsiaTheme="minorEastAsia" w:hAnsi="Times New Roman" w:cs="Times New Roman"/>
          <w:sz w:val="24"/>
          <w:szCs w:val="24"/>
        </w:rPr>
        <w:t xml:space="preserve"> </w:t>
      </w:r>
      <w:r w:rsidR="00DB2699">
        <w:rPr>
          <w:rFonts w:ascii="Times New Roman" w:eastAsiaTheme="minorEastAsia" w:hAnsi="Times New Roman" w:cs="Times New Roman"/>
          <w:sz w:val="24"/>
          <w:szCs w:val="24"/>
        </w:rPr>
        <w:t>1</w:t>
      </w:r>
      <w:r w:rsidRPr="00C82EE1">
        <w:rPr>
          <w:rFonts w:ascii="Times New Roman" w:eastAsiaTheme="minorEastAsia" w:hAnsi="Times New Roman" w:cs="Times New Roman"/>
          <w:sz w:val="24"/>
          <w:szCs w:val="24"/>
        </w:rPr>
        <w:t xml:space="preserve">% level). This provides evidence that lexically complex white papers provide more technical content and are therefore more innovative. </w:t>
      </w:r>
    </w:p>
    <w:p w14:paraId="6E25AB83" w14:textId="34CF7BBB" w:rsidR="00481D5B" w:rsidRPr="00C82EE1" w:rsidRDefault="00481D5B" w:rsidP="00B45657">
      <w:pPr>
        <w:spacing w:after="120" w:line="360" w:lineRule="auto"/>
        <w:ind w:firstLine="340"/>
        <w:jc w:val="both"/>
        <w:rPr>
          <w:rFonts w:ascii="Times New Roman" w:eastAsia="Times New Roman" w:hAnsi="Times New Roman" w:cs="Times New Roman"/>
          <w:sz w:val="24"/>
          <w:szCs w:val="24"/>
        </w:rPr>
      </w:pPr>
      <w:r w:rsidRPr="007F3752">
        <w:rPr>
          <w:rFonts w:ascii="Times New Roman" w:eastAsia="Times New Roman" w:hAnsi="Times New Roman" w:cs="Times New Roman"/>
          <w:sz w:val="24"/>
          <w:szCs w:val="24"/>
        </w:rPr>
        <w:t xml:space="preserve">The results for Equation (6) are reported in Model (2) of Table 6. The coefficients of both </w:t>
      </w:r>
      <m:oMath>
        <m:r>
          <w:rPr>
            <w:rFonts w:ascii="Cambria Math" w:eastAsia="Times New Roman" w:hAnsi="Cambria Math" w:cs="Times New Roman"/>
            <w:sz w:val="24"/>
            <w:szCs w:val="24"/>
          </w:rPr>
          <m:t>LC</m:t>
        </m:r>
      </m:oMath>
      <w:r w:rsidRPr="007F3752">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Technicality</m:t>
        </m:r>
      </m:oMath>
      <w:r w:rsidRPr="007F3752">
        <w:rPr>
          <w:rFonts w:ascii="Times New Roman" w:eastAsia="Times New Roman" w:hAnsi="Times New Roman" w:cs="Times New Roman"/>
          <w:sz w:val="24"/>
          <w:szCs w:val="24"/>
        </w:rPr>
        <w:t xml:space="preserve"> remain positive and significant. We find that the relationship between </w:t>
      </w:r>
      <m:oMath>
        <m:r>
          <w:rPr>
            <w:rFonts w:ascii="Cambria Math" w:eastAsia="Times New Roman" w:hAnsi="Cambria Math" w:cs="Times New Roman"/>
            <w:sz w:val="24"/>
            <w:szCs w:val="24"/>
          </w:rPr>
          <m:t>LC</m:t>
        </m:r>
      </m:oMath>
      <w:r w:rsidRPr="007F3752">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Amount raised</m:t>
        </m:r>
      </m:oMath>
      <w:r w:rsidRPr="007F3752">
        <w:rPr>
          <w:rFonts w:ascii="Times New Roman" w:eastAsia="Times New Roman" w:hAnsi="Times New Roman" w:cs="Times New Roman"/>
          <w:sz w:val="24"/>
          <w:szCs w:val="24"/>
        </w:rPr>
        <w:t xml:space="preserve"> is similar in terms of direction and significance, suggesting a partial mediation of </w:t>
      </w:r>
      <m:oMath>
        <m:r>
          <w:rPr>
            <w:rFonts w:ascii="Cambria Math" w:eastAsia="Times New Roman" w:hAnsi="Cambria Math" w:cs="Times New Roman"/>
            <w:sz w:val="24"/>
            <w:szCs w:val="24"/>
          </w:rPr>
          <m:t>Technicality</m:t>
        </m:r>
      </m:oMath>
      <w:r w:rsidRPr="007F3752">
        <w:rPr>
          <w:rFonts w:ascii="Times New Roman" w:eastAsia="Times New Roman" w:hAnsi="Times New Roman" w:cs="Times New Roman"/>
          <w:sz w:val="24"/>
          <w:szCs w:val="24"/>
        </w:rPr>
        <w:t xml:space="preserve">. This result indicates that LC leads to higher perceptions of innovation from investors while they read the ICO white paper (Model (1)) </w:t>
      </w:r>
      <w:r w:rsidR="00D611C1" w:rsidRPr="007F3752">
        <w:rPr>
          <w:rFonts w:ascii="Times New Roman" w:eastAsia="Times New Roman" w:hAnsi="Times New Roman" w:cs="Times New Roman"/>
          <w:sz w:val="24"/>
          <w:szCs w:val="24"/>
        </w:rPr>
        <w:t>(Jiménez-Jiménez &amp; Sanz-Valle, 2011; Lee et al., 2016; Mahmood et al., 2019)</w:t>
      </w:r>
      <w:r w:rsidRPr="007F3752">
        <w:rPr>
          <w:rFonts w:ascii="Times New Roman" w:eastAsia="Times New Roman" w:hAnsi="Times New Roman" w:cs="Times New Roman"/>
          <w:sz w:val="24"/>
          <w:szCs w:val="24"/>
        </w:rPr>
        <w:t xml:space="preserve">, which in turn contributes to greater funding outcome (Model (2)) </w:t>
      </w:r>
      <w:r w:rsidR="00D611C1" w:rsidRPr="007F3752">
        <w:rPr>
          <w:rFonts w:ascii="Times New Roman" w:eastAsia="Times New Roman" w:hAnsi="Times New Roman" w:cs="Times New Roman"/>
          <w:sz w:val="24"/>
          <w:szCs w:val="24"/>
        </w:rPr>
        <w:t xml:space="preserve">(Chan &amp; </w:t>
      </w:r>
      <w:proofErr w:type="spellStart"/>
      <w:r w:rsidR="00D611C1" w:rsidRPr="007F3752">
        <w:rPr>
          <w:rFonts w:ascii="Times New Roman" w:eastAsia="Times New Roman" w:hAnsi="Times New Roman" w:cs="Times New Roman"/>
          <w:sz w:val="24"/>
          <w:szCs w:val="24"/>
        </w:rPr>
        <w:t>Parhankangas</w:t>
      </w:r>
      <w:proofErr w:type="spellEnd"/>
      <w:r w:rsidR="00D611C1" w:rsidRPr="007F3752">
        <w:rPr>
          <w:rFonts w:ascii="Times New Roman" w:eastAsia="Times New Roman" w:hAnsi="Times New Roman" w:cs="Times New Roman"/>
          <w:sz w:val="24"/>
          <w:szCs w:val="24"/>
        </w:rPr>
        <w:t xml:space="preserve">, 2017; Mahmood et al., 2019). </w:t>
      </w:r>
      <w:r w:rsidRPr="007F3752">
        <w:rPr>
          <w:rFonts w:ascii="Times New Roman" w:eastAsia="Times New Roman" w:hAnsi="Times New Roman" w:cs="Times New Roman"/>
          <w:sz w:val="24"/>
          <w:szCs w:val="24"/>
        </w:rPr>
        <w:t xml:space="preserve">However, the direct effect of </w:t>
      </w:r>
      <m:oMath>
        <m:r>
          <w:rPr>
            <w:rFonts w:ascii="Cambria Math" w:eastAsia="Times New Roman" w:hAnsi="Cambria Math" w:cs="Times New Roman"/>
            <w:sz w:val="24"/>
            <w:szCs w:val="24"/>
          </w:rPr>
          <m:t>LC</m:t>
        </m:r>
      </m:oMath>
      <w:r w:rsidRPr="007F3752">
        <w:rPr>
          <w:rFonts w:ascii="Times New Roman" w:eastAsia="Times New Roman" w:hAnsi="Times New Roman" w:cs="Times New Roman"/>
          <w:sz w:val="24"/>
          <w:szCs w:val="24"/>
        </w:rPr>
        <w:t xml:space="preserve"> on the </w:t>
      </w:r>
      <m:oMath>
        <m:r>
          <w:rPr>
            <w:rFonts w:ascii="Cambria Math" w:eastAsia="Times New Roman" w:hAnsi="Cambria Math" w:cs="Times New Roman"/>
            <w:sz w:val="24"/>
            <w:szCs w:val="24"/>
          </w:rPr>
          <m:t>Amount raised</m:t>
        </m:r>
      </m:oMath>
      <w:r w:rsidRPr="007F3752">
        <w:rPr>
          <w:rFonts w:ascii="Times New Roman" w:eastAsia="Times New Roman" w:hAnsi="Times New Roman" w:cs="Times New Roman"/>
          <w:sz w:val="24"/>
          <w:szCs w:val="24"/>
        </w:rPr>
        <w:t xml:space="preserve"> still holds even after controlling for </w:t>
      </w:r>
      <m:oMath>
        <m:r>
          <w:rPr>
            <w:rFonts w:ascii="Cambria Math" w:eastAsia="Times New Roman" w:hAnsi="Cambria Math" w:cs="Times New Roman"/>
            <w:sz w:val="24"/>
            <w:szCs w:val="24"/>
          </w:rPr>
          <m:t>Technicality</m:t>
        </m:r>
      </m:oMath>
      <w:r w:rsidRPr="007F3752">
        <w:rPr>
          <w:rFonts w:ascii="Times New Roman" w:eastAsia="Times New Roman" w:hAnsi="Times New Roman" w:cs="Times New Roman"/>
          <w:sz w:val="24"/>
          <w:szCs w:val="24"/>
        </w:rPr>
        <w:t>.</w:t>
      </w:r>
    </w:p>
    <w:p w14:paraId="3631B15C" w14:textId="77777777" w:rsidR="00481D5B" w:rsidRPr="00063208" w:rsidRDefault="00481D5B" w:rsidP="00E223E9">
      <w:pPr>
        <w:pStyle w:val="Titre3"/>
      </w:pPr>
      <w:r w:rsidRPr="00063208">
        <w:t xml:space="preserve">The mediation effect of ICO quality </w:t>
      </w:r>
    </w:p>
    <w:p w14:paraId="31C421BD" w14:textId="6585C576" w:rsidR="00481D5B" w:rsidRPr="00C82EE1" w:rsidRDefault="00226C33" w:rsidP="007F3752">
      <w:pPr>
        <w:widowControl w:val="0"/>
        <w:autoSpaceDE w:val="0"/>
        <w:autoSpaceDN w:val="0"/>
        <w:spacing w:after="120" w:line="360" w:lineRule="auto"/>
        <w:jc w:val="both"/>
        <w:rPr>
          <w:rFonts w:ascii="Times New Roman" w:eastAsia="Times New Roman" w:hAnsi="Times New Roman" w:cs="Times New Roman"/>
          <w:sz w:val="24"/>
          <w:szCs w:val="24"/>
        </w:rPr>
      </w:pPr>
      <w:r w:rsidRPr="00C82EE1">
        <w:rPr>
          <w:rFonts w:ascii="Times New Roman" w:hAnsi="Times New Roman" w:cs="Times New Roman"/>
          <w:sz w:val="24"/>
          <w:szCs w:val="24"/>
        </w:rPr>
        <w:t xml:space="preserve">Prior marketing research has explored the role of product complexity in shaping perceived </w:t>
      </w:r>
      <w:r w:rsidRPr="00C82EE1">
        <w:rPr>
          <w:rFonts w:ascii="Times New Roman" w:hAnsi="Times New Roman" w:cs="Times New Roman"/>
          <w:sz w:val="24"/>
          <w:szCs w:val="24"/>
        </w:rPr>
        <w:lastRenderedPageBreak/>
        <w:t xml:space="preserve">quality. Complex products, which incorporate a variety of heterogeneous and interrelated features </w:t>
      </w:r>
      <w:r w:rsidR="00D611C1" w:rsidRPr="00C82EE1">
        <w:rPr>
          <w:rFonts w:ascii="Times New Roman" w:hAnsi="Times New Roman" w:cs="Times New Roman"/>
          <w:sz w:val="24"/>
          <w:szCs w:val="24"/>
        </w:rPr>
        <w:t>(</w:t>
      </w:r>
      <w:proofErr w:type="spellStart"/>
      <w:r w:rsidR="00D611C1" w:rsidRPr="00C82EE1">
        <w:rPr>
          <w:rFonts w:ascii="Times New Roman" w:hAnsi="Times New Roman" w:cs="Times New Roman"/>
          <w:sz w:val="24"/>
          <w:szCs w:val="24"/>
        </w:rPr>
        <w:t>Fürst</w:t>
      </w:r>
      <w:proofErr w:type="spellEnd"/>
      <w:r w:rsidR="00D611C1" w:rsidRPr="00C82EE1">
        <w:rPr>
          <w:rFonts w:ascii="Times New Roman" w:hAnsi="Times New Roman" w:cs="Times New Roman"/>
          <w:sz w:val="24"/>
          <w:szCs w:val="24"/>
        </w:rPr>
        <w:t xml:space="preserve"> et al., 2024)</w:t>
      </w:r>
      <w:r w:rsidRPr="00C82EE1">
        <w:rPr>
          <w:rFonts w:ascii="Times New Roman" w:hAnsi="Times New Roman" w:cs="Times New Roman"/>
          <w:sz w:val="24"/>
          <w:szCs w:val="24"/>
        </w:rPr>
        <w:t>, are often associated with higher technical expertise, influencing consumer perceptions</w:t>
      </w:r>
      <w:r w:rsidR="00D611C1" w:rsidRPr="00C82EE1">
        <w:rPr>
          <w:rFonts w:ascii="Times New Roman" w:hAnsi="Times New Roman" w:cs="Times New Roman"/>
          <w:sz w:val="24"/>
          <w:szCs w:val="24"/>
        </w:rPr>
        <w:t xml:space="preserve"> (Braun, 2015; Gong &amp; Jiang, 2023; </w:t>
      </w:r>
      <w:proofErr w:type="spellStart"/>
      <w:r w:rsidR="00D611C1" w:rsidRPr="00C82EE1">
        <w:rPr>
          <w:rFonts w:ascii="Times New Roman" w:hAnsi="Times New Roman" w:cs="Times New Roman"/>
          <w:sz w:val="24"/>
          <w:szCs w:val="24"/>
        </w:rPr>
        <w:t>Mützel</w:t>
      </w:r>
      <w:proofErr w:type="spellEnd"/>
      <w:r w:rsidR="00D611C1" w:rsidRPr="00C82EE1">
        <w:rPr>
          <w:rFonts w:ascii="Times New Roman" w:hAnsi="Times New Roman" w:cs="Times New Roman"/>
          <w:sz w:val="24"/>
          <w:szCs w:val="24"/>
        </w:rPr>
        <w:t xml:space="preserve"> &amp; Killian, 2016)</w:t>
      </w:r>
      <w:r w:rsidRPr="00C82EE1">
        <w:rPr>
          <w:rFonts w:ascii="Times New Roman" w:hAnsi="Times New Roman" w:cs="Times New Roman"/>
          <w:sz w:val="24"/>
          <w:szCs w:val="24"/>
        </w:rPr>
        <w:t xml:space="preserve">. These perceptions are shaped by consumer cognitive processing, with more complex products requiring greater cognitive involvement. This, in turn, leads to higher perceived value and quality </w:t>
      </w:r>
      <w:r w:rsidR="00D611C1" w:rsidRPr="00C82EE1">
        <w:rPr>
          <w:rFonts w:ascii="Times New Roman" w:hAnsi="Times New Roman" w:cs="Times New Roman"/>
          <w:sz w:val="24"/>
          <w:szCs w:val="24"/>
        </w:rPr>
        <w:t>(Horn, 2017)</w:t>
      </w:r>
      <w:r w:rsidRPr="00C82EE1">
        <w:rPr>
          <w:rFonts w:ascii="Times New Roman" w:hAnsi="Times New Roman" w:cs="Times New Roman"/>
          <w:sz w:val="24"/>
          <w:szCs w:val="24"/>
        </w:rPr>
        <w:t xml:space="preserve">. For example, </w:t>
      </w:r>
      <w:r w:rsidR="00D611C1" w:rsidRPr="00C82EE1">
        <w:rPr>
          <w:rFonts w:ascii="Times New Roman" w:hAnsi="Times New Roman" w:cs="Times New Roman"/>
          <w:sz w:val="24"/>
          <w:szCs w:val="24"/>
        </w:rPr>
        <w:t>Loureiro et al. (2020)</w:t>
      </w:r>
      <w:r w:rsidRPr="00C82EE1">
        <w:rPr>
          <w:rFonts w:ascii="Times New Roman" w:hAnsi="Times New Roman" w:cs="Times New Roman"/>
          <w:sz w:val="24"/>
          <w:szCs w:val="24"/>
        </w:rPr>
        <w:t xml:space="preserve"> find that complex products encourage consumers to engage in more detailed decision-making, thereby enhancing perceived quality. Similarly, </w:t>
      </w:r>
      <w:proofErr w:type="spellStart"/>
      <w:r w:rsidR="00D611C1" w:rsidRPr="00C82EE1">
        <w:rPr>
          <w:rFonts w:ascii="Times New Roman" w:hAnsi="Times New Roman" w:cs="Times New Roman"/>
          <w:sz w:val="24"/>
          <w:szCs w:val="24"/>
        </w:rPr>
        <w:t>Lafhaj</w:t>
      </w:r>
      <w:proofErr w:type="spellEnd"/>
      <w:r w:rsidR="00D611C1" w:rsidRPr="00C82EE1">
        <w:rPr>
          <w:rFonts w:ascii="Times New Roman" w:hAnsi="Times New Roman" w:cs="Times New Roman"/>
          <w:sz w:val="24"/>
          <w:szCs w:val="24"/>
        </w:rPr>
        <w:t xml:space="preserve"> et al. (2024) </w:t>
      </w:r>
      <w:r w:rsidRPr="00C82EE1">
        <w:rPr>
          <w:rFonts w:ascii="Times New Roman" w:hAnsi="Times New Roman" w:cs="Times New Roman"/>
          <w:sz w:val="24"/>
          <w:szCs w:val="24"/>
        </w:rPr>
        <w:t>suggest that the complexity of a project enhances its quality by providing more integrated solutions. Consequently, lexically complex ICO projects are likely to be perceived as higher quality by ICO analysts, leading to more favorable reviews.</w:t>
      </w:r>
      <w:r w:rsidR="00D611C1" w:rsidRPr="00C82EE1">
        <w:rPr>
          <w:rFonts w:ascii="Times New Roman" w:hAnsi="Times New Roman" w:cs="Times New Roman"/>
          <w:sz w:val="24"/>
          <w:szCs w:val="24"/>
        </w:rPr>
        <w:t xml:space="preserve"> </w:t>
      </w:r>
      <w:r w:rsidR="00481D5B" w:rsidRPr="00C82EE1">
        <w:rPr>
          <w:rFonts w:ascii="Times New Roman" w:hAnsi="Times New Roman" w:cs="Times New Roman"/>
          <w:sz w:val="24"/>
          <w:szCs w:val="24"/>
        </w:rPr>
        <w:t>We examine the indirect effect of the ICO quality, proxied by the average ratings provided by external analysts</w:t>
      </w:r>
      <w:r w:rsidR="00D611C1" w:rsidRPr="00C82EE1">
        <w:rPr>
          <w:rFonts w:ascii="Times New Roman" w:hAnsi="Times New Roman" w:cs="Times New Roman"/>
          <w:sz w:val="24"/>
          <w:szCs w:val="24"/>
        </w:rPr>
        <w:t xml:space="preserve"> (</w:t>
      </w:r>
      <w:proofErr w:type="spellStart"/>
      <w:r w:rsidR="00D611C1" w:rsidRPr="00C82EE1">
        <w:rPr>
          <w:rFonts w:ascii="Times New Roman" w:hAnsi="Times New Roman" w:cs="Times New Roman"/>
          <w:sz w:val="24"/>
          <w:szCs w:val="24"/>
        </w:rPr>
        <w:t>Boreiko</w:t>
      </w:r>
      <w:proofErr w:type="spellEnd"/>
      <w:r w:rsidR="00D611C1" w:rsidRPr="00C82EE1">
        <w:rPr>
          <w:rFonts w:ascii="Times New Roman" w:hAnsi="Times New Roman" w:cs="Times New Roman"/>
          <w:sz w:val="24"/>
          <w:szCs w:val="24"/>
        </w:rPr>
        <w:t xml:space="preserve"> &amp; </w:t>
      </w:r>
      <w:proofErr w:type="spellStart"/>
      <w:r w:rsidR="00D611C1" w:rsidRPr="00C82EE1">
        <w:rPr>
          <w:rFonts w:ascii="Times New Roman" w:hAnsi="Times New Roman" w:cs="Times New Roman"/>
          <w:sz w:val="24"/>
          <w:szCs w:val="24"/>
        </w:rPr>
        <w:t>Vidusso</w:t>
      </w:r>
      <w:proofErr w:type="spellEnd"/>
      <w:r w:rsidR="00D611C1" w:rsidRPr="00C82EE1">
        <w:rPr>
          <w:rFonts w:ascii="Times New Roman" w:hAnsi="Times New Roman" w:cs="Times New Roman"/>
          <w:sz w:val="24"/>
          <w:szCs w:val="24"/>
        </w:rPr>
        <w:t xml:space="preserve">, 2019; </w:t>
      </w:r>
      <w:proofErr w:type="spellStart"/>
      <w:r w:rsidR="00D611C1" w:rsidRPr="00C82EE1">
        <w:rPr>
          <w:rFonts w:ascii="Times New Roman" w:hAnsi="Times New Roman" w:cs="Times New Roman"/>
          <w:sz w:val="24"/>
          <w:szCs w:val="24"/>
        </w:rPr>
        <w:t>Florysiak</w:t>
      </w:r>
      <w:proofErr w:type="spellEnd"/>
      <w:r w:rsidR="00D611C1" w:rsidRPr="00C82EE1">
        <w:rPr>
          <w:rFonts w:ascii="Times New Roman" w:hAnsi="Times New Roman" w:cs="Times New Roman"/>
          <w:sz w:val="24"/>
          <w:szCs w:val="24"/>
        </w:rPr>
        <w:t xml:space="preserve"> &amp; </w:t>
      </w:r>
      <w:proofErr w:type="spellStart"/>
      <w:r w:rsidR="00D611C1" w:rsidRPr="00C82EE1">
        <w:rPr>
          <w:rFonts w:ascii="Times New Roman" w:hAnsi="Times New Roman" w:cs="Times New Roman"/>
          <w:sz w:val="24"/>
          <w:szCs w:val="24"/>
        </w:rPr>
        <w:t>Schandlbauer</w:t>
      </w:r>
      <w:proofErr w:type="spellEnd"/>
      <w:r w:rsidR="00D611C1" w:rsidRPr="00C82EE1">
        <w:rPr>
          <w:rFonts w:ascii="Times New Roman" w:hAnsi="Times New Roman" w:cs="Times New Roman"/>
          <w:sz w:val="24"/>
          <w:szCs w:val="24"/>
        </w:rPr>
        <w:t>, 2022; Lee et al., 2022)</w:t>
      </w:r>
      <w:r w:rsidR="00481D5B" w:rsidRPr="00C82EE1">
        <w:rPr>
          <w:rFonts w:ascii="Times New Roman" w:hAnsi="Times New Roman" w:cs="Times New Roman"/>
          <w:sz w:val="24"/>
          <w:szCs w:val="24"/>
        </w:rPr>
        <w:t xml:space="preserve"> in mediating the relationship between the level of LC and the ICO amount raised. The results of Equation (5) for </w:t>
      </w:r>
      <m:oMath>
        <m:r>
          <w:rPr>
            <w:rFonts w:ascii="Cambria Math" w:eastAsia="Times New Roman" w:hAnsi="Cambria Math" w:cs="Times New Roman"/>
            <w:sz w:val="24"/>
            <w:szCs w:val="24"/>
          </w:rPr>
          <m:t xml:space="preserve">Rating </m:t>
        </m:r>
      </m:oMath>
      <w:r w:rsidR="00481D5B" w:rsidRPr="00C82EE1">
        <w:rPr>
          <w:rFonts w:ascii="Times New Roman" w:hAnsi="Times New Roman" w:cs="Times New Roman"/>
          <w:sz w:val="24"/>
          <w:szCs w:val="24"/>
        </w:rPr>
        <w:t xml:space="preserve">as a </w:t>
      </w:r>
      <w:r w:rsidR="007F37CB" w:rsidRPr="00C82EE1">
        <w:rPr>
          <w:rFonts w:ascii="Times New Roman" w:hAnsi="Times New Roman" w:cs="Times New Roman"/>
          <w:sz w:val="24"/>
          <w:szCs w:val="24"/>
        </w:rPr>
        <w:t xml:space="preserve">mechanism </w:t>
      </w:r>
      <w:r w:rsidR="00481D5B" w:rsidRPr="00C82EE1">
        <w:rPr>
          <w:rFonts w:ascii="Times New Roman" w:hAnsi="Times New Roman" w:cs="Times New Roman"/>
          <w:sz w:val="24"/>
          <w:szCs w:val="24"/>
        </w:rPr>
        <w:t xml:space="preserve">are reported in </w:t>
      </w:r>
      <w:r w:rsidR="00481D5B" w:rsidRPr="00C82EE1">
        <w:rPr>
          <w:rFonts w:ascii="Times New Roman" w:eastAsiaTheme="minorEastAsia" w:hAnsi="Times New Roman" w:cs="Times New Roman"/>
          <w:sz w:val="24"/>
          <w:szCs w:val="24"/>
        </w:rPr>
        <w:t xml:space="preserve">Model (3) of Table 6. We find a positive relationship between </w:t>
      </w:r>
      <m:oMath>
        <m:r>
          <w:rPr>
            <w:rFonts w:ascii="Cambria Math" w:eastAsiaTheme="minorEastAsia" w:hAnsi="Cambria Math" w:cs="Times New Roman"/>
            <w:sz w:val="24"/>
            <w:szCs w:val="24"/>
          </w:rPr>
          <m:t>LC</m:t>
        </m:r>
      </m:oMath>
      <w:r w:rsidR="00481D5B" w:rsidRPr="00C82EE1">
        <w:rPr>
          <w:rFonts w:ascii="Times New Roman" w:eastAsiaTheme="minorEastAsia" w:hAnsi="Times New Roman" w:cs="Times New Roman"/>
          <w:i/>
          <w:sz w:val="24"/>
          <w:szCs w:val="24"/>
        </w:rPr>
        <w:t xml:space="preserve"> </w:t>
      </w:r>
      <w:r w:rsidR="00481D5B" w:rsidRPr="00C82EE1">
        <w:rPr>
          <w:rFonts w:ascii="Times New Roman" w:eastAsiaTheme="minorEastAsia" w:hAnsi="Times New Roman" w:cs="Times New Roman"/>
          <w:sz w:val="24"/>
          <w:szCs w:val="24"/>
        </w:rPr>
        <w:t xml:space="preserve">and </w:t>
      </w:r>
      <m:oMath>
        <m:r>
          <w:rPr>
            <w:rFonts w:ascii="Cambria Math" w:eastAsiaTheme="minorEastAsia" w:hAnsi="Cambria Math" w:cs="Times New Roman"/>
            <w:sz w:val="24"/>
            <w:szCs w:val="24"/>
          </w:rPr>
          <m:t>Rating</m:t>
        </m:r>
      </m:oMath>
      <w:r w:rsidR="00481D5B" w:rsidRPr="00C82EE1">
        <w:rPr>
          <w:rFonts w:ascii="Times New Roman" w:eastAsiaTheme="minorEastAsia" w:hAnsi="Times New Roman" w:cs="Times New Roman"/>
          <w:sz w:val="24"/>
          <w:szCs w:val="24"/>
        </w:rPr>
        <w:t xml:space="preserve">, which is </w:t>
      </w:r>
      <w:r w:rsidR="00DB2699">
        <w:rPr>
          <w:rFonts w:ascii="Times New Roman" w:eastAsiaTheme="minorEastAsia" w:hAnsi="Times New Roman" w:cs="Times New Roman"/>
          <w:sz w:val="24"/>
          <w:szCs w:val="24"/>
        </w:rPr>
        <w:t xml:space="preserve">statistically </w:t>
      </w:r>
      <w:r w:rsidR="00481D5B" w:rsidRPr="00C82EE1">
        <w:rPr>
          <w:rFonts w:ascii="Times New Roman" w:eastAsiaTheme="minorEastAsia" w:hAnsi="Times New Roman" w:cs="Times New Roman"/>
          <w:sz w:val="24"/>
          <w:szCs w:val="24"/>
        </w:rPr>
        <w:t xml:space="preserve">significant at </w:t>
      </w:r>
      <w:r w:rsidR="00DB2699">
        <w:rPr>
          <w:rFonts w:ascii="Times New Roman" w:eastAsiaTheme="minorEastAsia" w:hAnsi="Times New Roman" w:cs="Times New Roman"/>
          <w:sz w:val="24"/>
          <w:szCs w:val="24"/>
        </w:rPr>
        <w:t>the</w:t>
      </w:r>
      <w:r w:rsidR="00DB2699" w:rsidRPr="00C82EE1">
        <w:rPr>
          <w:rFonts w:ascii="Times New Roman" w:eastAsiaTheme="minorEastAsia" w:hAnsi="Times New Roman" w:cs="Times New Roman"/>
          <w:sz w:val="24"/>
          <w:szCs w:val="24"/>
        </w:rPr>
        <w:t xml:space="preserve"> </w:t>
      </w:r>
      <w:r w:rsidR="00DB2699">
        <w:rPr>
          <w:rFonts w:ascii="Times New Roman" w:eastAsiaTheme="minorEastAsia" w:hAnsi="Times New Roman" w:cs="Times New Roman"/>
          <w:sz w:val="24"/>
          <w:szCs w:val="24"/>
        </w:rPr>
        <w:t>1</w:t>
      </w:r>
      <w:r w:rsidR="00481D5B" w:rsidRPr="00C82EE1">
        <w:rPr>
          <w:rFonts w:ascii="Times New Roman" w:eastAsiaTheme="minorEastAsia" w:hAnsi="Times New Roman" w:cs="Times New Roman"/>
          <w:sz w:val="24"/>
          <w:szCs w:val="24"/>
        </w:rPr>
        <w:t xml:space="preserve">% level. This provides evidence that lexically complex white papers positively impact expert ratings. </w:t>
      </w:r>
    </w:p>
    <w:p w14:paraId="142BA2D9" w14:textId="54AC864B" w:rsidR="00481D5B" w:rsidRPr="00C82EE1" w:rsidRDefault="00481D5B" w:rsidP="007F3752">
      <w:pPr>
        <w:widowControl w:val="0"/>
        <w:autoSpaceDE w:val="0"/>
        <w:autoSpaceDN w:val="0"/>
        <w:spacing w:after="120" w:line="360" w:lineRule="auto"/>
        <w:ind w:firstLine="340"/>
        <w:jc w:val="both"/>
        <w:rPr>
          <w:rFonts w:ascii="Times New Roman" w:eastAsia="Times New Roman" w:hAnsi="Times New Roman" w:cs="Times New Roman"/>
          <w:sz w:val="24"/>
          <w:szCs w:val="24"/>
        </w:rPr>
      </w:pPr>
      <w:r w:rsidRPr="00C82EE1">
        <w:rPr>
          <w:rFonts w:ascii="Times New Roman" w:eastAsiaTheme="minorEastAsia" w:hAnsi="Times New Roman" w:cs="Times New Roman"/>
          <w:sz w:val="24"/>
          <w:szCs w:val="24"/>
        </w:rPr>
        <w:t xml:space="preserve">The results of Equation (6) </w:t>
      </w:r>
      <w:r w:rsidRPr="00C82EE1">
        <w:rPr>
          <w:rFonts w:ascii="Times New Roman" w:eastAsia="Times New Roman" w:hAnsi="Times New Roman" w:cs="Times New Roman"/>
          <w:sz w:val="24"/>
          <w:szCs w:val="24"/>
        </w:rPr>
        <w:t xml:space="preserve">are reported in Model (4) of Table 6. The coefficients of both </w:t>
      </w:r>
      <m:oMath>
        <m:r>
          <w:rPr>
            <w:rFonts w:ascii="Cambria Math" w:eastAsia="Times New Roman" w:hAnsi="Cambria Math" w:cs="Times New Roman"/>
            <w:sz w:val="24"/>
            <w:szCs w:val="24"/>
          </w:rPr>
          <m:t>LC</m:t>
        </m:r>
      </m:oMath>
      <w:r w:rsidRPr="00C82EE1">
        <w:rPr>
          <w:rFonts w:ascii="Times New Roman" w:eastAsia="Times New Roman" w:hAnsi="Times New Roman" w:cs="Times New Roman"/>
          <w:i/>
          <w:sz w:val="24"/>
          <w:szCs w:val="24"/>
        </w:rPr>
        <w:t xml:space="preserve"> </w:t>
      </w:r>
      <w:r w:rsidRPr="00C82EE1">
        <w:rPr>
          <w:rFonts w:ascii="Times New Roman" w:eastAsia="Times New Roman" w:hAnsi="Times New Roman" w:cs="Times New Roman"/>
          <w:sz w:val="24"/>
          <w:szCs w:val="24"/>
        </w:rPr>
        <w:t xml:space="preserve">and </w:t>
      </w:r>
      <m:oMath>
        <m:r>
          <w:rPr>
            <w:rFonts w:ascii="Cambria Math" w:eastAsia="Times New Roman" w:hAnsi="Cambria Math" w:cs="Times New Roman"/>
            <w:sz w:val="24"/>
            <w:szCs w:val="24"/>
          </w:rPr>
          <m:t>Rating</m:t>
        </m:r>
      </m:oMath>
      <w:r w:rsidRPr="00C82EE1">
        <w:rPr>
          <w:rFonts w:ascii="Times New Roman" w:eastAsia="Times New Roman" w:hAnsi="Times New Roman" w:cs="Times New Roman"/>
          <w:i/>
          <w:sz w:val="24"/>
          <w:szCs w:val="24"/>
        </w:rPr>
        <w:t xml:space="preserve"> </w:t>
      </w:r>
      <w:r w:rsidRPr="00C82EE1">
        <w:rPr>
          <w:rFonts w:ascii="Times New Roman" w:eastAsia="Times New Roman" w:hAnsi="Times New Roman" w:cs="Times New Roman"/>
          <w:sz w:val="24"/>
          <w:szCs w:val="24"/>
        </w:rPr>
        <w:t xml:space="preserve">are positive and significant. We also find that the relationship between </w:t>
      </w:r>
      <m:oMath>
        <m:r>
          <w:rPr>
            <w:rFonts w:ascii="Cambria Math" w:eastAsia="Times New Roman" w:hAnsi="Cambria Math" w:cs="Times New Roman"/>
            <w:sz w:val="24"/>
            <w:szCs w:val="24"/>
          </w:rPr>
          <m:t>LC</m:t>
        </m:r>
      </m:oMath>
      <w:r w:rsidRPr="00C82EE1">
        <w:rPr>
          <w:rFonts w:ascii="Times New Roman" w:eastAsia="Times New Roman" w:hAnsi="Times New Roman" w:cs="Times New Roman"/>
          <w:i/>
          <w:sz w:val="24"/>
          <w:szCs w:val="24"/>
        </w:rPr>
        <w:t xml:space="preserve"> </w:t>
      </w:r>
      <w:r w:rsidRPr="00C82EE1">
        <w:rPr>
          <w:rFonts w:ascii="Times New Roman" w:eastAsia="Times New Roman" w:hAnsi="Times New Roman" w:cs="Times New Roman"/>
          <w:sz w:val="24"/>
          <w:szCs w:val="24"/>
        </w:rPr>
        <w:t xml:space="preserve">and </w:t>
      </w:r>
      <m:oMath>
        <m:r>
          <w:rPr>
            <w:rFonts w:ascii="Cambria Math" w:eastAsia="Times New Roman" w:hAnsi="Cambria Math" w:cs="Times New Roman"/>
            <w:sz w:val="24"/>
            <w:szCs w:val="24"/>
          </w:rPr>
          <m:t>Amount raised</m:t>
        </m:r>
      </m:oMath>
      <w:r w:rsidRPr="00C82EE1">
        <w:rPr>
          <w:rFonts w:ascii="Times New Roman" w:eastAsia="Times New Roman" w:hAnsi="Times New Roman" w:cs="Times New Roman"/>
          <w:sz w:val="24"/>
          <w:szCs w:val="24"/>
        </w:rPr>
        <w:t xml:space="preserve"> is similar in terms of direction and significance, suggesting a partial mediation of </w:t>
      </w:r>
      <m:oMath>
        <m:r>
          <w:rPr>
            <w:rFonts w:ascii="Cambria Math" w:eastAsia="Times New Roman" w:hAnsi="Cambria Math" w:cs="Times New Roman"/>
            <w:sz w:val="24"/>
            <w:szCs w:val="24"/>
          </w:rPr>
          <m:t>Rating</m:t>
        </m:r>
      </m:oMath>
      <w:r w:rsidRPr="00C82EE1">
        <w:rPr>
          <w:rFonts w:ascii="Times New Roman" w:eastAsia="Times New Roman" w:hAnsi="Times New Roman" w:cs="Times New Roman"/>
          <w:sz w:val="24"/>
          <w:szCs w:val="24"/>
        </w:rPr>
        <w:t>. This result indicates that LC leads to higher exp</w:t>
      </w:r>
      <w:proofErr w:type="spellStart"/>
      <w:r w:rsidRPr="00C82EE1">
        <w:rPr>
          <w:rFonts w:ascii="Times New Roman" w:eastAsia="Times New Roman" w:hAnsi="Times New Roman" w:cs="Times New Roman"/>
          <w:sz w:val="24"/>
          <w:szCs w:val="24"/>
        </w:rPr>
        <w:t>ert</w:t>
      </w:r>
      <w:proofErr w:type="spellEnd"/>
      <w:r w:rsidRPr="00C82EE1">
        <w:rPr>
          <w:rFonts w:ascii="Times New Roman" w:eastAsia="Times New Roman" w:hAnsi="Times New Roman" w:cs="Times New Roman"/>
          <w:sz w:val="24"/>
          <w:szCs w:val="24"/>
        </w:rPr>
        <w:t xml:space="preserve"> evaluations (Model (3)), which in turn contributes to greater funding outcome (Model (4)). However, the direct effect of LC on the ICO amount raised still holds even after controlling for </w:t>
      </w:r>
      <m:oMath>
        <m:r>
          <w:rPr>
            <w:rFonts w:ascii="Cambria Math" w:eastAsia="Times New Roman" w:hAnsi="Cambria Math" w:cs="Times New Roman"/>
            <w:sz w:val="24"/>
            <w:szCs w:val="24"/>
          </w:rPr>
          <m:t>Rating</m:t>
        </m:r>
      </m:oMath>
      <w:r w:rsidRPr="00C82EE1">
        <w:rPr>
          <w:rFonts w:ascii="Times New Roman" w:eastAsia="Times New Roman" w:hAnsi="Times New Roman" w:cs="Times New Roman"/>
          <w:sz w:val="24"/>
          <w:szCs w:val="24"/>
        </w:rPr>
        <w:t>, suggesting a partial mediation (Model (4)). In line with prior literature</w:t>
      </w:r>
      <w:r w:rsidR="00D611C1" w:rsidRPr="00C82EE1">
        <w:rPr>
          <w:rFonts w:ascii="Times New Roman" w:eastAsia="Times New Roman" w:hAnsi="Times New Roman" w:cs="Times New Roman"/>
          <w:sz w:val="24"/>
          <w:szCs w:val="24"/>
        </w:rPr>
        <w:t xml:space="preserve"> </w:t>
      </w:r>
      <w:r w:rsidR="00D611C1" w:rsidRPr="00C82EE1">
        <w:rPr>
          <w:rFonts w:ascii="Times New Roman" w:hAnsi="Times New Roman" w:cs="Times New Roman"/>
          <w:sz w:val="24"/>
          <w:szCs w:val="24"/>
        </w:rPr>
        <w:t>(</w:t>
      </w:r>
      <w:proofErr w:type="spellStart"/>
      <w:r w:rsidR="00D611C1" w:rsidRPr="00C82EE1">
        <w:rPr>
          <w:rFonts w:ascii="Times New Roman" w:hAnsi="Times New Roman" w:cs="Times New Roman"/>
          <w:sz w:val="24"/>
          <w:szCs w:val="24"/>
        </w:rPr>
        <w:t>Boreiko</w:t>
      </w:r>
      <w:proofErr w:type="spellEnd"/>
      <w:r w:rsidR="00D611C1" w:rsidRPr="00C82EE1">
        <w:rPr>
          <w:rFonts w:ascii="Times New Roman" w:hAnsi="Times New Roman" w:cs="Times New Roman"/>
          <w:sz w:val="24"/>
          <w:szCs w:val="24"/>
        </w:rPr>
        <w:t xml:space="preserve"> &amp; </w:t>
      </w:r>
      <w:proofErr w:type="spellStart"/>
      <w:r w:rsidR="00D611C1" w:rsidRPr="00C82EE1">
        <w:rPr>
          <w:rFonts w:ascii="Times New Roman" w:hAnsi="Times New Roman" w:cs="Times New Roman"/>
          <w:sz w:val="24"/>
          <w:szCs w:val="24"/>
        </w:rPr>
        <w:t>Vidusso</w:t>
      </w:r>
      <w:proofErr w:type="spellEnd"/>
      <w:r w:rsidR="00D611C1" w:rsidRPr="00C82EE1">
        <w:rPr>
          <w:rFonts w:ascii="Times New Roman" w:hAnsi="Times New Roman" w:cs="Times New Roman"/>
          <w:sz w:val="24"/>
          <w:szCs w:val="24"/>
        </w:rPr>
        <w:t xml:space="preserve">, 2019; </w:t>
      </w:r>
      <w:proofErr w:type="spellStart"/>
      <w:r w:rsidR="00D611C1" w:rsidRPr="00C82EE1">
        <w:rPr>
          <w:rFonts w:ascii="Times New Roman" w:hAnsi="Times New Roman" w:cs="Times New Roman"/>
          <w:sz w:val="24"/>
          <w:szCs w:val="24"/>
        </w:rPr>
        <w:t>Florysiak</w:t>
      </w:r>
      <w:proofErr w:type="spellEnd"/>
      <w:r w:rsidR="00D611C1" w:rsidRPr="00C82EE1">
        <w:rPr>
          <w:rFonts w:ascii="Times New Roman" w:hAnsi="Times New Roman" w:cs="Times New Roman"/>
          <w:sz w:val="24"/>
          <w:szCs w:val="24"/>
        </w:rPr>
        <w:t xml:space="preserve"> &amp; </w:t>
      </w:r>
      <w:proofErr w:type="spellStart"/>
      <w:r w:rsidR="00D611C1" w:rsidRPr="00C82EE1">
        <w:rPr>
          <w:rFonts w:ascii="Times New Roman" w:hAnsi="Times New Roman" w:cs="Times New Roman"/>
          <w:sz w:val="24"/>
          <w:szCs w:val="24"/>
        </w:rPr>
        <w:t>Schandlbauer</w:t>
      </w:r>
      <w:proofErr w:type="spellEnd"/>
      <w:r w:rsidR="00D611C1" w:rsidRPr="00C82EE1">
        <w:rPr>
          <w:rFonts w:ascii="Times New Roman" w:hAnsi="Times New Roman" w:cs="Times New Roman"/>
          <w:sz w:val="24"/>
          <w:szCs w:val="24"/>
        </w:rPr>
        <w:t xml:space="preserve">, 2022; </w:t>
      </w:r>
      <w:proofErr w:type="spellStart"/>
      <w:r w:rsidR="00D611C1" w:rsidRPr="00C82EE1">
        <w:rPr>
          <w:rFonts w:ascii="Times New Roman" w:hAnsi="Times New Roman" w:cs="Times New Roman"/>
          <w:sz w:val="24"/>
          <w:szCs w:val="24"/>
        </w:rPr>
        <w:t>Lafhaj</w:t>
      </w:r>
      <w:proofErr w:type="spellEnd"/>
      <w:r w:rsidR="00D611C1" w:rsidRPr="00C82EE1">
        <w:rPr>
          <w:rFonts w:ascii="Times New Roman" w:hAnsi="Times New Roman" w:cs="Times New Roman"/>
          <w:sz w:val="24"/>
          <w:szCs w:val="24"/>
        </w:rPr>
        <w:t xml:space="preserve"> et al., 2024; Loureiro et al., 2020)</w:t>
      </w:r>
      <w:r w:rsidRPr="00C82EE1">
        <w:rPr>
          <w:rFonts w:ascii="Times New Roman" w:eastAsia="Times New Roman" w:hAnsi="Times New Roman" w:cs="Times New Roman"/>
          <w:sz w:val="24"/>
          <w:szCs w:val="24"/>
        </w:rPr>
        <w:t xml:space="preserve">, </w:t>
      </w:r>
      <w:r w:rsidRPr="00C82EE1">
        <w:rPr>
          <w:rFonts w:ascii="Times New Roman" w:eastAsia="Times New Roman" w:hAnsi="Times New Roman" w:cs="Times New Roman"/>
          <w:sz w:val="24"/>
          <w:szCs w:val="24"/>
          <w:lang w:val="en-GB"/>
        </w:rPr>
        <w:t xml:space="preserve">we find that higher LC in an ICO white paper results in more </w:t>
      </w:r>
      <w:proofErr w:type="spellStart"/>
      <w:r w:rsidRPr="00C82EE1">
        <w:rPr>
          <w:rFonts w:ascii="Times New Roman" w:eastAsia="Times New Roman" w:hAnsi="Times New Roman" w:cs="Times New Roman"/>
          <w:sz w:val="24"/>
          <w:szCs w:val="24"/>
          <w:lang w:val="en-GB"/>
        </w:rPr>
        <w:t>favorable</w:t>
      </w:r>
      <w:proofErr w:type="spellEnd"/>
      <w:r w:rsidRPr="00C82EE1">
        <w:rPr>
          <w:rFonts w:ascii="Times New Roman" w:eastAsia="Times New Roman" w:hAnsi="Times New Roman" w:cs="Times New Roman"/>
          <w:sz w:val="24"/>
          <w:szCs w:val="24"/>
          <w:lang w:val="en-GB"/>
        </w:rPr>
        <w:t xml:space="preserve"> evaluations from external experts assessing the ICO quality, which in turn boosts fundraising success</w:t>
      </w:r>
      <w:r w:rsidRPr="00C82EE1">
        <w:rPr>
          <w:rFonts w:ascii="Times New Roman" w:eastAsia="Times New Roman" w:hAnsi="Times New Roman" w:cs="Times New Roman"/>
          <w:sz w:val="24"/>
          <w:szCs w:val="24"/>
        </w:rPr>
        <w:t>.</w:t>
      </w:r>
    </w:p>
    <w:p w14:paraId="69131467" w14:textId="435CA4F1" w:rsidR="00481D5B" w:rsidRPr="0053768A" w:rsidRDefault="00481D5B" w:rsidP="00E223E9">
      <w:pPr>
        <w:pStyle w:val="Titre3"/>
      </w:pPr>
      <w:r w:rsidRPr="0053768A">
        <w:t xml:space="preserve">The </w:t>
      </w:r>
      <w:r w:rsidR="007E5F1C" w:rsidRPr="0053768A">
        <w:t>mediation</w:t>
      </w:r>
      <w:r w:rsidRPr="0053768A">
        <w:t xml:space="preserve"> effect of ICO rating dispersion</w:t>
      </w:r>
    </w:p>
    <w:p w14:paraId="1C02AEC1" w14:textId="3B6F6B4D" w:rsidR="00481D5B" w:rsidRPr="00C82EE1" w:rsidRDefault="00481D5B" w:rsidP="007F3752">
      <w:pPr>
        <w:widowControl w:val="0"/>
        <w:autoSpaceDE w:val="0"/>
        <w:autoSpaceDN w:val="0"/>
        <w:spacing w:after="120" w:line="360" w:lineRule="auto"/>
        <w:jc w:val="both"/>
        <w:rPr>
          <w:rFonts w:ascii="Times New Roman" w:eastAsia="Times New Roman" w:hAnsi="Times New Roman" w:cs="Times New Roman"/>
          <w:sz w:val="24"/>
          <w:szCs w:val="24"/>
          <w:lang w:val="en-GB"/>
        </w:rPr>
      </w:pPr>
      <w:r w:rsidRPr="00C82EE1">
        <w:rPr>
          <w:rFonts w:ascii="Times New Roman" w:eastAsia="Times New Roman" w:hAnsi="Times New Roman" w:cs="Times New Roman"/>
          <w:sz w:val="24"/>
          <w:szCs w:val="24"/>
        </w:rPr>
        <w:t xml:space="preserve">We then assess the effect of LC in reducing information asymmetry across different ICO aggregators. We measure information asymmetry by the dispersion of expert ratings across the different data-aggregators platforms. Multiple ICO data aggregators exist, each with their proper rating systems, leading to inconsistencies across the different platforms </w:t>
      </w:r>
      <w:r w:rsidR="00C51977" w:rsidRPr="00C82EE1">
        <w:rPr>
          <w:rFonts w:ascii="Times New Roman" w:hAnsi="Times New Roman" w:cs="Times New Roman"/>
          <w:sz w:val="24"/>
          <w:szCs w:val="24"/>
        </w:rPr>
        <w:t>(</w:t>
      </w:r>
      <w:proofErr w:type="spellStart"/>
      <w:r w:rsidR="00C51977" w:rsidRPr="00C82EE1">
        <w:rPr>
          <w:rFonts w:ascii="Times New Roman" w:hAnsi="Times New Roman" w:cs="Times New Roman"/>
          <w:sz w:val="24"/>
          <w:szCs w:val="24"/>
        </w:rPr>
        <w:t>Boreiko</w:t>
      </w:r>
      <w:proofErr w:type="spellEnd"/>
      <w:r w:rsidR="00C51977" w:rsidRPr="00C82EE1">
        <w:rPr>
          <w:rFonts w:ascii="Times New Roman" w:hAnsi="Times New Roman" w:cs="Times New Roman"/>
          <w:sz w:val="24"/>
          <w:szCs w:val="24"/>
        </w:rPr>
        <w:t xml:space="preserve"> &amp; </w:t>
      </w:r>
      <w:proofErr w:type="spellStart"/>
      <w:r w:rsidR="00C51977" w:rsidRPr="00C82EE1">
        <w:rPr>
          <w:rFonts w:ascii="Times New Roman" w:hAnsi="Times New Roman" w:cs="Times New Roman"/>
          <w:sz w:val="24"/>
          <w:szCs w:val="24"/>
        </w:rPr>
        <w:t>Vidusso</w:t>
      </w:r>
      <w:proofErr w:type="spellEnd"/>
      <w:r w:rsidR="00C51977" w:rsidRPr="00C82EE1">
        <w:rPr>
          <w:rFonts w:ascii="Times New Roman" w:hAnsi="Times New Roman" w:cs="Times New Roman"/>
          <w:sz w:val="24"/>
          <w:szCs w:val="24"/>
        </w:rPr>
        <w:t xml:space="preserve">, 2019; </w:t>
      </w:r>
      <w:proofErr w:type="spellStart"/>
      <w:r w:rsidR="00C51977" w:rsidRPr="00C82EE1">
        <w:rPr>
          <w:rFonts w:ascii="Times New Roman" w:hAnsi="Times New Roman" w:cs="Times New Roman"/>
          <w:sz w:val="24"/>
          <w:szCs w:val="24"/>
        </w:rPr>
        <w:t>Rhue</w:t>
      </w:r>
      <w:proofErr w:type="spellEnd"/>
      <w:r w:rsidR="00C51977" w:rsidRPr="00C82EE1">
        <w:rPr>
          <w:rFonts w:ascii="Times New Roman" w:hAnsi="Times New Roman" w:cs="Times New Roman"/>
          <w:sz w:val="24"/>
          <w:szCs w:val="24"/>
        </w:rPr>
        <w:t>, 2018)</w:t>
      </w:r>
      <w:r w:rsidRPr="00C82EE1">
        <w:rPr>
          <w:rFonts w:ascii="Times New Roman" w:eastAsia="Times New Roman" w:hAnsi="Times New Roman" w:cs="Times New Roman"/>
          <w:sz w:val="24"/>
          <w:szCs w:val="24"/>
        </w:rPr>
        <w:t xml:space="preserve">. This may be due to the fact that experts on the different platforms comprehend and analyze information in varying ways, leading to inconsistencies in different </w:t>
      </w:r>
      <w:r w:rsidRPr="00C82EE1">
        <w:rPr>
          <w:rFonts w:ascii="Times New Roman" w:eastAsia="Times New Roman" w:hAnsi="Times New Roman" w:cs="Times New Roman"/>
          <w:sz w:val="24"/>
          <w:szCs w:val="24"/>
        </w:rPr>
        <w:lastRenderedPageBreak/>
        <w:t xml:space="preserve">perceptions about the same ICO project. As LC represents the sophistication and range of the vocabulary used in a text </w:t>
      </w:r>
      <w:r w:rsidR="00C51977" w:rsidRPr="00C82EE1">
        <w:rPr>
          <w:rFonts w:ascii="Times New Roman" w:hAnsi="Times New Roman" w:cs="Times New Roman"/>
          <w:sz w:val="24"/>
          <w:szCs w:val="24"/>
        </w:rPr>
        <w:t>(</w:t>
      </w:r>
      <w:proofErr w:type="spellStart"/>
      <w:r w:rsidR="00C51977" w:rsidRPr="00C82EE1">
        <w:rPr>
          <w:rFonts w:ascii="Times New Roman" w:hAnsi="Times New Roman" w:cs="Times New Roman"/>
          <w:sz w:val="24"/>
          <w:szCs w:val="24"/>
        </w:rPr>
        <w:t>Bulte</w:t>
      </w:r>
      <w:proofErr w:type="spellEnd"/>
      <w:r w:rsidR="00C51977" w:rsidRPr="00C82EE1">
        <w:rPr>
          <w:rFonts w:ascii="Times New Roman" w:hAnsi="Times New Roman" w:cs="Times New Roman"/>
          <w:sz w:val="24"/>
          <w:szCs w:val="24"/>
        </w:rPr>
        <w:t xml:space="preserve"> &amp; </w:t>
      </w:r>
      <w:proofErr w:type="spellStart"/>
      <w:r w:rsidR="00C51977" w:rsidRPr="00C82EE1">
        <w:rPr>
          <w:rFonts w:ascii="Times New Roman" w:hAnsi="Times New Roman" w:cs="Times New Roman"/>
          <w:sz w:val="24"/>
          <w:szCs w:val="24"/>
        </w:rPr>
        <w:t>Housen</w:t>
      </w:r>
      <w:proofErr w:type="spellEnd"/>
      <w:r w:rsidR="00C51977" w:rsidRPr="00C82EE1">
        <w:rPr>
          <w:rFonts w:ascii="Times New Roman" w:hAnsi="Times New Roman" w:cs="Times New Roman"/>
          <w:sz w:val="24"/>
          <w:szCs w:val="24"/>
        </w:rPr>
        <w:t>, 2012; Lu, 2012)</w:t>
      </w:r>
      <w:r w:rsidRPr="00C82EE1">
        <w:rPr>
          <w:rFonts w:ascii="Times New Roman" w:eastAsia="Times New Roman" w:hAnsi="Times New Roman" w:cs="Times New Roman"/>
          <w:sz w:val="24"/>
          <w:szCs w:val="24"/>
          <w:lang w:val="en-GB"/>
        </w:rPr>
        <w:t xml:space="preserve">, it can help disseminate and convey information effectively to experts across platforms, mitigating information asymmetry and leading to more consistent ratings </w:t>
      </w:r>
      <w:r w:rsidR="00C51977" w:rsidRPr="00C82EE1">
        <w:rPr>
          <w:rFonts w:ascii="Times New Roman" w:hAnsi="Times New Roman" w:cs="Times New Roman"/>
          <w:sz w:val="24"/>
          <w:szCs w:val="24"/>
        </w:rPr>
        <w:t>(Xia et al., 2024c)</w:t>
      </w:r>
      <w:r w:rsidRPr="00C82EE1">
        <w:rPr>
          <w:rFonts w:ascii="Times New Roman" w:eastAsia="Times New Roman" w:hAnsi="Times New Roman" w:cs="Times New Roman"/>
          <w:sz w:val="24"/>
          <w:szCs w:val="24"/>
          <w:lang w:val="en-GB"/>
        </w:rPr>
        <w:t xml:space="preserve">. </w:t>
      </w:r>
    </w:p>
    <w:p w14:paraId="30C9C4F9" w14:textId="2CC76DB7" w:rsidR="00B849B4" w:rsidRPr="00C82EE1" w:rsidRDefault="00481D5B" w:rsidP="004B60A6">
      <w:pPr>
        <w:widowControl w:val="0"/>
        <w:autoSpaceDE w:val="0"/>
        <w:autoSpaceDN w:val="0"/>
        <w:spacing w:after="120" w:line="360" w:lineRule="auto"/>
        <w:ind w:firstLine="340"/>
        <w:jc w:val="both"/>
        <w:rPr>
          <w:rFonts w:ascii="Times New Roman" w:eastAsia="Times New Roman" w:hAnsi="Times New Roman" w:cs="Times New Roman"/>
          <w:sz w:val="24"/>
          <w:szCs w:val="24"/>
        </w:rPr>
      </w:pPr>
      <w:r w:rsidRPr="00C82EE1">
        <w:rPr>
          <w:rFonts w:ascii="Times New Roman" w:eastAsia="Times New Roman" w:hAnsi="Times New Roman" w:cs="Times New Roman"/>
          <w:sz w:val="24"/>
          <w:szCs w:val="24"/>
          <w:lang w:val="en-GB"/>
        </w:rPr>
        <w:t xml:space="preserve">The dispersion across ratings </w:t>
      </w:r>
      <m:oMath>
        <m:r>
          <w:rPr>
            <w:rFonts w:ascii="Cambria Math" w:eastAsia="Times New Roman" w:hAnsi="Cambria Math" w:cs="Times New Roman"/>
            <w:sz w:val="24"/>
            <w:szCs w:val="24"/>
            <w:lang w:val="en-GB"/>
          </w:rPr>
          <m:t>(Rating dispersion)</m:t>
        </m:r>
      </m:oMath>
      <w:r w:rsidRPr="00C82EE1">
        <w:rPr>
          <w:rFonts w:ascii="Times New Roman" w:eastAsia="Times New Roman" w:hAnsi="Times New Roman" w:cs="Times New Roman"/>
          <w:sz w:val="24"/>
          <w:szCs w:val="24"/>
          <w:lang w:val="en-GB"/>
        </w:rPr>
        <w:t xml:space="preserve"> is measured as the standard deviation of standardized aggregated ratings for the ICO projects across different ICO aggregators as described in Section 4.1</w:t>
      </w:r>
      <w:r w:rsidR="00B45747">
        <w:rPr>
          <w:rFonts w:ascii="Times New Roman" w:eastAsia="Times New Roman" w:hAnsi="Times New Roman" w:cs="Times New Roman"/>
          <w:sz w:val="24"/>
          <w:szCs w:val="24"/>
          <w:lang w:val="en-GB"/>
        </w:rPr>
        <w:t>.</w:t>
      </w:r>
      <w:r w:rsidR="00AE2F5C">
        <w:rPr>
          <w:rStyle w:val="Appelnotedebasdep"/>
          <w:rFonts w:ascii="Times New Roman" w:eastAsia="Times New Roman" w:hAnsi="Times New Roman" w:cs="Times New Roman"/>
          <w:sz w:val="24"/>
          <w:szCs w:val="24"/>
        </w:rPr>
        <w:footnoteReference w:customMarkFollows="1" w:id="16"/>
        <w:t>16</w:t>
      </w:r>
      <w:r w:rsidR="00AE2F5C">
        <w:rPr>
          <w:rFonts w:ascii="Times New Roman" w:eastAsia="Times New Roman" w:hAnsi="Times New Roman" w:cs="Times New Roman"/>
          <w:sz w:val="24"/>
          <w:szCs w:val="24"/>
        </w:rPr>
        <w:t xml:space="preserve"> </w:t>
      </w:r>
      <w:r w:rsidRPr="00C82EE1">
        <w:rPr>
          <w:rFonts w:ascii="Times New Roman" w:eastAsia="Times New Roman" w:hAnsi="Times New Roman" w:cs="Times New Roman"/>
          <w:sz w:val="24"/>
          <w:szCs w:val="24"/>
        </w:rPr>
        <w:t xml:space="preserve">We proceed in two steps. We first regress </w:t>
      </w:r>
      <m:oMath>
        <m:r>
          <w:rPr>
            <w:rFonts w:ascii="Cambria Math" w:eastAsia="Times New Roman" w:hAnsi="Cambria Math" w:cs="Times New Roman"/>
            <w:sz w:val="24"/>
            <w:szCs w:val="24"/>
          </w:rPr>
          <m:t>Rating dispersion</m:t>
        </m:r>
      </m:oMath>
      <w:r w:rsidRPr="00C82EE1">
        <w:rPr>
          <w:rFonts w:ascii="Times New Roman" w:eastAsia="Times New Roman" w:hAnsi="Times New Roman" w:cs="Times New Roman"/>
          <w:i/>
          <w:sz w:val="24"/>
          <w:szCs w:val="24"/>
        </w:rPr>
        <w:t xml:space="preserve"> </w:t>
      </w:r>
      <w:r w:rsidRPr="00C82EE1">
        <w:rPr>
          <w:rFonts w:ascii="Times New Roman" w:eastAsia="Times New Roman" w:hAnsi="Times New Roman" w:cs="Times New Roman"/>
          <w:sz w:val="24"/>
          <w:szCs w:val="24"/>
        </w:rPr>
        <w:t xml:space="preserve">on </w:t>
      </w:r>
      <m:oMath>
        <m:r>
          <w:rPr>
            <w:rFonts w:ascii="Cambria Math" w:eastAsia="Times New Roman" w:hAnsi="Cambria Math" w:cs="Times New Roman"/>
            <w:sz w:val="24"/>
            <w:szCs w:val="24"/>
          </w:rPr>
          <m:t>LC</m:t>
        </m:r>
      </m:oMath>
      <w:r w:rsidRPr="00C82EE1">
        <w:rPr>
          <w:rFonts w:ascii="Times New Roman" w:eastAsia="Times New Roman" w:hAnsi="Times New Roman" w:cs="Times New Roman"/>
          <w:sz w:val="24"/>
          <w:szCs w:val="24"/>
        </w:rPr>
        <w:t xml:space="preserve"> to examine the relationship between the two variables, using Equation (5). As reported in Model (5) of Table 6, we find a negative and significant relationship between </w:t>
      </w:r>
      <m:oMath>
        <m:r>
          <w:rPr>
            <w:rFonts w:ascii="Cambria Math" w:eastAsia="Times New Roman" w:hAnsi="Cambria Math" w:cs="Times New Roman"/>
            <w:sz w:val="24"/>
            <w:szCs w:val="24"/>
          </w:rPr>
          <m:t>LC</m:t>
        </m:r>
      </m:oMath>
      <w:r w:rsidRPr="00C82EE1">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Rating dispersion</m:t>
        </m:r>
      </m:oMath>
      <w:r w:rsidRPr="00C82EE1">
        <w:rPr>
          <w:rFonts w:ascii="Times New Roman" w:eastAsia="Times New Roman" w:hAnsi="Times New Roman" w:cs="Times New Roman"/>
          <w:sz w:val="24"/>
          <w:szCs w:val="24"/>
        </w:rPr>
        <w:t>. The coefficient is neg</w:t>
      </w:r>
      <w:proofErr w:type="spellStart"/>
      <w:r w:rsidRPr="00C82EE1">
        <w:rPr>
          <w:rFonts w:ascii="Times New Roman" w:eastAsia="Times New Roman" w:hAnsi="Times New Roman" w:cs="Times New Roman"/>
          <w:sz w:val="24"/>
          <w:szCs w:val="24"/>
        </w:rPr>
        <w:t>ative</w:t>
      </w:r>
      <w:proofErr w:type="spellEnd"/>
      <w:r w:rsidRPr="00C82EE1">
        <w:rPr>
          <w:rFonts w:ascii="Times New Roman" w:eastAsia="Times New Roman" w:hAnsi="Times New Roman" w:cs="Times New Roman"/>
          <w:sz w:val="24"/>
          <w:szCs w:val="24"/>
        </w:rPr>
        <w:t xml:space="preserve"> (-0.001) and statistically significant at </w:t>
      </w:r>
      <w:r w:rsidR="00DB2699">
        <w:rPr>
          <w:rFonts w:ascii="Times New Roman" w:eastAsia="Times New Roman" w:hAnsi="Times New Roman" w:cs="Times New Roman"/>
          <w:sz w:val="24"/>
          <w:szCs w:val="24"/>
        </w:rPr>
        <w:t>the</w:t>
      </w:r>
      <w:r w:rsidR="00DB2699" w:rsidRPr="00C82EE1">
        <w:rPr>
          <w:rFonts w:ascii="Times New Roman" w:eastAsia="Times New Roman" w:hAnsi="Times New Roman" w:cs="Times New Roman"/>
          <w:sz w:val="24"/>
          <w:szCs w:val="24"/>
        </w:rPr>
        <w:t xml:space="preserve"> </w:t>
      </w:r>
      <w:r w:rsidR="00DB2699">
        <w:rPr>
          <w:rFonts w:ascii="Times New Roman" w:eastAsia="Times New Roman" w:hAnsi="Times New Roman" w:cs="Times New Roman"/>
          <w:sz w:val="24"/>
          <w:szCs w:val="24"/>
        </w:rPr>
        <w:t>1</w:t>
      </w:r>
      <w:r w:rsidRPr="00C82EE1">
        <w:rPr>
          <w:rFonts w:ascii="Times New Roman" w:eastAsia="Times New Roman" w:hAnsi="Times New Roman" w:cs="Times New Roman"/>
          <w:sz w:val="24"/>
          <w:szCs w:val="24"/>
        </w:rPr>
        <w:t xml:space="preserve">% level. This provides evidence that lexically complex white papers reduce dispersion across experts, therefore mitigating information asymmetry. We further report the results of Equation (6) with </w:t>
      </w:r>
      <m:oMath>
        <m:r>
          <w:rPr>
            <w:rFonts w:ascii="Cambria Math" w:eastAsia="Times New Roman" w:hAnsi="Cambria Math" w:cs="Times New Roman"/>
            <w:sz w:val="24"/>
            <w:szCs w:val="24"/>
          </w:rPr>
          <m:t>Rating dispersion</m:t>
        </m:r>
      </m:oMath>
      <w:r w:rsidRPr="00C82EE1">
        <w:rPr>
          <w:rFonts w:ascii="Times New Roman" w:eastAsia="Times New Roman" w:hAnsi="Times New Roman" w:cs="Times New Roman"/>
          <w:sz w:val="24"/>
          <w:szCs w:val="24"/>
        </w:rPr>
        <w:t xml:space="preserve"> as a </w:t>
      </w:r>
      <w:r w:rsidR="0053768A">
        <w:rPr>
          <w:rFonts w:ascii="Times New Roman" w:eastAsia="Times New Roman" w:hAnsi="Times New Roman" w:cs="Times New Roman"/>
          <w:sz w:val="24"/>
          <w:szCs w:val="24"/>
        </w:rPr>
        <w:t>mechanism</w:t>
      </w:r>
      <w:r w:rsidRPr="00C82EE1">
        <w:rPr>
          <w:rFonts w:ascii="Times New Roman" w:eastAsia="Times New Roman" w:hAnsi="Times New Roman" w:cs="Times New Roman"/>
          <w:sz w:val="24"/>
          <w:szCs w:val="24"/>
        </w:rPr>
        <w:t>. We find in Model (6) of Table 6</w:t>
      </w:r>
      <w:r w:rsidRPr="00C82EE1">
        <w:rPr>
          <w:rFonts w:ascii="Times New Roman" w:eastAsia="Times New Roman" w:hAnsi="Times New Roman" w:cs="Times New Roman"/>
          <w:i/>
          <w:sz w:val="24"/>
          <w:szCs w:val="24"/>
        </w:rPr>
        <w:t xml:space="preserve"> </w:t>
      </w:r>
      <w:r w:rsidRPr="00C82EE1">
        <w:rPr>
          <w:rFonts w:ascii="Times New Roman" w:eastAsia="Times New Roman" w:hAnsi="Times New Roman" w:cs="Times New Roman"/>
          <w:iCs/>
          <w:sz w:val="24"/>
          <w:szCs w:val="24"/>
        </w:rPr>
        <w:t>that</w:t>
      </w:r>
      <w:r w:rsidRPr="00C82EE1">
        <w:rPr>
          <w:rFonts w:ascii="Times New Roman" w:eastAsia="Times New Roman" w:hAnsi="Times New Roman" w:cs="Times New Roman"/>
          <w:sz w:val="24"/>
          <w:szCs w:val="24"/>
        </w:rPr>
        <w:t xml:space="preserve"> the direct effect of </w:t>
      </w:r>
      <m:oMath>
        <m:r>
          <w:rPr>
            <w:rFonts w:ascii="Cambria Math" w:eastAsia="Times New Roman" w:hAnsi="Cambria Math" w:cs="Times New Roman"/>
            <w:sz w:val="24"/>
            <w:szCs w:val="24"/>
          </w:rPr>
          <m:t>LC</m:t>
        </m:r>
      </m:oMath>
      <w:r w:rsidRPr="00C82EE1">
        <w:rPr>
          <w:rFonts w:ascii="Times New Roman" w:eastAsia="Times New Roman" w:hAnsi="Times New Roman" w:cs="Times New Roman"/>
          <w:sz w:val="24"/>
          <w:szCs w:val="24"/>
        </w:rPr>
        <w:t xml:space="preserve"> on the </w:t>
      </w:r>
      <m:oMath>
        <m:r>
          <w:rPr>
            <w:rFonts w:ascii="Cambria Math" w:eastAsia="Times New Roman" w:hAnsi="Cambria Math" w:cs="Times New Roman"/>
            <w:sz w:val="24"/>
            <w:szCs w:val="24"/>
          </w:rPr>
          <m:t xml:space="preserve">Amount raised </m:t>
        </m:r>
      </m:oMath>
      <w:r w:rsidRPr="00C82EE1">
        <w:rPr>
          <w:rFonts w:ascii="Times New Roman" w:eastAsia="Times New Roman" w:hAnsi="Times New Roman" w:cs="Times New Roman"/>
          <w:sz w:val="24"/>
          <w:szCs w:val="24"/>
        </w:rPr>
        <w:t xml:space="preserve">still holds even after controlling for </w:t>
      </w:r>
      <m:oMath>
        <m:r>
          <w:rPr>
            <w:rFonts w:ascii="Cambria Math" w:eastAsia="Times New Roman" w:hAnsi="Cambria Math" w:cs="Times New Roman"/>
            <w:sz w:val="24"/>
            <w:szCs w:val="24"/>
          </w:rPr>
          <m:t>Rating dispersion</m:t>
        </m:r>
      </m:oMath>
      <w:r w:rsidRPr="00C82EE1">
        <w:rPr>
          <w:rFonts w:ascii="Times New Roman" w:eastAsia="Times New Roman" w:hAnsi="Times New Roman" w:cs="Times New Roman"/>
          <w:sz w:val="24"/>
          <w:szCs w:val="24"/>
        </w:rPr>
        <w:t xml:space="preserve">, suggesting a partial mediation (Model (6)). </w:t>
      </w:r>
      <w:r w:rsidRPr="00C82EE1">
        <w:rPr>
          <w:rFonts w:ascii="Times New Roman" w:eastAsia="Times New Roman" w:hAnsi="Times New Roman" w:cs="Times New Roman"/>
          <w:iCs/>
          <w:sz w:val="24"/>
          <w:szCs w:val="24"/>
        </w:rPr>
        <w:t xml:space="preserve">This result aligns with our expectation that LC reduces information asymmetry across ICO experts, thereby reducing inconsistencies between ratings. </w:t>
      </w:r>
    </w:p>
    <w:p w14:paraId="283B9887" w14:textId="0C86F18A" w:rsidR="00481D5B" w:rsidRPr="00C82EE1" w:rsidRDefault="00481D5B" w:rsidP="00C00FDB">
      <w:pPr>
        <w:pStyle w:val="Titre3"/>
      </w:pPr>
      <w:r w:rsidRPr="00C82EE1">
        <w:t xml:space="preserve">The </w:t>
      </w:r>
      <w:r w:rsidR="007E5F1C">
        <w:t>mediation</w:t>
      </w:r>
      <w:r w:rsidRPr="00C82EE1">
        <w:t xml:space="preserve"> effect of investor attention – Retail vs. </w:t>
      </w:r>
      <w:r w:rsidR="00C00FDB">
        <w:t>I</w:t>
      </w:r>
      <w:r w:rsidRPr="00C82EE1">
        <w:t>nstitutional investors</w:t>
      </w:r>
    </w:p>
    <w:p w14:paraId="55B971E1" w14:textId="6DA83F9A" w:rsidR="005C318E" w:rsidRDefault="00481D5B" w:rsidP="007F3752">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LC can lead to higher investor attention, which in turn enhances ICO funding outcomes </w:t>
      </w:r>
      <w:r w:rsidR="00C51977" w:rsidRPr="00C82EE1">
        <w:rPr>
          <w:rFonts w:ascii="Times New Roman" w:hAnsi="Times New Roman" w:cs="Times New Roman"/>
          <w:sz w:val="24"/>
          <w:szCs w:val="24"/>
        </w:rPr>
        <w:t>(Xia et al., 2024c)</w:t>
      </w:r>
      <w:r w:rsidRPr="00C82EE1">
        <w:rPr>
          <w:rFonts w:ascii="Times New Roman" w:hAnsi="Times New Roman" w:cs="Times New Roman"/>
          <w:sz w:val="24"/>
          <w:szCs w:val="24"/>
        </w:rPr>
        <w:t xml:space="preserve">. Complex language demands greater cognitive engagement, drawing investors into deeper scrutiny </w:t>
      </w:r>
      <w:r w:rsidR="00C51977" w:rsidRPr="00C82EE1">
        <w:rPr>
          <w:rFonts w:ascii="Times New Roman" w:hAnsi="Times New Roman" w:cs="Times New Roman"/>
          <w:sz w:val="24"/>
          <w:szCs w:val="24"/>
        </w:rPr>
        <w:t>(Hayes-Roth, 1977; Liu et al., 2024)</w:t>
      </w:r>
      <w:r w:rsidRPr="00C82EE1">
        <w:rPr>
          <w:rFonts w:ascii="Times New Roman" w:hAnsi="Times New Roman" w:cs="Times New Roman"/>
          <w:sz w:val="24"/>
          <w:szCs w:val="24"/>
        </w:rPr>
        <w:t xml:space="preserve">. As attention increases, investors process more information, leading to greater confidence and a higher likelihood of investment. However, the effect of complexity on attention is not uniform across investor types </w:t>
      </w:r>
      <w:r w:rsidR="00C51977" w:rsidRPr="00C82EE1">
        <w:rPr>
          <w:rFonts w:ascii="Times New Roman" w:hAnsi="Times New Roman" w:cs="Times New Roman"/>
          <w:sz w:val="24"/>
          <w:szCs w:val="24"/>
        </w:rPr>
        <w:t>(</w:t>
      </w:r>
      <w:proofErr w:type="spellStart"/>
      <w:r w:rsidR="00C51977" w:rsidRPr="00C82EE1">
        <w:rPr>
          <w:rFonts w:ascii="Times New Roman" w:hAnsi="Times New Roman" w:cs="Times New Roman"/>
          <w:sz w:val="24"/>
          <w:szCs w:val="24"/>
        </w:rPr>
        <w:t>Baginski</w:t>
      </w:r>
      <w:proofErr w:type="spellEnd"/>
      <w:r w:rsidR="00C51977" w:rsidRPr="00C82EE1">
        <w:rPr>
          <w:rFonts w:ascii="Times New Roman" w:hAnsi="Times New Roman" w:cs="Times New Roman"/>
          <w:sz w:val="24"/>
          <w:szCs w:val="24"/>
        </w:rPr>
        <w:t xml:space="preserve"> et al., 2018; Miller, 2010)</w:t>
      </w:r>
      <w:r w:rsidRPr="00C82EE1">
        <w:rPr>
          <w:rFonts w:ascii="Times New Roman" w:hAnsi="Times New Roman" w:cs="Times New Roman"/>
          <w:sz w:val="24"/>
          <w:szCs w:val="24"/>
        </w:rPr>
        <w:t>, making it crucial to distinguish between retail and institutional investors.</w:t>
      </w:r>
    </w:p>
    <w:p w14:paraId="4DA462A0" w14:textId="0206B5EB" w:rsidR="00481D5B" w:rsidRPr="00C82EE1" w:rsidRDefault="001A7B4F"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Retail investors often lack advanced analytical skills and may find complexity overwhelming, which can lead to disengagement or reliance on superficial cues, such as sentiment and visual elements </w:t>
      </w:r>
      <w:r w:rsidR="00E34AE9" w:rsidRPr="00C82EE1">
        <w:rPr>
          <w:rFonts w:ascii="Times New Roman" w:hAnsi="Times New Roman" w:cs="Times New Roman"/>
          <w:sz w:val="24"/>
          <w:szCs w:val="24"/>
        </w:rPr>
        <w:t>(</w:t>
      </w:r>
      <w:proofErr w:type="spellStart"/>
      <w:r w:rsidR="00E34AE9" w:rsidRPr="00C82EE1">
        <w:rPr>
          <w:rFonts w:ascii="Times New Roman" w:hAnsi="Times New Roman" w:cs="Times New Roman"/>
          <w:sz w:val="24"/>
          <w:szCs w:val="24"/>
        </w:rPr>
        <w:t>Drobetz</w:t>
      </w:r>
      <w:proofErr w:type="spellEnd"/>
      <w:r w:rsidR="00E34AE9" w:rsidRPr="00C82EE1">
        <w:rPr>
          <w:rFonts w:ascii="Times New Roman" w:hAnsi="Times New Roman" w:cs="Times New Roman"/>
          <w:sz w:val="24"/>
          <w:szCs w:val="24"/>
        </w:rPr>
        <w:t xml:space="preserve"> et al., 2019; Xia et al., 2024c)</w:t>
      </w:r>
      <w:r w:rsidRPr="00C82EE1">
        <w:rPr>
          <w:rFonts w:ascii="Times New Roman" w:hAnsi="Times New Roman" w:cs="Times New Roman"/>
          <w:sz w:val="24"/>
          <w:szCs w:val="24"/>
        </w:rPr>
        <w:t xml:space="preserve">. In contrast, institutional investors, with their specialized expertise, can maintain attention and extract valuable insights, even if complexity slows their processing </w:t>
      </w:r>
      <w:r w:rsidR="00E34AE9" w:rsidRPr="00C82EE1">
        <w:rPr>
          <w:rFonts w:ascii="Times New Roman" w:hAnsi="Times New Roman" w:cs="Times New Roman"/>
          <w:sz w:val="24"/>
          <w:szCs w:val="24"/>
        </w:rPr>
        <w:t xml:space="preserve">(Fisch &amp; </w:t>
      </w:r>
      <w:proofErr w:type="spellStart"/>
      <w:r w:rsidR="00E34AE9" w:rsidRPr="00C82EE1">
        <w:rPr>
          <w:rFonts w:ascii="Times New Roman" w:hAnsi="Times New Roman" w:cs="Times New Roman"/>
          <w:sz w:val="24"/>
          <w:szCs w:val="24"/>
        </w:rPr>
        <w:t>Momtaz</w:t>
      </w:r>
      <w:proofErr w:type="spellEnd"/>
      <w:r w:rsidR="00E34AE9" w:rsidRPr="00C82EE1">
        <w:rPr>
          <w:rFonts w:ascii="Times New Roman" w:hAnsi="Times New Roman" w:cs="Times New Roman"/>
          <w:sz w:val="24"/>
          <w:szCs w:val="24"/>
        </w:rPr>
        <w:t>, 2020)</w:t>
      </w:r>
      <w:r w:rsidRPr="00C82EE1">
        <w:rPr>
          <w:rFonts w:ascii="Times New Roman" w:hAnsi="Times New Roman" w:cs="Times New Roman"/>
          <w:sz w:val="24"/>
          <w:szCs w:val="24"/>
        </w:rPr>
        <w:t>. Thus, LC can be a double-</w:t>
      </w:r>
      <w:r w:rsidRPr="00C82EE1">
        <w:rPr>
          <w:rFonts w:ascii="Times New Roman" w:hAnsi="Times New Roman" w:cs="Times New Roman"/>
          <w:sz w:val="24"/>
          <w:szCs w:val="24"/>
        </w:rPr>
        <w:lastRenderedPageBreak/>
        <w:t>edged sword: while it may attract institutional investors, it could have a limited impact on retail participation. Understanding how language shapes investor attention, and, ultimately, funding success, is essential.</w:t>
      </w:r>
      <w:r w:rsidRPr="00C82EE1" w:rsidDel="001A7B4F">
        <w:rPr>
          <w:rFonts w:ascii="Times New Roman" w:hAnsi="Times New Roman" w:cs="Times New Roman"/>
          <w:sz w:val="24"/>
          <w:szCs w:val="24"/>
        </w:rPr>
        <w:t xml:space="preserve"> </w:t>
      </w:r>
      <w:r w:rsidR="00335552" w:rsidRPr="00C82EE1">
        <w:rPr>
          <w:rFonts w:ascii="Times New Roman" w:hAnsi="Times New Roman" w:cs="Times New Roman"/>
          <w:sz w:val="24"/>
          <w:szCs w:val="24"/>
        </w:rPr>
        <w:t>Since investor attention is not directly observable, we b</w:t>
      </w:r>
      <w:r w:rsidR="00481D5B" w:rsidRPr="00C82EE1">
        <w:rPr>
          <w:rFonts w:ascii="Times New Roman" w:hAnsi="Times New Roman" w:cs="Times New Roman"/>
          <w:sz w:val="24"/>
          <w:szCs w:val="24"/>
        </w:rPr>
        <w:t xml:space="preserve">uild several proxies </w:t>
      </w:r>
      <w:r w:rsidR="00E34AE9" w:rsidRPr="00C82EE1">
        <w:rPr>
          <w:rFonts w:ascii="Times New Roman" w:hAnsi="Times New Roman" w:cs="Times New Roman"/>
          <w:sz w:val="24"/>
          <w:szCs w:val="24"/>
        </w:rPr>
        <w:t>(Lee et al., 2022)</w:t>
      </w:r>
      <w:r w:rsidR="00481D5B" w:rsidRPr="00C82EE1">
        <w:rPr>
          <w:rFonts w:ascii="Times New Roman" w:hAnsi="Times New Roman" w:cs="Times New Roman"/>
          <w:sz w:val="24"/>
          <w:szCs w:val="24"/>
        </w:rPr>
        <w:t xml:space="preserve">. To estimate retail investor attention, we follow </w:t>
      </w:r>
      <w:r w:rsidR="00E34AE9" w:rsidRPr="00C82EE1">
        <w:rPr>
          <w:rFonts w:ascii="Times New Roman" w:hAnsi="Times New Roman" w:cs="Times New Roman"/>
          <w:sz w:val="24"/>
          <w:szCs w:val="24"/>
        </w:rPr>
        <w:t>Lee et al. (2022)</w:t>
      </w:r>
      <w:r w:rsidR="00481D5B" w:rsidRPr="00C82EE1">
        <w:rPr>
          <w:rFonts w:ascii="Times New Roman" w:hAnsi="Times New Roman" w:cs="Times New Roman"/>
          <w:sz w:val="24"/>
          <w:szCs w:val="24"/>
        </w:rPr>
        <w:t xml:space="preserve"> and track message board activity on BitcoinTalk.org, one of the most well-known cryptocurrency forums. ICO teams can announce projects on the "</w:t>
      </w:r>
      <w:r w:rsidR="00481D5B" w:rsidRPr="00C82EE1">
        <w:rPr>
          <w:rFonts w:ascii="Times New Roman" w:hAnsi="Times New Roman" w:cs="Times New Roman"/>
          <w:i/>
          <w:sz w:val="24"/>
          <w:szCs w:val="24"/>
        </w:rPr>
        <w:t>Announcement (Altcoins)</w:t>
      </w:r>
      <w:r w:rsidR="00481D5B" w:rsidRPr="00C82EE1">
        <w:rPr>
          <w:rFonts w:ascii="Times New Roman" w:hAnsi="Times New Roman" w:cs="Times New Roman"/>
          <w:sz w:val="24"/>
          <w:szCs w:val="24"/>
        </w:rPr>
        <w:t>" platform, where investors engage by commenting, expressing opinions, and discussing project details. We find that 58.53% of our sample made an announcement on BitcoinTalk.org. For each</w:t>
      </w:r>
      <w:r w:rsidR="00AF7C5F" w:rsidRPr="00C82EE1">
        <w:rPr>
          <w:rFonts w:ascii="Times New Roman" w:hAnsi="Times New Roman" w:cs="Times New Roman"/>
          <w:sz w:val="24"/>
          <w:szCs w:val="24"/>
        </w:rPr>
        <w:t xml:space="preserve"> ICO,</w:t>
      </w:r>
      <w:r w:rsidR="00481D5B" w:rsidRPr="00C82EE1">
        <w:rPr>
          <w:rFonts w:ascii="Times New Roman" w:hAnsi="Times New Roman" w:cs="Times New Roman"/>
          <w:sz w:val="24"/>
          <w:szCs w:val="24"/>
        </w:rPr>
        <w:t xml:space="preserve"> we collect the announcement, posts, and timestamps, measuring retail investor attention as the logarithmic growth rate of comment activity within a 7-day</w:t>
      </w:r>
      <w:r w:rsidR="007E5F1C">
        <w:rPr>
          <w:rFonts w:ascii="Times New Roman" w:hAnsi="Times New Roman" w:cs="Times New Roman"/>
          <w:sz w:val="24"/>
          <w:szCs w:val="24"/>
        </w:rPr>
        <w:t>s</w:t>
      </w:r>
      <w:r w:rsidR="00481D5B" w:rsidRPr="00C82EE1">
        <w:rPr>
          <w:rFonts w:ascii="Times New Roman" w:hAnsi="Times New Roman" w:cs="Times New Roman"/>
          <w:sz w:val="24"/>
          <w:szCs w:val="24"/>
        </w:rPr>
        <w:t xml:space="preserve"> window before and after the ICO issuance. Regarding institutional investor attention, we follow </w:t>
      </w:r>
      <w:proofErr w:type="spellStart"/>
      <w:r w:rsidR="00E34AE9" w:rsidRPr="00C82EE1">
        <w:rPr>
          <w:rFonts w:ascii="Times New Roman" w:hAnsi="Times New Roman" w:cs="Times New Roman"/>
          <w:sz w:val="24"/>
          <w:szCs w:val="24"/>
        </w:rPr>
        <w:t>Drobetz</w:t>
      </w:r>
      <w:proofErr w:type="spellEnd"/>
      <w:r w:rsidR="00E34AE9" w:rsidRPr="00C82EE1">
        <w:rPr>
          <w:rFonts w:ascii="Times New Roman" w:hAnsi="Times New Roman" w:cs="Times New Roman"/>
          <w:sz w:val="24"/>
          <w:szCs w:val="24"/>
        </w:rPr>
        <w:t xml:space="preserve"> et al. (2025)</w:t>
      </w:r>
      <w:r w:rsidR="00481D5B" w:rsidRPr="00C82EE1">
        <w:rPr>
          <w:rFonts w:ascii="Times New Roman" w:hAnsi="Times New Roman" w:cs="Times New Roman"/>
          <w:sz w:val="24"/>
          <w:szCs w:val="24"/>
        </w:rPr>
        <w:t xml:space="preserve">, </w:t>
      </w:r>
      <w:r w:rsidR="00E34AE9" w:rsidRPr="00C82EE1">
        <w:rPr>
          <w:rFonts w:ascii="Times New Roman" w:hAnsi="Times New Roman" w:cs="Times New Roman"/>
          <w:sz w:val="24"/>
          <w:szCs w:val="24"/>
        </w:rPr>
        <w:t xml:space="preserve">Fisch &amp; </w:t>
      </w:r>
      <w:proofErr w:type="spellStart"/>
      <w:r w:rsidR="00E34AE9" w:rsidRPr="00C82EE1">
        <w:rPr>
          <w:rFonts w:ascii="Times New Roman" w:hAnsi="Times New Roman" w:cs="Times New Roman"/>
          <w:sz w:val="24"/>
          <w:szCs w:val="24"/>
        </w:rPr>
        <w:t>Momtaz</w:t>
      </w:r>
      <w:proofErr w:type="spellEnd"/>
      <w:r w:rsidR="00E34AE9" w:rsidRPr="00C82EE1">
        <w:rPr>
          <w:rFonts w:ascii="Times New Roman" w:hAnsi="Times New Roman" w:cs="Times New Roman"/>
          <w:sz w:val="24"/>
          <w:szCs w:val="24"/>
        </w:rPr>
        <w:t xml:space="preserve"> (2020)</w:t>
      </w:r>
      <w:r w:rsidR="00481D5B" w:rsidRPr="00C82EE1">
        <w:rPr>
          <w:rFonts w:ascii="Times New Roman" w:hAnsi="Times New Roman" w:cs="Times New Roman"/>
          <w:sz w:val="24"/>
          <w:szCs w:val="24"/>
        </w:rPr>
        <w:t xml:space="preserve">, and </w:t>
      </w:r>
      <w:proofErr w:type="spellStart"/>
      <w:r w:rsidR="00E34AE9" w:rsidRPr="00C82EE1">
        <w:rPr>
          <w:rFonts w:ascii="Times New Roman" w:hAnsi="Times New Roman" w:cs="Times New Roman"/>
          <w:sz w:val="24"/>
          <w:szCs w:val="24"/>
        </w:rPr>
        <w:t>Momtaz</w:t>
      </w:r>
      <w:proofErr w:type="spellEnd"/>
      <w:r w:rsidR="00E34AE9" w:rsidRPr="00C82EE1">
        <w:rPr>
          <w:rFonts w:ascii="Times New Roman" w:hAnsi="Times New Roman" w:cs="Times New Roman"/>
          <w:sz w:val="24"/>
          <w:szCs w:val="24"/>
        </w:rPr>
        <w:t xml:space="preserve"> (2024)</w:t>
      </w:r>
      <w:r w:rsidR="00481D5B" w:rsidRPr="00C82EE1">
        <w:rPr>
          <w:rFonts w:ascii="Times New Roman" w:hAnsi="Times New Roman" w:cs="Times New Roman"/>
          <w:sz w:val="24"/>
          <w:szCs w:val="24"/>
        </w:rPr>
        <w:t xml:space="preserve"> to determine whether an ICO was backed by institutional investors. We construct a binary variable </w:t>
      </w:r>
      <m:oMath>
        <m:r>
          <w:rPr>
            <w:rFonts w:ascii="Cambria Math" w:hAnsi="Cambria Math" w:cs="Times New Roman"/>
            <w:sz w:val="24"/>
            <w:szCs w:val="24"/>
          </w:rPr>
          <m:t>(FundBacked)</m:t>
        </m:r>
      </m:oMath>
      <w:r w:rsidR="00481D5B" w:rsidRPr="00C82EE1">
        <w:rPr>
          <w:rFonts w:ascii="Times New Roman" w:hAnsi="Times New Roman" w:cs="Times New Roman"/>
          <w:sz w:val="24"/>
          <w:szCs w:val="24"/>
        </w:rPr>
        <w:t xml:space="preserve">, indicating whether an ICO had crypto fund backing before the public offering. Our sample contains 7.6% ICOs backed by institutional investors, allowing us to examine how </w:t>
      </w:r>
      <w:r w:rsidR="00E8574F" w:rsidRPr="00C82EE1">
        <w:rPr>
          <w:rFonts w:ascii="Times New Roman" w:hAnsi="Times New Roman" w:cs="Times New Roman"/>
          <w:sz w:val="24"/>
          <w:szCs w:val="24"/>
        </w:rPr>
        <w:t>LC</w:t>
      </w:r>
      <w:r w:rsidR="00481D5B" w:rsidRPr="00C82EE1">
        <w:rPr>
          <w:rFonts w:ascii="Times New Roman" w:hAnsi="Times New Roman" w:cs="Times New Roman"/>
          <w:sz w:val="24"/>
          <w:szCs w:val="24"/>
        </w:rPr>
        <w:t xml:space="preserve"> influences institutional versus retail attention and, in turn, ICO funding success.</w:t>
      </w:r>
    </w:p>
    <w:p w14:paraId="366862A7" w14:textId="06B634FE" w:rsidR="00481D5B" w:rsidRPr="00C82EE1" w:rsidRDefault="00481D5B"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To test this attention mechanism, we analyze the indirect effect of investor attention on ICO funding success, distinguishing between retail and institutional attention proxies. First, we examine whether LC increases institutional investor attention following Equation (5) using a </w:t>
      </w:r>
      <w:proofErr w:type="spellStart"/>
      <w:r w:rsidRPr="00C82EE1">
        <w:rPr>
          <w:rFonts w:ascii="Times New Roman" w:hAnsi="Times New Roman" w:cs="Times New Roman"/>
          <w:sz w:val="24"/>
          <w:szCs w:val="24"/>
        </w:rPr>
        <w:t>Probit</w:t>
      </w:r>
      <w:proofErr w:type="spellEnd"/>
      <w:r w:rsidRPr="00C82EE1">
        <w:rPr>
          <w:rFonts w:ascii="Times New Roman" w:hAnsi="Times New Roman" w:cs="Times New Roman"/>
          <w:sz w:val="24"/>
          <w:szCs w:val="24"/>
        </w:rPr>
        <w:t xml:space="preserve"> model. We then assess whether institutional attention mediates the relationship between </w:t>
      </w:r>
      <w:r w:rsidR="00E8574F" w:rsidRPr="00C82EE1">
        <w:rPr>
          <w:rFonts w:ascii="Times New Roman" w:hAnsi="Times New Roman" w:cs="Times New Roman"/>
          <w:sz w:val="24"/>
          <w:szCs w:val="24"/>
        </w:rPr>
        <w:t xml:space="preserve">LC </w:t>
      </w:r>
      <w:r w:rsidRPr="00C82EE1">
        <w:rPr>
          <w:rFonts w:ascii="Times New Roman" w:hAnsi="Times New Roman" w:cs="Times New Roman"/>
          <w:sz w:val="24"/>
          <w:szCs w:val="24"/>
        </w:rPr>
        <w:t>and ICO funding using Equation (6).</w:t>
      </w:r>
      <w:r w:rsidRPr="00C82EE1">
        <w:rPr>
          <w:rFonts w:ascii="Times New Roman" w:hAnsi="Times New Roman" w:cs="Times New Roman"/>
          <w:sz w:val="24"/>
          <w:szCs w:val="24"/>
        </w:rPr>
        <w:tab/>
      </w:r>
    </w:p>
    <w:p w14:paraId="5D9D61EE" w14:textId="237BF576" w:rsidR="00481D5B" w:rsidRPr="00C82EE1" w:rsidRDefault="00481D5B"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Our results are shown in Model (7) of Table 6. We find a positive and significant relationship between </w:t>
      </w:r>
      <m:oMath>
        <m:r>
          <w:rPr>
            <w:rFonts w:ascii="Cambria Math" w:hAnsi="Cambria Math" w:cs="Times New Roman"/>
            <w:sz w:val="24"/>
            <w:szCs w:val="24"/>
          </w:rPr>
          <m:t>LC</m:t>
        </m:r>
      </m:oMath>
      <w:r w:rsidRPr="00C82EE1">
        <w:rPr>
          <w:rFonts w:ascii="Times New Roman" w:hAnsi="Times New Roman" w:cs="Times New Roman"/>
          <w:sz w:val="24"/>
          <w:szCs w:val="24"/>
        </w:rPr>
        <w:t xml:space="preserve"> and </w:t>
      </w:r>
      <m:oMath>
        <m:r>
          <w:rPr>
            <w:rFonts w:ascii="Cambria Math" w:hAnsi="Cambria Math" w:cs="Times New Roman"/>
            <w:sz w:val="24"/>
            <w:szCs w:val="24"/>
          </w:rPr>
          <m:t>FundBacked</m:t>
        </m:r>
      </m:oMath>
      <w:r w:rsidRPr="00C82EE1">
        <w:rPr>
          <w:rFonts w:ascii="Times New Roman" w:hAnsi="Times New Roman" w:cs="Times New Roman"/>
          <w:sz w:val="24"/>
          <w:szCs w:val="24"/>
        </w:rPr>
        <w:t xml:space="preserve">, with a coefficient of 0.111, statistically significant at </w:t>
      </w:r>
      <w:r w:rsidR="00DB2699">
        <w:rPr>
          <w:rFonts w:ascii="Times New Roman" w:hAnsi="Times New Roman" w:cs="Times New Roman"/>
          <w:sz w:val="24"/>
          <w:szCs w:val="24"/>
        </w:rPr>
        <w:t>the</w:t>
      </w:r>
      <w:r w:rsidR="00DB2699" w:rsidRPr="00C82EE1">
        <w:rPr>
          <w:rFonts w:ascii="Times New Roman" w:hAnsi="Times New Roman" w:cs="Times New Roman"/>
          <w:sz w:val="24"/>
          <w:szCs w:val="24"/>
        </w:rPr>
        <w:t xml:space="preserve"> </w:t>
      </w:r>
      <w:r w:rsidR="00DB2699">
        <w:rPr>
          <w:rFonts w:ascii="Times New Roman" w:hAnsi="Times New Roman" w:cs="Times New Roman"/>
          <w:sz w:val="24"/>
          <w:szCs w:val="24"/>
        </w:rPr>
        <w:t>1</w:t>
      </w:r>
      <w:r w:rsidRPr="00C82EE1">
        <w:rPr>
          <w:rFonts w:ascii="Times New Roman" w:hAnsi="Times New Roman" w:cs="Times New Roman"/>
          <w:sz w:val="24"/>
          <w:szCs w:val="24"/>
        </w:rPr>
        <w:t xml:space="preserve">% level. This confirms that LC increases the likelihood of an ICO being backed by institutional investors, thereby heightening institutional attention. Next, in Model (8) of Table 6, we find that the direct effect of </w:t>
      </w:r>
      <m:oMath>
        <m:r>
          <w:rPr>
            <w:rFonts w:ascii="Cambria Math" w:hAnsi="Cambria Math" w:cs="Times New Roman"/>
            <w:sz w:val="24"/>
            <w:szCs w:val="24"/>
          </w:rPr>
          <m:t>LC</m:t>
        </m:r>
      </m:oMath>
      <w:r w:rsidRPr="00C82EE1">
        <w:rPr>
          <w:rFonts w:ascii="Times New Roman" w:hAnsi="Times New Roman" w:cs="Times New Roman"/>
          <w:sz w:val="24"/>
          <w:szCs w:val="24"/>
        </w:rPr>
        <w:t xml:space="preserve"> on </w:t>
      </w:r>
      <m:oMath>
        <m:r>
          <w:rPr>
            <w:rFonts w:ascii="Cambria Math" w:hAnsi="Cambria Math" w:cs="Times New Roman"/>
            <w:sz w:val="24"/>
            <w:szCs w:val="24"/>
          </w:rPr>
          <m:t>Amount raised</m:t>
        </m:r>
      </m:oMath>
      <w:r w:rsidRPr="00C82EE1">
        <w:rPr>
          <w:rFonts w:ascii="Times New Roman" w:hAnsi="Times New Roman" w:cs="Times New Roman"/>
          <w:sz w:val="24"/>
          <w:szCs w:val="24"/>
        </w:rPr>
        <w:t xml:space="preserve"> remains significant even after controlling for </w:t>
      </w:r>
      <m:oMath>
        <m:r>
          <w:rPr>
            <w:rFonts w:ascii="Cambria Math" w:hAnsi="Cambria Math" w:cs="Times New Roman"/>
            <w:sz w:val="24"/>
            <w:szCs w:val="24"/>
          </w:rPr>
          <m:t>FundBacked</m:t>
        </m:r>
      </m:oMath>
      <w:r w:rsidRPr="00C82EE1">
        <w:rPr>
          <w:rFonts w:ascii="Times New Roman" w:hAnsi="Times New Roman" w:cs="Times New Roman"/>
          <w:sz w:val="24"/>
          <w:szCs w:val="24"/>
        </w:rPr>
        <w:t>, suggesting a partial mediation effect. These findings confirm that LC attracts institutional attention, which i</w:t>
      </w:r>
      <w:proofErr w:type="spellStart"/>
      <w:r w:rsidRPr="00C82EE1">
        <w:rPr>
          <w:rFonts w:ascii="Times New Roman" w:hAnsi="Times New Roman" w:cs="Times New Roman"/>
          <w:sz w:val="24"/>
          <w:szCs w:val="24"/>
        </w:rPr>
        <w:t>ncreases</w:t>
      </w:r>
      <w:proofErr w:type="spellEnd"/>
      <w:r w:rsidRPr="00C82EE1">
        <w:rPr>
          <w:rFonts w:ascii="Times New Roman" w:hAnsi="Times New Roman" w:cs="Times New Roman"/>
          <w:sz w:val="24"/>
          <w:szCs w:val="24"/>
        </w:rPr>
        <w:t xml:space="preserve"> the probability of ICO success. </w:t>
      </w:r>
    </w:p>
    <w:p w14:paraId="64D5374E" w14:textId="61FFE49C" w:rsidR="00C55DAB" w:rsidRDefault="00481D5B" w:rsidP="007F3752">
      <w:pPr>
        <w:spacing w:after="120" w:line="360" w:lineRule="auto"/>
        <w:ind w:firstLine="340"/>
        <w:jc w:val="both"/>
        <w:rPr>
          <w:rFonts w:ascii="Times New Roman" w:eastAsia="Times New Roman" w:hAnsi="Times New Roman" w:cs="Times New Roman"/>
          <w:sz w:val="24"/>
          <w:szCs w:val="24"/>
        </w:rPr>
      </w:pPr>
      <w:r w:rsidRPr="00C82EE1">
        <w:rPr>
          <w:rFonts w:ascii="Times New Roman" w:hAnsi="Times New Roman" w:cs="Times New Roman"/>
          <w:sz w:val="24"/>
          <w:szCs w:val="24"/>
        </w:rPr>
        <w:t xml:space="preserve">Next, we examine retail investor attention by relying on </w:t>
      </w:r>
      <w:r w:rsidR="00E34AE9" w:rsidRPr="00C82EE1">
        <w:rPr>
          <w:rFonts w:ascii="Times New Roman" w:hAnsi="Times New Roman" w:cs="Times New Roman"/>
          <w:sz w:val="24"/>
          <w:szCs w:val="24"/>
        </w:rPr>
        <w:t>Lee et al. (2022)</w:t>
      </w:r>
      <w:r w:rsidRPr="00C82EE1">
        <w:rPr>
          <w:rFonts w:ascii="Times New Roman" w:hAnsi="Times New Roman" w:cs="Times New Roman"/>
          <w:sz w:val="24"/>
          <w:szCs w:val="24"/>
        </w:rPr>
        <w:t xml:space="preserve"> and proxying it based on board activity on BitcoinTalk.org </w:t>
      </w:r>
      <w:r w:rsidR="00E34AE9" w:rsidRPr="00C82EE1">
        <w:rPr>
          <w:rFonts w:ascii="Times New Roman" w:hAnsi="Times New Roman" w:cs="Times New Roman"/>
          <w:sz w:val="24"/>
          <w:szCs w:val="24"/>
        </w:rPr>
        <w:t>(</w:t>
      </w:r>
      <w:proofErr w:type="spellStart"/>
      <w:r w:rsidR="00E34AE9" w:rsidRPr="00C82EE1">
        <w:rPr>
          <w:rFonts w:ascii="Times New Roman" w:hAnsi="Times New Roman" w:cs="Times New Roman"/>
          <w:sz w:val="24"/>
          <w:szCs w:val="24"/>
        </w:rPr>
        <w:t>Ahn</w:t>
      </w:r>
      <w:proofErr w:type="spellEnd"/>
      <w:r w:rsidR="00E34AE9" w:rsidRPr="00C82EE1">
        <w:rPr>
          <w:rFonts w:ascii="Times New Roman" w:hAnsi="Times New Roman" w:cs="Times New Roman"/>
          <w:sz w:val="24"/>
          <w:szCs w:val="24"/>
        </w:rPr>
        <w:t xml:space="preserve"> &amp; Kim, 2020; </w:t>
      </w:r>
      <w:proofErr w:type="spellStart"/>
      <w:r w:rsidR="00E34AE9" w:rsidRPr="00C82EE1">
        <w:rPr>
          <w:rFonts w:ascii="Times New Roman" w:hAnsi="Times New Roman" w:cs="Times New Roman"/>
          <w:sz w:val="24"/>
          <w:szCs w:val="24"/>
        </w:rPr>
        <w:t>Canbaz</w:t>
      </w:r>
      <w:proofErr w:type="spellEnd"/>
      <w:r w:rsidR="00E34AE9" w:rsidRPr="00C82EE1">
        <w:rPr>
          <w:rFonts w:ascii="Times New Roman" w:hAnsi="Times New Roman" w:cs="Times New Roman"/>
          <w:sz w:val="24"/>
          <w:szCs w:val="24"/>
        </w:rPr>
        <w:t>, 2020)</w:t>
      </w:r>
      <w:r w:rsidRPr="00C82EE1">
        <w:rPr>
          <w:rFonts w:ascii="Times New Roman" w:hAnsi="Times New Roman" w:cs="Times New Roman"/>
          <w:sz w:val="24"/>
          <w:szCs w:val="24"/>
        </w:rPr>
        <w:t xml:space="preserve">. We define retail attention as the </w:t>
      </w:r>
      <w:r w:rsidR="00E34AE9" w:rsidRPr="00C82EE1">
        <w:rPr>
          <w:rFonts w:ascii="Times New Roman" w:hAnsi="Times New Roman" w:cs="Times New Roman"/>
          <w:sz w:val="24"/>
          <w:szCs w:val="24"/>
        </w:rPr>
        <w:t xml:space="preserve">natural logarithm of the </w:t>
      </w:r>
      <w:r w:rsidRPr="00C82EE1">
        <w:rPr>
          <w:rFonts w:ascii="Times New Roman" w:hAnsi="Times New Roman" w:cs="Times New Roman"/>
          <w:sz w:val="24"/>
          <w:szCs w:val="24"/>
        </w:rPr>
        <w:t>7-day</w:t>
      </w:r>
      <w:r w:rsidR="007E5F1C">
        <w:rPr>
          <w:rFonts w:ascii="Times New Roman" w:hAnsi="Times New Roman" w:cs="Times New Roman"/>
          <w:sz w:val="24"/>
          <w:szCs w:val="24"/>
        </w:rPr>
        <w:t>s</w:t>
      </w:r>
      <w:r w:rsidRPr="00C82EE1">
        <w:rPr>
          <w:rFonts w:ascii="Times New Roman" w:hAnsi="Times New Roman" w:cs="Times New Roman"/>
          <w:sz w:val="24"/>
          <w:szCs w:val="24"/>
        </w:rPr>
        <w:t xml:space="preserve"> window growth rate </w:t>
      </w:r>
      <m:oMath>
        <m:d>
          <m:dPr>
            <m:ctrlPr>
              <w:rPr>
                <w:rFonts w:ascii="Cambria Math" w:hAnsi="Cambria Math" w:cs="Times New Roman"/>
                <w:i/>
                <w:sz w:val="24"/>
                <w:szCs w:val="24"/>
              </w:rPr>
            </m:ctrlPr>
          </m:dPr>
          <m:e>
            <m:r>
              <w:rPr>
                <w:rFonts w:ascii="Cambria Math" w:hAnsi="Cambria Math" w:cs="Times New Roman"/>
                <w:sz w:val="24"/>
                <w:szCs w:val="24"/>
              </w:rPr>
              <m:t>7-days window growth rate</m:t>
            </m:r>
          </m:e>
        </m:d>
      </m:oMath>
      <w:r w:rsidRPr="00C82EE1">
        <w:rPr>
          <w:rFonts w:ascii="Times New Roman" w:eastAsiaTheme="minorEastAsia" w:hAnsi="Times New Roman" w:cs="Times New Roman"/>
          <w:sz w:val="24"/>
          <w:szCs w:val="24"/>
        </w:rPr>
        <w:t xml:space="preserve"> </w:t>
      </w:r>
      <w:r w:rsidRPr="00C82EE1">
        <w:rPr>
          <w:rFonts w:ascii="Times New Roman" w:hAnsi="Times New Roman" w:cs="Times New Roman"/>
          <w:sz w:val="24"/>
          <w:szCs w:val="24"/>
        </w:rPr>
        <w:t xml:space="preserve">of comments </w:t>
      </w:r>
      <w:r w:rsidR="00C55DAB">
        <w:rPr>
          <w:rFonts w:ascii="Times New Roman" w:hAnsi="Times New Roman" w:cs="Times New Roman"/>
          <w:sz w:val="24"/>
          <w:szCs w:val="24"/>
        </w:rPr>
        <w:t>issued by investors in reaction to the ICO announcement.</w:t>
      </w:r>
      <w:r w:rsidR="00C55DAB">
        <w:rPr>
          <w:rFonts w:ascii="Times New Roman" w:eastAsia="Times New Roman" w:hAnsi="Times New Roman" w:cs="Times New Roman"/>
          <w:sz w:val="24"/>
          <w:szCs w:val="24"/>
        </w:rPr>
        <w:t xml:space="preserve"> </w:t>
      </w:r>
    </w:p>
    <w:p w14:paraId="09556DB6" w14:textId="086BC6E7" w:rsidR="00481D5B" w:rsidRPr="00C55DAB" w:rsidRDefault="00481D5B" w:rsidP="007F3752">
      <w:pPr>
        <w:spacing w:after="120" w:line="360" w:lineRule="auto"/>
        <w:ind w:firstLine="340"/>
        <w:jc w:val="both"/>
        <w:rPr>
          <w:rFonts w:ascii="Times New Roman" w:eastAsia="Times New Roman" w:hAnsi="Times New Roman" w:cs="Times New Roman"/>
          <w:sz w:val="24"/>
          <w:szCs w:val="24"/>
        </w:rPr>
      </w:pPr>
      <w:r w:rsidRPr="00C82EE1">
        <w:rPr>
          <w:rFonts w:ascii="Times New Roman" w:hAnsi="Times New Roman" w:cs="Times New Roman"/>
          <w:sz w:val="24"/>
          <w:szCs w:val="24"/>
        </w:rPr>
        <w:lastRenderedPageBreak/>
        <w:t xml:space="preserve">As reported in Model (9) of Table 6, we run Equation (5) </w:t>
      </w:r>
      <w:r w:rsidR="00CF3E39">
        <w:rPr>
          <w:rFonts w:ascii="Times New Roman" w:hAnsi="Times New Roman" w:cs="Times New Roman"/>
          <w:sz w:val="24"/>
          <w:szCs w:val="24"/>
        </w:rPr>
        <w:t>with</w:t>
      </w:r>
      <w:r w:rsidRPr="00C82EE1">
        <w:rPr>
          <w:rFonts w:ascii="Times New Roman" w:hAnsi="Times New Roman" w:cs="Times New Roman"/>
          <w:sz w:val="24"/>
          <w:szCs w:val="24"/>
        </w:rPr>
        <w:t xml:space="preserve"> </w:t>
      </w:r>
      <m:oMath>
        <m:r>
          <w:rPr>
            <w:rFonts w:ascii="Cambria Math" w:hAnsi="Cambria Math" w:cs="Times New Roman"/>
            <w:sz w:val="24"/>
            <w:szCs w:val="24"/>
          </w:rPr>
          <m:t>7-days window growth rate</m:t>
        </m:r>
      </m:oMath>
      <w:r w:rsidRPr="00C82EE1">
        <w:rPr>
          <w:rFonts w:ascii="Times New Roman" w:eastAsiaTheme="minorEastAsia" w:hAnsi="Times New Roman" w:cs="Times New Roman"/>
          <w:sz w:val="24"/>
          <w:szCs w:val="24"/>
        </w:rPr>
        <w:t xml:space="preserve"> as dependent variable</w:t>
      </w:r>
      <w:r w:rsidR="00AF7C5F" w:rsidRPr="00C82EE1">
        <w:rPr>
          <w:rFonts w:ascii="Times New Roman" w:eastAsiaTheme="minorEastAsia" w:hAnsi="Times New Roman" w:cs="Times New Roman"/>
          <w:sz w:val="24"/>
          <w:szCs w:val="24"/>
        </w:rPr>
        <w:t xml:space="preserve">. We </w:t>
      </w:r>
      <w:r w:rsidRPr="00C82EE1">
        <w:rPr>
          <w:rFonts w:ascii="Times New Roman" w:hAnsi="Times New Roman" w:cs="Times New Roman"/>
          <w:sz w:val="24"/>
          <w:szCs w:val="24"/>
        </w:rPr>
        <w:t xml:space="preserve">find a negative relationship between </w:t>
      </w:r>
      <m:oMath>
        <m:r>
          <w:rPr>
            <w:rFonts w:ascii="Cambria Math" w:hAnsi="Cambria Math" w:cs="Times New Roman"/>
            <w:sz w:val="24"/>
            <w:szCs w:val="24"/>
          </w:rPr>
          <m:t>LC</m:t>
        </m:r>
      </m:oMath>
      <w:r w:rsidRPr="00C82EE1">
        <w:rPr>
          <w:rFonts w:ascii="Times New Roman" w:hAnsi="Times New Roman" w:cs="Times New Roman"/>
          <w:sz w:val="24"/>
          <w:szCs w:val="24"/>
        </w:rPr>
        <w:t xml:space="preserve"> and </w:t>
      </w:r>
      <m:oMath>
        <m:r>
          <w:rPr>
            <w:rFonts w:ascii="Cambria Math" w:hAnsi="Cambria Math" w:cs="Times New Roman"/>
            <w:sz w:val="24"/>
            <w:szCs w:val="24"/>
          </w:rPr>
          <m:t>7-days window growth rate</m:t>
        </m:r>
      </m:oMath>
      <w:r w:rsidRPr="00C82EE1">
        <w:rPr>
          <w:rFonts w:ascii="Times New Roman" w:hAnsi="Times New Roman" w:cs="Times New Roman"/>
          <w:sz w:val="24"/>
          <w:szCs w:val="24"/>
        </w:rPr>
        <w:t xml:space="preserve">, which is significant at the </w:t>
      </w:r>
      <w:r w:rsidR="00DB2699">
        <w:rPr>
          <w:rFonts w:ascii="Times New Roman" w:hAnsi="Times New Roman" w:cs="Times New Roman"/>
          <w:sz w:val="24"/>
          <w:szCs w:val="24"/>
        </w:rPr>
        <w:t>1</w:t>
      </w:r>
      <w:r w:rsidRPr="00C82EE1">
        <w:rPr>
          <w:rFonts w:ascii="Times New Roman" w:hAnsi="Times New Roman" w:cs="Times New Roman"/>
          <w:sz w:val="24"/>
          <w:szCs w:val="24"/>
        </w:rPr>
        <w:t>% level. This confirms that</w:t>
      </w:r>
      <w:r w:rsidR="00AF7C5F" w:rsidRPr="00C82EE1">
        <w:rPr>
          <w:rFonts w:ascii="Times New Roman" w:hAnsi="Times New Roman" w:cs="Times New Roman"/>
          <w:sz w:val="24"/>
          <w:szCs w:val="24"/>
        </w:rPr>
        <w:t>, c</w:t>
      </w:r>
      <w:r w:rsidR="00AF7C5F" w:rsidRPr="00C82EE1">
        <w:rPr>
          <w:rFonts w:ascii="Times New Roman" w:eastAsiaTheme="minorEastAsia" w:hAnsi="Times New Roman" w:cs="Times New Roman"/>
          <w:sz w:val="24"/>
          <w:szCs w:val="24"/>
        </w:rPr>
        <w:t xml:space="preserve">ontrary to institutional investors, </w:t>
      </w:r>
      <w:r w:rsidRPr="00C82EE1">
        <w:rPr>
          <w:rFonts w:ascii="Times New Roman" w:hAnsi="Times New Roman" w:cs="Times New Roman"/>
          <w:sz w:val="24"/>
          <w:szCs w:val="24"/>
        </w:rPr>
        <w:t>higher LC reduces retail investor attention. Next, we examine whether reduced retail attention mediates the LC-funding relationship using Equation (6). Our findings in Model (10) of Table 6 indicate that</w:t>
      </w:r>
      <w:r w:rsidR="00AF7C5F" w:rsidRPr="00C82EE1">
        <w:rPr>
          <w:rFonts w:ascii="Times New Roman" w:hAnsi="Times New Roman" w:cs="Times New Roman"/>
          <w:sz w:val="24"/>
          <w:szCs w:val="24"/>
        </w:rPr>
        <w:t>,</w:t>
      </w:r>
      <w:r w:rsidRPr="00C82EE1">
        <w:rPr>
          <w:rFonts w:ascii="Times New Roman" w:hAnsi="Times New Roman" w:cs="Times New Roman"/>
          <w:sz w:val="24"/>
          <w:szCs w:val="24"/>
        </w:rPr>
        <w:t xml:space="preserve"> while LC remains significant for ICO funding, </w:t>
      </w:r>
      <m:oMath>
        <m:r>
          <w:rPr>
            <w:rFonts w:ascii="Cambria Math" w:hAnsi="Cambria Math" w:cs="Times New Roman"/>
            <w:sz w:val="24"/>
            <w:szCs w:val="24"/>
          </w:rPr>
          <m:t>7-days window growth rate</m:t>
        </m:r>
      </m:oMath>
      <w:r w:rsidRPr="00C82EE1" w:rsidDel="00F12009">
        <w:rPr>
          <w:rFonts w:ascii="Times New Roman" w:hAnsi="Times New Roman" w:cs="Times New Roman"/>
          <w:sz w:val="24"/>
          <w:szCs w:val="24"/>
        </w:rPr>
        <w:t xml:space="preserve"> </w:t>
      </w:r>
      <w:r w:rsidRPr="00C82EE1">
        <w:rPr>
          <w:rFonts w:ascii="Times New Roman" w:hAnsi="Times New Roman" w:cs="Times New Roman"/>
          <w:sz w:val="24"/>
          <w:szCs w:val="24"/>
        </w:rPr>
        <w:t xml:space="preserve"> does</w:t>
      </w:r>
      <w:r w:rsidR="009C1AB5">
        <w:rPr>
          <w:rFonts w:ascii="Times New Roman" w:hAnsi="Times New Roman" w:cs="Times New Roman"/>
          <w:sz w:val="24"/>
          <w:szCs w:val="24"/>
        </w:rPr>
        <w:t xml:space="preserve"> </w:t>
      </w:r>
      <w:r w:rsidRPr="00C82EE1">
        <w:rPr>
          <w:rFonts w:ascii="Times New Roman" w:hAnsi="Times New Roman" w:cs="Times New Roman"/>
          <w:sz w:val="24"/>
          <w:szCs w:val="24"/>
        </w:rPr>
        <w:t xml:space="preserve">not significantly affect the amount raised. Overall, this result reinforces that institutional investors are the primary audience responding to LC. Retail investors, on the other hand, are deterred by complexity, reducing their attention without significantly impacting the total amount raised. These findings align with prior literature </w:t>
      </w:r>
      <w:r w:rsidR="00E22F56" w:rsidRPr="00C82EE1">
        <w:rPr>
          <w:rFonts w:ascii="Times New Roman" w:hAnsi="Times New Roman" w:cs="Times New Roman"/>
          <w:sz w:val="24"/>
          <w:szCs w:val="24"/>
        </w:rPr>
        <w:t xml:space="preserve">(Fisch et al., 2021; Fisch &amp; </w:t>
      </w:r>
      <w:proofErr w:type="spellStart"/>
      <w:r w:rsidR="00E22F56" w:rsidRPr="00C82EE1">
        <w:rPr>
          <w:rFonts w:ascii="Times New Roman" w:hAnsi="Times New Roman" w:cs="Times New Roman"/>
          <w:sz w:val="24"/>
          <w:szCs w:val="24"/>
        </w:rPr>
        <w:t>Momtaz</w:t>
      </w:r>
      <w:proofErr w:type="spellEnd"/>
      <w:r w:rsidR="00E22F56" w:rsidRPr="00C82EE1">
        <w:rPr>
          <w:rFonts w:ascii="Times New Roman" w:hAnsi="Times New Roman" w:cs="Times New Roman"/>
          <w:sz w:val="24"/>
          <w:szCs w:val="24"/>
        </w:rPr>
        <w:t>, 2020)</w:t>
      </w:r>
      <w:r w:rsidRPr="00C82EE1">
        <w:rPr>
          <w:rFonts w:ascii="Times New Roman" w:hAnsi="Times New Roman" w:cs="Times New Roman"/>
          <w:sz w:val="24"/>
          <w:szCs w:val="24"/>
        </w:rPr>
        <w:t xml:space="preserve"> and highlight the role of investor attention as a critical mechanism through which LC affects financial outcomes in the ICO context.</w:t>
      </w:r>
    </w:p>
    <w:p w14:paraId="4751C8DF" w14:textId="31B51104" w:rsidR="00B849B4" w:rsidRPr="00C82EE1" w:rsidRDefault="00481D5B" w:rsidP="00164EBD">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6 here.]</w:t>
      </w:r>
    </w:p>
    <w:p w14:paraId="51FDBC7B" w14:textId="6BDE8F38" w:rsidR="00481D5B" w:rsidRPr="00C82EE1" w:rsidRDefault="00481D5B" w:rsidP="00C3281F">
      <w:pPr>
        <w:pStyle w:val="Titre2"/>
      </w:pPr>
      <w:r w:rsidRPr="00C82EE1">
        <w:t>Cross-sectional analyses</w:t>
      </w:r>
    </w:p>
    <w:p w14:paraId="0E34A0AA" w14:textId="36BBEE61" w:rsidR="00481D5B" w:rsidRPr="00C82EE1" w:rsidRDefault="00481D5B" w:rsidP="007F3752">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We next argue that the signal sent by LC is stronger when it is more difficult to imitate. For instance, if an ICO originates from a country with low literacy levels, or if the CEO has a limited educational background, or if the project code is not publicly available on development platforms, then producing a lexically complex white paper becomes more effortful and less likely for lower-quality projects. In such cases, LC is more likely to stand out as a credible and differentiating signal. Accordingly, we expect the effect of LC on fundraising to be more pronounced under the following conditions: (</w:t>
      </w:r>
      <w:proofErr w:type="spellStart"/>
      <w:r w:rsidRPr="00C82EE1">
        <w:rPr>
          <w:rFonts w:ascii="Times New Roman" w:hAnsi="Times New Roman" w:cs="Times New Roman"/>
          <w:sz w:val="24"/>
          <w:szCs w:val="24"/>
        </w:rPr>
        <w:t>i</w:t>
      </w:r>
      <w:proofErr w:type="spellEnd"/>
      <w:r w:rsidRPr="00C82EE1">
        <w:rPr>
          <w:rFonts w:ascii="Times New Roman" w:hAnsi="Times New Roman" w:cs="Times New Roman"/>
          <w:sz w:val="24"/>
          <w:szCs w:val="24"/>
        </w:rPr>
        <w:t>) the ICO country has a low average literacy rate, (ii) the CEO has a lower level of education, and (iii) the project does not share its code on development platforms.</w:t>
      </w:r>
    </w:p>
    <w:p w14:paraId="054D1A60" w14:textId="7433C8AC" w:rsidR="00481D5B" w:rsidRDefault="00481D5B" w:rsidP="00C3281F">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For each analysis, we do a split</w:t>
      </w:r>
      <w:r w:rsidR="00AF5A16">
        <w:rPr>
          <w:rFonts w:ascii="Times New Roman" w:hAnsi="Times New Roman" w:cs="Times New Roman"/>
          <w:sz w:val="24"/>
          <w:szCs w:val="24"/>
        </w:rPr>
        <w:t>-</w:t>
      </w:r>
      <w:r w:rsidRPr="00C82EE1">
        <w:rPr>
          <w:rFonts w:ascii="Times New Roman" w:hAnsi="Times New Roman" w:cs="Times New Roman"/>
          <w:sz w:val="24"/>
          <w:szCs w:val="24"/>
        </w:rPr>
        <w:t>sample analysis based on the (</w:t>
      </w:r>
      <w:proofErr w:type="spellStart"/>
      <w:r w:rsidRPr="00C82EE1">
        <w:rPr>
          <w:rFonts w:ascii="Times New Roman" w:hAnsi="Times New Roman" w:cs="Times New Roman"/>
          <w:sz w:val="24"/>
          <w:szCs w:val="24"/>
        </w:rPr>
        <w:t>i</w:t>
      </w:r>
      <w:proofErr w:type="spellEnd"/>
      <w:r w:rsidRPr="00C82EE1">
        <w:rPr>
          <w:rFonts w:ascii="Times New Roman" w:hAnsi="Times New Roman" w:cs="Times New Roman"/>
          <w:sz w:val="24"/>
          <w:szCs w:val="24"/>
        </w:rPr>
        <w:t>) median of the sample educational level for country level of literacy, (ii) low education (</w:t>
      </w:r>
      <w:r w:rsidR="00C3281F">
        <w:rPr>
          <w:rFonts w:ascii="Times New Roman" w:hAnsi="Times New Roman" w:cs="Times New Roman"/>
          <w:sz w:val="24"/>
          <w:szCs w:val="24"/>
        </w:rPr>
        <w:t xml:space="preserve">i.e., </w:t>
      </w:r>
      <w:r w:rsidRPr="00C82EE1">
        <w:rPr>
          <w:rFonts w:ascii="Times New Roman" w:hAnsi="Times New Roman" w:cs="Times New Roman"/>
          <w:sz w:val="24"/>
          <w:szCs w:val="24"/>
        </w:rPr>
        <w:t xml:space="preserve">no education or </w:t>
      </w:r>
      <w:r w:rsidR="00E25CAA">
        <w:rPr>
          <w:rFonts w:ascii="Times New Roman" w:hAnsi="Times New Roman" w:cs="Times New Roman"/>
          <w:sz w:val="24"/>
          <w:szCs w:val="24"/>
        </w:rPr>
        <w:t>B</w:t>
      </w:r>
      <w:r w:rsidRPr="00C82EE1">
        <w:rPr>
          <w:rFonts w:ascii="Times New Roman" w:hAnsi="Times New Roman" w:cs="Times New Roman"/>
          <w:sz w:val="24"/>
          <w:szCs w:val="24"/>
        </w:rPr>
        <w:t>achelor</w:t>
      </w:r>
      <w:r w:rsidR="00E25CAA">
        <w:rPr>
          <w:rFonts w:ascii="Times New Roman" w:hAnsi="Times New Roman" w:cs="Times New Roman"/>
          <w:sz w:val="24"/>
          <w:szCs w:val="24"/>
        </w:rPr>
        <w:t>’s</w:t>
      </w:r>
      <w:r w:rsidRPr="00C82EE1">
        <w:rPr>
          <w:rFonts w:ascii="Times New Roman" w:hAnsi="Times New Roman" w:cs="Times New Roman"/>
          <w:sz w:val="24"/>
          <w:szCs w:val="24"/>
        </w:rPr>
        <w:t xml:space="preserve"> degree) vs high education (</w:t>
      </w:r>
      <w:r w:rsidR="00C3281F">
        <w:rPr>
          <w:rFonts w:ascii="Times New Roman" w:hAnsi="Times New Roman" w:cs="Times New Roman"/>
          <w:sz w:val="24"/>
          <w:szCs w:val="24"/>
        </w:rPr>
        <w:t xml:space="preserve">i.e., </w:t>
      </w:r>
      <w:r w:rsidR="00E25CAA">
        <w:rPr>
          <w:rFonts w:ascii="Times New Roman" w:hAnsi="Times New Roman" w:cs="Times New Roman"/>
          <w:sz w:val="24"/>
          <w:szCs w:val="24"/>
        </w:rPr>
        <w:t>M</w:t>
      </w:r>
      <w:r w:rsidRPr="00C82EE1">
        <w:rPr>
          <w:rFonts w:ascii="Times New Roman" w:hAnsi="Times New Roman" w:cs="Times New Roman"/>
          <w:sz w:val="24"/>
          <w:szCs w:val="24"/>
        </w:rPr>
        <w:t>aster</w:t>
      </w:r>
      <w:r w:rsidR="00E25CAA">
        <w:rPr>
          <w:rFonts w:ascii="Times New Roman" w:hAnsi="Times New Roman" w:cs="Times New Roman"/>
          <w:sz w:val="24"/>
          <w:szCs w:val="24"/>
        </w:rPr>
        <w:t>’s</w:t>
      </w:r>
      <w:r w:rsidR="00941C68">
        <w:rPr>
          <w:rFonts w:ascii="Times New Roman" w:hAnsi="Times New Roman" w:cs="Times New Roman"/>
          <w:sz w:val="24"/>
          <w:szCs w:val="24"/>
        </w:rPr>
        <w:t xml:space="preserve"> </w:t>
      </w:r>
      <w:r w:rsidRPr="00C82EE1">
        <w:rPr>
          <w:rFonts w:ascii="Times New Roman" w:hAnsi="Times New Roman" w:cs="Times New Roman"/>
          <w:sz w:val="24"/>
          <w:szCs w:val="24"/>
        </w:rPr>
        <w:t>o</w:t>
      </w:r>
      <w:r w:rsidR="00941C68">
        <w:rPr>
          <w:rFonts w:ascii="Times New Roman" w:hAnsi="Times New Roman" w:cs="Times New Roman"/>
          <w:sz w:val="24"/>
          <w:szCs w:val="24"/>
        </w:rPr>
        <w:t>r</w:t>
      </w:r>
      <w:r w:rsidRPr="00C82EE1">
        <w:rPr>
          <w:rFonts w:ascii="Times New Roman" w:hAnsi="Times New Roman" w:cs="Times New Roman"/>
          <w:sz w:val="24"/>
          <w:szCs w:val="24"/>
        </w:rPr>
        <w:t xml:space="preserve"> Ph.D. degrees) for CEOs and (iii) the absence vs</w:t>
      </w:r>
      <w:r w:rsidR="00941C68">
        <w:rPr>
          <w:rFonts w:ascii="Times New Roman" w:hAnsi="Times New Roman" w:cs="Times New Roman"/>
          <w:sz w:val="24"/>
          <w:szCs w:val="24"/>
        </w:rPr>
        <w:t>.</w:t>
      </w:r>
      <w:r w:rsidRPr="00C82EE1">
        <w:rPr>
          <w:rFonts w:ascii="Times New Roman" w:hAnsi="Times New Roman" w:cs="Times New Roman"/>
          <w:sz w:val="24"/>
          <w:szCs w:val="24"/>
        </w:rPr>
        <w:t xml:space="preserve"> the presence of ICO source code on GitHub. For each analysis, we estimate Equation </w:t>
      </w:r>
      <w:r w:rsidR="00C01E09">
        <w:rPr>
          <w:rFonts w:ascii="Times New Roman" w:hAnsi="Times New Roman" w:cs="Times New Roman"/>
          <w:sz w:val="24"/>
          <w:szCs w:val="24"/>
        </w:rPr>
        <w:t>(</w:t>
      </w:r>
      <w:r w:rsidRPr="00C82EE1">
        <w:rPr>
          <w:rFonts w:ascii="Times New Roman" w:hAnsi="Times New Roman" w:cs="Times New Roman"/>
          <w:sz w:val="24"/>
          <w:szCs w:val="24"/>
        </w:rPr>
        <w:t>1</w:t>
      </w:r>
      <w:r w:rsidR="00C01E09">
        <w:rPr>
          <w:rFonts w:ascii="Times New Roman" w:hAnsi="Times New Roman" w:cs="Times New Roman"/>
          <w:sz w:val="24"/>
          <w:szCs w:val="24"/>
        </w:rPr>
        <w:t>)</w:t>
      </w:r>
      <w:r w:rsidRPr="00C82EE1">
        <w:rPr>
          <w:rFonts w:ascii="Times New Roman" w:hAnsi="Times New Roman" w:cs="Times New Roman"/>
          <w:sz w:val="24"/>
          <w:szCs w:val="24"/>
        </w:rPr>
        <w:t xml:space="preserve"> accordingly. We then compare the coefficients of </w:t>
      </w:r>
      <m:oMath>
        <m:r>
          <w:rPr>
            <w:rFonts w:ascii="Cambria Math" w:hAnsi="Cambria Math" w:cs="Times New Roman"/>
            <w:sz w:val="24"/>
            <w:szCs w:val="24"/>
          </w:rPr>
          <m:t>LC</m:t>
        </m:r>
      </m:oMath>
      <w:r w:rsidRPr="00C82EE1">
        <w:rPr>
          <w:rFonts w:ascii="Times New Roman" w:hAnsi="Times New Roman" w:cs="Times New Roman"/>
          <w:sz w:val="24"/>
          <w:szCs w:val="24"/>
        </w:rPr>
        <w:t xml:space="preserve"> using a Z-test to determine whether the differences across sub</w:t>
      </w:r>
      <w:r w:rsidR="00AF5A16">
        <w:rPr>
          <w:rFonts w:ascii="Times New Roman" w:hAnsi="Times New Roman" w:cs="Times New Roman"/>
          <w:sz w:val="24"/>
          <w:szCs w:val="24"/>
        </w:rPr>
        <w:t>-</w:t>
      </w:r>
      <w:r w:rsidRPr="00C82EE1">
        <w:rPr>
          <w:rFonts w:ascii="Times New Roman" w:hAnsi="Times New Roman" w:cs="Times New Roman"/>
          <w:sz w:val="24"/>
          <w:szCs w:val="24"/>
        </w:rPr>
        <w:t>samples are statistically significant.</w:t>
      </w:r>
    </w:p>
    <w:p w14:paraId="1AB4464B" w14:textId="10F96877" w:rsidR="00AE2F5C" w:rsidRDefault="00AE2F5C" w:rsidP="00C3281F">
      <w:pPr>
        <w:spacing w:after="120" w:line="360" w:lineRule="auto"/>
        <w:ind w:firstLine="340"/>
        <w:jc w:val="both"/>
        <w:rPr>
          <w:rFonts w:ascii="Times New Roman" w:hAnsi="Times New Roman" w:cs="Times New Roman"/>
          <w:sz w:val="24"/>
          <w:szCs w:val="24"/>
        </w:rPr>
      </w:pPr>
    </w:p>
    <w:p w14:paraId="4B296011" w14:textId="77777777" w:rsidR="00AE2F5C" w:rsidRPr="007F3752" w:rsidRDefault="00AE2F5C" w:rsidP="00C3281F">
      <w:pPr>
        <w:spacing w:after="120" w:line="360" w:lineRule="auto"/>
        <w:ind w:firstLine="340"/>
        <w:jc w:val="both"/>
        <w:rPr>
          <w:rFonts w:ascii="Times New Roman" w:hAnsi="Times New Roman" w:cs="Times New Roman"/>
          <w:sz w:val="24"/>
          <w:szCs w:val="24"/>
        </w:rPr>
      </w:pPr>
    </w:p>
    <w:p w14:paraId="79F99310" w14:textId="77777777" w:rsidR="00481D5B" w:rsidRPr="00C1570E" w:rsidRDefault="00481D5B" w:rsidP="00C3281F">
      <w:pPr>
        <w:pStyle w:val="Titre3"/>
      </w:pPr>
      <w:r w:rsidRPr="00C1570E">
        <w:lastRenderedPageBreak/>
        <w:t>Literacy – The ICO country of origin</w:t>
      </w:r>
    </w:p>
    <w:p w14:paraId="768BC3DF" w14:textId="5B9D1296" w:rsidR="00481D5B" w:rsidRPr="00C82EE1" w:rsidRDefault="00481D5B" w:rsidP="00C1570E">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Entrepreneurs do not operate in a vacuum when pursuing ICO opportunitie</w:t>
      </w:r>
      <w:r w:rsidR="00164EBD">
        <w:rPr>
          <w:rFonts w:ascii="Times New Roman" w:hAnsi="Times New Roman" w:cs="Times New Roman"/>
          <w:sz w:val="24"/>
          <w:szCs w:val="24"/>
        </w:rPr>
        <w:t>s</w:t>
      </w:r>
      <w:r w:rsidRPr="004B60A6">
        <w:rPr>
          <w:rFonts w:ascii="Times New Roman" w:hAnsi="Times New Roman" w:cs="Times New Roman"/>
          <w:sz w:val="24"/>
          <w:szCs w:val="24"/>
        </w:rPr>
        <w:t xml:space="preserve">. </w:t>
      </w:r>
      <w:r w:rsidRPr="00C82EE1">
        <w:rPr>
          <w:rFonts w:ascii="Times New Roman" w:hAnsi="Times New Roman" w:cs="Times New Roman"/>
          <w:sz w:val="24"/>
          <w:szCs w:val="24"/>
        </w:rPr>
        <w:t xml:space="preserve">For example, </w:t>
      </w:r>
      <w:r w:rsidR="00E22F56" w:rsidRPr="00C82EE1">
        <w:rPr>
          <w:rFonts w:ascii="Times New Roman" w:hAnsi="Times New Roman" w:cs="Times New Roman"/>
          <w:sz w:val="24"/>
          <w:szCs w:val="24"/>
        </w:rPr>
        <w:t>Thewissen et al. (2022)</w:t>
      </w:r>
      <w:r w:rsidRPr="00C82EE1">
        <w:rPr>
          <w:rFonts w:ascii="Times New Roman" w:hAnsi="Times New Roman" w:cs="Times New Roman"/>
          <w:sz w:val="24"/>
          <w:szCs w:val="24"/>
        </w:rPr>
        <w:t xml:space="preserve"> find that linguistic errors in white papers have a more pronounced negative impact in countries with weaker institutional strength and in English-speaking countries, while </w:t>
      </w:r>
      <w:r w:rsidR="00E22F56" w:rsidRPr="00C82EE1">
        <w:rPr>
          <w:rFonts w:ascii="Times New Roman" w:hAnsi="Times New Roman" w:cs="Times New Roman"/>
          <w:sz w:val="24"/>
          <w:szCs w:val="24"/>
        </w:rPr>
        <w:t>Ahmad et al. (2023)</w:t>
      </w:r>
      <w:r w:rsidRPr="00C82EE1">
        <w:rPr>
          <w:rFonts w:ascii="Times New Roman" w:hAnsi="Times New Roman" w:cs="Times New Roman"/>
          <w:sz w:val="24"/>
          <w:szCs w:val="24"/>
        </w:rPr>
        <w:t xml:space="preserve"> show that the Hofstede culture dimensions influence the fundraising campaign presence and success of ICOs. Furthermore, </w:t>
      </w:r>
      <w:r w:rsidR="00E22F56" w:rsidRPr="00C82EE1">
        <w:rPr>
          <w:rFonts w:ascii="Times New Roman" w:hAnsi="Times New Roman" w:cs="Times New Roman"/>
          <w:sz w:val="24"/>
          <w:szCs w:val="24"/>
        </w:rPr>
        <w:t>Shrestha et al. (2021)</w:t>
      </w:r>
      <w:r w:rsidRPr="00C82EE1">
        <w:rPr>
          <w:rFonts w:ascii="Times New Roman" w:hAnsi="Times New Roman" w:cs="Times New Roman"/>
          <w:sz w:val="24"/>
          <w:szCs w:val="24"/>
        </w:rPr>
        <w:t xml:space="preserve"> find evidence that the impact of a country institutional strength decreases with the country regulation on ICOs. Given this evidence, we propose that the impact of LC is context-bound </w:t>
      </w:r>
      <w:r w:rsidR="00E22F56" w:rsidRPr="00C82EE1">
        <w:rPr>
          <w:rFonts w:ascii="Times New Roman" w:hAnsi="Times New Roman" w:cs="Times New Roman"/>
          <w:sz w:val="24"/>
          <w:szCs w:val="24"/>
        </w:rPr>
        <w:t xml:space="preserve">(Abdi Tabari et al., 2023; Bui, 2021; </w:t>
      </w:r>
      <w:proofErr w:type="spellStart"/>
      <w:r w:rsidR="00E22F56" w:rsidRPr="00C82EE1">
        <w:rPr>
          <w:rFonts w:ascii="Times New Roman" w:hAnsi="Times New Roman" w:cs="Times New Roman"/>
          <w:sz w:val="24"/>
          <w:szCs w:val="24"/>
        </w:rPr>
        <w:t>Ginting</w:t>
      </w:r>
      <w:proofErr w:type="spellEnd"/>
      <w:r w:rsidR="00E22F56" w:rsidRPr="00C82EE1">
        <w:rPr>
          <w:rFonts w:ascii="Times New Roman" w:hAnsi="Times New Roman" w:cs="Times New Roman"/>
          <w:sz w:val="24"/>
          <w:szCs w:val="24"/>
        </w:rPr>
        <w:t>, 2018) a</w:t>
      </w:r>
      <w:r w:rsidRPr="00C82EE1">
        <w:rPr>
          <w:rFonts w:ascii="Times New Roman" w:hAnsi="Times New Roman" w:cs="Times New Roman"/>
          <w:sz w:val="24"/>
          <w:szCs w:val="24"/>
        </w:rPr>
        <w:t xml:space="preserve">nd that it is interpreted differently depending on the ICO country of origin </w:t>
      </w:r>
      <w:r w:rsidR="00E22F56" w:rsidRPr="00C82EE1">
        <w:rPr>
          <w:rFonts w:ascii="Times New Roman" w:hAnsi="Times New Roman" w:cs="Times New Roman"/>
          <w:sz w:val="24"/>
          <w:szCs w:val="24"/>
        </w:rPr>
        <w:t>(</w:t>
      </w:r>
      <w:proofErr w:type="spellStart"/>
      <w:r w:rsidR="00E22F56" w:rsidRPr="00C82EE1">
        <w:rPr>
          <w:rFonts w:ascii="Times New Roman" w:hAnsi="Times New Roman" w:cs="Times New Roman"/>
          <w:sz w:val="24"/>
          <w:szCs w:val="24"/>
        </w:rPr>
        <w:t>Neira</w:t>
      </w:r>
      <w:proofErr w:type="spellEnd"/>
      <w:r w:rsidR="00E22F56" w:rsidRPr="00C82EE1">
        <w:rPr>
          <w:rFonts w:ascii="Times New Roman" w:hAnsi="Times New Roman" w:cs="Times New Roman"/>
          <w:sz w:val="24"/>
          <w:szCs w:val="24"/>
        </w:rPr>
        <w:t xml:space="preserve"> et al., 2017)</w:t>
      </w:r>
      <w:r w:rsidRPr="00C82EE1">
        <w:rPr>
          <w:rFonts w:ascii="Times New Roman" w:hAnsi="Times New Roman" w:cs="Times New Roman"/>
          <w:sz w:val="24"/>
          <w:szCs w:val="24"/>
        </w:rPr>
        <w:t>.</w:t>
      </w:r>
      <w:r w:rsidR="00546F48" w:rsidRPr="00C82EE1">
        <w:rPr>
          <w:rFonts w:ascii="Times New Roman" w:hAnsi="Times New Roman" w:cs="Times New Roman"/>
          <w:sz w:val="24"/>
          <w:szCs w:val="24"/>
        </w:rPr>
        <w:t xml:space="preserve"> This approach builds on existing research but extends it by examining the role of cross-country variation in the impact of </w:t>
      </w:r>
      <w:r w:rsidR="00E8574F" w:rsidRPr="00C82EE1">
        <w:rPr>
          <w:rFonts w:ascii="Times New Roman" w:hAnsi="Times New Roman" w:cs="Times New Roman"/>
          <w:sz w:val="24"/>
          <w:szCs w:val="24"/>
        </w:rPr>
        <w:t>LC</w:t>
      </w:r>
      <w:r w:rsidR="00546F48" w:rsidRPr="00C82EE1">
        <w:rPr>
          <w:rFonts w:ascii="Times New Roman" w:hAnsi="Times New Roman" w:cs="Times New Roman"/>
          <w:sz w:val="24"/>
          <w:szCs w:val="24"/>
        </w:rPr>
        <w:t>, rather than focusing solely on individual countries as is often the case in prior literature</w:t>
      </w:r>
      <w:r w:rsidR="00E22F56" w:rsidRPr="00C82EE1">
        <w:rPr>
          <w:rFonts w:ascii="Times New Roman" w:hAnsi="Times New Roman" w:cs="Times New Roman"/>
          <w:sz w:val="24"/>
          <w:szCs w:val="24"/>
        </w:rPr>
        <w:t xml:space="preserve"> (</w:t>
      </w:r>
      <w:proofErr w:type="spellStart"/>
      <w:r w:rsidR="00E22F56" w:rsidRPr="00C82EE1">
        <w:rPr>
          <w:rFonts w:ascii="Times New Roman" w:hAnsi="Times New Roman" w:cs="Times New Roman"/>
          <w:sz w:val="24"/>
          <w:szCs w:val="24"/>
        </w:rPr>
        <w:t>Antoncic</w:t>
      </w:r>
      <w:proofErr w:type="spellEnd"/>
      <w:r w:rsidR="00E22F56" w:rsidRPr="00C82EE1">
        <w:rPr>
          <w:rFonts w:ascii="Times New Roman" w:hAnsi="Times New Roman" w:cs="Times New Roman"/>
          <w:sz w:val="24"/>
          <w:szCs w:val="24"/>
        </w:rPr>
        <w:t xml:space="preserve"> et al., 2015; Karimi et al., 2017; Zhao et al., 2010).</w:t>
      </w:r>
    </w:p>
    <w:p w14:paraId="1C64E24D" w14:textId="7E60FC6F" w:rsidR="00481D5B" w:rsidRPr="00C82EE1" w:rsidRDefault="009735FC" w:rsidP="00C1570E">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In the context of LC, educational level</w:t>
      </w:r>
      <w:r w:rsidR="00164EBD">
        <w:rPr>
          <w:rFonts w:ascii="Times New Roman" w:hAnsi="Times New Roman" w:cs="Times New Roman"/>
          <w:sz w:val="24"/>
          <w:szCs w:val="24"/>
        </w:rPr>
        <w:t xml:space="preserve"> of a country</w:t>
      </w:r>
      <w:r w:rsidRPr="00C82EE1">
        <w:rPr>
          <w:rFonts w:ascii="Times New Roman" w:hAnsi="Times New Roman" w:cs="Times New Roman"/>
          <w:sz w:val="24"/>
          <w:szCs w:val="24"/>
        </w:rPr>
        <w:t xml:space="preserve"> is likely to play a significant role, as financial literacy </w:t>
      </w:r>
      <w:r w:rsidR="00164EBD">
        <w:rPr>
          <w:rFonts w:ascii="Times New Roman" w:hAnsi="Times New Roman" w:cs="Times New Roman"/>
          <w:sz w:val="24"/>
          <w:szCs w:val="24"/>
        </w:rPr>
        <w:t xml:space="preserve">of investors </w:t>
      </w:r>
      <w:r w:rsidRPr="00C82EE1">
        <w:rPr>
          <w:rFonts w:ascii="Times New Roman" w:hAnsi="Times New Roman" w:cs="Times New Roman"/>
          <w:sz w:val="24"/>
          <w:szCs w:val="24"/>
        </w:rPr>
        <w:t>influences how they perceive and interpret LC in white papers. In countries with higher education levels, investors are better equipped to evaluate sophisticated language, potentially viewing it as a baseline expectation rather than a signal of quality. In contrast, in countries with lower literacy rates, complex vocabulary is more likely to stand out as an indicator of competence. Based on this, we hypothesize that LC will have a greater impact on fundraising success in countries with lower education levels.</w:t>
      </w:r>
      <w:r w:rsidR="00EB7B8F" w:rsidRPr="00C82EE1">
        <w:rPr>
          <w:rFonts w:ascii="Times New Roman" w:hAnsi="Times New Roman" w:cs="Times New Roman"/>
          <w:sz w:val="24"/>
          <w:szCs w:val="24"/>
        </w:rPr>
        <w:t xml:space="preserve"> </w:t>
      </w:r>
      <w:r w:rsidR="00481D5B" w:rsidRPr="00C82EE1">
        <w:rPr>
          <w:rFonts w:ascii="Times New Roman" w:hAnsi="Times New Roman" w:cs="Times New Roman"/>
          <w:sz w:val="24"/>
          <w:szCs w:val="24"/>
        </w:rPr>
        <w:t>To measure a country educational level, we rely on the ICO country adult literacy rate in a given country provided by the World</w:t>
      </w:r>
      <w:r w:rsidR="00941C68">
        <w:rPr>
          <w:rFonts w:ascii="Times New Roman" w:hAnsi="Times New Roman" w:cs="Times New Roman"/>
          <w:sz w:val="24"/>
          <w:szCs w:val="24"/>
        </w:rPr>
        <w:t xml:space="preserve"> </w:t>
      </w:r>
      <w:r w:rsidR="00481D5B" w:rsidRPr="00C82EE1">
        <w:rPr>
          <w:rFonts w:ascii="Times New Roman" w:hAnsi="Times New Roman" w:cs="Times New Roman"/>
          <w:sz w:val="24"/>
          <w:szCs w:val="24"/>
        </w:rPr>
        <w:t>Bank</w:t>
      </w:r>
      <w:r w:rsidR="00941C68">
        <w:rPr>
          <w:rFonts w:ascii="Times New Roman" w:hAnsi="Times New Roman" w:cs="Times New Roman"/>
          <w:sz w:val="24"/>
          <w:szCs w:val="24"/>
        </w:rPr>
        <w:t xml:space="preserve"> Group</w:t>
      </w:r>
      <w:r w:rsidR="00481D5B" w:rsidRPr="00C82EE1">
        <w:rPr>
          <w:rFonts w:ascii="Times New Roman" w:hAnsi="Times New Roman" w:cs="Times New Roman"/>
          <w:sz w:val="24"/>
          <w:szCs w:val="24"/>
        </w:rPr>
        <w:t xml:space="preserve"> (2025)</w:t>
      </w:r>
      <w:r w:rsidR="00AE2F5C">
        <w:rPr>
          <w:rStyle w:val="Appelnotedebasdep"/>
          <w:rFonts w:ascii="Times New Roman" w:hAnsi="Times New Roman" w:cs="Times New Roman"/>
          <w:sz w:val="24"/>
          <w:szCs w:val="24"/>
        </w:rPr>
        <w:footnoteReference w:customMarkFollows="1" w:id="17"/>
        <w:t>17</w:t>
      </w:r>
      <w:r w:rsidR="00481D5B" w:rsidRPr="00C82EE1">
        <w:rPr>
          <w:rFonts w:ascii="Times New Roman" w:hAnsi="Times New Roman" w:cs="Times New Roman"/>
          <w:sz w:val="24"/>
          <w:szCs w:val="24"/>
        </w:rPr>
        <w:t xml:space="preserve"> </w:t>
      </w:r>
      <m:oMath>
        <m:r>
          <w:rPr>
            <w:rFonts w:ascii="Cambria Math" w:hAnsi="Cambria Math" w:cs="Times New Roman"/>
            <w:sz w:val="24"/>
            <w:szCs w:val="24"/>
          </w:rPr>
          <m:t>(Literacy rate)</m:t>
        </m:r>
      </m:oMath>
      <w:r w:rsidR="00481D5B" w:rsidRPr="00C82EE1">
        <w:rPr>
          <w:rFonts w:ascii="Times New Roman" w:eastAsiaTheme="minorEastAsia" w:hAnsi="Times New Roman" w:cs="Times New Roman"/>
          <w:sz w:val="24"/>
          <w:szCs w:val="24"/>
        </w:rPr>
        <w:t>.</w:t>
      </w:r>
      <w:r w:rsidR="00481D5B" w:rsidRPr="00C82EE1">
        <w:rPr>
          <w:rFonts w:ascii="Times New Roman" w:hAnsi="Times New Roman" w:cs="Times New Roman"/>
          <w:sz w:val="24"/>
          <w:szCs w:val="24"/>
        </w:rPr>
        <w:t xml:space="preserve">  Results are reported in Panel A of Table 7. Model (1) and (2) examine the impact of LC on ICO fundraising, distinguishing between countries with low and high literacy rates, respectively. We observe that LC has a stronger effect on the amount raised in countries with lower literacy rates. Specifically, in Model (1), for countries with low literacy rates, the coefficient of LC is 0.118, statistically significant at the </w:t>
      </w:r>
      <w:r w:rsidR="00DB2699">
        <w:rPr>
          <w:rFonts w:ascii="Times New Roman" w:hAnsi="Times New Roman" w:cs="Times New Roman"/>
          <w:sz w:val="24"/>
          <w:szCs w:val="24"/>
        </w:rPr>
        <w:t>1</w:t>
      </w:r>
      <w:r w:rsidR="00481D5B" w:rsidRPr="00C82EE1">
        <w:rPr>
          <w:rFonts w:ascii="Times New Roman" w:hAnsi="Times New Roman" w:cs="Times New Roman"/>
          <w:sz w:val="24"/>
          <w:szCs w:val="24"/>
        </w:rPr>
        <w:t xml:space="preserve">% level. In contrast, for countries with high literacy rates (Model (2)), the LC coefficient is smaller (0.075) and is significant at the </w:t>
      </w:r>
      <w:r w:rsidR="00DB2699">
        <w:rPr>
          <w:rFonts w:ascii="Times New Roman" w:hAnsi="Times New Roman" w:cs="Times New Roman"/>
          <w:sz w:val="24"/>
          <w:szCs w:val="24"/>
        </w:rPr>
        <w:t>10</w:t>
      </w:r>
      <w:r w:rsidR="00481D5B" w:rsidRPr="00C82EE1">
        <w:rPr>
          <w:rFonts w:ascii="Times New Roman" w:hAnsi="Times New Roman" w:cs="Times New Roman"/>
          <w:sz w:val="24"/>
          <w:szCs w:val="24"/>
        </w:rPr>
        <w:t xml:space="preserve">% level. The </w:t>
      </w:r>
      <w:r w:rsidR="00481D5B" w:rsidRPr="00C82EE1">
        <w:rPr>
          <w:rFonts w:ascii="Times New Roman" w:eastAsiaTheme="minorEastAsia" w:hAnsi="Times New Roman" w:cs="Times New Roman"/>
          <w:sz w:val="24"/>
          <w:szCs w:val="24"/>
        </w:rPr>
        <w:t>Z-test between both coefficients of LC confirm a statistically significant difference</w:t>
      </w:r>
      <w:r w:rsidR="00481D5B" w:rsidRPr="00C82EE1" w:rsidDel="00023E63">
        <w:rPr>
          <w:rFonts w:ascii="Times New Roman" w:hAnsi="Times New Roman" w:cs="Times New Roman"/>
          <w:sz w:val="24"/>
          <w:szCs w:val="24"/>
        </w:rPr>
        <w:t xml:space="preserve"> </w:t>
      </w:r>
      <w:r w:rsidR="00481D5B" w:rsidRPr="00C82EE1">
        <w:rPr>
          <w:rFonts w:ascii="Times New Roman" w:hAnsi="Times New Roman" w:cs="Times New Roman"/>
          <w:sz w:val="24"/>
          <w:szCs w:val="24"/>
        </w:rPr>
        <w:t xml:space="preserve">at the </w:t>
      </w:r>
      <w:r w:rsidR="00F05788">
        <w:rPr>
          <w:rFonts w:ascii="Times New Roman" w:hAnsi="Times New Roman" w:cs="Times New Roman"/>
          <w:sz w:val="24"/>
          <w:szCs w:val="24"/>
        </w:rPr>
        <w:t>10</w:t>
      </w:r>
      <w:r w:rsidR="00481D5B" w:rsidRPr="00C82EE1">
        <w:rPr>
          <w:rFonts w:ascii="Times New Roman" w:hAnsi="Times New Roman" w:cs="Times New Roman"/>
          <w:sz w:val="24"/>
          <w:szCs w:val="24"/>
        </w:rPr>
        <w:t xml:space="preserve">% level, reinforcing that the effect of LC differs based on a country literacy rate. </w:t>
      </w:r>
    </w:p>
    <w:p w14:paraId="654A6DC6" w14:textId="2A296CE8" w:rsidR="00481D5B" w:rsidRPr="00C82EE1" w:rsidRDefault="00481D5B" w:rsidP="007F3752">
      <w:pPr>
        <w:spacing w:after="120" w:line="360" w:lineRule="auto"/>
        <w:ind w:firstLine="340"/>
        <w:jc w:val="both"/>
        <w:rPr>
          <w:rFonts w:ascii="Times New Roman" w:hAnsi="Times New Roman" w:cs="Times New Roman"/>
          <w:b/>
          <w:sz w:val="24"/>
          <w:szCs w:val="24"/>
        </w:rPr>
      </w:pPr>
      <w:r w:rsidRPr="00C82EE1">
        <w:rPr>
          <w:rFonts w:ascii="Times New Roman" w:hAnsi="Times New Roman" w:cs="Times New Roman"/>
          <w:sz w:val="24"/>
          <w:szCs w:val="24"/>
        </w:rPr>
        <w:lastRenderedPageBreak/>
        <w:t>Overall, these findings align with our expectations, suggesting that LC in ICO white papers acts as a stronger credibility signal in countries with lower literacy rates, where investors may rely more on linguistic cues in the absence of advanced literacy.</w:t>
      </w:r>
    </w:p>
    <w:p w14:paraId="736241E8" w14:textId="2BCA45A0" w:rsidR="00481D5B" w:rsidRPr="00E25CAA" w:rsidRDefault="00481D5B" w:rsidP="00E223E9">
      <w:pPr>
        <w:pStyle w:val="Titre3"/>
      </w:pPr>
      <w:r w:rsidRPr="00E25CAA">
        <w:t>CEO educational background</w:t>
      </w:r>
    </w:p>
    <w:p w14:paraId="1B876096" w14:textId="006049D3" w:rsidR="00481D5B" w:rsidRPr="00C82EE1" w:rsidRDefault="00481D5B" w:rsidP="007F3752">
      <w:pPr>
        <w:spacing w:after="120" w:line="360" w:lineRule="auto"/>
        <w:jc w:val="both"/>
        <w:rPr>
          <w:rFonts w:ascii="Times New Roman" w:hAnsi="Times New Roman" w:cs="Times New Roman"/>
          <w:i/>
          <w:sz w:val="24"/>
          <w:szCs w:val="24"/>
        </w:rPr>
      </w:pPr>
      <w:r w:rsidRPr="00C82EE1">
        <w:rPr>
          <w:rFonts w:ascii="Times New Roman" w:hAnsi="Times New Roman" w:cs="Times New Roman"/>
          <w:sz w:val="24"/>
          <w:szCs w:val="24"/>
        </w:rPr>
        <w:t>Extending on our country-level analysis, we draw on prior research exploring the essential role played by manager-specific characteristics</w:t>
      </w:r>
      <w:r w:rsidR="00D237B0" w:rsidRPr="00C82EE1">
        <w:rPr>
          <w:rFonts w:ascii="Times New Roman" w:hAnsi="Times New Roman" w:cs="Times New Roman"/>
          <w:sz w:val="24"/>
          <w:szCs w:val="24"/>
        </w:rPr>
        <w:t xml:space="preserve"> (Amore et al., 2019; </w:t>
      </w:r>
      <w:proofErr w:type="spellStart"/>
      <w:r w:rsidR="00D237B0" w:rsidRPr="00C82EE1">
        <w:rPr>
          <w:rFonts w:ascii="Times New Roman" w:hAnsi="Times New Roman" w:cs="Times New Roman"/>
          <w:sz w:val="24"/>
          <w:szCs w:val="24"/>
        </w:rPr>
        <w:t>Bennedsen</w:t>
      </w:r>
      <w:proofErr w:type="spellEnd"/>
      <w:r w:rsidR="00D237B0" w:rsidRPr="00C82EE1">
        <w:rPr>
          <w:rFonts w:ascii="Times New Roman" w:hAnsi="Times New Roman" w:cs="Times New Roman"/>
          <w:sz w:val="24"/>
          <w:szCs w:val="24"/>
        </w:rPr>
        <w:t xml:space="preserve"> et al., 2007, 2020; </w:t>
      </w:r>
      <w:proofErr w:type="spellStart"/>
      <w:r w:rsidR="00D237B0" w:rsidRPr="00C82EE1">
        <w:rPr>
          <w:rFonts w:ascii="Times New Roman" w:hAnsi="Times New Roman" w:cs="Times New Roman"/>
          <w:sz w:val="24"/>
          <w:szCs w:val="24"/>
        </w:rPr>
        <w:t>Bennedsen</w:t>
      </w:r>
      <w:proofErr w:type="spellEnd"/>
      <w:r w:rsidR="00D237B0" w:rsidRPr="00C82EE1">
        <w:rPr>
          <w:rFonts w:ascii="Times New Roman" w:hAnsi="Times New Roman" w:cs="Times New Roman"/>
          <w:sz w:val="24"/>
          <w:szCs w:val="24"/>
        </w:rPr>
        <w:t xml:space="preserve"> &amp; Nielsen, 2004; Hegde &amp; Mishra, 2019; Huang et al., 2022; </w:t>
      </w:r>
      <w:proofErr w:type="spellStart"/>
      <w:r w:rsidR="00D237B0" w:rsidRPr="00C82EE1">
        <w:rPr>
          <w:rFonts w:ascii="Times New Roman" w:hAnsi="Times New Roman" w:cs="Times New Roman"/>
          <w:sz w:val="24"/>
          <w:szCs w:val="24"/>
        </w:rPr>
        <w:t>Momtaz</w:t>
      </w:r>
      <w:proofErr w:type="spellEnd"/>
      <w:r w:rsidR="00D237B0" w:rsidRPr="00C82EE1">
        <w:rPr>
          <w:rFonts w:ascii="Times New Roman" w:hAnsi="Times New Roman" w:cs="Times New Roman"/>
          <w:sz w:val="24"/>
          <w:szCs w:val="24"/>
        </w:rPr>
        <w:t>, 2021a; Xia et al., 2024a)</w:t>
      </w:r>
      <w:r w:rsidRPr="00C82EE1">
        <w:rPr>
          <w:rFonts w:ascii="Times New Roman" w:hAnsi="Times New Roman" w:cs="Times New Roman"/>
          <w:sz w:val="24"/>
          <w:szCs w:val="24"/>
        </w:rPr>
        <w:t xml:space="preserve"> to examine the cross-sectional impact of the CEO educational background (e.g.</w:t>
      </w:r>
      <w:r w:rsidR="00E25CAA">
        <w:rPr>
          <w:rFonts w:ascii="Times New Roman" w:hAnsi="Times New Roman" w:cs="Times New Roman"/>
          <w:sz w:val="24"/>
          <w:szCs w:val="24"/>
        </w:rPr>
        <w:t>,</w:t>
      </w:r>
      <w:r w:rsidRPr="00C82EE1">
        <w:rPr>
          <w:rFonts w:ascii="Times New Roman" w:hAnsi="Times New Roman" w:cs="Times New Roman"/>
          <w:sz w:val="24"/>
          <w:szCs w:val="24"/>
        </w:rPr>
        <w:t xml:space="preserve"> Ph</w:t>
      </w:r>
      <w:r w:rsidR="00E25CAA">
        <w:rPr>
          <w:rFonts w:ascii="Times New Roman" w:hAnsi="Times New Roman" w:cs="Times New Roman"/>
          <w:sz w:val="24"/>
          <w:szCs w:val="24"/>
        </w:rPr>
        <w:t>.</w:t>
      </w:r>
      <w:r w:rsidRPr="00C82EE1">
        <w:rPr>
          <w:rFonts w:ascii="Times New Roman" w:hAnsi="Times New Roman" w:cs="Times New Roman"/>
          <w:sz w:val="24"/>
          <w:szCs w:val="24"/>
        </w:rPr>
        <w:t>D</w:t>
      </w:r>
      <w:r w:rsidR="00E25CAA">
        <w:rPr>
          <w:rFonts w:ascii="Times New Roman" w:hAnsi="Times New Roman" w:cs="Times New Roman"/>
          <w:sz w:val="24"/>
          <w:szCs w:val="24"/>
        </w:rPr>
        <w:t>.</w:t>
      </w:r>
      <w:r w:rsidRPr="00C82EE1">
        <w:rPr>
          <w:rFonts w:ascii="Times New Roman" w:hAnsi="Times New Roman" w:cs="Times New Roman"/>
          <w:sz w:val="24"/>
          <w:szCs w:val="24"/>
        </w:rPr>
        <w:t xml:space="preserve">, </w:t>
      </w:r>
      <w:r w:rsidR="00E25CAA" w:rsidRPr="00E25CAA">
        <w:rPr>
          <w:rFonts w:ascii="Times New Roman" w:hAnsi="Times New Roman" w:cs="Times New Roman"/>
          <w:sz w:val="24"/>
          <w:szCs w:val="24"/>
        </w:rPr>
        <w:t>M</w:t>
      </w:r>
      <w:r w:rsidRPr="00E25CAA">
        <w:rPr>
          <w:rFonts w:ascii="Times New Roman" w:hAnsi="Times New Roman" w:cs="Times New Roman"/>
          <w:sz w:val="24"/>
          <w:szCs w:val="24"/>
        </w:rPr>
        <w:t>aster</w:t>
      </w:r>
      <w:r w:rsidR="00E25CAA" w:rsidRPr="00E25CAA">
        <w:rPr>
          <w:rFonts w:ascii="Times New Roman" w:hAnsi="Times New Roman" w:cs="Times New Roman"/>
          <w:sz w:val="24"/>
          <w:szCs w:val="24"/>
        </w:rPr>
        <w:t>’s</w:t>
      </w:r>
      <w:r w:rsidRPr="00C82EE1">
        <w:rPr>
          <w:rFonts w:ascii="Times New Roman" w:hAnsi="Times New Roman" w:cs="Times New Roman"/>
          <w:sz w:val="24"/>
          <w:szCs w:val="24"/>
        </w:rPr>
        <w:t xml:space="preserve">, etc.) on the ICO success. </w:t>
      </w:r>
      <w:r w:rsidR="009B2767" w:rsidRPr="009B2767">
        <w:rPr>
          <w:rFonts w:ascii="Times New Roman" w:hAnsi="Times New Roman" w:cs="Times New Roman"/>
          <w:sz w:val="24"/>
          <w:szCs w:val="24"/>
        </w:rPr>
        <w:t xml:space="preserve">We suggest that the educational background of ICO CEOs moderates the effect of </w:t>
      </w:r>
      <w:r w:rsidR="009B2767">
        <w:rPr>
          <w:rFonts w:ascii="Times New Roman" w:hAnsi="Times New Roman" w:cs="Times New Roman"/>
          <w:sz w:val="24"/>
          <w:szCs w:val="24"/>
        </w:rPr>
        <w:t>LC</w:t>
      </w:r>
      <w:r w:rsidR="009B2767" w:rsidRPr="009B2767">
        <w:rPr>
          <w:rFonts w:ascii="Times New Roman" w:hAnsi="Times New Roman" w:cs="Times New Roman"/>
          <w:sz w:val="24"/>
          <w:szCs w:val="24"/>
        </w:rPr>
        <w:t xml:space="preserve"> on investor responses to their white papers</w:t>
      </w:r>
      <w:r w:rsidRPr="00C82EE1">
        <w:rPr>
          <w:rFonts w:ascii="Times New Roman" w:hAnsi="Times New Roman" w:cs="Times New Roman"/>
          <w:sz w:val="24"/>
          <w:szCs w:val="24"/>
        </w:rPr>
        <w:t>. Specifically, we expect LC to have a greater impact on fundraising performance when the CEO has a lower educational background, and a lower effect when the CEO is highly educated. This is because investors may interpret the use of sophisticated language differently depending on the perceived expertise of the entrepreneur. When a highly educated CEO uses complex language, it may be seen as expected and therefore less remarkable, leading investors to view it as routine rather than an exceptional signal of innovation or quality. In contrast, when a CEO with less formal education uses higher LC, it may be a positive indicator of the project quality, signaling effort and skills exceeding expectations. We therefore expect the impact of LC to be more important for ICOs whose CEOs are less educated.</w:t>
      </w:r>
    </w:p>
    <w:p w14:paraId="33912559" w14:textId="2FB0617F" w:rsidR="00481D5B" w:rsidRPr="00C82EE1" w:rsidRDefault="00481D5B" w:rsidP="007F3752">
      <w:pPr>
        <w:spacing w:after="120" w:line="360" w:lineRule="auto"/>
        <w:ind w:firstLine="480"/>
        <w:jc w:val="both"/>
        <w:rPr>
          <w:rFonts w:ascii="Times New Roman" w:eastAsiaTheme="minorEastAsia" w:hAnsi="Times New Roman" w:cs="Times New Roman"/>
          <w:sz w:val="24"/>
          <w:szCs w:val="24"/>
        </w:rPr>
      </w:pPr>
      <w:r w:rsidRPr="00C82EE1">
        <w:rPr>
          <w:rFonts w:ascii="Times New Roman" w:hAnsi="Times New Roman" w:cs="Times New Roman"/>
          <w:sz w:val="24"/>
          <w:szCs w:val="24"/>
        </w:rPr>
        <w:t xml:space="preserve">CEO education is measured based on the highest degree obtained by the ICO manager </w:t>
      </w:r>
      <m:oMath>
        <m:r>
          <w:rPr>
            <w:rFonts w:ascii="Cambria Math" w:hAnsi="Cambria Math" w:cs="Times New Roman"/>
            <w:sz w:val="24"/>
            <w:szCs w:val="24"/>
          </w:rPr>
          <m:t>(CEODegree)</m:t>
        </m:r>
      </m:oMath>
      <w:r w:rsidRPr="00C82EE1">
        <w:rPr>
          <w:rFonts w:ascii="Times New Roman" w:hAnsi="Times New Roman" w:cs="Times New Roman"/>
          <w:sz w:val="24"/>
          <w:szCs w:val="24"/>
        </w:rPr>
        <w:t xml:space="preserve">. The variable takes values of one, two, or three, depending on whether the ICO CEO holds a </w:t>
      </w:r>
      <w:r w:rsidR="00E25CAA">
        <w:rPr>
          <w:rFonts w:ascii="Times New Roman" w:hAnsi="Times New Roman" w:cs="Times New Roman"/>
          <w:sz w:val="24"/>
          <w:szCs w:val="24"/>
        </w:rPr>
        <w:t>B</w:t>
      </w:r>
      <w:r w:rsidRPr="00C82EE1">
        <w:rPr>
          <w:rFonts w:ascii="Times New Roman" w:hAnsi="Times New Roman" w:cs="Times New Roman"/>
          <w:sz w:val="24"/>
          <w:szCs w:val="24"/>
        </w:rPr>
        <w:t>achelor</w:t>
      </w:r>
      <w:r w:rsidR="00E25CAA">
        <w:rPr>
          <w:rFonts w:ascii="Times New Roman" w:hAnsi="Times New Roman" w:cs="Times New Roman"/>
          <w:sz w:val="24"/>
          <w:szCs w:val="24"/>
        </w:rPr>
        <w:t>’s</w:t>
      </w:r>
      <w:r w:rsidRPr="00C82EE1">
        <w:rPr>
          <w:rFonts w:ascii="Times New Roman" w:hAnsi="Times New Roman" w:cs="Times New Roman"/>
          <w:sz w:val="24"/>
          <w:szCs w:val="24"/>
        </w:rPr>
        <w:t xml:space="preserve">, </w:t>
      </w:r>
      <w:r w:rsidR="00E25CAA">
        <w:rPr>
          <w:rFonts w:ascii="Times New Roman" w:hAnsi="Times New Roman" w:cs="Times New Roman"/>
          <w:sz w:val="24"/>
          <w:szCs w:val="24"/>
        </w:rPr>
        <w:t>M</w:t>
      </w:r>
      <w:r w:rsidRPr="00C82EE1">
        <w:rPr>
          <w:rFonts w:ascii="Times New Roman" w:hAnsi="Times New Roman" w:cs="Times New Roman"/>
          <w:sz w:val="24"/>
          <w:szCs w:val="24"/>
        </w:rPr>
        <w:t>aster</w:t>
      </w:r>
      <w:r w:rsidR="00E25CAA">
        <w:rPr>
          <w:rFonts w:ascii="Times New Roman" w:hAnsi="Times New Roman" w:cs="Times New Roman"/>
          <w:sz w:val="24"/>
          <w:szCs w:val="24"/>
        </w:rPr>
        <w:t>’s</w:t>
      </w:r>
      <w:r w:rsidRPr="00C82EE1">
        <w:rPr>
          <w:rFonts w:ascii="Times New Roman" w:hAnsi="Times New Roman" w:cs="Times New Roman"/>
          <w:sz w:val="24"/>
          <w:szCs w:val="24"/>
        </w:rPr>
        <w:t xml:space="preserve">, or Ph.D. degree, respectively, and is coded as zero otherwise. </w:t>
      </w:r>
      <w:bookmarkStart w:id="20" w:name="_Hlk192412372"/>
      <w:r w:rsidRPr="00C82EE1">
        <w:rPr>
          <w:rFonts w:ascii="Times New Roman" w:eastAsiaTheme="minorEastAsia" w:hAnsi="Times New Roman" w:cs="Times New Roman"/>
          <w:sz w:val="24"/>
          <w:szCs w:val="24"/>
        </w:rPr>
        <w:t xml:space="preserve">Results are reported in Panel B of Table 7. Model (3) and (4) examine the impact of LC on ICO fundraising, distinguishing between CEOs with lower and higher education levels, respectively. In Model (3), we observe a positive and significant effect of </w:t>
      </w:r>
      <m:oMath>
        <m:r>
          <w:rPr>
            <w:rFonts w:ascii="Cambria Math" w:eastAsiaTheme="minorEastAsia" w:hAnsi="Cambria Math" w:cs="Times New Roman"/>
            <w:sz w:val="24"/>
            <w:szCs w:val="24"/>
          </w:rPr>
          <m:t>LC</m:t>
        </m:r>
      </m:oMath>
      <w:r w:rsidRPr="00C82EE1">
        <w:rPr>
          <w:rFonts w:ascii="Times New Roman" w:eastAsiaTheme="minorEastAsia" w:hAnsi="Times New Roman" w:cs="Times New Roman"/>
          <w:sz w:val="24"/>
          <w:szCs w:val="24"/>
        </w:rPr>
        <w:t xml:space="preserve"> on the </w:t>
      </w:r>
      <m:oMath>
        <m:r>
          <w:rPr>
            <w:rFonts w:ascii="Cambria Math" w:eastAsiaTheme="minorEastAsia" w:hAnsi="Cambria Math" w:cs="Times New Roman"/>
            <w:sz w:val="24"/>
            <w:szCs w:val="24"/>
          </w:rPr>
          <m:t>Amount raised</m:t>
        </m:r>
      </m:oMath>
      <w:r w:rsidRPr="00C82EE1">
        <w:rPr>
          <w:rFonts w:ascii="Times New Roman" w:eastAsiaTheme="minorEastAsia" w:hAnsi="Times New Roman" w:cs="Times New Roman"/>
          <w:sz w:val="24"/>
          <w:szCs w:val="24"/>
        </w:rPr>
        <w:t xml:space="preserve"> for ICOs led by CEOs with lower education levels, with a coefficient of 0.210, statistically significant at the </w:t>
      </w:r>
      <w:r w:rsidR="00F05788">
        <w:rPr>
          <w:rFonts w:ascii="Times New Roman" w:eastAsiaTheme="minorEastAsia" w:hAnsi="Times New Roman" w:cs="Times New Roman"/>
          <w:sz w:val="24"/>
          <w:szCs w:val="24"/>
        </w:rPr>
        <w:t>1</w:t>
      </w:r>
      <w:r w:rsidRPr="00C82EE1">
        <w:rPr>
          <w:rFonts w:ascii="Times New Roman" w:eastAsiaTheme="minorEastAsia" w:hAnsi="Times New Roman" w:cs="Times New Roman"/>
          <w:sz w:val="24"/>
          <w:szCs w:val="24"/>
        </w:rPr>
        <w:t xml:space="preserve">% level. In contrast, in Model (4), </w:t>
      </w:r>
      <m:oMath>
        <m:r>
          <w:rPr>
            <w:rFonts w:ascii="Cambria Math" w:eastAsiaTheme="minorEastAsia" w:hAnsi="Cambria Math" w:cs="Times New Roman"/>
            <w:sz w:val="24"/>
            <w:szCs w:val="24"/>
          </w:rPr>
          <m:t>LC</m:t>
        </m:r>
      </m:oMath>
      <w:r w:rsidRPr="00C82EE1">
        <w:rPr>
          <w:rFonts w:ascii="Times New Roman" w:eastAsiaTheme="minorEastAsia" w:hAnsi="Times New Roman" w:cs="Times New Roman"/>
          <w:sz w:val="24"/>
          <w:szCs w:val="24"/>
        </w:rPr>
        <w:t xml:space="preserve"> is insignificant at conventional confidence levels, suggesting no strong evidence of an effect when the CEO holds </w:t>
      </w:r>
      <w:r w:rsidR="00E25CAA">
        <w:rPr>
          <w:rFonts w:ascii="Times New Roman" w:eastAsiaTheme="minorEastAsia" w:hAnsi="Times New Roman" w:cs="Times New Roman"/>
          <w:sz w:val="24"/>
          <w:szCs w:val="24"/>
        </w:rPr>
        <w:t>a M</w:t>
      </w:r>
      <w:r w:rsidRPr="00C82EE1">
        <w:rPr>
          <w:rFonts w:ascii="Times New Roman" w:eastAsiaTheme="minorEastAsia" w:hAnsi="Times New Roman" w:cs="Times New Roman"/>
          <w:sz w:val="24"/>
          <w:szCs w:val="24"/>
        </w:rPr>
        <w:t>aster</w:t>
      </w:r>
      <w:r w:rsidR="00E25CAA">
        <w:rPr>
          <w:rFonts w:ascii="Times New Roman" w:eastAsiaTheme="minorEastAsia" w:hAnsi="Times New Roman" w:cs="Times New Roman"/>
          <w:sz w:val="24"/>
          <w:szCs w:val="24"/>
        </w:rPr>
        <w:t>’s</w:t>
      </w:r>
      <w:r w:rsidRPr="00C82EE1">
        <w:rPr>
          <w:rFonts w:ascii="Times New Roman" w:eastAsiaTheme="minorEastAsia" w:hAnsi="Times New Roman" w:cs="Times New Roman"/>
          <w:sz w:val="24"/>
          <w:szCs w:val="24"/>
        </w:rPr>
        <w:t xml:space="preserve"> or a Ph.D. degree. </w:t>
      </w:r>
    </w:p>
    <w:p w14:paraId="13E1AA7C" w14:textId="38C4D450" w:rsidR="00481D5B" w:rsidRPr="00C82EE1" w:rsidRDefault="00481D5B" w:rsidP="007F3752">
      <w:pPr>
        <w:spacing w:after="120" w:line="360" w:lineRule="auto"/>
        <w:ind w:firstLine="482"/>
        <w:jc w:val="both"/>
        <w:rPr>
          <w:rFonts w:ascii="Times New Roman" w:eastAsiaTheme="minorEastAsia" w:hAnsi="Times New Roman" w:cs="Times New Roman"/>
          <w:sz w:val="24"/>
          <w:szCs w:val="24"/>
        </w:rPr>
      </w:pPr>
      <w:r w:rsidRPr="00C82EE1">
        <w:rPr>
          <w:rFonts w:ascii="Times New Roman" w:hAnsi="Times New Roman" w:cs="Times New Roman"/>
          <w:sz w:val="24"/>
          <w:szCs w:val="24"/>
        </w:rPr>
        <w:t xml:space="preserve">The </w:t>
      </w:r>
      <w:r w:rsidRPr="00C82EE1">
        <w:rPr>
          <w:rFonts w:ascii="Times New Roman" w:eastAsiaTheme="minorEastAsia" w:hAnsi="Times New Roman" w:cs="Times New Roman"/>
          <w:sz w:val="24"/>
          <w:szCs w:val="24"/>
        </w:rPr>
        <w:t xml:space="preserve">Z-test between both coefficients of </w:t>
      </w:r>
      <m:oMath>
        <m:r>
          <w:rPr>
            <w:rFonts w:ascii="Cambria Math" w:eastAsiaTheme="minorEastAsia" w:hAnsi="Cambria Math" w:cs="Times New Roman"/>
            <w:sz w:val="24"/>
            <w:szCs w:val="24"/>
          </w:rPr>
          <m:t>LC</m:t>
        </m:r>
      </m:oMath>
      <w:r w:rsidRPr="00C82EE1">
        <w:rPr>
          <w:rFonts w:ascii="Times New Roman" w:eastAsiaTheme="minorEastAsia" w:hAnsi="Times New Roman" w:cs="Times New Roman"/>
          <w:sz w:val="24"/>
          <w:szCs w:val="24"/>
        </w:rPr>
        <w:t xml:space="preserve"> confirm</w:t>
      </w:r>
      <w:r w:rsidR="00AF7C5F" w:rsidRPr="00C82EE1">
        <w:rPr>
          <w:rFonts w:ascii="Times New Roman" w:eastAsiaTheme="minorEastAsia" w:hAnsi="Times New Roman" w:cs="Times New Roman"/>
          <w:sz w:val="24"/>
          <w:szCs w:val="24"/>
        </w:rPr>
        <w:t>s</w:t>
      </w:r>
      <w:r w:rsidRPr="00C82EE1">
        <w:rPr>
          <w:rFonts w:ascii="Times New Roman" w:eastAsiaTheme="minorEastAsia" w:hAnsi="Times New Roman" w:cs="Times New Roman"/>
          <w:sz w:val="24"/>
          <w:szCs w:val="24"/>
        </w:rPr>
        <w:t xml:space="preserve"> a statistically significant difference</w:t>
      </w:r>
      <w:r w:rsidRPr="00C82EE1" w:rsidDel="00CA3651">
        <w:rPr>
          <w:rFonts w:ascii="Times New Roman" w:eastAsiaTheme="minorEastAsia" w:hAnsi="Times New Roman" w:cs="Times New Roman"/>
          <w:sz w:val="24"/>
          <w:szCs w:val="24"/>
        </w:rPr>
        <w:t xml:space="preserve"> </w:t>
      </w:r>
      <w:r w:rsidRPr="00C82EE1">
        <w:rPr>
          <w:rFonts w:ascii="Times New Roman" w:eastAsiaTheme="minorEastAsia" w:hAnsi="Times New Roman" w:cs="Times New Roman"/>
          <w:sz w:val="24"/>
          <w:szCs w:val="24"/>
        </w:rPr>
        <w:t xml:space="preserve">at </w:t>
      </w:r>
      <w:r w:rsidR="00AF7C5F" w:rsidRPr="00C82EE1">
        <w:rPr>
          <w:rFonts w:ascii="Times New Roman" w:eastAsiaTheme="minorEastAsia" w:hAnsi="Times New Roman" w:cs="Times New Roman"/>
          <w:sz w:val="24"/>
          <w:szCs w:val="24"/>
        </w:rPr>
        <w:t xml:space="preserve">a </w:t>
      </w:r>
      <w:r w:rsidR="00F05788">
        <w:rPr>
          <w:rFonts w:ascii="Times New Roman" w:eastAsiaTheme="minorEastAsia" w:hAnsi="Times New Roman" w:cs="Times New Roman"/>
          <w:sz w:val="24"/>
          <w:szCs w:val="24"/>
        </w:rPr>
        <w:t>1</w:t>
      </w:r>
      <w:r w:rsidRPr="00C82EE1">
        <w:rPr>
          <w:rFonts w:ascii="Times New Roman" w:eastAsiaTheme="minorEastAsia" w:hAnsi="Times New Roman" w:cs="Times New Roman"/>
          <w:sz w:val="24"/>
          <w:szCs w:val="24"/>
        </w:rPr>
        <w:t xml:space="preserve">% level, reinforcing the finding that LC has a stronger effect on ICO fundraising when the CEO has a lower level of education. This result aligns with our expectations, suggesting that </w:t>
      </w:r>
      <w:r w:rsidRPr="00C82EE1">
        <w:rPr>
          <w:rFonts w:ascii="Times New Roman" w:eastAsiaTheme="minorEastAsia" w:hAnsi="Times New Roman" w:cs="Times New Roman"/>
          <w:sz w:val="24"/>
          <w:szCs w:val="24"/>
        </w:rPr>
        <w:lastRenderedPageBreak/>
        <w:t>LC serves as a more credible signal to investors when the ICO is led by a CEO with lower formal education, as investors may rely more on the sophistication of the white paper to assess project legitimacy in the absence of strong educational credentials.</w:t>
      </w:r>
    </w:p>
    <w:bookmarkEnd w:id="20"/>
    <w:p w14:paraId="535600B5" w14:textId="77777777" w:rsidR="00481D5B" w:rsidRPr="00C82EE1" w:rsidRDefault="00481D5B" w:rsidP="00E223E9">
      <w:pPr>
        <w:pStyle w:val="Titre3"/>
      </w:pPr>
      <w:r w:rsidRPr="00C82EE1">
        <w:t>Code availability</w:t>
      </w:r>
    </w:p>
    <w:p w14:paraId="2565F94C" w14:textId="51A3C7A3" w:rsidR="00481D5B" w:rsidRPr="00C82EE1" w:rsidRDefault="00481D5B" w:rsidP="007F3752">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High-quality source code can positively influence the amount raised in an ICO </w:t>
      </w:r>
      <w:r w:rsidR="00D237B0" w:rsidRPr="00C82EE1">
        <w:rPr>
          <w:rFonts w:ascii="Times New Roman" w:hAnsi="Times New Roman" w:cs="Times New Roman"/>
          <w:sz w:val="24"/>
          <w:szCs w:val="24"/>
        </w:rPr>
        <w:t>(Fisch, 2019)</w:t>
      </w:r>
      <w:r w:rsidRPr="00C82EE1">
        <w:rPr>
          <w:rFonts w:ascii="Times New Roman" w:hAnsi="Times New Roman" w:cs="Times New Roman"/>
          <w:sz w:val="24"/>
          <w:szCs w:val="24"/>
        </w:rPr>
        <w:t xml:space="preserve">. Publishing source code shows transparency and commitment to disclosure, allowing investors to assess the project technical integrity while enabling the identification of bugs and potential improvements </w:t>
      </w:r>
      <w:r w:rsidR="00EC661E" w:rsidRPr="00C82EE1">
        <w:rPr>
          <w:rFonts w:ascii="Times New Roman" w:hAnsi="Times New Roman" w:cs="Times New Roman"/>
          <w:sz w:val="24"/>
          <w:szCs w:val="24"/>
        </w:rPr>
        <w:t>(Howell et al., 2020)</w:t>
      </w:r>
      <w:r w:rsidRPr="00C82EE1">
        <w:rPr>
          <w:rFonts w:ascii="Times New Roman" w:hAnsi="Times New Roman" w:cs="Times New Roman"/>
          <w:sz w:val="24"/>
          <w:szCs w:val="24"/>
        </w:rPr>
        <w:t xml:space="preserve">. </w:t>
      </w:r>
      <w:r w:rsidR="00EC661E" w:rsidRPr="00C82EE1">
        <w:rPr>
          <w:rFonts w:ascii="Times New Roman" w:hAnsi="Times New Roman" w:cs="Times New Roman"/>
          <w:sz w:val="24"/>
          <w:szCs w:val="24"/>
        </w:rPr>
        <w:t>Howell et al. (2020)</w:t>
      </w:r>
      <w:r w:rsidRPr="00C82EE1">
        <w:rPr>
          <w:rFonts w:ascii="Times New Roman" w:hAnsi="Times New Roman" w:cs="Times New Roman"/>
          <w:sz w:val="24"/>
          <w:szCs w:val="24"/>
        </w:rPr>
        <w:t xml:space="preserve"> and </w:t>
      </w:r>
      <w:r w:rsidR="00EC661E" w:rsidRPr="00C82EE1">
        <w:rPr>
          <w:rFonts w:ascii="Times New Roman" w:hAnsi="Times New Roman" w:cs="Times New Roman"/>
          <w:sz w:val="24"/>
          <w:szCs w:val="24"/>
        </w:rPr>
        <w:t>Thewissen et al. (2022)</w:t>
      </w:r>
      <w:r w:rsidRPr="00C82EE1">
        <w:rPr>
          <w:rFonts w:ascii="Times New Roman" w:hAnsi="Times New Roman" w:cs="Times New Roman"/>
          <w:sz w:val="24"/>
          <w:szCs w:val="24"/>
        </w:rPr>
        <w:t xml:space="preserve"> support this relationship and find a positive association between publicly available source code and ICO fundraising success. Similarly, </w:t>
      </w:r>
      <w:proofErr w:type="spellStart"/>
      <w:r w:rsidR="00EC661E" w:rsidRPr="00C82EE1">
        <w:rPr>
          <w:rFonts w:ascii="Times New Roman" w:hAnsi="Times New Roman" w:cs="Times New Roman"/>
          <w:sz w:val="24"/>
          <w:szCs w:val="24"/>
        </w:rPr>
        <w:t>Belitski</w:t>
      </w:r>
      <w:proofErr w:type="spellEnd"/>
      <w:r w:rsidR="00EC661E" w:rsidRPr="00C82EE1">
        <w:rPr>
          <w:rFonts w:ascii="Times New Roman" w:hAnsi="Times New Roman" w:cs="Times New Roman"/>
          <w:sz w:val="24"/>
          <w:szCs w:val="24"/>
        </w:rPr>
        <w:t xml:space="preserve"> &amp; </w:t>
      </w:r>
      <w:proofErr w:type="spellStart"/>
      <w:r w:rsidR="00EC661E" w:rsidRPr="00C82EE1">
        <w:rPr>
          <w:rFonts w:ascii="Times New Roman" w:hAnsi="Times New Roman" w:cs="Times New Roman"/>
          <w:sz w:val="24"/>
          <w:szCs w:val="24"/>
        </w:rPr>
        <w:t>Boreiko</w:t>
      </w:r>
      <w:proofErr w:type="spellEnd"/>
      <w:r w:rsidR="00EC661E" w:rsidRPr="00C82EE1">
        <w:rPr>
          <w:rFonts w:ascii="Times New Roman" w:hAnsi="Times New Roman" w:cs="Times New Roman"/>
          <w:sz w:val="24"/>
          <w:szCs w:val="24"/>
        </w:rPr>
        <w:t xml:space="preserve"> (2022)</w:t>
      </w:r>
      <w:r w:rsidRPr="00C82EE1">
        <w:rPr>
          <w:rFonts w:ascii="Times New Roman" w:hAnsi="Times New Roman" w:cs="Times New Roman"/>
          <w:sz w:val="24"/>
          <w:szCs w:val="24"/>
        </w:rPr>
        <w:t xml:space="preserve"> show that publishing code on platforms like GitHub before an ICO serves as a strong credibility signal, fostering investor confidence and increasing funding.</w:t>
      </w:r>
    </w:p>
    <w:p w14:paraId="54198E68" w14:textId="5DD53166" w:rsidR="00481D5B" w:rsidRPr="00C82EE1" w:rsidRDefault="00481D5B"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We therefore expect that when an ICO does not publish its source code, LC plays a more significant role in shaping investor perceptions. In the absence of a verifiable technical signal, LC may become a substitute credibility signal, helping investors assess the project legitimacy and sophistication. As a result, LC is likely to have a stronger effect on the amount raised in ICOs that lack publicly available source code, reinforcing its role as an alternative mechanism for signaling project quality.</w:t>
      </w:r>
    </w:p>
    <w:p w14:paraId="737915A7" w14:textId="054AB27D" w:rsidR="00481D5B" w:rsidRPr="00C82EE1" w:rsidRDefault="00481D5B" w:rsidP="007F3752">
      <w:pPr>
        <w:spacing w:after="120" w:line="360" w:lineRule="auto"/>
        <w:ind w:firstLine="340"/>
        <w:jc w:val="both"/>
        <w:rPr>
          <w:rFonts w:ascii="Times New Roman" w:hAnsi="Times New Roman" w:cs="Times New Roman"/>
          <w:sz w:val="24"/>
          <w:szCs w:val="24"/>
        </w:rPr>
      </w:pPr>
      <w:bookmarkStart w:id="21" w:name="_Hlk195108357"/>
      <w:r w:rsidRPr="00C82EE1">
        <w:rPr>
          <w:rFonts w:ascii="Times New Roman" w:hAnsi="Times New Roman" w:cs="Times New Roman"/>
          <w:sz w:val="24"/>
          <w:szCs w:val="24"/>
        </w:rPr>
        <w:t xml:space="preserve">To assess the availability of source code, we manually verify whether ICO projects have published their code on GitHub, the leading web-based code repository. Based on this, we construct a binary variable </w:t>
      </w:r>
      <m:oMath>
        <m:r>
          <w:rPr>
            <w:rFonts w:ascii="Cambria Math" w:hAnsi="Cambria Math" w:cs="Times New Roman"/>
            <w:sz w:val="24"/>
            <w:szCs w:val="24"/>
          </w:rPr>
          <m:t>(Code)</m:t>
        </m:r>
      </m:oMath>
      <w:r w:rsidRPr="00C82EE1">
        <w:rPr>
          <w:rFonts w:ascii="Times New Roman" w:hAnsi="Times New Roman" w:cs="Times New Roman"/>
          <w:sz w:val="24"/>
          <w:szCs w:val="24"/>
        </w:rPr>
        <w:t>, which equals one if the s</w:t>
      </w:r>
      <w:proofErr w:type="spellStart"/>
      <w:r w:rsidRPr="00C82EE1">
        <w:rPr>
          <w:rFonts w:ascii="Times New Roman" w:hAnsi="Times New Roman" w:cs="Times New Roman"/>
          <w:sz w:val="24"/>
          <w:szCs w:val="24"/>
        </w:rPr>
        <w:t>ource</w:t>
      </w:r>
      <w:proofErr w:type="spellEnd"/>
      <w:r w:rsidRPr="00C82EE1">
        <w:rPr>
          <w:rFonts w:ascii="Times New Roman" w:hAnsi="Times New Roman" w:cs="Times New Roman"/>
          <w:sz w:val="24"/>
          <w:szCs w:val="24"/>
        </w:rPr>
        <w:t xml:space="preserve"> code is publicly available on GitHub, zero otherwise. Results are reported in Panel C of Table 7. Model (5) and (6) estimate the impact of LC on fundraising for ICOs without and with a code availability, respectively. In Model (5), we observe a slightly higher coefficient of </w:t>
      </w:r>
      <m:oMath>
        <m:r>
          <w:rPr>
            <w:rFonts w:ascii="Cambria Math" w:hAnsi="Cambria Math" w:cs="Times New Roman"/>
            <w:sz w:val="24"/>
            <w:szCs w:val="24"/>
          </w:rPr>
          <m:t>LC</m:t>
        </m:r>
      </m:oMath>
      <w:r w:rsidRPr="00C82EE1">
        <w:rPr>
          <w:rFonts w:ascii="Times New Roman" w:eastAsiaTheme="minorEastAsia" w:hAnsi="Times New Roman" w:cs="Times New Roman"/>
          <w:sz w:val="24"/>
          <w:szCs w:val="24"/>
        </w:rPr>
        <w:t xml:space="preserve"> on the </w:t>
      </w:r>
      <m:oMath>
        <m:r>
          <w:rPr>
            <w:rFonts w:ascii="Cambria Math" w:eastAsiaTheme="minorEastAsia" w:hAnsi="Cambria Math" w:cs="Times New Roman"/>
            <w:sz w:val="24"/>
            <w:szCs w:val="24"/>
          </w:rPr>
          <m:t>Amount raised</m:t>
        </m:r>
      </m:oMath>
      <w:r w:rsidRPr="00C82EE1">
        <w:rPr>
          <w:rFonts w:ascii="Times New Roman" w:eastAsiaTheme="minorEastAsia" w:hAnsi="Times New Roman" w:cs="Times New Roman"/>
          <w:sz w:val="24"/>
          <w:szCs w:val="24"/>
        </w:rPr>
        <w:t xml:space="preserve"> for ICOs without code (coefficient of 0.121), compared to ICOs with code (coefficient of 0.111). Both coefficients are statistically significant at a </w:t>
      </w:r>
      <w:r w:rsidR="00F05788">
        <w:rPr>
          <w:rFonts w:ascii="Times New Roman" w:eastAsiaTheme="minorEastAsia" w:hAnsi="Times New Roman" w:cs="Times New Roman"/>
          <w:sz w:val="24"/>
          <w:szCs w:val="24"/>
        </w:rPr>
        <w:t>1</w:t>
      </w:r>
      <w:r w:rsidRPr="00C82EE1">
        <w:rPr>
          <w:rFonts w:ascii="Times New Roman" w:eastAsiaTheme="minorEastAsia" w:hAnsi="Times New Roman" w:cs="Times New Roman"/>
          <w:sz w:val="24"/>
          <w:szCs w:val="24"/>
        </w:rPr>
        <w:t>% level.</w:t>
      </w:r>
      <w:r w:rsidRPr="00C82EE1">
        <w:rPr>
          <w:rFonts w:ascii="Times New Roman" w:hAnsi="Times New Roman" w:cs="Times New Roman"/>
          <w:sz w:val="24"/>
          <w:szCs w:val="24"/>
        </w:rPr>
        <w:t xml:space="preserve"> The </w:t>
      </w:r>
      <w:r w:rsidRPr="00C82EE1">
        <w:rPr>
          <w:rFonts w:ascii="Times New Roman" w:eastAsiaTheme="minorEastAsia" w:hAnsi="Times New Roman" w:cs="Times New Roman"/>
          <w:sz w:val="24"/>
          <w:szCs w:val="24"/>
        </w:rPr>
        <w:t xml:space="preserve">Z-test between both coefficients of LC </w:t>
      </w:r>
      <w:r w:rsidR="007E6C7A" w:rsidRPr="00C82EE1">
        <w:rPr>
          <w:rFonts w:ascii="Times New Roman" w:eastAsiaTheme="minorEastAsia" w:hAnsi="Times New Roman" w:cs="Times New Roman"/>
          <w:sz w:val="24"/>
          <w:szCs w:val="24"/>
        </w:rPr>
        <w:t xml:space="preserve">confirms </w:t>
      </w:r>
      <w:r w:rsidRPr="00C82EE1">
        <w:rPr>
          <w:rFonts w:ascii="Times New Roman" w:eastAsiaTheme="minorEastAsia" w:hAnsi="Times New Roman" w:cs="Times New Roman"/>
          <w:sz w:val="24"/>
          <w:szCs w:val="24"/>
        </w:rPr>
        <w:t xml:space="preserve">a statistically significant difference at the </w:t>
      </w:r>
      <w:r w:rsidR="00F05788">
        <w:rPr>
          <w:rFonts w:ascii="Times New Roman" w:eastAsiaTheme="minorEastAsia" w:hAnsi="Times New Roman" w:cs="Times New Roman"/>
          <w:sz w:val="24"/>
          <w:szCs w:val="24"/>
        </w:rPr>
        <w:t>5</w:t>
      </w:r>
      <w:r w:rsidRPr="00C82EE1">
        <w:rPr>
          <w:rFonts w:ascii="Times New Roman" w:eastAsiaTheme="minorEastAsia" w:hAnsi="Times New Roman" w:cs="Times New Roman"/>
          <w:sz w:val="24"/>
          <w:szCs w:val="24"/>
        </w:rPr>
        <w:t>% level. This finding aligns with our expectations, suggesting that LC serves as a stronger credibility signal when an ICO project does not disclose its source code, as investors may rely more on linguistic cues in the absence of a verifiable technical signal.</w:t>
      </w:r>
    </w:p>
    <w:bookmarkEnd w:id="21"/>
    <w:p w14:paraId="07409AC3" w14:textId="77777777" w:rsidR="00481D5B" w:rsidRPr="00C82EE1" w:rsidRDefault="00481D5B" w:rsidP="00DC5DA1">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7 here.]</w:t>
      </w:r>
    </w:p>
    <w:p w14:paraId="547DDE51" w14:textId="77777777" w:rsidR="00481D5B" w:rsidRPr="00C82EE1" w:rsidRDefault="00481D5B" w:rsidP="00E223E9">
      <w:pPr>
        <w:pStyle w:val="Titre1"/>
      </w:pPr>
      <w:r w:rsidRPr="00C82EE1">
        <w:lastRenderedPageBreak/>
        <w:t>LC, Post-ICO performance and ICO survival</w:t>
      </w:r>
    </w:p>
    <w:p w14:paraId="0D38E77A" w14:textId="1CDD89F3" w:rsidR="00481D5B" w:rsidRPr="00C82EE1" w:rsidRDefault="00481D5B" w:rsidP="007F3752">
      <w:pPr>
        <w:spacing w:after="120" w:line="360" w:lineRule="auto"/>
        <w:contextualSpacing/>
        <w:jc w:val="both"/>
        <w:rPr>
          <w:rFonts w:ascii="Times New Roman" w:hAnsi="Times New Roman" w:cs="Times New Roman"/>
          <w:sz w:val="24"/>
          <w:szCs w:val="24"/>
        </w:rPr>
      </w:pPr>
      <w:r w:rsidRPr="00C82EE1">
        <w:rPr>
          <w:rFonts w:ascii="Times New Roman" w:hAnsi="Times New Roman" w:cs="Times New Roman"/>
          <w:sz w:val="24"/>
          <w:szCs w:val="24"/>
        </w:rPr>
        <w:t xml:space="preserve">Since an ICO represents only the initial phase of a blockchain-based project development </w:t>
      </w:r>
      <w:r w:rsidR="00EC661E" w:rsidRPr="00C82EE1">
        <w:rPr>
          <w:rFonts w:ascii="Times New Roman" w:hAnsi="Times New Roman" w:cs="Times New Roman"/>
          <w:sz w:val="24"/>
          <w:szCs w:val="24"/>
        </w:rPr>
        <w:t>(Lee et al., 2022)</w:t>
      </w:r>
      <w:r w:rsidRPr="00C82EE1">
        <w:rPr>
          <w:rFonts w:ascii="Times New Roman" w:hAnsi="Times New Roman" w:cs="Times New Roman"/>
          <w:sz w:val="24"/>
          <w:szCs w:val="24"/>
        </w:rPr>
        <w:t xml:space="preserve">, its success should also be assessed based on how the venture progresses beyond the fundraising stage </w:t>
      </w:r>
      <w:r w:rsidR="00EC661E" w:rsidRPr="00C82EE1">
        <w:rPr>
          <w:rFonts w:ascii="Times New Roman" w:hAnsi="Times New Roman" w:cs="Times New Roman"/>
          <w:sz w:val="24"/>
          <w:szCs w:val="24"/>
        </w:rPr>
        <w:t>(Siegel et al., 2017)</w:t>
      </w:r>
      <w:r w:rsidRPr="00C82EE1">
        <w:rPr>
          <w:rFonts w:ascii="Times New Roman" w:hAnsi="Times New Roman" w:cs="Times New Roman"/>
          <w:sz w:val="24"/>
          <w:szCs w:val="24"/>
        </w:rPr>
        <w:t xml:space="preserve">. LC in white papers is likely to have a lasting impact in the post-ICO period, particularly as tokens become tradable on secondary exchanges </w:t>
      </w:r>
      <w:r w:rsidR="00EC661E" w:rsidRPr="00C82EE1">
        <w:rPr>
          <w:rFonts w:ascii="Times New Roman" w:hAnsi="Times New Roman" w:cs="Times New Roman"/>
          <w:sz w:val="24"/>
          <w:szCs w:val="24"/>
        </w:rPr>
        <w:t>(</w:t>
      </w:r>
      <w:proofErr w:type="spellStart"/>
      <w:r w:rsidR="00EC661E" w:rsidRPr="00C82EE1">
        <w:rPr>
          <w:rFonts w:ascii="Times New Roman" w:hAnsi="Times New Roman" w:cs="Times New Roman"/>
          <w:sz w:val="24"/>
          <w:szCs w:val="24"/>
        </w:rPr>
        <w:t>Amsden</w:t>
      </w:r>
      <w:proofErr w:type="spellEnd"/>
      <w:r w:rsidR="00EC661E" w:rsidRPr="00C82EE1">
        <w:rPr>
          <w:rFonts w:ascii="Times New Roman" w:hAnsi="Times New Roman" w:cs="Times New Roman"/>
          <w:sz w:val="24"/>
          <w:szCs w:val="24"/>
        </w:rPr>
        <w:t xml:space="preserve"> &amp; Schweizer, 2018)</w:t>
      </w:r>
      <w:r w:rsidRPr="00C82EE1">
        <w:rPr>
          <w:rFonts w:ascii="Times New Roman" w:hAnsi="Times New Roman" w:cs="Times New Roman"/>
          <w:sz w:val="24"/>
          <w:szCs w:val="24"/>
        </w:rPr>
        <w:t xml:space="preserve">. Recent research highlights that greater transparency in communication and technical disclosures can enhance a firm long-term performance </w:t>
      </w:r>
      <w:r w:rsidR="00EC661E" w:rsidRPr="00C82EE1">
        <w:rPr>
          <w:rFonts w:ascii="Times New Roman" w:hAnsi="Times New Roman" w:cs="Times New Roman"/>
          <w:sz w:val="24"/>
          <w:szCs w:val="24"/>
        </w:rPr>
        <w:t>(Fisch, 2019; Howell et al., 2020)</w:t>
      </w:r>
      <w:r w:rsidRPr="00C82EE1">
        <w:rPr>
          <w:rFonts w:ascii="Times New Roman" w:hAnsi="Times New Roman" w:cs="Times New Roman"/>
          <w:sz w:val="24"/>
          <w:szCs w:val="24"/>
        </w:rPr>
        <w:t xml:space="preserve">. For instance, </w:t>
      </w:r>
      <w:proofErr w:type="spellStart"/>
      <w:r w:rsidR="00EC661E" w:rsidRPr="00C82EE1">
        <w:rPr>
          <w:rFonts w:ascii="Times New Roman" w:hAnsi="Times New Roman" w:cs="Times New Roman"/>
          <w:sz w:val="24"/>
          <w:szCs w:val="24"/>
        </w:rPr>
        <w:t>Amsden</w:t>
      </w:r>
      <w:proofErr w:type="spellEnd"/>
      <w:r w:rsidR="00EC661E" w:rsidRPr="00C82EE1">
        <w:rPr>
          <w:rFonts w:ascii="Times New Roman" w:hAnsi="Times New Roman" w:cs="Times New Roman"/>
          <w:sz w:val="24"/>
          <w:szCs w:val="24"/>
        </w:rPr>
        <w:t xml:space="preserve"> &amp; Schweizer (2018)</w:t>
      </w:r>
      <w:r w:rsidRPr="00C82EE1">
        <w:rPr>
          <w:rFonts w:ascii="Times New Roman" w:hAnsi="Times New Roman" w:cs="Times New Roman"/>
          <w:sz w:val="24"/>
          <w:szCs w:val="24"/>
        </w:rPr>
        <w:t xml:space="preserve"> document a positive relationship between white paper length and the likelihood of tokens being tradable post-ICO, while </w:t>
      </w:r>
      <w:r w:rsidR="00EC661E" w:rsidRPr="00C82EE1">
        <w:rPr>
          <w:rFonts w:ascii="Times New Roman" w:hAnsi="Times New Roman" w:cs="Times New Roman"/>
          <w:sz w:val="24"/>
          <w:szCs w:val="24"/>
        </w:rPr>
        <w:t>(Xia et al., 2024b)</w:t>
      </w:r>
      <w:r w:rsidRPr="00C82EE1">
        <w:rPr>
          <w:rFonts w:ascii="Times New Roman" w:hAnsi="Times New Roman" w:cs="Times New Roman"/>
          <w:sz w:val="24"/>
          <w:szCs w:val="24"/>
        </w:rPr>
        <w:t xml:space="preserve"> find that the fluency of ICO project names correlates with stronger post-ICO performance. Given these findings, </w:t>
      </w:r>
      <w:r w:rsidR="007E6C7A" w:rsidRPr="00C82EE1">
        <w:rPr>
          <w:rFonts w:ascii="Times New Roman" w:hAnsi="Times New Roman" w:cs="Times New Roman"/>
          <w:sz w:val="24"/>
          <w:szCs w:val="24"/>
        </w:rPr>
        <w:t>we next</w:t>
      </w:r>
      <w:r w:rsidRPr="00C82EE1">
        <w:rPr>
          <w:rFonts w:ascii="Times New Roman" w:hAnsi="Times New Roman" w:cs="Times New Roman"/>
          <w:sz w:val="24"/>
          <w:szCs w:val="24"/>
        </w:rPr>
        <w:t xml:space="preserve"> examine how LC in ICO white papers predicts post-offering token performance over extended time horizons.</w:t>
      </w:r>
    </w:p>
    <w:p w14:paraId="5B14DB41" w14:textId="77777777" w:rsidR="00481D5B" w:rsidRPr="00C82EE1" w:rsidRDefault="00481D5B" w:rsidP="00E223E9">
      <w:pPr>
        <w:pStyle w:val="Titre2"/>
      </w:pPr>
      <w:r w:rsidRPr="00C82EE1">
        <w:t>LC and ICO post-funding performance</w:t>
      </w:r>
    </w:p>
    <w:p w14:paraId="4A2C45B2" w14:textId="3D3E2AA6" w:rsidR="00481D5B" w:rsidRPr="00C82EE1" w:rsidRDefault="00481D5B" w:rsidP="007F3752">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LC </w:t>
      </w:r>
      <w:r w:rsidRPr="00C82EE1">
        <w:rPr>
          <w:rFonts w:ascii="Times New Roman" w:hAnsi="Times New Roman" w:cs="Times New Roman"/>
          <w:sz w:val="24"/>
          <w:szCs w:val="24"/>
          <w:lang w:val="en-GB"/>
        </w:rPr>
        <w:t>has been shown to be associated with long-term benefits for readers, including improved memory retention</w:t>
      </w:r>
      <w:r w:rsidRPr="00C82EE1">
        <w:rPr>
          <w:rFonts w:ascii="Times New Roman" w:hAnsi="Times New Roman" w:cs="Times New Roman"/>
          <w:sz w:val="24"/>
          <w:szCs w:val="24"/>
        </w:rPr>
        <w:t xml:space="preserve"> </w:t>
      </w:r>
      <w:r w:rsidR="00EC661E" w:rsidRPr="00C82EE1">
        <w:rPr>
          <w:rFonts w:ascii="Times New Roman" w:hAnsi="Times New Roman" w:cs="Times New Roman"/>
          <w:sz w:val="24"/>
          <w:szCs w:val="24"/>
        </w:rPr>
        <w:t>(Hayes-Roth, 1977)</w:t>
      </w:r>
      <w:r w:rsidRPr="00C82EE1">
        <w:rPr>
          <w:rFonts w:ascii="Times New Roman" w:hAnsi="Times New Roman" w:cs="Times New Roman"/>
          <w:sz w:val="24"/>
          <w:szCs w:val="24"/>
        </w:rPr>
        <w:t xml:space="preserve">. As such, we propose that a higher level of LC, by improving memory retention and reducing information asymmetry, increases investor willingness to engage in the project </w:t>
      </w:r>
      <w:r w:rsidR="00EC661E" w:rsidRPr="00C82EE1">
        <w:rPr>
          <w:rFonts w:ascii="Times New Roman" w:hAnsi="Times New Roman" w:cs="Times New Roman"/>
          <w:sz w:val="24"/>
          <w:szCs w:val="24"/>
        </w:rPr>
        <w:t>(</w:t>
      </w:r>
      <w:proofErr w:type="spellStart"/>
      <w:r w:rsidR="00EC661E" w:rsidRPr="00C82EE1">
        <w:rPr>
          <w:rFonts w:ascii="Times New Roman" w:hAnsi="Times New Roman" w:cs="Times New Roman"/>
          <w:sz w:val="24"/>
          <w:szCs w:val="24"/>
        </w:rPr>
        <w:t>Lyandres</w:t>
      </w:r>
      <w:proofErr w:type="spellEnd"/>
      <w:r w:rsidR="00EC661E" w:rsidRPr="00C82EE1">
        <w:rPr>
          <w:rFonts w:ascii="Times New Roman" w:hAnsi="Times New Roman" w:cs="Times New Roman"/>
          <w:sz w:val="24"/>
          <w:szCs w:val="24"/>
        </w:rPr>
        <w:t xml:space="preserve"> et al., 2022; </w:t>
      </w:r>
      <w:proofErr w:type="spellStart"/>
      <w:r w:rsidR="00EC661E" w:rsidRPr="00C82EE1">
        <w:rPr>
          <w:rFonts w:ascii="Times New Roman" w:hAnsi="Times New Roman" w:cs="Times New Roman"/>
          <w:sz w:val="24"/>
          <w:szCs w:val="24"/>
        </w:rPr>
        <w:t>Momtaz</w:t>
      </w:r>
      <w:proofErr w:type="spellEnd"/>
      <w:r w:rsidR="00EC661E" w:rsidRPr="00C82EE1">
        <w:rPr>
          <w:rFonts w:ascii="Times New Roman" w:hAnsi="Times New Roman" w:cs="Times New Roman"/>
          <w:sz w:val="24"/>
          <w:szCs w:val="24"/>
        </w:rPr>
        <w:t>, 2021c)</w:t>
      </w:r>
      <w:r w:rsidRPr="00C82EE1">
        <w:rPr>
          <w:rFonts w:ascii="Times New Roman" w:hAnsi="Times New Roman" w:cs="Times New Roman"/>
          <w:sz w:val="24"/>
          <w:szCs w:val="24"/>
        </w:rPr>
        <w:t>. By conveying more efficient information to investors, lexically complex white papers may, therefore, sustain stronger performance, extending well beyond the immediate impact of the ICO issuance.</w:t>
      </w:r>
    </w:p>
    <w:p w14:paraId="1F7AABE3" w14:textId="72375097" w:rsidR="00481D5B" w:rsidRPr="00C82EE1" w:rsidRDefault="00481D5B"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Given that ICO projects are not obligated to disclose financial information such as earnings and assets </w:t>
      </w:r>
      <w:r w:rsidR="00EC661E" w:rsidRPr="00C82EE1">
        <w:rPr>
          <w:rFonts w:ascii="Times New Roman" w:hAnsi="Times New Roman" w:cs="Times New Roman"/>
          <w:sz w:val="24"/>
          <w:szCs w:val="24"/>
        </w:rPr>
        <w:t>(Thewissen et al., 2022)</w:t>
      </w:r>
      <w:r w:rsidRPr="00C82EE1">
        <w:rPr>
          <w:rFonts w:ascii="Times New Roman" w:hAnsi="Times New Roman" w:cs="Times New Roman"/>
          <w:sz w:val="24"/>
          <w:szCs w:val="24"/>
        </w:rPr>
        <w:t xml:space="preserve">, direct measurements of a project post-ICO performance are unavailable. We follow previous literature and use token price as a proxy for performance </w:t>
      </w:r>
      <w:r w:rsidR="00EC661E" w:rsidRPr="00C82EE1">
        <w:rPr>
          <w:rFonts w:ascii="Times New Roman" w:hAnsi="Times New Roman" w:cs="Times New Roman"/>
          <w:sz w:val="24"/>
          <w:szCs w:val="24"/>
        </w:rPr>
        <w:t>(</w:t>
      </w:r>
      <w:proofErr w:type="spellStart"/>
      <w:r w:rsidR="00EC661E" w:rsidRPr="00C82EE1">
        <w:rPr>
          <w:rFonts w:ascii="Times New Roman" w:hAnsi="Times New Roman" w:cs="Times New Roman"/>
          <w:sz w:val="24"/>
          <w:szCs w:val="24"/>
        </w:rPr>
        <w:t>Amsden</w:t>
      </w:r>
      <w:proofErr w:type="spellEnd"/>
      <w:r w:rsidR="00EC661E" w:rsidRPr="00C82EE1">
        <w:rPr>
          <w:rFonts w:ascii="Times New Roman" w:hAnsi="Times New Roman" w:cs="Times New Roman"/>
          <w:sz w:val="24"/>
          <w:szCs w:val="24"/>
        </w:rPr>
        <w:t xml:space="preserve"> &amp; Schweizer, 2018; Howell et al., 2020)</w:t>
      </w:r>
      <w:r w:rsidRPr="00C82EE1">
        <w:rPr>
          <w:rFonts w:ascii="Times New Roman" w:hAnsi="Times New Roman" w:cs="Times New Roman"/>
          <w:sz w:val="24"/>
          <w:szCs w:val="24"/>
        </w:rPr>
        <w:t xml:space="preserve">. In line with </w:t>
      </w:r>
      <w:proofErr w:type="spellStart"/>
      <w:r w:rsidR="00EC661E" w:rsidRPr="00C82EE1">
        <w:rPr>
          <w:rFonts w:ascii="Times New Roman" w:hAnsi="Times New Roman" w:cs="Times New Roman"/>
          <w:sz w:val="24"/>
          <w:szCs w:val="24"/>
        </w:rPr>
        <w:t>Momtaz</w:t>
      </w:r>
      <w:proofErr w:type="spellEnd"/>
      <w:r w:rsidR="00EC661E" w:rsidRPr="00C82EE1">
        <w:rPr>
          <w:rFonts w:ascii="Times New Roman" w:hAnsi="Times New Roman" w:cs="Times New Roman"/>
          <w:sz w:val="24"/>
          <w:szCs w:val="24"/>
        </w:rPr>
        <w:t xml:space="preserve"> (2021c, 2021d)</w:t>
      </w:r>
      <w:r w:rsidRPr="00C82EE1">
        <w:rPr>
          <w:rFonts w:ascii="Times New Roman" w:hAnsi="Times New Roman" w:cs="Times New Roman"/>
          <w:sz w:val="24"/>
          <w:szCs w:val="24"/>
        </w:rPr>
        <w:t xml:space="preserve">, we use market-adjusted abnormal return values for the first day </w:t>
      </w:r>
      <m:oMath>
        <m:r>
          <w:rPr>
            <w:rFonts w:ascii="Cambria Math" w:hAnsi="Cambria Math" w:cs="Times New Roman"/>
            <w:sz w:val="24"/>
            <w:szCs w:val="24"/>
          </w:rPr>
          <m:t>(InitialCAR)</m:t>
        </m:r>
      </m:oMath>
      <w:r w:rsidRPr="00C82EE1">
        <w:rPr>
          <w:rFonts w:ascii="Times New Roman" w:hAnsi="Times New Roman" w:cs="Times New Roman"/>
          <w:sz w:val="24"/>
          <w:szCs w:val="24"/>
        </w:rPr>
        <w:t xml:space="preserve"> and over 180 days </w:t>
      </w:r>
      <m:oMath>
        <m:r>
          <w:rPr>
            <w:rFonts w:ascii="Cambria Math" w:hAnsi="Cambria Math" w:cs="Times New Roman"/>
            <w:sz w:val="24"/>
            <w:szCs w:val="24"/>
          </w:rPr>
          <m:t>(LongTermCAR)</m:t>
        </m:r>
      </m:oMath>
      <w:r w:rsidRPr="00C82EE1">
        <w:rPr>
          <w:rFonts w:ascii="Times New Roman" w:hAnsi="Times New Roman" w:cs="Times New Roman"/>
          <w:sz w:val="24"/>
          <w:szCs w:val="24"/>
        </w:rPr>
        <w:t xml:space="preserve"> after the initial trading day to capture short-</w:t>
      </w:r>
      <w:r w:rsidR="00DC5DA1">
        <w:rPr>
          <w:rFonts w:ascii="Times New Roman" w:hAnsi="Times New Roman" w:cs="Times New Roman"/>
          <w:sz w:val="24"/>
          <w:szCs w:val="24"/>
        </w:rPr>
        <w:t>term</w:t>
      </w:r>
      <w:r w:rsidRPr="00C82EE1">
        <w:rPr>
          <w:rFonts w:ascii="Times New Roman" w:hAnsi="Times New Roman" w:cs="Times New Roman"/>
          <w:sz w:val="24"/>
          <w:szCs w:val="24"/>
        </w:rPr>
        <w:t xml:space="preserve"> and long-term post-ICO performance, respectively</w:t>
      </w:r>
      <w:r w:rsidR="00EC661E" w:rsidRPr="00C82EE1">
        <w:rPr>
          <w:rFonts w:ascii="Times New Roman" w:hAnsi="Times New Roman" w:cs="Times New Roman"/>
          <w:sz w:val="24"/>
          <w:szCs w:val="24"/>
        </w:rPr>
        <w:t>.</w:t>
      </w:r>
      <w:r w:rsidR="00AE2F5C">
        <w:rPr>
          <w:rStyle w:val="Appelnotedebasdep"/>
          <w:rFonts w:ascii="Times New Roman" w:hAnsi="Times New Roman" w:cs="Times New Roman"/>
          <w:sz w:val="24"/>
          <w:szCs w:val="24"/>
        </w:rPr>
        <w:footnoteReference w:customMarkFollows="1" w:id="18"/>
        <w:t>18</w:t>
      </w:r>
      <w:r w:rsidRPr="00C82EE1">
        <w:rPr>
          <w:rFonts w:ascii="Times New Roman" w:hAnsi="Times New Roman" w:cs="Times New Roman"/>
          <w:sz w:val="24"/>
          <w:szCs w:val="24"/>
        </w:rPr>
        <w:t xml:space="preserve"> In Panel A of Table 8, we summarize these returns and find an </w:t>
      </w:r>
      <w:r w:rsidRPr="00C82EE1">
        <w:rPr>
          <w:rFonts w:ascii="Times New Roman" w:hAnsi="Times New Roman" w:cs="Times New Roman"/>
          <w:sz w:val="24"/>
          <w:szCs w:val="24"/>
        </w:rPr>
        <w:lastRenderedPageBreak/>
        <w:t xml:space="preserve">average and a median first-day CAR </w:t>
      </w:r>
      <m:oMath>
        <m:r>
          <w:rPr>
            <w:rFonts w:ascii="Cambria Math" w:hAnsi="Cambria Math" w:cs="Times New Roman"/>
            <w:sz w:val="24"/>
            <w:szCs w:val="24"/>
          </w:rPr>
          <m:t>(InitialCAR)</m:t>
        </m:r>
      </m:oMath>
      <w:r w:rsidRPr="00C82EE1">
        <w:rPr>
          <w:rFonts w:ascii="Times New Roman" w:eastAsiaTheme="minorEastAsia" w:hAnsi="Times New Roman" w:cs="Times New Roman"/>
          <w:sz w:val="24"/>
          <w:szCs w:val="24"/>
        </w:rPr>
        <w:t xml:space="preserve"> of 8.4% and 2.5% respectively. We also find an average and a median 180-day</w:t>
      </w:r>
      <w:r w:rsidR="00467C63">
        <w:rPr>
          <w:rFonts w:ascii="Times New Roman" w:eastAsiaTheme="minorEastAsia" w:hAnsi="Times New Roman" w:cs="Times New Roman"/>
          <w:sz w:val="24"/>
          <w:szCs w:val="24"/>
        </w:rPr>
        <w:t>s</w:t>
      </w:r>
      <w:r w:rsidRPr="00C82EE1">
        <w:rPr>
          <w:rFonts w:ascii="Times New Roman" w:eastAsiaTheme="minorEastAsia" w:hAnsi="Times New Roman" w:cs="Times New Roman"/>
          <w:sz w:val="24"/>
          <w:szCs w:val="24"/>
        </w:rPr>
        <w:t xml:space="preserve"> CAR </w:t>
      </w:r>
      <m:oMath>
        <m:r>
          <w:rPr>
            <w:rFonts w:ascii="Cambria Math" w:hAnsi="Cambria Math" w:cs="Times New Roman"/>
            <w:sz w:val="24"/>
            <w:szCs w:val="24"/>
          </w:rPr>
          <m:t>(LongTermCAR)</m:t>
        </m:r>
      </m:oMath>
      <w:r w:rsidRPr="00C82EE1">
        <w:rPr>
          <w:rFonts w:ascii="Times New Roman" w:eastAsiaTheme="minorEastAsia" w:hAnsi="Times New Roman" w:cs="Times New Roman"/>
          <w:sz w:val="24"/>
          <w:szCs w:val="24"/>
        </w:rPr>
        <w:t xml:space="preserve"> of −34.5% and −44.3%. These measures are consistent with prior literature </w:t>
      </w:r>
      <w:r w:rsidR="00C86487" w:rsidRPr="00C82EE1">
        <w:rPr>
          <w:rFonts w:ascii="Times New Roman" w:hAnsi="Times New Roman" w:cs="Times New Roman"/>
          <w:sz w:val="24"/>
          <w:szCs w:val="24"/>
        </w:rPr>
        <w:t>(Thewissen et al., 2022)</w:t>
      </w:r>
      <w:r w:rsidRPr="00C82EE1">
        <w:rPr>
          <w:rFonts w:ascii="Times New Roman" w:eastAsiaTheme="minorEastAsia" w:hAnsi="Times New Roman" w:cs="Times New Roman"/>
          <w:sz w:val="24"/>
          <w:szCs w:val="24"/>
        </w:rPr>
        <w:t>. Th</w:t>
      </w:r>
      <w:r w:rsidR="009B2767">
        <w:rPr>
          <w:rFonts w:ascii="Times New Roman" w:eastAsiaTheme="minorEastAsia" w:hAnsi="Times New Roman" w:cs="Times New Roman"/>
          <w:sz w:val="24"/>
          <w:szCs w:val="24"/>
        </w:rPr>
        <w:t>e</w:t>
      </w:r>
      <w:r w:rsidRPr="00C82EE1">
        <w:rPr>
          <w:rFonts w:ascii="Times New Roman" w:eastAsiaTheme="minorEastAsia" w:hAnsi="Times New Roman" w:cs="Times New Roman"/>
          <w:sz w:val="24"/>
          <w:szCs w:val="24"/>
        </w:rPr>
        <w:t xml:space="preserve"> statistics indicate that token returns over this relatively long horizon are highly skewed.</w:t>
      </w:r>
    </w:p>
    <w:p w14:paraId="6CA73391" w14:textId="6537F193" w:rsidR="00467C63" w:rsidRPr="00C82EE1" w:rsidRDefault="00481D5B"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To investigate the relationship between LC and post-ICO performance, we estimate the following equation, using both OLS and quantile regressions, which rely on the median to alleviate potential outlier concerns (Lee et al., 2022): </w:t>
      </w:r>
    </w:p>
    <w:p w14:paraId="47FF406B" w14:textId="691FE009" w:rsidR="00481D5B" w:rsidRPr="00770ADA" w:rsidRDefault="00876173" w:rsidP="00DC5DA1">
      <w:pPr>
        <w:widowControl w:val="0"/>
        <w:autoSpaceDE w:val="0"/>
        <w:autoSpaceDN w:val="0"/>
        <w:spacing w:before="240" w:after="0" w:line="360" w:lineRule="auto"/>
        <w:ind w:left="720" w:firstLine="697"/>
        <w:jc w:val="center"/>
        <w:rPr>
          <w:rFonts w:ascii="Times New Roman" w:eastAsiaTheme="minorEastAsia"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PostICOPerformance</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LC+Controls+ε,</m:t>
        </m:r>
      </m:oMath>
      <w:r w:rsidR="00467C63">
        <w:rPr>
          <w:rFonts w:ascii="Times New Roman" w:eastAsiaTheme="minorEastAsia" w:hAnsi="Times New Roman" w:cs="Times New Roman"/>
          <w:sz w:val="24"/>
          <w:szCs w:val="24"/>
        </w:rPr>
        <w:tab/>
      </w:r>
      <w:r w:rsidR="00467C63">
        <w:rPr>
          <w:rFonts w:ascii="Times New Roman" w:eastAsiaTheme="minorEastAsia" w:hAnsi="Times New Roman" w:cs="Times New Roman"/>
          <w:sz w:val="24"/>
          <w:szCs w:val="24"/>
        </w:rPr>
        <w:tab/>
      </w:r>
      <w:r w:rsidR="00467C63">
        <w:rPr>
          <w:rFonts w:ascii="Times New Roman" w:eastAsiaTheme="minorEastAsia" w:hAnsi="Times New Roman" w:cs="Times New Roman"/>
          <w:sz w:val="24"/>
          <w:szCs w:val="24"/>
        </w:rPr>
        <w:tab/>
      </w:r>
    </w:p>
    <w:p w14:paraId="26573046" w14:textId="7F4815B3" w:rsidR="00481D5B" w:rsidRPr="00770ADA" w:rsidRDefault="00876173" w:rsidP="00DC5DA1">
      <w:pPr>
        <w:widowControl w:val="0"/>
        <w:autoSpaceDE w:val="0"/>
        <w:autoSpaceDN w:val="0"/>
        <w:spacing w:after="240" w:line="360" w:lineRule="auto"/>
        <w:ind w:left="1418"/>
        <w:jc w:val="center"/>
        <w:rPr>
          <w:rFonts w:ascii="Times New Roman" w:eastAsiaTheme="minorEastAsia"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PostICOPerformance</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InitialCAR</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LongTermCAR</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m:t>
            </m:r>
          </m:e>
        </m:d>
        <m:r>
          <w:rPr>
            <w:rFonts w:ascii="Cambria Math" w:eastAsiaTheme="minorEastAsia" w:hAnsi="Cambria Math" w:cs="Times New Roman"/>
            <w:sz w:val="24"/>
            <w:szCs w:val="24"/>
          </w:rPr>
          <m:t xml:space="preserve"> </m:t>
        </m:r>
      </m:oMath>
      <w:r w:rsidR="00481D5B" w:rsidRPr="00770ADA">
        <w:rPr>
          <w:rFonts w:ascii="Times New Roman" w:eastAsiaTheme="minorEastAsia" w:hAnsi="Times New Roman" w:cs="Times New Roman"/>
          <w:sz w:val="24"/>
          <w:szCs w:val="24"/>
        </w:rPr>
        <w:t xml:space="preserve">     </w:t>
      </w:r>
      <w:r w:rsidR="00481D5B" w:rsidRPr="00770ADA">
        <w:rPr>
          <w:rFonts w:ascii="Times New Roman" w:eastAsiaTheme="minorEastAsia" w:hAnsi="Times New Roman" w:cs="Times New Roman"/>
          <w:sz w:val="24"/>
          <w:szCs w:val="24"/>
        </w:rPr>
        <w:tab/>
        <w:t xml:space="preserve"> </w:t>
      </w:r>
      <w:r w:rsidR="00481D5B" w:rsidRPr="00770ADA">
        <w:rPr>
          <w:rFonts w:ascii="Times New Roman" w:eastAsiaTheme="minorEastAsia" w:hAnsi="Times New Roman" w:cs="Times New Roman"/>
          <w:sz w:val="24"/>
          <w:szCs w:val="24"/>
        </w:rPr>
        <w:tab/>
        <w:t>(</w:t>
      </w:r>
      <w:r w:rsidR="007B1EDA">
        <w:rPr>
          <w:rFonts w:ascii="Times New Roman" w:eastAsiaTheme="minorEastAsia" w:hAnsi="Times New Roman" w:cs="Times New Roman"/>
          <w:sz w:val="24"/>
          <w:szCs w:val="24"/>
        </w:rPr>
        <w:t>9</w:t>
      </w:r>
      <w:r w:rsidR="00481D5B" w:rsidRPr="00770ADA">
        <w:rPr>
          <w:rFonts w:ascii="Times New Roman" w:eastAsiaTheme="minorEastAsia" w:hAnsi="Times New Roman" w:cs="Times New Roman"/>
          <w:sz w:val="24"/>
          <w:szCs w:val="24"/>
        </w:rPr>
        <w:t>)</w:t>
      </w:r>
    </w:p>
    <w:p w14:paraId="14972DEB" w14:textId="34808CEE" w:rsidR="00C86487" w:rsidRPr="00C82EE1" w:rsidRDefault="00467C63" w:rsidP="007F3752">
      <w:pPr>
        <w:spacing w:after="120" w:line="36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Panel B of </w:t>
      </w:r>
      <w:r w:rsidR="00481D5B" w:rsidRPr="00C82EE1">
        <w:rPr>
          <w:rFonts w:ascii="Times New Roman" w:hAnsi="Times New Roman" w:cs="Times New Roman"/>
          <w:sz w:val="24"/>
          <w:szCs w:val="24"/>
        </w:rPr>
        <w:t xml:space="preserve">Table 8 includes the results of the impact of LC in white papers on post-ICO performance. Model (1) and (2) report the results of </w:t>
      </w:r>
      <m:oMath>
        <m:r>
          <w:rPr>
            <w:rFonts w:ascii="Cambria Math" w:hAnsi="Cambria Math" w:cs="Times New Roman"/>
            <w:sz w:val="24"/>
            <w:szCs w:val="24"/>
          </w:rPr>
          <m:t>InitialCAR</m:t>
        </m:r>
      </m:oMath>
      <w:r w:rsidR="00481D5B" w:rsidRPr="00C82EE1">
        <w:rPr>
          <w:rFonts w:ascii="Times New Roman" w:eastAsiaTheme="minorEastAsia" w:hAnsi="Times New Roman" w:cs="Times New Roman"/>
          <w:sz w:val="24"/>
          <w:szCs w:val="24"/>
        </w:rPr>
        <w:t xml:space="preserve"> for the OLS and quantile regressions, respectively. Model (3) and (4) show the results for the </w:t>
      </w:r>
      <m:oMath>
        <m:r>
          <w:rPr>
            <w:rFonts w:ascii="Cambria Math" w:hAnsi="Cambria Math" w:cs="Times New Roman"/>
            <w:sz w:val="24"/>
            <w:szCs w:val="24"/>
          </w:rPr>
          <m:t>LongTermCAR</m:t>
        </m:r>
      </m:oMath>
      <w:r w:rsidR="00481D5B" w:rsidRPr="00C82EE1">
        <w:rPr>
          <w:rFonts w:ascii="Times New Roman" w:eastAsiaTheme="minorEastAsia" w:hAnsi="Times New Roman" w:cs="Times New Roman"/>
          <w:sz w:val="24"/>
          <w:szCs w:val="24"/>
        </w:rPr>
        <w:t xml:space="preserve"> for both the OLS and quantile regressions, respectively. </w:t>
      </w:r>
      <w:r w:rsidR="00481D5B" w:rsidRPr="00C82EE1">
        <w:rPr>
          <w:rFonts w:ascii="Times New Roman" w:hAnsi="Times New Roman" w:cs="Times New Roman"/>
          <w:sz w:val="24"/>
          <w:szCs w:val="24"/>
        </w:rPr>
        <w:t>Consistent across both models, the coefficient of LC is significantly positive, suggesting that higher LC in white papers is positively associated with post-ICO performance. Th</w:t>
      </w:r>
      <w:r>
        <w:rPr>
          <w:rFonts w:ascii="Times New Roman" w:hAnsi="Times New Roman" w:cs="Times New Roman"/>
          <w:sz w:val="24"/>
          <w:szCs w:val="24"/>
        </w:rPr>
        <w:t>ese</w:t>
      </w:r>
      <w:r w:rsidR="00481D5B" w:rsidRPr="00C82EE1">
        <w:rPr>
          <w:rFonts w:ascii="Times New Roman" w:hAnsi="Times New Roman" w:cs="Times New Roman"/>
          <w:sz w:val="24"/>
          <w:szCs w:val="24"/>
        </w:rPr>
        <w:t xml:space="preserve"> finding</w:t>
      </w:r>
      <w:r>
        <w:rPr>
          <w:rFonts w:ascii="Times New Roman" w:hAnsi="Times New Roman" w:cs="Times New Roman"/>
          <w:sz w:val="24"/>
          <w:szCs w:val="24"/>
        </w:rPr>
        <w:t>s</w:t>
      </w:r>
      <w:r w:rsidR="00481D5B" w:rsidRPr="00C82EE1">
        <w:rPr>
          <w:rFonts w:ascii="Times New Roman" w:hAnsi="Times New Roman" w:cs="Times New Roman"/>
          <w:sz w:val="24"/>
          <w:szCs w:val="24"/>
        </w:rPr>
        <w:t xml:space="preserve"> indicate that LC positively influences investor behavior both during the ICO issuance and in the post-ICO period.</w:t>
      </w:r>
    </w:p>
    <w:p w14:paraId="6DECE4D0" w14:textId="77777777" w:rsidR="00481D5B" w:rsidRPr="00C82EE1" w:rsidRDefault="00481D5B" w:rsidP="00E223E9">
      <w:pPr>
        <w:pStyle w:val="Titre2"/>
      </w:pPr>
      <w:r w:rsidRPr="00C82EE1">
        <w:t>LC and ICO survival</w:t>
      </w:r>
    </w:p>
    <w:p w14:paraId="3412E158" w14:textId="6CB0D6C3" w:rsidR="00481D5B" w:rsidRPr="00C82EE1" w:rsidRDefault="00481D5B" w:rsidP="007F3752">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We next investigate whether LC serves as a useful tool for ICOs to survive in the long run. We define three different ICO survival metrics for ICOs: delisting, token return realized volatility and ICO fraud. We indicate whether an ICO is delisted on cryptocurrency market exchanges based on </w:t>
      </w:r>
      <w:proofErr w:type="spellStart"/>
      <w:r w:rsidRPr="00C82EE1">
        <w:rPr>
          <w:rFonts w:ascii="Times New Roman" w:hAnsi="Times New Roman" w:cs="Times New Roman"/>
          <w:sz w:val="24"/>
          <w:szCs w:val="24"/>
        </w:rPr>
        <w:t>CoinMarketCap</w:t>
      </w:r>
      <w:proofErr w:type="spellEnd"/>
      <w:r w:rsidRPr="00C82EE1">
        <w:rPr>
          <w:rFonts w:ascii="Times New Roman" w:hAnsi="Times New Roman" w:cs="Times New Roman"/>
          <w:sz w:val="24"/>
          <w:szCs w:val="24"/>
        </w:rPr>
        <w:t xml:space="preserve">, indicating one if yes, zero otherwise </w:t>
      </w:r>
      <m:oMath>
        <m:r>
          <w:rPr>
            <w:rFonts w:ascii="Cambria Math" w:hAnsi="Cambria Math" w:cs="Times New Roman"/>
            <w:sz w:val="24"/>
            <w:szCs w:val="24"/>
          </w:rPr>
          <m:t>(Delisted)</m:t>
        </m:r>
      </m:oMath>
      <w:r w:rsidRPr="00C82EE1">
        <w:rPr>
          <w:rFonts w:ascii="Times New Roman" w:hAnsi="Times New Roman" w:cs="Times New Roman"/>
          <w:sz w:val="24"/>
          <w:szCs w:val="24"/>
        </w:rPr>
        <w:t xml:space="preserve"> (see also </w:t>
      </w:r>
      <w:proofErr w:type="spellStart"/>
      <w:r w:rsidR="00C86487" w:rsidRPr="00C82EE1">
        <w:rPr>
          <w:rFonts w:ascii="Times New Roman" w:hAnsi="Times New Roman" w:cs="Times New Roman"/>
          <w:sz w:val="24"/>
          <w:szCs w:val="24"/>
        </w:rPr>
        <w:t>Momtaz</w:t>
      </w:r>
      <w:proofErr w:type="spellEnd"/>
      <w:r w:rsidR="00C86487" w:rsidRPr="00C82EE1">
        <w:rPr>
          <w:rFonts w:ascii="Times New Roman" w:hAnsi="Times New Roman" w:cs="Times New Roman"/>
          <w:sz w:val="24"/>
          <w:szCs w:val="24"/>
        </w:rPr>
        <w:t>, 2020)</w:t>
      </w:r>
      <w:r w:rsidRPr="00C82EE1">
        <w:rPr>
          <w:rFonts w:ascii="Times New Roman" w:hAnsi="Times New Roman" w:cs="Times New Roman"/>
          <w:sz w:val="24"/>
          <w:szCs w:val="24"/>
        </w:rPr>
        <w:t>.</w:t>
      </w:r>
      <w:r w:rsidR="00AE2F5C">
        <w:rPr>
          <w:rStyle w:val="Appelnotedebasdep"/>
          <w:rFonts w:ascii="Times New Roman" w:hAnsi="Times New Roman" w:cs="Times New Roman"/>
          <w:sz w:val="24"/>
          <w:szCs w:val="24"/>
        </w:rPr>
        <w:footnoteReference w:customMarkFollows="1" w:id="19"/>
        <w:t>19</w:t>
      </w:r>
      <w:r w:rsidRPr="00C82EE1">
        <w:rPr>
          <w:rFonts w:ascii="Times New Roman" w:hAnsi="Times New Roman" w:cs="Times New Roman"/>
          <w:sz w:val="24"/>
          <w:szCs w:val="24"/>
        </w:rPr>
        <w:t xml:space="preserve"> We then estimate realized volatility by computing standard deviation of the 30-daily log returns </w:t>
      </w:r>
      <m:oMath>
        <m:r>
          <w:rPr>
            <w:rFonts w:ascii="Cambria Math" w:hAnsi="Cambria Math" w:cs="Times New Roman"/>
            <w:sz w:val="24"/>
            <w:szCs w:val="24"/>
          </w:rPr>
          <m:t>(Volatility)</m:t>
        </m:r>
      </m:oMath>
      <w:r w:rsidR="00AE2F5C">
        <w:rPr>
          <w:rStyle w:val="Appelnotedebasdep"/>
          <w:rFonts w:ascii="Times New Roman" w:eastAsiaTheme="minorEastAsia" w:hAnsi="Times New Roman" w:cs="Times New Roman"/>
          <w:sz w:val="24"/>
          <w:szCs w:val="24"/>
        </w:rPr>
        <w:footnoteReference w:customMarkFollows="1" w:id="20"/>
        <w:t>20</w:t>
      </w:r>
      <w:r w:rsidR="000F08D6">
        <w:rPr>
          <w:rFonts w:ascii="Times New Roman" w:eastAsiaTheme="minorEastAsia" w:hAnsi="Times New Roman" w:cs="Times New Roman"/>
          <w:sz w:val="24"/>
          <w:szCs w:val="24"/>
        </w:rPr>
        <w:t xml:space="preserve"> </w:t>
      </w:r>
      <w:r w:rsidR="00C86487" w:rsidRPr="00C82EE1">
        <w:rPr>
          <w:rFonts w:ascii="Times New Roman" w:hAnsi="Times New Roman" w:cs="Times New Roman"/>
          <w:sz w:val="24"/>
          <w:szCs w:val="24"/>
        </w:rPr>
        <w:t xml:space="preserve">(Howell et al., 2020; </w:t>
      </w:r>
      <w:proofErr w:type="spellStart"/>
      <w:r w:rsidR="00C86487" w:rsidRPr="00C82EE1">
        <w:rPr>
          <w:rFonts w:ascii="Times New Roman" w:hAnsi="Times New Roman" w:cs="Times New Roman"/>
          <w:sz w:val="24"/>
          <w:szCs w:val="24"/>
        </w:rPr>
        <w:t>Lyandres</w:t>
      </w:r>
      <w:proofErr w:type="spellEnd"/>
      <w:r w:rsidR="00C86487" w:rsidRPr="00C82EE1">
        <w:rPr>
          <w:rFonts w:ascii="Times New Roman" w:hAnsi="Times New Roman" w:cs="Times New Roman"/>
          <w:sz w:val="24"/>
          <w:szCs w:val="24"/>
        </w:rPr>
        <w:t xml:space="preserve"> et al., 2022)</w:t>
      </w:r>
      <w:r w:rsidRPr="00C82EE1">
        <w:rPr>
          <w:rFonts w:ascii="Times New Roman" w:hAnsi="Times New Roman" w:cs="Times New Roman"/>
          <w:sz w:val="24"/>
          <w:szCs w:val="24"/>
        </w:rPr>
        <w:t xml:space="preserve">. Furthermore, we estimate ICO fraud by determining whether an ICO is </w:t>
      </w:r>
      <w:r w:rsidR="007E6C7A" w:rsidRPr="00C82EE1">
        <w:rPr>
          <w:rFonts w:ascii="Times New Roman" w:hAnsi="Times New Roman" w:cs="Times New Roman"/>
          <w:sz w:val="24"/>
          <w:szCs w:val="24"/>
        </w:rPr>
        <w:t xml:space="preserve">a scam </w:t>
      </w:r>
      <w:r w:rsidRPr="00C82EE1">
        <w:rPr>
          <w:rFonts w:ascii="Times New Roman" w:hAnsi="Times New Roman" w:cs="Times New Roman"/>
          <w:sz w:val="24"/>
          <w:szCs w:val="24"/>
        </w:rPr>
        <w:t xml:space="preserve">or not. By relying on </w:t>
      </w:r>
      <w:r w:rsidR="00C86487" w:rsidRPr="00C82EE1">
        <w:rPr>
          <w:rFonts w:ascii="Times New Roman" w:hAnsi="Times New Roman" w:cs="Times New Roman"/>
          <w:sz w:val="24"/>
          <w:szCs w:val="24"/>
        </w:rPr>
        <w:t>Cumming et al. (2023)</w:t>
      </w:r>
      <w:r w:rsidRPr="00C82EE1">
        <w:rPr>
          <w:rFonts w:ascii="Times New Roman" w:hAnsi="Times New Roman" w:cs="Times New Roman"/>
          <w:sz w:val="24"/>
          <w:szCs w:val="24"/>
        </w:rPr>
        <w:t xml:space="preserve"> and </w:t>
      </w:r>
      <w:proofErr w:type="spellStart"/>
      <w:r w:rsidR="00C86487" w:rsidRPr="00C82EE1">
        <w:rPr>
          <w:rFonts w:ascii="Times New Roman" w:hAnsi="Times New Roman" w:cs="Times New Roman"/>
          <w:sz w:val="24"/>
          <w:szCs w:val="24"/>
        </w:rPr>
        <w:t>Hornuf</w:t>
      </w:r>
      <w:proofErr w:type="spellEnd"/>
      <w:r w:rsidR="00C86487" w:rsidRPr="00C82EE1">
        <w:rPr>
          <w:rFonts w:ascii="Times New Roman" w:hAnsi="Times New Roman" w:cs="Times New Roman"/>
          <w:sz w:val="24"/>
          <w:szCs w:val="24"/>
        </w:rPr>
        <w:t xml:space="preserve"> et al. (2022)</w:t>
      </w:r>
      <w:r w:rsidRPr="00C82EE1">
        <w:rPr>
          <w:rFonts w:ascii="Times New Roman" w:hAnsi="Times New Roman" w:cs="Times New Roman"/>
          <w:sz w:val="24"/>
          <w:szCs w:val="24"/>
        </w:rPr>
        <w:t xml:space="preserve"> we conduct extensive searches on Google using the following terms: (1) </w:t>
      </w:r>
      <w:r w:rsidR="00467C63" w:rsidRPr="00C82EE1">
        <w:rPr>
          <w:rFonts w:ascii="Times New Roman" w:hAnsi="Times New Roman" w:cs="Times New Roman"/>
          <w:sz w:val="24"/>
          <w:szCs w:val="24"/>
        </w:rPr>
        <w:t>"</w:t>
      </w:r>
      <w:r w:rsidRPr="00467C63">
        <w:rPr>
          <w:rFonts w:ascii="Times New Roman" w:hAnsi="Times New Roman" w:cs="Times New Roman"/>
          <w:i/>
          <w:sz w:val="24"/>
          <w:szCs w:val="24"/>
        </w:rPr>
        <w:t>ICO name</w:t>
      </w:r>
      <w:r w:rsidR="00467C63" w:rsidRPr="00C82EE1">
        <w:rPr>
          <w:rFonts w:ascii="Times New Roman" w:hAnsi="Times New Roman" w:cs="Times New Roman"/>
          <w:sz w:val="24"/>
          <w:szCs w:val="24"/>
        </w:rPr>
        <w:t>"</w:t>
      </w:r>
      <w:r w:rsidRPr="00C82EE1">
        <w:rPr>
          <w:rFonts w:ascii="Times New Roman" w:hAnsi="Times New Roman" w:cs="Times New Roman"/>
          <w:sz w:val="24"/>
          <w:szCs w:val="24"/>
        </w:rPr>
        <w:t xml:space="preserve">, (2) </w:t>
      </w:r>
      <w:r w:rsidR="00AD4704" w:rsidRPr="00C82EE1">
        <w:rPr>
          <w:rFonts w:ascii="Times New Roman" w:hAnsi="Times New Roman" w:cs="Times New Roman"/>
          <w:sz w:val="24"/>
          <w:szCs w:val="24"/>
        </w:rPr>
        <w:t>"</w:t>
      </w:r>
      <w:r w:rsidRPr="00467C63">
        <w:rPr>
          <w:rFonts w:ascii="Times New Roman" w:hAnsi="Times New Roman" w:cs="Times New Roman"/>
          <w:i/>
          <w:sz w:val="24"/>
          <w:szCs w:val="24"/>
        </w:rPr>
        <w:t>ICO</w:t>
      </w:r>
      <w:r w:rsidR="00AD4704" w:rsidRPr="00C82EE1">
        <w:rPr>
          <w:rFonts w:ascii="Times New Roman" w:hAnsi="Times New Roman" w:cs="Times New Roman"/>
          <w:sz w:val="24"/>
          <w:szCs w:val="24"/>
        </w:rPr>
        <w:t>"</w:t>
      </w:r>
      <w:r w:rsidR="00AD4704">
        <w:rPr>
          <w:rFonts w:ascii="Times New Roman" w:hAnsi="Times New Roman" w:cs="Times New Roman"/>
          <w:sz w:val="24"/>
          <w:szCs w:val="24"/>
        </w:rPr>
        <w:t xml:space="preserve"> </w:t>
      </w:r>
      <w:r w:rsidRPr="00C82EE1">
        <w:rPr>
          <w:rFonts w:ascii="Times New Roman" w:hAnsi="Times New Roman" w:cs="Times New Roman"/>
          <w:sz w:val="24"/>
          <w:szCs w:val="24"/>
        </w:rPr>
        <w:t xml:space="preserve">and (3) the following fraud-related </w:t>
      </w:r>
      <w:proofErr w:type="gramStart"/>
      <w:r w:rsidRPr="00C82EE1">
        <w:rPr>
          <w:rFonts w:ascii="Times New Roman" w:hAnsi="Times New Roman" w:cs="Times New Roman"/>
          <w:sz w:val="24"/>
          <w:szCs w:val="24"/>
        </w:rPr>
        <w:t>terms :</w:t>
      </w:r>
      <w:proofErr w:type="gramEnd"/>
      <w:r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t>"</w:t>
      </w:r>
      <w:r w:rsidRPr="00467C63">
        <w:rPr>
          <w:rFonts w:ascii="Times New Roman" w:hAnsi="Times New Roman" w:cs="Times New Roman"/>
          <w:i/>
          <w:sz w:val="24"/>
          <w:szCs w:val="24"/>
        </w:rPr>
        <w:t>fraud</w:t>
      </w:r>
      <w:r w:rsidR="00AD4704" w:rsidRPr="00C82EE1">
        <w:rPr>
          <w:rFonts w:ascii="Times New Roman" w:hAnsi="Times New Roman" w:cs="Times New Roman"/>
          <w:sz w:val="24"/>
          <w:szCs w:val="24"/>
        </w:rPr>
        <w:t xml:space="preserve">" </w:t>
      </w:r>
      <w:r w:rsidR="00AD4704" w:rsidRPr="00C82EE1">
        <w:rPr>
          <w:rFonts w:ascii="Times New Roman" w:hAnsi="Times New Roman" w:cs="Times New Roman"/>
          <w:sz w:val="24"/>
          <w:szCs w:val="24"/>
        </w:rPr>
        <w:lastRenderedPageBreak/>
        <w:t>"</w:t>
      </w:r>
      <w:r w:rsidRPr="00467C63">
        <w:rPr>
          <w:rFonts w:ascii="Times New Roman" w:hAnsi="Times New Roman" w:cs="Times New Roman"/>
          <w:i/>
          <w:sz w:val="24"/>
          <w:szCs w:val="24"/>
        </w:rPr>
        <w:t>scam</w:t>
      </w:r>
      <w:r w:rsidR="00AD4704" w:rsidRPr="00C82EE1">
        <w:rPr>
          <w:rFonts w:ascii="Times New Roman" w:hAnsi="Times New Roman" w:cs="Times New Roman"/>
          <w:sz w:val="24"/>
          <w:szCs w:val="24"/>
        </w:rPr>
        <w:t>"</w:t>
      </w:r>
      <w:r w:rsidR="00AD4704">
        <w:rPr>
          <w:rFonts w:ascii="Times New Roman" w:hAnsi="Times New Roman" w:cs="Times New Roman"/>
          <w:sz w:val="24"/>
          <w:szCs w:val="24"/>
        </w:rPr>
        <w:t>,</w:t>
      </w:r>
      <w:r w:rsidR="00AD4704" w:rsidRPr="00C82EE1">
        <w:rPr>
          <w:rFonts w:ascii="Times New Roman" w:hAnsi="Times New Roman" w:cs="Times New Roman"/>
          <w:sz w:val="24"/>
          <w:szCs w:val="24"/>
        </w:rPr>
        <w:t xml:space="preserve"> "</w:t>
      </w:r>
      <w:r w:rsidRPr="00467C63">
        <w:rPr>
          <w:rFonts w:ascii="Times New Roman" w:hAnsi="Times New Roman" w:cs="Times New Roman"/>
          <w:i/>
          <w:sz w:val="24"/>
          <w:szCs w:val="24"/>
        </w:rPr>
        <w:t>phishing</w:t>
      </w:r>
      <w:r w:rsidR="00AD4704" w:rsidRPr="00C82EE1">
        <w:rPr>
          <w:rFonts w:ascii="Times New Roman" w:hAnsi="Times New Roman" w:cs="Times New Roman"/>
          <w:sz w:val="24"/>
          <w:szCs w:val="24"/>
        </w:rPr>
        <w:t>"</w:t>
      </w:r>
      <w:r w:rsidR="00AD4704">
        <w:rPr>
          <w:rFonts w:ascii="Times New Roman" w:hAnsi="Times New Roman" w:cs="Times New Roman"/>
          <w:sz w:val="24"/>
          <w:szCs w:val="24"/>
        </w:rPr>
        <w:t>,</w:t>
      </w:r>
      <w:r w:rsidR="00AD4704" w:rsidRPr="00C82EE1">
        <w:rPr>
          <w:rFonts w:ascii="Times New Roman" w:hAnsi="Times New Roman" w:cs="Times New Roman"/>
          <w:sz w:val="24"/>
          <w:szCs w:val="24"/>
        </w:rPr>
        <w:t xml:space="preserve"> "</w:t>
      </w:r>
      <w:r w:rsidRPr="00467C63">
        <w:rPr>
          <w:rFonts w:ascii="Times New Roman" w:hAnsi="Times New Roman" w:cs="Times New Roman"/>
          <w:i/>
          <w:sz w:val="24"/>
          <w:szCs w:val="24"/>
        </w:rPr>
        <w:t>pump and dump</w:t>
      </w:r>
      <w:r w:rsidR="00AD4704" w:rsidRPr="00C82EE1">
        <w:rPr>
          <w:rFonts w:ascii="Times New Roman" w:hAnsi="Times New Roman" w:cs="Times New Roman"/>
          <w:sz w:val="24"/>
          <w:szCs w:val="24"/>
        </w:rPr>
        <w:t>"</w:t>
      </w:r>
      <w:r w:rsidR="00AD4704">
        <w:rPr>
          <w:rFonts w:ascii="Times New Roman" w:hAnsi="Times New Roman" w:cs="Times New Roman"/>
          <w:sz w:val="24"/>
          <w:szCs w:val="24"/>
        </w:rPr>
        <w:t xml:space="preserve"> </w:t>
      </w:r>
      <w:r w:rsidRPr="00C82EE1">
        <w:rPr>
          <w:rFonts w:ascii="Times New Roman" w:hAnsi="Times New Roman" w:cs="Times New Roman"/>
          <w:sz w:val="24"/>
          <w:szCs w:val="24"/>
        </w:rPr>
        <w:t xml:space="preserve">and </w:t>
      </w:r>
      <w:r w:rsidR="00AD4704" w:rsidRPr="00C82EE1">
        <w:rPr>
          <w:rFonts w:ascii="Times New Roman" w:hAnsi="Times New Roman" w:cs="Times New Roman"/>
          <w:sz w:val="24"/>
          <w:szCs w:val="24"/>
        </w:rPr>
        <w:t>"</w:t>
      </w:r>
      <w:proofErr w:type="spellStart"/>
      <w:r w:rsidRPr="00467C63">
        <w:rPr>
          <w:rFonts w:ascii="Times New Roman" w:hAnsi="Times New Roman" w:cs="Times New Roman"/>
          <w:i/>
          <w:sz w:val="24"/>
          <w:szCs w:val="24"/>
        </w:rPr>
        <w:t>ponzi</w:t>
      </w:r>
      <w:proofErr w:type="spellEnd"/>
      <w:r w:rsidR="00AD4704" w:rsidRPr="00C82EE1">
        <w:rPr>
          <w:rFonts w:ascii="Times New Roman" w:hAnsi="Times New Roman" w:cs="Times New Roman"/>
          <w:sz w:val="24"/>
          <w:szCs w:val="24"/>
        </w:rPr>
        <w:t>"</w:t>
      </w:r>
      <w:r w:rsidR="00AD4704">
        <w:rPr>
          <w:rFonts w:ascii="Times New Roman" w:hAnsi="Times New Roman" w:cs="Times New Roman"/>
          <w:sz w:val="24"/>
          <w:szCs w:val="24"/>
        </w:rPr>
        <w:t xml:space="preserve">. </w:t>
      </w:r>
      <w:r w:rsidRPr="00C82EE1">
        <w:rPr>
          <w:rFonts w:ascii="Times New Roman" w:hAnsi="Times New Roman" w:cs="Times New Roman"/>
          <w:sz w:val="24"/>
          <w:szCs w:val="24"/>
        </w:rPr>
        <w:t xml:space="preserve">We </w:t>
      </w:r>
      <w:r w:rsidR="007E6C7A" w:rsidRPr="00C82EE1">
        <w:rPr>
          <w:rFonts w:ascii="Times New Roman" w:hAnsi="Times New Roman" w:cs="Times New Roman"/>
          <w:sz w:val="24"/>
          <w:szCs w:val="24"/>
        </w:rPr>
        <w:t xml:space="preserve">then </w:t>
      </w:r>
      <w:r w:rsidRPr="00C82EE1">
        <w:rPr>
          <w:rFonts w:ascii="Times New Roman" w:hAnsi="Times New Roman" w:cs="Times New Roman"/>
          <w:sz w:val="24"/>
          <w:szCs w:val="24"/>
        </w:rPr>
        <w:t xml:space="preserve">construct a binary variable </w:t>
      </w:r>
      <m:oMath>
        <m:r>
          <w:rPr>
            <w:rFonts w:ascii="Cambria Math" w:hAnsi="Cambria Math" w:cs="Times New Roman"/>
            <w:sz w:val="24"/>
            <w:szCs w:val="24"/>
          </w:rPr>
          <m:t>(Scam)</m:t>
        </m:r>
      </m:oMath>
      <w:r w:rsidRPr="00C82EE1">
        <w:rPr>
          <w:rFonts w:ascii="Times New Roman" w:eastAsiaTheme="minorEastAsia" w:hAnsi="Times New Roman" w:cs="Times New Roman"/>
          <w:sz w:val="24"/>
          <w:szCs w:val="24"/>
        </w:rPr>
        <w:t>, indicating one if the ICO is scammed, zero otherwise.</w:t>
      </w:r>
      <w:r w:rsidRPr="00C82EE1">
        <w:rPr>
          <w:rFonts w:ascii="Times New Roman" w:hAnsi="Times New Roman" w:cs="Times New Roman"/>
          <w:sz w:val="24"/>
          <w:szCs w:val="24"/>
        </w:rPr>
        <w:t xml:space="preserve"> In Panel A of Table 8, we observe summary statistics of the ICO survival indicators. We </w:t>
      </w:r>
      <w:r w:rsidR="007E6C7A" w:rsidRPr="00C82EE1">
        <w:rPr>
          <w:rFonts w:ascii="Times New Roman" w:hAnsi="Times New Roman" w:cs="Times New Roman"/>
          <w:sz w:val="24"/>
          <w:szCs w:val="24"/>
        </w:rPr>
        <w:t xml:space="preserve">find </w:t>
      </w:r>
      <w:r w:rsidRPr="00C82EE1">
        <w:rPr>
          <w:rFonts w:ascii="Times New Roman" w:hAnsi="Times New Roman" w:cs="Times New Roman"/>
          <w:sz w:val="24"/>
          <w:szCs w:val="24"/>
        </w:rPr>
        <w:t xml:space="preserve">that 35.6% of our ICOs are delisted </w:t>
      </w:r>
      <w:r w:rsidR="007E6C7A" w:rsidRPr="00C82EE1">
        <w:rPr>
          <w:rFonts w:ascii="Times New Roman" w:hAnsi="Times New Roman" w:cs="Times New Roman"/>
          <w:sz w:val="24"/>
          <w:szCs w:val="24"/>
        </w:rPr>
        <w:t>from</w:t>
      </w:r>
      <w:r w:rsidRPr="00C82EE1">
        <w:rPr>
          <w:rFonts w:ascii="Times New Roman" w:hAnsi="Times New Roman" w:cs="Times New Roman"/>
          <w:sz w:val="24"/>
          <w:szCs w:val="24"/>
        </w:rPr>
        <w:t xml:space="preserve"> </w:t>
      </w:r>
      <w:proofErr w:type="spellStart"/>
      <w:r w:rsidRPr="00C82EE1">
        <w:rPr>
          <w:rFonts w:ascii="Times New Roman" w:hAnsi="Times New Roman" w:cs="Times New Roman"/>
          <w:sz w:val="24"/>
          <w:szCs w:val="24"/>
        </w:rPr>
        <w:t>CoinMarketCap</w:t>
      </w:r>
      <w:proofErr w:type="spellEnd"/>
      <m:oMath>
        <m:r>
          <w:rPr>
            <w:rFonts w:ascii="Cambria Math" w:hAnsi="Cambria Math" w:cs="Times New Roman"/>
            <w:sz w:val="24"/>
            <w:szCs w:val="24"/>
          </w:rPr>
          <m:t xml:space="preserve">, </m:t>
        </m:r>
      </m:oMath>
      <w:r w:rsidRPr="00C82EE1">
        <w:rPr>
          <w:rFonts w:ascii="Times New Roman" w:eastAsiaTheme="minorEastAsia" w:hAnsi="Times New Roman" w:cs="Times New Roman"/>
          <w:sz w:val="24"/>
          <w:szCs w:val="24"/>
        </w:rPr>
        <w:t>that the average standard deviation of the 30-daily l</w:t>
      </w:r>
      <w:proofErr w:type="spellStart"/>
      <w:r w:rsidRPr="00C82EE1">
        <w:rPr>
          <w:rFonts w:ascii="Times New Roman" w:eastAsiaTheme="minorEastAsia" w:hAnsi="Times New Roman" w:cs="Times New Roman"/>
          <w:sz w:val="24"/>
          <w:szCs w:val="24"/>
        </w:rPr>
        <w:t>og</w:t>
      </w:r>
      <w:proofErr w:type="spellEnd"/>
      <w:r w:rsidRPr="00C82EE1">
        <w:rPr>
          <w:rFonts w:ascii="Times New Roman" w:eastAsiaTheme="minorEastAsia" w:hAnsi="Times New Roman" w:cs="Times New Roman"/>
          <w:sz w:val="24"/>
          <w:szCs w:val="24"/>
        </w:rPr>
        <w:t xml:space="preserve"> return is 0.833</w:t>
      </w:r>
      <w:r w:rsidR="007E6C7A" w:rsidRPr="00C82EE1">
        <w:rPr>
          <w:rFonts w:ascii="Times New Roman" w:eastAsiaTheme="minorEastAsia" w:hAnsi="Times New Roman" w:cs="Times New Roman"/>
          <w:sz w:val="24"/>
          <w:szCs w:val="24"/>
        </w:rPr>
        <w:t xml:space="preserve"> </w:t>
      </w:r>
      <w:r w:rsidRPr="00C82EE1">
        <w:rPr>
          <w:rFonts w:ascii="Times New Roman" w:eastAsiaTheme="minorEastAsia" w:hAnsi="Times New Roman" w:cs="Times New Roman"/>
          <w:sz w:val="24"/>
          <w:szCs w:val="24"/>
        </w:rPr>
        <w:t xml:space="preserve">and that 33.4% of ICOs in our sample are </w:t>
      </w:r>
      <w:r w:rsidR="00467C63">
        <w:rPr>
          <w:rFonts w:ascii="Times New Roman" w:eastAsiaTheme="minorEastAsia" w:hAnsi="Times New Roman" w:cs="Times New Roman"/>
          <w:sz w:val="24"/>
          <w:szCs w:val="24"/>
        </w:rPr>
        <w:t xml:space="preserve">considered as </w:t>
      </w:r>
      <w:r w:rsidR="007E6C7A" w:rsidRPr="00C82EE1">
        <w:rPr>
          <w:rFonts w:ascii="Times New Roman" w:eastAsiaTheme="minorEastAsia" w:hAnsi="Times New Roman" w:cs="Times New Roman"/>
          <w:sz w:val="24"/>
          <w:szCs w:val="24"/>
        </w:rPr>
        <w:t>scams</w:t>
      </w:r>
      <w:r w:rsidRPr="00C82EE1">
        <w:rPr>
          <w:rFonts w:ascii="Times New Roman" w:eastAsiaTheme="minorEastAsia" w:hAnsi="Times New Roman" w:cs="Times New Roman"/>
          <w:sz w:val="24"/>
          <w:szCs w:val="24"/>
        </w:rPr>
        <w:t xml:space="preserve">. </w:t>
      </w:r>
    </w:p>
    <w:p w14:paraId="4EA56A70" w14:textId="0B75682B" w:rsidR="00467C63" w:rsidRPr="00C82EE1" w:rsidRDefault="00481D5B"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To estimate the impact of LC on ICO survival, we perform a regression following Equation (1</w:t>
      </w:r>
      <w:r w:rsidR="007B1EDA">
        <w:rPr>
          <w:rFonts w:ascii="Times New Roman" w:hAnsi="Times New Roman" w:cs="Times New Roman"/>
          <w:sz w:val="24"/>
          <w:szCs w:val="24"/>
        </w:rPr>
        <w:t>1</w:t>
      </w:r>
      <w:r w:rsidRPr="00C82EE1">
        <w:rPr>
          <w:rFonts w:ascii="Times New Roman" w:hAnsi="Times New Roman" w:cs="Times New Roman"/>
          <w:sz w:val="24"/>
          <w:szCs w:val="24"/>
        </w:rPr>
        <w:t xml:space="preserve">): </w:t>
      </w:r>
    </w:p>
    <w:p w14:paraId="642891FE" w14:textId="77777777" w:rsidR="00481D5B" w:rsidRPr="005D65F4" w:rsidRDefault="00876173" w:rsidP="00074781">
      <w:pPr>
        <w:widowControl w:val="0"/>
        <w:autoSpaceDE w:val="0"/>
        <w:autoSpaceDN w:val="0"/>
        <w:spacing w:before="240" w:after="0" w:line="360" w:lineRule="auto"/>
        <w:ind w:left="720"/>
        <w:jc w:val="center"/>
        <w:rPr>
          <w:rFonts w:ascii="Times New Roman" w:eastAsiaTheme="minorEastAsia"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ICOSurvival</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LC+Controls+ε,</m:t>
          </m:r>
        </m:oMath>
      </m:oMathPara>
    </w:p>
    <w:p w14:paraId="0375BA1C" w14:textId="322A0214" w:rsidR="00481D5B" w:rsidRPr="005D65F4" w:rsidRDefault="00876173" w:rsidP="00074781">
      <w:pPr>
        <w:widowControl w:val="0"/>
        <w:autoSpaceDE w:val="0"/>
        <w:autoSpaceDN w:val="0"/>
        <w:spacing w:after="240" w:line="360" w:lineRule="auto"/>
        <w:ind w:left="2160"/>
        <w:jc w:val="center"/>
        <w:rPr>
          <w:rFonts w:ascii="Times New Roman" w:eastAsiaTheme="minorEastAsia"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ICOSurvival</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Delisted</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Volatility</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Scam</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 xml:space="preserve"> </m:t>
            </m:r>
          </m:e>
        </m:d>
        <m:r>
          <w:rPr>
            <w:rFonts w:ascii="Cambria Math" w:eastAsiaTheme="minorEastAsia" w:hAnsi="Cambria Math" w:cs="Times New Roman"/>
            <w:sz w:val="24"/>
            <w:szCs w:val="24"/>
          </w:rPr>
          <m:t xml:space="preserve"> </m:t>
        </m:r>
      </m:oMath>
      <w:r w:rsidR="00481D5B" w:rsidRPr="005D65F4">
        <w:rPr>
          <w:rFonts w:ascii="Times New Roman" w:eastAsiaTheme="minorEastAsia" w:hAnsi="Times New Roman" w:cs="Times New Roman"/>
          <w:sz w:val="24"/>
          <w:szCs w:val="24"/>
        </w:rPr>
        <w:t xml:space="preserve">     </w:t>
      </w:r>
      <w:r w:rsidR="00481D5B" w:rsidRPr="005D65F4">
        <w:rPr>
          <w:rFonts w:ascii="Times New Roman" w:eastAsiaTheme="minorEastAsia" w:hAnsi="Times New Roman" w:cs="Times New Roman"/>
          <w:sz w:val="24"/>
          <w:szCs w:val="24"/>
        </w:rPr>
        <w:tab/>
        <w:t xml:space="preserve"> </w:t>
      </w:r>
      <w:r w:rsidR="00481D5B" w:rsidRPr="005D65F4">
        <w:rPr>
          <w:rFonts w:ascii="Times New Roman" w:eastAsiaTheme="minorEastAsia" w:hAnsi="Times New Roman" w:cs="Times New Roman"/>
          <w:sz w:val="24"/>
          <w:szCs w:val="24"/>
        </w:rPr>
        <w:tab/>
        <w:t>(1</w:t>
      </w:r>
      <w:r w:rsidR="007B1EDA">
        <w:rPr>
          <w:rFonts w:ascii="Times New Roman" w:eastAsiaTheme="minorEastAsia" w:hAnsi="Times New Roman" w:cs="Times New Roman"/>
          <w:sz w:val="24"/>
          <w:szCs w:val="24"/>
        </w:rPr>
        <w:t>1</w:t>
      </w:r>
      <w:r w:rsidR="00481D5B" w:rsidRPr="005D65F4">
        <w:rPr>
          <w:rFonts w:ascii="Times New Roman" w:eastAsiaTheme="minorEastAsia" w:hAnsi="Times New Roman" w:cs="Times New Roman"/>
          <w:sz w:val="24"/>
          <w:szCs w:val="24"/>
        </w:rPr>
        <w:t>)</w:t>
      </w:r>
    </w:p>
    <w:p w14:paraId="5B413EE1" w14:textId="068C5503" w:rsidR="00481D5B" w:rsidRPr="00C82EE1" w:rsidRDefault="00481D5B"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Table 8 displays the results. In Model (5), we find</w:t>
      </w:r>
      <w:r w:rsidR="007E6C7A" w:rsidRPr="00C82EE1">
        <w:rPr>
          <w:rFonts w:ascii="Times New Roman" w:hAnsi="Times New Roman" w:cs="Times New Roman"/>
          <w:sz w:val="24"/>
          <w:szCs w:val="24"/>
        </w:rPr>
        <w:t xml:space="preserve"> a</w:t>
      </w:r>
      <w:r w:rsidRPr="00C82EE1">
        <w:rPr>
          <w:rFonts w:ascii="Times New Roman" w:hAnsi="Times New Roman" w:cs="Times New Roman"/>
          <w:sz w:val="24"/>
          <w:szCs w:val="24"/>
        </w:rPr>
        <w:t xml:space="preserve"> significant impact of LC in reducing the probability of an ICO being delisted  </w:t>
      </w:r>
      <m:oMath>
        <m:r>
          <w:rPr>
            <w:rFonts w:ascii="Cambria Math" w:hAnsi="Cambria Math" w:cs="Times New Roman"/>
            <w:sz w:val="24"/>
            <w:szCs w:val="24"/>
          </w:rPr>
          <m:t>(Delisted)</m:t>
        </m:r>
      </m:oMath>
      <w:r w:rsidRPr="00C82EE1">
        <w:rPr>
          <w:rFonts w:ascii="Times New Roman" w:eastAsiaTheme="minorEastAsia" w:hAnsi="Times New Roman" w:cs="Times New Roman"/>
          <w:sz w:val="24"/>
          <w:szCs w:val="24"/>
        </w:rPr>
        <w:t>, meaning that the level of LC in white papers increases chances of an ICO to stay listed on secondary exchanges. However, in Model (6) and (7), we find no significant impact of LC in impacting token volatility or the probability of being considered as a fraud</w:t>
      </w:r>
      <w:r w:rsidR="007E6C7A" w:rsidRPr="00C82EE1">
        <w:rPr>
          <w:rFonts w:ascii="Times New Roman" w:eastAsiaTheme="minorEastAsia" w:hAnsi="Times New Roman" w:cs="Times New Roman"/>
          <w:sz w:val="24"/>
          <w:szCs w:val="24"/>
        </w:rPr>
        <w:t>.</w:t>
      </w:r>
    </w:p>
    <w:p w14:paraId="3B7798EB" w14:textId="0D86BC33" w:rsidR="00C86487" w:rsidRPr="00C82EE1" w:rsidRDefault="00481D5B" w:rsidP="00074781">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8 here.]</w:t>
      </w:r>
    </w:p>
    <w:p w14:paraId="04567A85" w14:textId="77777777" w:rsidR="00481D5B" w:rsidRPr="00C82EE1" w:rsidRDefault="00481D5B" w:rsidP="00E223E9">
      <w:pPr>
        <w:pStyle w:val="Titre1"/>
      </w:pPr>
      <w:r w:rsidRPr="00C82EE1">
        <w:t>Robustness checks</w:t>
      </w:r>
    </w:p>
    <w:p w14:paraId="7B6ABD89" w14:textId="454D1DDD" w:rsidR="005C318E" w:rsidRDefault="00481D5B" w:rsidP="007F3752">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Our main findings suggest that the level of </w:t>
      </w:r>
      <w:r w:rsidRPr="00C82EE1">
        <w:rPr>
          <w:rFonts w:ascii="Times New Roman" w:hAnsi="Times New Roman" w:cs="Times New Roman"/>
          <w:sz w:val="24"/>
          <w:szCs w:val="24"/>
          <w:lang w:val="en-GB"/>
        </w:rPr>
        <w:t>LC</w:t>
      </w:r>
      <w:r w:rsidRPr="00C82EE1">
        <w:rPr>
          <w:rFonts w:ascii="Times New Roman" w:hAnsi="Times New Roman" w:cs="Times New Roman"/>
          <w:sz w:val="24"/>
          <w:szCs w:val="24"/>
        </w:rPr>
        <w:t xml:space="preserve"> in ICO white papers </w:t>
      </w:r>
      <w:r w:rsidR="00F05788">
        <w:rPr>
          <w:rFonts w:ascii="Times New Roman" w:hAnsi="Times New Roman" w:cs="Times New Roman"/>
          <w:sz w:val="24"/>
          <w:szCs w:val="24"/>
        </w:rPr>
        <w:t>significantly</w:t>
      </w:r>
      <w:r w:rsidR="00F05788" w:rsidRPr="00C82EE1">
        <w:rPr>
          <w:rFonts w:ascii="Times New Roman" w:hAnsi="Times New Roman" w:cs="Times New Roman"/>
          <w:sz w:val="24"/>
          <w:szCs w:val="24"/>
        </w:rPr>
        <w:t xml:space="preserve"> </w:t>
      </w:r>
      <w:r w:rsidRPr="00C82EE1">
        <w:rPr>
          <w:rFonts w:ascii="Times New Roman" w:hAnsi="Times New Roman" w:cs="Times New Roman"/>
          <w:sz w:val="24"/>
          <w:szCs w:val="24"/>
        </w:rPr>
        <w:t xml:space="preserve">impacts investor behavior by making the ICO project more innovative and reliable. However, we recognize that the precise quantification of this effect hinges on our dependent variables </w:t>
      </w:r>
      <m:oMath>
        <m:r>
          <w:rPr>
            <w:rFonts w:ascii="Cambria Math" w:hAnsi="Cambria Math" w:cs="Times New Roman"/>
            <w:sz w:val="24"/>
            <w:szCs w:val="24"/>
          </w:rPr>
          <m:t>(Amount raised</m:t>
        </m:r>
      </m:oMath>
      <w:r w:rsidRPr="00C82EE1">
        <w:rPr>
          <w:rFonts w:ascii="Times New Roman" w:hAnsi="Times New Roman" w:cs="Times New Roman"/>
          <w:sz w:val="24"/>
          <w:szCs w:val="24"/>
        </w:rPr>
        <w:t xml:space="preserve">, </w:t>
      </w:r>
      <m:oMath>
        <m:r>
          <w:rPr>
            <w:rFonts w:ascii="Cambria Math" w:hAnsi="Cambria Math" w:cs="Times New Roman"/>
            <w:sz w:val="24"/>
            <w:szCs w:val="24"/>
          </w:rPr>
          <m:t>InitialCAR</m:t>
        </m:r>
      </m:oMath>
      <w:r w:rsidRPr="00C82EE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LongTermCAR</m:t>
        </m:r>
      </m:oMath>
      <w:r w:rsidRPr="00C82EE1">
        <w:rPr>
          <w:rFonts w:ascii="Times New Roman" w:eastAsiaTheme="minorEastAsia" w:hAnsi="Times New Roman" w:cs="Times New Roman"/>
          <w:sz w:val="24"/>
          <w:szCs w:val="24"/>
        </w:rPr>
        <w:t>)</w:t>
      </w:r>
      <w:r w:rsidRPr="00C82EE1">
        <w:rPr>
          <w:rFonts w:ascii="Times New Roman" w:hAnsi="Times New Roman" w:cs="Times New Roman"/>
          <w:sz w:val="24"/>
          <w:szCs w:val="24"/>
        </w:rPr>
        <w:t xml:space="preserve"> which may be subject to sample selection bias. In this section, we conduct several robustness tests in terms of alternative readability measures</w:t>
      </w:r>
      <w:r w:rsidR="00F05788">
        <w:rPr>
          <w:rFonts w:ascii="Times New Roman" w:hAnsi="Times New Roman" w:cs="Times New Roman"/>
          <w:sz w:val="24"/>
          <w:szCs w:val="24"/>
        </w:rPr>
        <w:t xml:space="preserve"> and </w:t>
      </w:r>
      <w:r w:rsidRPr="00C82EE1">
        <w:rPr>
          <w:rFonts w:ascii="Times New Roman" w:hAnsi="Times New Roman" w:cs="Times New Roman"/>
          <w:sz w:val="24"/>
          <w:szCs w:val="24"/>
        </w:rPr>
        <w:t>dependent variables</w:t>
      </w:r>
      <w:r w:rsidR="00F05788">
        <w:rPr>
          <w:rFonts w:ascii="Times New Roman" w:hAnsi="Times New Roman" w:cs="Times New Roman"/>
          <w:sz w:val="24"/>
          <w:szCs w:val="24"/>
        </w:rPr>
        <w:t>.</w:t>
      </w:r>
    </w:p>
    <w:p w14:paraId="157BB20E" w14:textId="5B3EAAEF" w:rsidR="00481D5B" w:rsidRPr="005C318E" w:rsidRDefault="00481D5B" w:rsidP="007F3752">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First, while</w:t>
      </w:r>
      <w:r w:rsidR="0089057E">
        <w:rPr>
          <w:rFonts w:ascii="Times New Roman" w:hAnsi="Times New Roman" w:cs="Times New Roman"/>
          <w:sz w:val="24"/>
          <w:szCs w:val="24"/>
        </w:rPr>
        <w:t xml:space="preserve"> we use</w:t>
      </w:r>
      <w:r w:rsidRPr="00C82EE1">
        <w:rPr>
          <w:rFonts w:ascii="Times New Roman" w:hAnsi="Times New Roman" w:cs="Times New Roman"/>
          <w:sz w:val="24"/>
          <w:szCs w:val="24"/>
        </w:rPr>
        <w:t xml:space="preserve"> the Flesch Reading Ease score to estimate white papers readability, the effect of LC may vary depending on our variable measurement. We therefore replicate our analysis in Section 5.3 by using alternative commonly used readability scores, such as the Gunning FOG Index </w:t>
      </w:r>
      <m:oMath>
        <m:r>
          <w:rPr>
            <w:rFonts w:ascii="Cambria Math" w:hAnsi="Cambria Math" w:cs="Times New Roman"/>
            <w:sz w:val="24"/>
            <w:szCs w:val="24"/>
          </w:rPr>
          <m:t>(Readability_FOG)</m:t>
        </m:r>
      </m:oMath>
      <w:r w:rsidRPr="00C82EE1">
        <w:rPr>
          <w:rFonts w:ascii="Times New Roman" w:hAnsi="Times New Roman" w:cs="Times New Roman"/>
          <w:sz w:val="24"/>
          <w:szCs w:val="24"/>
        </w:rPr>
        <w:t xml:space="preserve"> and white paper size (measure</w:t>
      </w:r>
      <w:r w:rsidR="0089057E">
        <w:rPr>
          <w:rFonts w:ascii="Times New Roman" w:hAnsi="Times New Roman" w:cs="Times New Roman"/>
          <w:sz w:val="24"/>
          <w:szCs w:val="24"/>
        </w:rPr>
        <w:t>d</w:t>
      </w:r>
      <w:r w:rsidRPr="00C82EE1">
        <w:rPr>
          <w:rFonts w:ascii="Times New Roman" w:hAnsi="Times New Roman" w:cs="Times New Roman"/>
          <w:sz w:val="24"/>
          <w:szCs w:val="24"/>
        </w:rPr>
        <w:t xml:space="preserve"> as the number of white paper pages) </w:t>
      </w:r>
      <m:oMath>
        <m:r>
          <w:rPr>
            <w:rFonts w:ascii="Cambria Math" w:hAnsi="Cambria Math" w:cs="Times New Roman"/>
            <w:sz w:val="24"/>
            <w:szCs w:val="24"/>
          </w:rPr>
          <m:t>(Readability_Size)</m:t>
        </m:r>
      </m:oMath>
      <w:r w:rsidRPr="00C82EE1">
        <w:rPr>
          <w:rFonts w:ascii="Times New Roman" w:eastAsiaTheme="minorEastAsia" w:hAnsi="Times New Roman" w:cs="Times New Roman"/>
          <w:sz w:val="24"/>
          <w:szCs w:val="24"/>
        </w:rPr>
        <w:t xml:space="preserve">. In Panel A of Table 9, we </w:t>
      </w:r>
      <w:r w:rsidR="00366A38">
        <w:rPr>
          <w:rFonts w:ascii="Times New Roman" w:eastAsiaTheme="minorEastAsia" w:hAnsi="Times New Roman" w:cs="Times New Roman"/>
          <w:sz w:val="24"/>
          <w:szCs w:val="24"/>
        </w:rPr>
        <w:t xml:space="preserve">first </w:t>
      </w:r>
      <w:r w:rsidRPr="00C82EE1">
        <w:rPr>
          <w:rFonts w:ascii="Times New Roman" w:eastAsiaTheme="minorEastAsia" w:hAnsi="Times New Roman" w:cs="Times New Roman"/>
          <w:sz w:val="24"/>
          <w:szCs w:val="24"/>
        </w:rPr>
        <w:t xml:space="preserve">present the results of the split-sample analyses. </w:t>
      </w:r>
      <w:r w:rsidRPr="00C82EE1">
        <w:rPr>
          <w:rFonts w:ascii="Times New Roman" w:hAnsi="Times New Roman" w:cs="Times New Roman"/>
          <w:sz w:val="24"/>
          <w:szCs w:val="24"/>
        </w:rPr>
        <w:t>Model (1) and (2) report the results of Equation (1) with below median FOG scores in Model (1) and scores equal or above the median level in Model (2). Model (3) and (4) reports the results of Equation (1) with below median white</w:t>
      </w:r>
      <w:r w:rsidR="008D4C23" w:rsidRPr="00C82EE1">
        <w:rPr>
          <w:rFonts w:ascii="Times New Roman" w:hAnsi="Times New Roman" w:cs="Times New Roman"/>
          <w:sz w:val="24"/>
          <w:szCs w:val="24"/>
        </w:rPr>
        <w:t xml:space="preserve"> </w:t>
      </w:r>
      <w:r w:rsidRPr="00C82EE1">
        <w:rPr>
          <w:rFonts w:ascii="Times New Roman" w:hAnsi="Times New Roman" w:cs="Times New Roman"/>
          <w:sz w:val="24"/>
          <w:szCs w:val="24"/>
        </w:rPr>
        <w:t xml:space="preserve">paper size of </w:t>
      </w:r>
      <w:r w:rsidRPr="00C82EE1">
        <w:rPr>
          <w:rFonts w:ascii="Times New Roman" w:hAnsi="Times New Roman" w:cs="Times New Roman"/>
          <w:sz w:val="24"/>
          <w:szCs w:val="24"/>
        </w:rPr>
        <w:lastRenderedPageBreak/>
        <w:t xml:space="preserve">pages in Model (3) and size equal or above the median level in Model (4). </w:t>
      </w:r>
      <w:r w:rsidRPr="00C82EE1">
        <w:rPr>
          <w:rFonts w:ascii="Times New Roman" w:eastAsiaTheme="minorEastAsia" w:hAnsi="Times New Roman" w:cs="Times New Roman"/>
          <w:sz w:val="24"/>
          <w:szCs w:val="24"/>
        </w:rPr>
        <w:t xml:space="preserve">Our results remain qualitatively similar to our previous findings as we observe higher coefficients of LC when white papers are easier to read (for Model (2) and (4)). </w:t>
      </w:r>
      <w:r w:rsidRPr="00C82EE1">
        <w:rPr>
          <w:rFonts w:ascii="Times New Roman" w:hAnsi="Times New Roman" w:cs="Times New Roman"/>
          <w:sz w:val="24"/>
          <w:szCs w:val="24"/>
        </w:rPr>
        <w:t>We then perform Z-test</w:t>
      </w:r>
      <w:r w:rsidR="00DE7184">
        <w:rPr>
          <w:rFonts w:ascii="Times New Roman" w:hAnsi="Times New Roman" w:cs="Times New Roman"/>
          <w:sz w:val="24"/>
          <w:szCs w:val="24"/>
        </w:rPr>
        <w:t>s</w:t>
      </w:r>
      <w:r w:rsidRPr="00C82EE1">
        <w:rPr>
          <w:rFonts w:ascii="Times New Roman" w:hAnsi="Times New Roman" w:cs="Times New Roman"/>
          <w:sz w:val="24"/>
          <w:szCs w:val="24"/>
        </w:rPr>
        <w:t xml:space="preserve"> to formally compare the coefficients of LC within sub</w:t>
      </w:r>
      <w:r w:rsidR="00AF5A16">
        <w:rPr>
          <w:rFonts w:ascii="Times New Roman" w:hAnsi="Times New Roman" w:cs="Times New Roman"/>
          <w:sz w:val="24"/>
          <w:szCs w:val="24"/>
        </w:rPr>
        <w:t>-</w:t>
      </w:r>
      <w:r w:rsidRPr="00C82EE1">
        <w:rPr>
          <w:rFonts w:ascii="Times New Roman" w:hAnsi="Times New Roman" w:cs="Times New Roman"/>
          <w:sz w:val="24"/>
          <w:szCs w:val="24"/>
        </w:rPr>
        <w:t xml:space="preserve">samples models. The test confirms a statistically significant difference at the </w:t>
      </w:r>
      <w:r w:rsidR="00F05788">
        <w:rPr>
          <w:rFonts w:ascii="Times New Roman" w:hAnsi="Times New Roman" w:cs="Times New Roman"/>
          <w:sz w:val="24"/>
          <w:szCs w:val="24"/>
        </w:rPr>
        <w:t>1</w:t>
      </w:r>
      <w:r w:rsidRPr="00C82EE1">
        <w:rPr>
          <w:rFonts w:ascii="Times New Roman" w:hAnsi="Times New Roman" w:cs="Times New Roman"/>
          <w:sz w:val="24"/>
          <w:szCs w:val="24"/>
        </w:rPr>
        <w:t xml:space="preserve">% level for both analyses, reinforcing that the effect of LC differs based on white paper readability. </w:t>
      </w:r>
    </w:p>
    <w:p w14:paraId="456A92BC" w14:textId="0E3079EE" w:rsidR="00481D5B" w:rsidRPr="00C82EE1" w:rsidRDefault="00481D5B" w:rsidP="007F3752">
      <w:pPr>
        <w:spacing w:after="120" w:line="360" w:lineRule="auto"/>
        <w:ind w:firstLine="340"/>
        <w:jc w:val="both"/>
        <w:rPr>
          <w:rFonts w:ascii="Times New Roman" w:eastAsiaTheme="minorEastAsia" w:hAnsi="Times New Roman" w:cs="Times New Roman"/>
          <w:sz w:val="24"/>
          <w:szCs w:val="24"/>
        </w:rPr>
      </w:pPr>
      <w:r w:rsidRPr="00C82EE1">
        <w:rPr>
          <w:rFonts w:ascii="Times New Roman" w:eastAsiaTheme="minorEastAsia" w:hAnsi="Times New Roman" w:cs="Times New Roman"/>
          <w:sz w:val="24"/>
          <w:szCs w:val="24"/>
        </w:rPr>
        <w:t xml:space="preserve">Second, while we test Hypothesis 2 using a split-sample approach, we </w:t>
      </w:r>
      <w:r w:rsidR="00366A38">
        <w:rPr>
          <w:rFonts w:ascii="Times New Roman" w:eastAsiaTheme="minorEastAsia" w:hAnsi="Times New Roman" w:cs="Times New Roman"/>
          <w:sz w:val="24"/>
          <w:szCs w:val="24"/>
        </w:rPr>
        <w:t xml:space="preserve">also </w:t>
      </w:r>
      <w:r w:rsidRPr="00C82EE1">
        <w:rPr>
          <w:rFonts w:ascii="Times New Roman" w:eastAsiaTheme="minorEastAsia" w:hAnsi="Times New Roman" w:cs="Times New Roman"/>
          <w:sz w:val="24"/>
          <w:szCs w:val="24"/>
        </w:rPr>
        <w:t>examine</w:t>
      </w:r>
      <w:r w:rsidR="00366A38">
        <w:rPr>
          <w:rFonts w:ascii="Times New Roman" w:eastAsiaTheme="minorEastAsia" w:hAnsi="Times New Roman" w:cs="Times New Roman"/>
          <w:sz w:val="24"/>
          <w:szCs w:val="24"/>
        </w:rPr>
        <w:t xml:space="preserve"> in Panel A of Table 9</w:t>
      </w:r>
      <w:r w:rsidRPr="00C82EE1">
        <w:rPr>
          <w:rFonts w:ascii="Times New Roman" w:eastAsiaTheme="minorEastAsia" w:hAnsi="Times New Roman" w:cs="Times New Roman"/>
          <w:sz w:val="24"/>
          <w:szCs w:val="24"/>
        </w:rPr>
        <w:t xml:space="preserve"> the impact of readability on the relationship between LC and the amount raised, but using interaction terms instead. Model (5) to (7)</w:t>
      </w:r>
      <w:r w:rsidR="00611AD3" w:rsidRPr="00C82EE1">
        <w:rPr>
          <w:rFonts w:ascii="Times New Roman" w:eastAsiaTheme="minorEastAsia" w:hAnsi="Times New Roman" w:cs="Times New Roman"/>
          <w:sz w:val="24"/>
          <w:szCs w:val="24"/>
        </w:rPr>
        <w:t xml:space="preserve"> show that</w:t>
      </w:r>
      <w:r w:rsidR="00A7436F" w:rsidRPr="00C82EE1">
        <w:rPr>
          <w:rFonts w:ascii="Times New Roman" w:eastAsiaTheme="minorEastAsia" w:hAnsi="Times New Roman" w:cs="Times New Roman"/>
          <w:sz w:val="24"/>
          <w:szCs w:val="24"/>
        </w:rPr>
        <w:t xml:space="preserve"> </w:t>
      </w:r>
      <w:r w:rsidRPr="00C82EE1">
        <w:rPr>
          <w:rFonts w:ascii="Times New Roman" w:eastAsiaTheme="minorEastAsia" w:hAnsi="Times New Roman" w:cs="Times New Roman"/>
          <w:sz w:val="24"/>
          <w:szCs w:val="24"/>
        </w:rPr>
        <w:t>our results remain consistent regarding the positive effect of LC on the amount raised</w:t>
      </w:r>
      <w:r w:rsidR="00611AD3" w:rsidRPr="00C82EE1">
        <w:rPr>
          <w:rFonts w:ascii="Times New Roman" w:eastAsiaTheme="minorEastAsia" w:hAnsi="Times New Roman" w:cs="Times New Roman"/>
          <w:sz w:val="24"/>
          <w:szCs w:val="24"/>
        </w:rPr>
        <w:t xml:space="preserve">. We </w:t>
      </w:r>
      <w:r w:rsidRPr="00C82EE1">
        <w:rPr>
          <w:rFonts w:ascii="Times New Roman" w:eastAsiaTheme="minorEastAsia" w:hAnsi="Times New Roman" w:cs="Times New Roman"/>
          <w:sz w:val="24"/>
          <w:szCs w:val="24"/>
        </w:rPr>
        <w:t xml:space="preserve">also find a positive and significant interaction between LC and readability across all the readability proxy measures. These findings align with our previous results, indicating that the impact of LC on ICO fundraising is more pronounced when readability level increases.  </w:t>
      </w:r>
    </w:p>
    <w:p w14:paraId="248C135C" w14:textId="7458F185" w:rsidR="00481D5B" w:rsidRPr="00C82EE1" w:rsidRDefault="00920351" w:rsidP="007F3752">
      <w:pPr>
        <w:spacing w:after="120" w:line="360" w:lineRule="auto"/>
        <w:ind w:firstLine="340"/>
        <w:jc w:val="both"/>
        <w:rPr>
          <w:rFonts w:ascii="Times New Roman" w:hAnsi="Times New Roman" w:cs="Times New Roman"/>
          <w:sz w:val="24"/>
          <w:szCs w:val="24"/>
        </w:rPr>
      </w:pPr>
      <w:bookmarkStart w:id="22" w:name="_Hlk195108472"/>
      <w:r>
        <w:rPr>
          <w:rFonts w:ascii="Times New Roman" w:hAnsi="Times New Roman" w:cs="Times New Roman"/>
          <w:sz w:val="24"/>
          <w:szCs w:val="24"/>
        </w:rPr>
        <w:t>Third</w:t>
      </w:r>
      <w:r w:rsidR="0089057E">
        <w:rPr>
          <w:rFonts w:ascii="Times New Roman" w:hAnsi="Times New Roman" w:cs="Times New Roman"/>
          <w:sz w:val="24"/>
          <w:szCs w:val="24"/>
        </w:rPr>
        <w:t>, w</w:t>
      </w:r>
      <w:r w:rsidR="00481D5B" w:rsidRPr="00C82EE1">
        <w:rPr>
          <w:rFonts w:ascii="Times New Roman" w:hAnsi="Times New Roman" w:cs="Times New Roman"/>
          <w:sz w:val="24"/>
          <w:szCs w:val="24"/>
        </w:rPr>
        <w:t xml:space="preserve">e use alternative measures of ICO success. </w:t>
      </w:r>
      <w:r w:rsidR="00177D4D" w:rsidRPr="00C82EE1">
        <w:rPr>
          <w:rFonts w:ascii="Times New Roman" w:hAnsi="Times New Roman" w:cs="Times New Roman"/>
          <w:sz w:val="24"/>
          <w:szCs w:val="24"/>
        </w:rPr>
        <w:t>F</w:t>
      </w:r>
      <w:r w:rsidR="00481D5B" w:rsidRPr="00C82EE1">
        <w:rPr>
          <w:rFonts w:ascii="Times New Roman" w:hAnsi="Times New Roman" w:cs="Times New Roman"/>
          <w:sz w:val="24"/>
          <w:szCs w:val="24"/>
        </w:rPr>
        <w:t xml:space="preserve">ollowing </w:t>
      </w:r>
      <w:proofErr w:type="spellStart"/>
      <w:r w:rsidR="00A7436F" w:rsidRPr="00C82EE1">
        <w:rPr>
          <w:rFonts w:ascii="Times New Roman" w:hAnsi="Times New Roman" w:cs="Times New Roman"/>
          <w:sz w:val="24"/>
          <w:szCs w:val="24"/>
        </w:rPr>
        <w:t>Amsden</w:t>
      </w:r>
      <w:proofErr w:type="spellEnd"/>
      <w:r w:rsidR="00A7436F" w:rsidRPr="00C82EE1">
        <w:rPr>
          <w:rFonts w:ascii="Times New Roman" w:hAnsi="Times New Roman" w:cs="Times New Roman"/>
          <w:sz w:val="24"/>
          <w:szCs w:val="24"/>
        </w:rPr>
        <w:t xml:space="preserve"> &amp; Schweizer (2018) </w:t>
      </w:r>
      <w:r w:rsidR="00481D5B" w:rsidRPr="00C82EE1">
        <w:rPr>
          <w:rFonts w:ascii="Times New Roman" w:hAnsi="Times New Roman" w:cs="Times New Roman"/>
          <w:sz w:val="24"/>
          <w:szCs w:val="24"/>
        </w:rPr>
        <w:t xml:space="preserve">and </w:t>
      </w:r>
      <w:r w:rsidR="00A7436F" w:rsidRPr="00C82EE1">
        <w:rPr>
          <w:rFonts w:ascii="Times New Roman" w:hAnsi="Times New Roman" w:cs="Times New Roman"/>
          <w:sz w:val="24"/>
          <w:szCs w:val="24"/>
        </w:rPr>
        <w:t>Lee et al. (2022)</w:t>
      </w:r>
      <w:r w:rsidR="00481D5B" w:rsidRPr="00C82EE1">
        <w:rPr>
          <w:rFonts w:ascii="Times New Roman" w:hAnsi="Times New Roman" w:cs="Times New Roman"/>
          <w:sz w:val="24"/>
          <w:szCs w:val="24"/>
        </w:rPr>
        <w:t xml:space="preserve">, we </w:t>
      </w:r>
      <w:r w:rsidR="00177D4D" w:rsidRPr="00C82EE1">
        <w:rPr>
          <w:rFonts w:ascii="Times New Roman" w:hAnsi="Times New Roman" w:cs="Times New Roman"/>
          <w:sz w:val="24"/>
          <w:szCs w:val="24"/>
        </w:rPr>
        <w:t xml:space="preserve">first </w:t>
      </w:r>
      <w:r w:rsidR="00481D5B" w:rsidRPr="00C82EE1">
        <w:rPr>
          <w:rFonts w:ascii="Times New Roman" w:hAnsi="Times New Roman" w:cs="Times New Roman"/>
          <w:sz w:val="24"/>
          <w:szCs w:val="24"/>
        </w:rPr>
        <w:t xml:space="preserve">define ICO success based on whether the token is actively traded on a secondary exchange. We construct an alternative proxy, </w:t>
      </w:r>
      <m:oMath>
        <m:r>
          <w:rPr>
            <w:rFonts w:ascii="Cambria Math" w:hAnsi="Cambria Math" w:cs="Times New Roman"/>
            <w:sz w:val="24"/>
            <w:szCs w:val="24"/>
          </w:rPr>
          <m:t>Token traded</m:t>
        </m:r>
      </m:oMath>
      <w:r w:rsidR="00481D5B" w:rsidRPr="00C82EE1">
        <w:rPr>
          <w:rFonts w:ascii="Times New Roman" w:hAnsi="Times New Roman" w:cs="Times New Roman"/>
          <w:sz w:val="24"/>
          <w:szCs w:val="24"/>
        </w:rPr>
        <w:t xml:space="preserve">, which is a binary variable equal to one if the ICO was listed on an exchange by 2021, and zero otherwise. This measure is both relevant and unbiased, as issuers generally seek to have their tokens traded, regardless of the token type. </w:t>
      </w:r>
      <w:r w:rsidR="00177D4D" w:rsidRPr="00C82EE1">
        <w:rPr>
          <w:rFonts w:ascii="Times New Roman" w:hAnsi="Times New Roman" w:cs="Times New Roman"/>
          <w:sz w:val="24"/>
          <w:szCs w:val="24"/>
        </w:rPr>
        <w:t>Based</w:t>
      </w:r>
      <w:r w:rsidR="00481D5B" w:rsidRPr="00C82EE1">
        <w:rPr>
          <w:rFonts w:ascii="Times New Roman" w:hAnsi="Times New Roman" w:cs="Times New Roman"/>
          <w:sz w:val="24"/>
          <w:szCs w:val="24"/>
        </w:rPr>
        <w:t xml:space="preserve"> on </w:t>
      </w:r>
      <w:r w:rsidR="00A7436F" w:rsidRPr="00C82EE1">
        <w:rPr>
          <w:rFonts w:ascii="Times New Roman" w:hAnsi="Times New Roman" w:cs="Times New Roman"/>
          <w:sz w:val="24"/>
          <w:szCs w:val="24"/>
        </w:rPr>
        <w:t>Lee et al. (2022)</w:t>
      </w:r>
      <w:r w:rsidR="00481D5B" w:rsidRPr="00C82EE1">
        <w:rPr>
          <w:rFonts w:ascii="Times New Roman" w:hAnsi="Times New Roman" w:cs="Times New Roman"/>
          <w:sz w:val="24"/>
          <w:szCs w:val="24"/>
        </w:rPr>
        <w:t>, we</w:t>
      </w:r>
      <w:r w:rsidR="00177D4D" w:rsidRPr="00C82EE1">
        <w:rPr>
          <w:rFonts w:ascii="Times New Roman" w:hAnsi="Times New Roman" w:cs="Times New Roman"/>
          <w:sz w:val="24"/>
          <w:szCs w:val="24"/>
        </w:rPr>
        <w:t xml:space="preserve"> then</w:t>
      </w:r>
      <w:r w:rsidR="00481D5B" w:rsidRPr="00C82EE1">
        <w:rPr>
          <w:rFonts w:ascii="Times New Roman" w:hAnsi="Times New Roman" w:cs="Times New Roman"/>
          <w:sz w:val="24"/>
          <w:szCs w:val="24"/>
        </w:rPr>
        <w:t xml:space="preserve"> introduce </w:t>
      </w:r>
      <m:oMath>
        <m:r>
          <w:rPr>
            <w:rFonts w:ascii="Cambria Math" w:hAnsi="Cambria Math" w:cs="Times New Roman"/>
            <w:sz w:val="24"/>
            <w:szCs w:val="24"/>
          </w:rPr>
          <m:t>ICOCompletion</m:t>
        </m:r>
      </m:oMath>
      <w:r w:rsidR="00481D5B" w:rsidRPr="00C82EE1">
        <w:rPr>
          <w:rFonts w:ascii="Times New Roman" w:hAnsi="Times New Roman" w:cs="Times New Roman"/>
          <w:sz w:val="24"/>
          <w:szCs w:val="24"/>
        </w:rPr>
        <w:t xml:space="preserve">, a dummy variable that equals one if the ICO employs </w:t>
      </w:r>
      <w:proofErr w:type="spellStart"/>
      <w:r w:rsidR="00481D5B" w:rsidRPr="00C82EE1">
        <w:rPr>
          <w:rFonts w:ascii="Times New Roman" w:hAnsi="Times New Roman" w:cs="Times New Roman"/>
          <w:sz w:val="24"/>
          <w:szCs w:val="24"/>
        </w:rPr>
        <w:t>softcap</w:t>
      </w:r>
      <w:proofErr w:type="spellEnd"/>
      <w:r w:rsidR="00481D5B" w:rsidRPr="00C82EE1">
        <w:rPr>
          <w:rFonts w:ascii="Times New Roman" w:hAnsi="Times New Roman" w:cs="Times New Roman"/>
          <w:sz w:val="24"/>
          <w:szCs w:val="24"/>
        </w:rPr>
        <w:t xml:space="preserve"> amounts as the minimum fundraising threshold. We consider an ICO successful if it meets the </w:t>
      </w:r>
      <w:proofErr w:type="spellStart"/>
      <w:r w:rsidR="00481D5B" w:rsidRPr="00C82EE1">
        <w:rPr>
          <w:rFonts w:ascii="Times New Roman" w:hAnsi="Times New Roman" w:cs="Times New Roman"/>
          <w:sz w:val="24"/>
          <w:szCs w:val="24"/>
        </w:rPr>
        <w:t>softcap</w:t>
      </w:r>
      <w:proofErr w:type="spellEnd"/>
      <w:r w:rsidR="00481D5B" w:rsidRPr="00C82EE1">
        <w:rPr>
          <w:rFonts w:ascii="Times New Roman" w:hAnsi="Times New Roman" w:cs="Times New Roman"/>
          <w:sz w:val="24"/>
          <w:szCs w:val="24"/>
        </w:rPr>
        <w:t xml:space="preserve"> requirement for secondary exchange-listed ICOs, while for non-listed ICOs, we define success as raising at least $500,000 in funding. In Panel C of Table 2, </w:t>
      </w:r>
      <w:r w:rsidR="00177D4D" w:rsidRPr="00C82EE1">
        <w:rPr>
          <w:rFonts w:ascii="Times New Roman" w:hAnsi="Times New Roman" w:cs="Times New Roman"/>
          <w:sz w:val="24"/>
          <w:szCs w:val="24"/>
        </w:rPr>
        <w:t>our results show</w:t>
      </w:r>
      <w:r w:rsidR="00481D5B" w:rsidRPr="00C82EE1">
        <w:rPr>
          <w:rFonts w:ascii="Times New Roman" w:hAnsi="Times New Roman" w:cs="Times New Roman"/>
          <w:sz w:val="24"/>
          <w:szCs w:val="24"/>
        </w:rPr>
        <w:t xml:space="preserve"> that 20.8% of ICOs are traded on secondary exchanges </w:t>
      </w:r>
      <m:oMath>
        <m:r>
          <w:rPr>
            <w:rFonts w:ascii="Cambria Math" w:hAnsi="Cambria Math" w:cs="Times New Roman"/>
            <w:sz w:val="24"/>
            <w:szCs w:val="24"/>
          </w:rPr>
          <m:t>(Token traded)</m:t>
        </m:r>
      </m:oMath>
      <w:r w:rsidR="00481D5B" w:rsidRPr="00C82EE1">
        <w:rPr>
          <w:rFonts w:ascii="Times New Roman" w:hAnsi="Times New Roman" w:cs="Times New Roman"/>
          <w:sz w:val="24"/>
          <w:szCs w:val="24"/>
        </w:rPr>
        <w:t xml:space="preserve">. Additionally, 31.1% of ICOs in our sample meet the success criteria defined by </w:t>
      </w:r>
      <w:r w:rsidR="00A7436F" w:rsidRPr="00C82EE1">
        <w:rPr>
          <w:rFonts w:ascii="Times New Roman" w:hAnsi="Times New Roman" w:cs="Times New Roman"/>
          <w:sz w:val="24"/>
          <w:szCs w:val="24"/>
        </w:rPr>
        <w:t>Lee et al. (2022)</w:t>
      </w:r>
      <w:r w:rsidR="00481D5B" w:rsidRPr="00C82EE1">
        <w:rPr>
          <w:rFonts w:ascii="Times New Roman" w:hAnsi="Times New Roman" w:cs="Times New Roman"/>
          <w:sz w:val="24"/>
          <w:szCs w:val="24"/>
        </w:rPr>
        <w:t>. Panel C of Table 9</w:t>
      </w:r>
      <w:r w:rsidR="00177D4D" w:rsidRPr="00C82EE1">
        <w:rPr>
          <w:rFonts w:ascii="Times New Roman" w:hAnsi="Times New Roman" w:cs="Times New Roman"/>
          <w:sz w:val="24"/>
          <w:szCs w:val="24"/>
        </w:rPr>
        <w:t xml:space="preserve"> tests the impact of LC on ICO success (</w:t>
      </w:r>
      <m:oMath>
        <m:r>
          <w:rPr>
            <w:rFonts w:ascii="Cambria Math" w:hAnsi="Cambria Math" w:cs="Times New Roman"/>
            <w:sz w:val="24"/>
            <w:szCs w:val="24"/>
          </w:rPr>
          <m:t>Token traded, ICOCompletion</m:t>
        </m:r>
      </m:oMath>
      <w:r w:rsidR="00177D4D" w:rsidRPr="00C82EE1">
        <w:rPr>
          <w:rFonts w:ascii="Times New Roman" w:hAnsi="Times New Roman" w:cs="Times New Roman"/>
          <w:sz w:val="24"/>
          <w:szCs w:val="24"/>
        </w:rPr>
        <w:t>). W</w:t>
      </w:r>
      <w:proofErr w:type="spellStart"/>
      <w:r w:rsidR="00481D5B" w:rsidRPr="00C82EE1">
        <w:rPr>
          <w:rFonts w:ascii="Times New Roman" w:hAnsi="Times New Roman" w:cs="Times New Roman"/>
          <w:sz w:val="24"/>
          <w:szCs w:val="24"/>
        </w:rPr>
        <w:t>e</w:t>
      </w:r>
      <w:proofErr w:type="spellEnd"/>
      <w:r w:rsidR="00481D5B" w:rsidRPr="00C82EE1">
        <w:rPr>
          <w:rFonts w:ascii="Times New Roman" w:hAnsi="Times New Roman" w:cs="Times New Roman"/>
          <w:sz w:val="24"/>
          <w:szCs w:val="24"/>
        </w:rPr>
        <w:t xml:space="preserve"> find that the relationship remains consistent with our main findings.</w:t>
      </w:r>
      <w:r w:rsidR="00AE2F5C">
        <w:rPr>
          <w:rStyle w:val="Appelnotedebasdep"/>
          <w:rFonts w:ascii="Times New Roman" w:hAnsi="Times New Roman" w:cs="Times New Roman"/>
          <w:sz w:val="24"/>
          <w:szCs w:val="24"/>
        </w:rPr>
        <w:footnoteReference w:customMarkFollows="1" w:id="21"/>
        <w:t>21</w:t>
      </w:r>
      <w:r w:rsidR="00481D5B" w:rsidRPr="00C82EE1">
        <w:rPr>
          <w:rFonts w:ascii="Times New Roman" w:hAnsi="Times New Roman" w:cs="Times New Roman"/>
          <w:sz w:val="24"/>
          <w:szCs w:val="24"/>
        </w:rPr>
        <w:t xml:space="preserve"> Specifically, we report positive and significant coefficients of 0.08 and 0.05 for </w:t>
      </w:r>
      <m:oMath>
        <m:r>
          <w:rPr>
            <w:rFonts w:ascii="Cambria Math" w:hAnsi="Cambria Math" w:cs="Times New Roman"/>
            <w:sz w:val="24"/>
            <w:szCs w:val="24"/>
          </w:rPr>
          <m:t>Token traded</m:t>
        </m:r>
      </m:oMath>
      <w:r w:rsidR="00481D5B" w:rsidRPr="00C82EE1">
        <w:rPr>
          <w:rFonts w:ascii="Times New Roman" w:hAnsi="Times New Roman" w:cs="Times New Roman"/>
          <w:sz w:val="24"/>
          <w:szCs w:val="24"/>
        </w:rPr>
        <w:t xml:space="preserve"> and </w:t>
      </w:r>
      <m:oMath>
        <m:r>
          <w:rPr>
            <w:rFonts w:ascii="Cambria Math" w:hAnsi="Cambria Math" w:cs="Times New Roman"/>
            <w:sz w:val="24"/>
            <w:szCs w:val="24"/>
          </w:rPr>
          <m:t>ICOCompletion</m:t>
        </m:r>
      </m:oMath>
      <w:r w:rsidR="00481D5B" w:rsidRPr="00C82EE1">
        <w:rPr>
          <w:rFonts w:ascii="Times New Roman" w:hAnsi="Times New Roman" w:cs="Times New Roman"/>
          <w:sz w:val="24"/>
          <w:szCs w:val="24"/>
        </w:rPr>
        <w:t xml:space="preserve">, respectively, both at the </w:t>
      </w:r>
      <w:r w:rsidR="00F05788">
        <w:rPr>
          <w:rFonts w:ascii="Times New Roman" w:hAnsi="Times New Roman" w:cs="Times New Roman"/>
          <w:sz w:val="24"/>
          <w:szCs w:val="24"/>
        </w:rPr>
        <w:t>1</w:t>
      </w:r>
      <w:r w:rsidR="00481D5B" w:rsidRPr="00C82EE1">
        <w:rPr>
          <w:rFonts w:ascii="Times New Roman" w:hAnsi="Times New Roman" w:cs="Times New Roman"/>
          <w:sz w:val="24"/>
          <w:szCs w:val="24"/>
        </w:rPr>
        <w:t>% level. These findings further validate the robustness of our results, confirming that LC influences ICO success across different success definitions.</w:t>
      </w:r>
    </w:p>
    <w:bookmarkEnd w:id="22"/>
    <w:p w14:paraId="2CCF7AD4" w14:textId="16A2436E" w:rsidR="00481D5B" w:rsidRPr="00C82EE1" w:rsidRDefault="00920351" w:rsidP="00C01E09">
      <w:pPr>
        <w:spacing w:after="120" w:line="360" w:lineRule="auto"/>
        <w:ind w:firstLine="340"/>
        <w:jc w:val="both"/>
        <w:rPr>
          <w:rFonts w:ascii="Times New Roman" w:hAnsi="Times New Roman" w:cs="Times New Roman"/>
          <w:sz w:val="24"/>
          <w:szCs w:val="24"/>
        </w:rPr>
      </w:pPr>
      <w:r>
        <w:rPr>
          <w:rFonts w:ascii="Times New Roman" w:hAnsi="Times New Roman" w:cs="Times New Roman"/>
          <w:sz w:val="24"/>
          <w:szCs w:val="24"/>
        </w:rPr>
        <w:lastRenderedPageBreak/>
        <w:t>Finally</w:t>
      </w:r>
      <w:r w:rsidR="00177D4D" w:rsidRPr="00C82EE1">
        <w:rPr>
          <w:rFonts w:ascii="Times New Roman" w:hAnsi="Times New Roman" w:cs="Times New Roman"/>
          <w:sz w:val="24"/>
          <w:szCs w:val="24"/>
        </w:rPr>
        <w:t xml:space="preserve">, as described in Section 4.2.2, we measure LC using PCA </w:t>
      </w:r>
      <w:r w:rsidR="00A7436F" w:rsidRPr="00C82EE1">
        <w:rPr>
          <w:rFonts w:ascii="Times New Roman" w:hAnsi="Times New Roman" w:cs="Times New Roman"/>
          <w:sz w:val="24"/>
          <w:szCs w:val="24"/>
        </w:rPr>
        <w:t>(Lu, 2012)</w:t>
      </w:r>
      <w:r w:rsidR="00177D4D" w:rsidRPr="00C82EE1">
        <w:rPr>
          <w:rFonts w:ascii="Times New Roman" w:hAnsi="Times New Roman" w:cs="Times New Roman"/>
          <w:sz w:val="24"/>
          <w:szCs w:val="24"/>
        </w:rPr>
        <w:t xml:space="preserve">, which aggregates a whole package of 25 different metrics. </w:t>
      </w:r>
      <w:r w:rsidR="00177D4D" w:rsidRPr="004B60A6">
        <w:rPr>
          <w:rFonts w:ascii="Times New Roman" w:hAnsi="Times New Roman" w:cs="Times New Roman"/>
          <w:sz w:val="24"/>
          <w:szCs w:val="24"/>
        </w:rPr>
        <w:t>We have however not yet looked at the direct impact of each one of these 25 measures on the amount raised</w:t>
      </w:r>
      <w:r w:rsidR="00177D4D" w:rsidRPr="00C82EE1">
        <w:rPr>
          <w:rFonts w:ascii="Times New Roman" w:hAnsi="Times New Roman" w:cs="Times New Roman"/>
          <w:sz w:val="24"/>
          <w:szCs w:val="24"/>
        </w:rPr>
        <w:t xml:space="preserve">. Appendix B </w:t>
      </w:r>
      <w:r w:rsidR="00EB24DD" w:rsidRPr="00C82EE1">
        <w:rPr>
          <w:rFonts w:ascii="Times New Roman" w:hAnsi="Times New Roman" w:cs="Times New Roman"/>
          <w:sz w:val="24"/>
          <w:szCs w:val="24"/>
        </w:rPr>
        <w:t xml:space="preserve">provides a detailed description of the individual impact of each LC metric on the amount raised. Overall, the appendix shows </w:t>
      </w:r>
      <w:r w:rsidR="00177D4D" w:rsidRPr="00C82EE1">
        <w:rPr>
          <w:rFonts w:ascii="Times New Roman" w:hAnsi="Times New Roman" w:cs="Times New Roman"/>
          <w:sz w:val="24"/>
          <w:szCs w:val="24"/>
        </w:rPr>
        <w:t>that all metrics of lexical sophistication contribute to the impact of LC on the ICO fundraising outcome, while a portion of lexical diversity metrics has a significant impact on the amount raised.</w:t>
      </w:r>
      <w:r w:rsidR="00481D5B" w:rsidRPr="00C82EE1">
        <w:rPr>
          <w:rFonts w:ascii="Times New Roman" w:hAnsi="Times New Roman" w:cs="Times New Roman"/>
          <w:sz w:val="24"/>
          <w:szCs w:val="24"/>
        </w:rPr>
        <w:t xml:space="preserve"> Overall, these results confirm the robustness of our findings. </w:t>
      </w:r>
    </w:p>
    <w:p w14:paraId="2EA7D8A7" w14:textId="77777777" w:rsidR="00481D5B" w:rsidRPr="00C82EE1" w:rsidRDefault="00481D5B" w:rsidP="00D60EA2">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Table 9 here.]</w:t>
      </w:r>
    </w:p>
    <w:p w14:paraId="782F5D00" w14:textId="77777777" w:rsidR="00481D5B" w:rsidRPr="00C82EE1" w:rsidRDefault="00481D5B" w:rsidP="00D60EA2">
      <w:pPr>
        <w:pStyle w:val="Titre1"/>
      </w:pPr>
      <w:r w:rsidRPr="00C82EE1">
        <w:t xml:space="preserve">Conclusion </w:t>
      </w:r>
    </w:p>
    <w:p w14:paraId="68EBAD8E" w14:textId="753A77D3" w:rsidR="00071477" w:rsidRPr="00C82EE1" w:rsidRDefault="00071477" w:rsidP="007F3752">
      <w:pPr>
        <w:spacing w:after="120" w:line="360" w:lineRule="auto"/>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This study represents a pioneering examination of how LC,</w:t>
      </w:r>
      <w:r w:rsidR="008F6050" w:rsidRPr="00C82EE1">
        <w:rPr>
          <w:rFonts w:ascii="Times New Roman" w:eastAsia="Times New Roman" w:hAnsi="Times New Roman" w:cs="Times New Roman"/>
          <w:sz w:val="24"/>
          <w:szCs w:val="24"/>
          <w:lang w:eastAsia="fr-BE"/>
        </w:rPr>
        <w:t xml:space="preserve"> </w:t>
      </w:r>
      <w:r w:rsidRPr="00C82EE1">
        <w:rPr>
          <w:rFonts w:ascii="Times New Roman" w:eastAsia="Times New Roman" w:hAnsi="Times New Roman" w:cs="Times New Roman"/>
          <w:sz w:val="24"/>
          <w:szCs w:val="24"/>
          <w:lang w:eastAsia="fr-BE"/>
        </w:rPr>
        <w:t xml:space="preserve">a novel construct borrowed from linguistic literature, functions as a signal of credibility in financial decision-making, thereby reducing information asymmetry and enhancing investor willingness to engage in ICOs. By blending traditional readability metrics (e.g., Flesch Reading Ease Score) with cutting-edge linguistic constructs </w:t>
      </w:r>
      <w:r w:rsidR="008F6050" w:rsidRPr="00C82EE1">
        <w:rPr>
          <w:rFonts w:ascii="Times New Roman" w:hAnsi="Times New Roman" w:cs="Times New Roman"/>
          <w:sz w:val="24"/>
          <w:szCs w:val="24"/>
        </w:rPr>
        <w:t>(</w:t>
      </w:r>
      <w:proofErr w:type="spellStart"/>
      <w:r w:rsidR="008F6050" w:rsidRPr="00C82EE1">
        <w:rPr>
          <w:rFonts w:ascii="Times New Roman" w:hAnsi="Times New Roman" w:cs="Times New Roman"/>
          <w:sz w:val="24"/>
          <w:szCs w:val="24"/>
        </w:rPr>
        <w:t>Bulte</w:t>
      </w:r>
      <w:proofErr w:type="spellEnd"/>
      <w:r w:rsidR="008F6050" w:rsidRPr="00C82EE1">
        <w:rPr>
          <w:rFonts w:ascii="Times New Roman" w:hAnsi="Times New Roman" w:cs="Times New Roman"/>
          <w:sz w:val="24"/>
          <w:szCs w:val="24"/>
        </w:rPr>
        <w:t xml:space="preserve"> &amp; </w:t>
      </w:r>
      <w:proofErr w:type="spellStart"/>
      <w:r w:rsidR="008F6050" w:rsidRPr="00C82EE1">
        <w:rPr>
          <w:rFonts w:ascii="Times New Roman" w:hAnsi="Times New Roman" w:cs="Times New Roman"/>
          <w:sz w:val="24"/>
          <w:szCs w:val="24"/>
        </w:rPr>
        <w:t>Housen</w:t>
      </w:r>
      <w:proofErr w:type="spellEnd"/>
      <w:r w:rsidR="008F6050" w:rsidRPr="00C82EE1">
        <w:rPr>
          <w:rFonts w:ascii="Times New Roman" w:hAnsi="Times New Roman" w:cs="Times New Roman"/>
          <w:sz w:val="24"/>
          <w:szCs w:val="24"/>
        </w:rPr>
        <w:t>, 2012; Lu, 2012; Read, 2000)</w:t>
      </w:r>
      <w:r w:rsidRPr="00C82EE1">
        <w:rPr>
          <w:rFonts w:ascii="Times New Roman" w:eastAsia="Times New Roman" w:hAnsi="Times New Roman" w:cs="Times New Roman"/>
          <w:sz w:val="24"/>
          <w:szCs w:val="24"/>
          <w:lang w:eastAsia="fr-BE"/>
        </w:rPr>
        <w:t>, we establish a new paradigm in financial textual analysis, asserting that LC is not merely a stylistic choice but a critical mechanism for conveying project quality to investors.</w:t>
      </w:r>
    </w:p>
    <w:p w14:paraId="346E01D8" w14:textId="67621E32" w:rsidR="00071477" w:rsidRPr="00C82EE1" w:rsidRDefault="00071477"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 xml:space="preserve">We define LC as the sophistication and range of vocabulary in a text </w:t>
      </w:r>
      <w:r w:rsidR="008F6050" w:rsidRPr="00C82EE1">
        <w:rPr>
          <w:rFonts w:ascii="Times New Roman" w:hAnsi="Times New Roman" w:cs="Times New Roman"/>
          <w:sz w:val="24"/>
          <w:szCs w:val="24"/>
        </w:rPr>
        <w:t>(Lu, 2012; Read, 2000)</w:t>
      </w:r>
      <w:r w:rsidRPr="00C82EE1">
        <w:rPr>
          <w:rFonts w:ascii="Times New Roman" w:eastAsia="Times New Roman" w:hAnsi="Times New Roman" w:cs="Times New Roman"/>
          <w:sz w:val="24"/>
          <w:szCs w:val="24"/>
          <w:lang w:eastAsia="fr-BE"/>
        </w:rPr>
        <w:t xml:space="preserve"> and operationalize it through three sub</w:t>
      </w:r>
      <w:r w:rsidR="00AF5A16">
        <w:rPr>
          <w:rFonts w:ascii="Times New Roman" w:eastAsia="Times New Roman" w:hAnsi="Times New Roman" w:cs="Times New Roman"/>
          <w:sz w:val="24"/>
          <w:szCs w:val="24"/>
          <w:lang w:eastAsia="fr-BE"/>
        </w:rPr>
        <w:t>-</w:t>
      </w:r>
      <w:r w:rsidRPr="00C82EE1">
        <w:rPr>
          <w:rFonts w:ascii="Times New Roman" w:eastAsia="Times New Roman" w:hAnsi="Times New Roman" w:cs="Times New Roman"/>
          <w:sz w:val="24"/>
          <w:szCs w:val="24"/>
          <w:lang w:eastAsia="fr-BE"/>
        </w:rPr>
        <w:t>constructs: lexical density, lexical sophistication, and lexical diversity. Grounded in the credible signaling hypothesis, our findings reveal that LC in an ICO white paper serves as a powerful signal of higher project quality and sophistication, directly correlating with increased fundraising success.</w:t>
      </w:r>
    </w:p>
    <w:p w14:paraId="4F9E98A2" w14:textId="0FD786BF" w:rsidR="00071477" w:rsidRPr="00C82EE1" w:rsidRDefault="00071477"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Our analysis, based on a sample of 1,202 ICOs from 2015 to 2021, demonstrates that LC consistently impacts fundraising outcomes across all three sub</w:t>
      </w:r>
      <w:r w:rsidR="00AF5A16">
        <w:rPr>
          <w:rFonts w:ascii="Times New Roman" w:eastAsia="Times New Roman" w:hAnsi="Times New Roman" w:cs="Times New Roman"/>
          <w:sz w:val="24"/>
          <w:szCs w:val="24"/>
          <w:lang w:eastAsia="fr-BE"/>
        </w:rPr>
        <w:t>-</w:t>
      </w:r>
      <w:r w:rsidRPr="00C82EE1">
        <w:rPr>
          <w:rFonts w:ascii="Times New Roman" w:eastAsia="Times New Roman" w:hAnsi="Times New Roman" w:cs="Times New Roman"/>
          <w:sz w:val="24"/>
          <w:szCs w:val="24"/>
          <w:lang w:eastAsia="fr-BE"/>
        </w:rPr>
        <w:t>constructs. Interestingly, we uncover that the effect of LC is non-linear</w:t>
      </w:r>
      <w:r w:rsidR="008F6050" w:rsidRPr="00C82EE1">
        <w:rPr>
          <w:rFonts w:ascii="Times New Roman" w:eastAsia="Times New Roman" w:hAnsi="Times New Roman" w:cs="Times New Roman"/>
          <w:sz w:val="24"/>
          <w:szCs w:val="24"/>
          <w:lang w:eastAsia="fr-BE"/>
        </w:rPr>
        <w:t>. W</w:t>
      </w:r>
      <w:r w:rsidRPr="00C82EE1">
        <w:rPr>
          <w:rFonts w:ascii="Times New Roman" w:eastAsia="Times New Roman" w:hAnsi="Times New Roman" w:cs="Times New Roman"/>
          <w:sz w:val="24"/>
          <w:szCs w:val="24"/>
          <w:lang w:eastAsia="fr-BE"/>
        </w:rPr>
        <w:t xml:space="preserve">hile increased complexity generally leads to higher fundraising, there are diminishing returns as the white paper becomes more complex, particularly in terms of lexical density. Furthermore, we show that the impact of LC is amplified when the white paper is easier to read, suggesting that investors process both </w:t>
      </w:r>
      <w:r w:rsidR="00E8574F" w:rsidRPr="00C82EE1">
        <w:rPr>
          <w:rFonts w:ascii="Times New Roman" w:eastAsia="Times New Roman" w:hAnsi="Times New Roman" w:cs="Times New Roman"/>
          <w:sz w:val="24"/>
          <w:szCs w:val="24"/>
          <w:lang w:eastAsia="fr-BE"/>
        </w:rPr>
        <w:t>LC</w:t>
      </w:r>
      <w:r w:rsidRPr="00C82EE1">
        <w:rPr>
          <w:rFonts w:ascii="Times New Roman" w:eastAsia="Times New Roman" w:hAnsi="Times New Roman" w:cs="Times New Roman"/>
          <w:sz w:val="24"/>
          <w:szCs w:val="24"/>
          <w:lang w:eastAsia="fr-BE"/>
        </w:rPr>
        <w:t xml:space="preserve"> and readability as part of their decision-making process.</w:t>
      </w:r>
    </w:p>
    <w:p w14:paraId="7A32E637" w14:textId="25267484" w:rsidR="00071477" w:rsidRPr="00C82EE1" w:rsidRDefault="00071477"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 xml:space="preserve">Building on </w:t>
      </w:r>
      <w:r w:rsidR="008F6050" w:rsidRPr="00C82EE1">
        <w:rPr>
          <w:rFonts w:ascii="Times New Roman" w:hAnsi="Times New Roman" w:cs="Times New Roman"/>
          <w:sz w:val="24"/>
          <w:szCs w:val="24"/>
        </w:rPr>
        <w:t>Baron &amp; Kenny (1986)</w:t>
      </w:r>
      <w:r w:rsidRPr="00C82EE1">
        <w:rPr>
          <w:rFonts w:ascii="Times New Roman" w:eastAsia="Times New Roman" w:hAnsi="Times New Roman" w:cs="Times New Roman"/>
          <w:sz w:val="24"/>
          <w:szCs w:val="24"/>
          <w:lang w:eastAsia="fr-BE"/>
        </w:rPr>
        <w:t xml:space="preserve"> and </w:t>
      </w:r>
      <w:r w:rsidR="008F6050" w:rsidRPr="00C82EE1">
        <w:rPr>
          <w:rFonts w:ascii="Times New Roman" w:hAnsi="Times New Roman" w:cs="Times New Roman"/>
          <w:sz w:val="24"/>
          <w:szCs w:val="24"/>
        </w:rPr>
        <w:t>Singh et al. (2022)</w:t>
      </w:r>
      <w:r w:rsidRPr="00C82EE1">
        <w:rPr>
          <w:rFonts w:ascii="Times New Roman" w:eastAsia="Times New Roman" w:hAnsi="Times New Roman" w:cs="Times New Roman"/>
          <w:sz w:val="24"/>
          <w:szCs w:val="24"/>
          <w:lang w:eastAsia="fr-BE"/>
        </w:rPr>
        <w:t xml:space="preserve">, we provide further insights into the indirect pathways through which LC influences fundraising success, showing that the relationship is mediated by factors such as ICO innovation, perceived quality, information </w:t>
      </w:r>
      <w:r w:rsidRPr="00C82EE1">
        <w:rPr>
          <w:rFonts w:ascii="Times New Roman" w:eastAsia="Times New Roman" w:hAnsi="Times New Roman" w:cs="Times New Roman"/>
          <w:sz w:val="24"/>
          <w:szCs w:val="24"/>
          <w:lang w:eastAsia="fr-BE"/>
        </w:rPr>
        <w:lastRenderedPageBreak/>
        <w:t xml:space="preserve">asymmetry, and institutional investor attention. Our results also underscore the importance of cultural context, revealing that the effect of LC is significantly diminished in countries and contexts with higher educational levels and greater institutional regulation, suggesting that LC influence is not universal but context-dependent </w:t>
      </w:r>
      <w:r w:rsidR="00026FCB" w:rsidRPr="00C82EE1">
        <w:rPr>
          <w:rFonts w:ascii="Times New Roman" w:hAnsi="Times New Roman" w:cs="Times New Roman"/>
          <w:sz w:val="24"/>
          <w:szCs w:val="24"/>
        </w:rPr>
        <w:t>(</w:t>
      </w:r>
      <w:proofErr w:type="spellStart"/>
      <w:r w:rsidR="00026FCB" w:rsidRPr="00C82EE1">
        <w:rPr>
          <w:rFonts w:ascii="Times New Roman" w:hAnsi="Times New Roman" w:cs="Times New Roman"/>
          <w:sz w:val="24"/>
          <w:szCs w:val="24"/>
        </w:rPr>
        <w:t>Neira</w:t>
      </w:r>
      <w:proofErr w:type="spellEnd"/>
      <w:r w:rsidR="00026FCB" w:rsidRPr="00C82EE1">
        <w:rPr>
          <w:rFonts w:ascii="Times New Roman" w:hAnsi="Times New Roman" w:cs="Times New Roman"/>
          <w:sz w:val="24"/>
          <w:szCs w:val="24"/>
        </w:rPr>
        <w:t xml:space="preserve"> et al., 2017)</w:t>
      </w:r>
      <w:r w:rsidRPr="00C82EE1">
        <w:rPr>
          <w:rFonts w:ascii="Times New Roman" w:eastAsia="Times New Roman" w:hAnsi="Times New Roman" w:cs="Times New Roman"/>
          <w:sz w:val="24"/>
          <w:szCs w:val="24"/>
          <w:lang w:eastAsia="fr-BE"/>
        </w:rPr>
        <w:t>.</w:t>
      </w:r>
    </w:p>
    <w:p w14:paraId="35B05C42" w14:textId="77777777" w:rsidR="00071477" w:rsidRPr="00C82EE1" w:rsidRDefault="00071477"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In a further breakthrough, we assess the long-term impact of LC beyond the ICO stage, showing that projects with more complex language in their white papers are associated with higher post-ICO token returns and a lower likelihood of delisting, thereby improving the long-term survival of ICO ventures. These results remain robust across a range of endogeneity concerns, alternative readability measures, and additional control variables, reinforcing the validity and reliability of our findings.</w:t>
      </w:r>
    </w:p>
    <w:p w14:paraId="4F9982DA" w14:textId="486201A0" w:rsidR="00071477" w:rsidRPr="00C82EE1" w:rsidRDefault="00071477"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While this study offers novel contributions to financial and entrepreneurial literature, it also opens avenues for future research. The ICO market has evolved with the rise of Security Token Offerings (STOs) and Initial Exchange Offerings (IEOs</w:t>
      </w:r>
      <w:r w:rsidR="00026FCB" w:rsidRPr="00C82EE1">
        <w:rPr>
          <w:rFonts w:ascii="Times New Roman" w:eastAsia="Times New Roman" w:hAnsi="Times New Roman" w:cs="Times New Roman"/>
          <w:sz w:val="24"/>
          <w:szCs w:val="24"/>
          <w:lang w:eastAsia="fr-BE"/>
        </w:rPr>
        <w:t xml:space="preserve">) </w:t>
      </w:r>
      <w:r w:rsidR="00026FCB" w:rsidRPr="00C82EE1">
        <w:rPr>
          <w:rFonts w:ascii="Times New Roman" w:hAnsi="Times New Roman" w:cs="Times New Roman"/>
          <w:sz w:val="24"/>
          <w:szCs w:val="24"/>
        </w:rPr>
        <w:t>(</w:t>
      </w:r>
      <w:proofErr w:type="spellStart"/>
      <w:r w:rsidR="00026FCB" w:rsidRPr="00C82EE1">
        <w:rPr>
          <w:rFonts w:ascii="Times New Roman" w:hAnsi="Times New Roman" w:cs="Times New Roman"/>
          <w:sz w:val="24"/>
          <w:szCs w:val="24"/>
        </w:rPr>
        <w:t>Andrieu</w:t>
      </w:r>
      <w:proofErr w:type="spellEnd"/>
      <w:r w:rsidR="00026FCB" w:rsidRPr="00C82EE1">
        <w:rPr>
          <w:rFonts w:ascii="Times New Roman" w:hAnsi="Times New Roman" w:cs="Times New Roman"/>
          <w:sz w:val="24"/>
          <w:szCs w:val="24"/>
        </w:rPr>
        <w:t xml:space="preserve"> &amp; </w:t>
      </w:r>
      <w:proofErr w:type="spellStart"/>
      <w:r w:rsidR="00026FCB" w:rsidRPr="00C82EE1">
        <w:rPr>
          <w:rFonts w:ascii="Times New Roman" w:hAnsi="Times New Roman" w:cs="Times New Roman"/>
          <w:sz w:val="24"/>
          <w:szCs w:val="24"/>
        </w:rPr>
        <w:t>Sannajust</w:t>
      </w:r>
      <w:proofErr w:type="spellEnd"/>
      <w:r w:rsidR="00026FCB" w:rsidRPr="00C82EE1">
        <w:rPr>
          <w:rFonts w:ascii="Times New Roman" w:hAnsi="Times New Roman" w:cs="Times New Roman"/>
          <w:sz w:val="24"/>
          <w:szCs w:val="24"/>
        </w:rPr>
        <w:t xml:space="preserve">, 2023; </w:t>
      </w:r>
      <w:proofErr w:type="spellStart"/>
      <w:r w:rsidR="00026FCB" w:rsidRPr="00C82EE1">
        <w:rPr>
          <w:rFonts w:ascii="Times New Roman" w:hAnsi="Times New Roman" w:cs="Times New Roman"/>
          <w:sz w:val="24"/>
          <w:szCs w:val="24"/>
        </w:rPr>
        <w:t>Bellavitis</w:t>
      </w:r>
      <w:proofErr w:type="spellEnd"/>
      <w:r w:rsidR="00026FCB" w:rsidRPr="00C82EE1">
        <w:rPr>
          <w:rFonts w:ascii="Times New Roman" w:hAnsi="Times New Roman" w:cs="Times New Roman"/>
          <w:sz w:val="24"/>
          <w:szCs w:val="24"/>
        </w:rPr>
        <w:t xml:space="preserve"> et al., 2021)</w:t>
      </w:r>
      <w:r w:rsidRPr="00C82EE1">
        <w:rPr>
          <w:rFonts w:ascii="Times New Roman" w:eastAsia="Times New Roman" w:hAnsi="Times New Roman" w:cs="Times New Roman"/>
          <w:sz w:val="24"/>
          <w:szCs w:val="24"/>
          <w:lang w:eastAsia="fr-BE"/>
        </w:rPr>
        <w:t xml:space="preserve">, and further exploration of how LC interacts with these new formats could yield valuable insights. </w:t>
      </w:r>
      <w:r w:rsidRPr="00F77BD0">
        <w:rPr>
          <w:rFonts w:ascii="Times New Roman" w:eastAsia="Times New Roman" w:hAnsi="Times New Roman" w:cs="Times New Roman"/>
          <w:sz w:val="24"/>
          <w:szCs w:val="24"/>
          <w:lang w:eastAsia="fr-BE"/>
        </w:rPr>
        <w:t xml:space="preserve">Additionally, the growing role of artificial intelligence in standardizing language in financial documents warrants investigation, as AI-driven changes in </w:t>
      </w:r>
      <w:r w:rsidR="00E8574F" w:rsidRPr="00F77BD0">
        <w:rPr>
          <w:rFonts w:ascii="Times New Roman" w:eastAsia="Times New Roman" w:hAnsi="Times New Roman" w:cs="Times New Roman"/>
          <w:sz w:val="24"/>
          <w:szCs w:val="24"/>
          <w:lang w:eastAsia="fr-BE"/>
        </w:rPr>
        <w:t xml:space="preserve">LC </w:t>
      </w:r>
      <w:r w:rsidRPr="00F77BD0">
        <w:rPr>
          <w:rFonts w:ascii="Times New Roman" w:eastAsia="Times New Roman" w:hAnsi="Times New Roman" w:cs="Times New Roman"/>
          <w:sz w:val="24"/>
          <w:szCs w:val="24"/>
          <w:lang w:eastAsia="fr-BE"/>
        </w:rPr>
        <w:t xml:space="preserve">could alter how investors perceive project quality </w:t>
      </w:r>
      <w:r w:rsidR="00026FCB" w:rsidRPr="00F77BD0">
        <w:rPr>
          <w:rFonts w:ascii="Times New Roman" w:hAnsi="Times New Roman" w:cs="Times New Roman"/>
          <w:sz w:val="24"/>
          <w:szCs w:val="24"/>
        </w:rPr>
        <w:t>(Cheng et al., 2024</w:t>
      </w:r>
      <w:r w:rsidR="00972488" w:rsidRPr="00F77BD0">
        <w:rPr>
          <w:rFonts w:ascii="Times New Roman" w:hAnsi="Times New Roman" w:cs="Times New Roman"/>
          <w:sz w:val="24"/>
          <w:szCs w:val="24"/>
        </w:rPr>
        <w:t>, Pretorius &amp; Thewissen, forthcoming</w:t>
      </w:r>
      <w:r w:rsidR="00026FCB" w:rsidRPr="00F77BD0">
        <w:rPr>
          <w:rFonts w:ascii="Times New Roman" w:hAnsi="Times New Roman" w:cs="Times New Roman"/>
          <w:sz w:val="24"/>
          <w:szCs w:val="24"/>
        </w:rPr>
        <w:t>)</w:t>
      </w:r>
      <w:r w:rsidR="00972488" w:rsidRPr="00F77BD0">
        <w:rPr>
          <w:rFonts w:ascii="Times New Roman" w:eastAsia="Times New Roman" w:hAnsi="Times New Roman" w:cs="Times New Roman"/>
          <w:sz w:val="24"/>
          <w:szCs w:val="24"/>
          <w:lang w:eastAsia="fr-BE"/>
        </w:rPr>
        <w:t>.</w:t>
      </w:r>
    </w:p>
    <w:p w14:paraId="0F1CAC3A" w14:textId="44ACE50F" w:rsidR="00481D5B" w:rsidRPr="00C82EE1" w:rsidRDefault="00071477"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In conclusion, this study highlights the strategic importance of LC in the ICO process, offering a fresh lens through which to understand the dynamics between language, investor behavior, and funding success. Our findings underscore the need for entrepreneurs to carefully craft their white papers, leveraging the power of language to signal credibility and attract the investors.</w:t>
      </w:r>
      <w:r w:rsidR="00481D5B" w:rsidRPr="00C82EE1">
        <w:rPr>
          <w:rFonts w:ascii="Times New Roman" w:eastAsia="Times New Roman" w:hAnsi="Times New Roman" w:cs="Times New Roman"/>
          <w:sz w:val="24"/>
          <w:szCs w:val="24"/>
          <w:lang w:eastAsia="fr-BE"/>
        </w:rPr>
        <w:br w:type="page"/>
      </w:r>
    </w:p>
    <w:p w14:paraId="5A07E4D1" w14:textId="77777777" w:rsidR="00481D5B" w:rsidRPr="00C82EE1" w:rsidRDefault="00481D5B" w:rsidP="00C7392E">
      <w:pPr>
        <w:spacing w:before="240" w:after="240" w:line="360" w:lineRule="auto"/>
        <w:contextualSpacing/>
        <w:jc w:val="both"/>
        <w:rPr>
          <w:rFonts w:ascii="Times New Roman" w:hAnsi="Times New Roman" w:cs="Times New Roman"/>
          <w:b/>
          <w:sz w:val="32"/>
          <w:szCs w:val="24"/>
        </w:rPr>
      </w:pPr>
      <w:r w:rsidRPr="00C82EE1">
        <w:rPr>
          <w:rFonts w:ascii="Times New Roman" w:hAnsi="Times New Roman" w:cs="Times New Roman"/>
          <w:b/>
          <w:sz w:val="32"/>
          <w:szCs w:val="24"/>
        </w:rPr>
        <w:lastRenderedPageBreak/>
        <w:t>Appendix A - Qualitative vocabulary analysis</w:t>
      </w:r>
    </w:p>
    <w:p w14:paraId="7BE20528" w14:textId="78A9D7F6" w:rsidR="00481D5B" w:rsidRPr="00C82EE1" w:rsidRDefault="00481D5B" w:rsidP="007F3752">
      <w:pPr>
        <w:spacing w:after="120" w:line="360" w:lineRule="auto"/>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 xml:space="preserve">Before we detail our results, we concretely exemplify the language behind the numbers in our empirical analyses. To do so, we select two ICO white papers: one (text 1, henceforth T1) that exhibits a low LC profile and poor investment performance, and a contrasting paper (text 2, T2) with a high LC profile and strong investment outcome. The objective is to compare the types of vocabulary used in both documents, thereby demonstrating the specific vocabulary that influences entrepreneurial communication and subsequent investment behavior. Using the Vocabulary Profiler available on the </w:t>
      </w:r>
      <w:hyperlink r:id="rId8" w:history="1">
        <w:r w:rsidRPr="00C82EE1">
          <w:rPr>
            <w:rFonts w:ascii="Times New Roman" w:eastAsia="Times New Roman" w:hAnsi="Times New Roman" w:cs="Times New Roman"/>
            <w:sz w:val="24"/>
            <w:szCs w:val="24"/>
            <w:u w:val="single"/>
            <w:lang w:eastAsia="fr-BE"/>
          </w:rPr>
          <w:t>EAPfoundation.com</w:t>
        </w:r>
      </w:hyperlink>
      <w:r w:rsidRPr="00C82EE1">
        <w:rPr>
          <w:rFonts w:ascii="Times New Roman" w:eastAsia="Times New Roman" w:hAnsi="Times New Roman" w:cs="Times New Roman"/>
          <w:sz w:val="24"/>
          <w:szCs w:val="24"/>
          <w:lang w:eastAsia="fr-BE"/>
        </w:rPr>
        <w:t xml:space="preserve"> page (EAP Foundation, 2024), the vocabulary profiles of the two ICO white papers are automatically generated, classifying words into their respective frequency bands (from 1k</w:t>
      </w:r>
      <w:r w:rsidR="007B1EDA">
        <w:rPr>
          <w:rStyle w:val="Appelnotedebasdep"/>
          <w:rFonts w:ascii="Times New Roman" w:eastAsia="Times New Roman" w:hAnsi="Times New Roman" w:cs="Times New Roman"/>
          <w:sz w:val="24"/>
          <w:szCs w:val="24"/>
          <w:lang w:eastAsia="fr-BE"/>
        </w:rPr>
        <w:footnoteReference w:customMarkFollows="1" w:id="22"/>
        <w:t>22</w:t>
      </w:r>
      <w:r w:rsidRPr="00C82EE1">
        <w:rPr>
          <w:rFonts w:ascii="Times New Roman" w:eastAsia="Times New Roman" w:hAnsi="Times New Roman" w:cs="Times New Roman"/>
          <w:sz w:val="24"/>
          <w:szCs w:val="24"/>
          <w:lang w:eastAsia="fr-BE"/>
        </w:rPr>
        <w:t xml:space="preserve"> to 25k) according to the British National Corpus </w:t>
      </w:r>
      <w:r w:rsidR="00485FDA" w:rsidRPr="00C82EE1">
        <w:rPr>
          <w:rFonts w:ascii="Times New Roman" w:hAnsi="Times New Roman" w:cs="Times New Roman"/>
          <w:sz w:val="24"/>
        </w:rPr>
        <w:t>(BNC Consortium, 2007)</w:t>
      </w:r>
      <w:r w:rsidRPr="00C82EE1">
        <w:rPr>
          <w:rFonts w:ascii="Times New Roman" w:eastAsia="Times New Roman" w:hAnsi="Times New Roman" w:cs="Times New Roman"/>
          <w:sz w:val="24"/>
          <w:szCs w:val="24"/>
          <w:lang w:eastAsia="fr-BE"/>
        </w:rPr>
        <w:t>. This analysis thus provides qualitative insights into both vocabulary sophistication and diversity. Notably, T1 predominantly contains vocabulary within the 1k and 2k frequency bands (with a cumulative percentage of 80.6% for 1k and 2k vocabulary), whereas T2 demonstrates greater lexical sophistication, with vocabulary distributed across the 1k, 2k, and 3k bands (with a cumulative percentage of 73.8% for 1k and 2k vocabulary, and 87.3% when including 3k vocabulary).</w:t>
      </w:r>
    </w:p>
    <w:p w14:paraId="28ECCA91" w14:textId="5B2D2E74" w:rsidR="00481D5B" w:rsidRPr="00C82EE1" w:rsidRDefault="00481D5B"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 xml:space="preserve">Table A2 in the Appendix concretely illustrates what this means by providing the individual vocabulary items that the Vocabulary Profiler highlights within the k2 and k3 range for T1 and T2 (we disregard k1, which includes everyday terms and function words, such as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a</w:t>
      </w:r>
      <w:r w:rsidR="002C2508" w:rsidRPr="00C82EE1">
        <w:rPr>
          <w:rFonts w:ascii="Times New Roman" w:hAnsi="Times New Roman" w:cs="Times New Roman"/>
          <w:sz w:val="24"/>
          <w:szCs w:val="24"/>
        </w:rPr>
        <w:t>"</w:t>
      </w:r>
      <w:r w:rsidRPr="00C82EE1">
        <w:rPr>
          <w:rFonts w:ascii="Times New Roman" w:eastAsia="Times New Roman" w:hAnsi="Times New Roman" w:cs="Times New Roman"/>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about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above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business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are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back</w:t>
      </w:r>
      <w:r w:rsidR="002C2508" w:rsidRPr="00C82EE1">
        <w:rPr>
          <w:rFonts w:ascii="Times New Roman" w:hAnsi="Times New Roman" w:cs="Times New Roman"/>
          <w:sz w:val="24"/>
          <w:szCs w:val="24"/>
        </w:rPr>
        <w:t>"</w:t>
      </w:r>
      <w:r w:rsidRPr="00C82EE1">
        <w:rPr>
          <w:rFonts w:ascii="Times New Roman" w:eastAsia="Times New Roman" w:hAnsi="Times New Roman" w:cs="Times New Roman"/>
          <w:sz w:val="24"/>
          <w:szCs w:val="24"/>
          <w:lang w:eastAsia="fr-BE"/>
        </w:rPr>
        <w:t xml:space="preserve">, etc.). T1 is notably a much shorter ICO white paper than T2, which accounts for the disparity in the word count. T1 arguably incorporates a number of performance-oriented vocabulary items, such as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advance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available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increasing</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development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smart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speed</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asset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boost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efficient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iCs/>
          <w:sz w:val="24"/>
          <w:szCs w:val="24"/>
          <w:lang w:eastAsia="fr-BE"/>
        </w:rPr>
        <w:t>revolution</w:t>
      </w:r>
      <w:r w:rsidR="002C2508" w:rsidRPr="00C82EE1">
        <w:rPr>
          <w:rFonts w:ascii="Times New Roman" w:hAnsi="Times New Roman" w:cs="Times New Roman"/>
          <w:sz w:val="24"/>
          <w:szCs w:val="24"/>
        </w:rPr>
        <w:t>"</w:t>
      </w:r>
      <w:r w:rsidRPr="00C82EE1">
        <w:rPr>
          <w:rFonts w:ascii="Times New Roman" w:eastAsia="Times New Roman" w:hAnsi="Times New Roman" w:cs="Times New Roman"/>
          <w:sz w:val="24"/>
          <w:szCs w:val="24"/>
          <w:lang w:eastAsia="fr-BE"/>
        </w:rPr>
        <w:t xml:space="preserve">, etc. However, the overall tone remains relatively lexically neutral or </w:t>
      </w:r>
      <w:bookmarkStart w:id="23" w:name="_Hlk195022740"/>
      <w:r w:rsidR="00AD4704" w:rsidRPr="00C82EE1">
        <w:rPr>
          <w:rFonts w:ascii="Times New Roman" w:hAnsi="Times New Roman" w:cs="Times New Roman"/>
          <w:sz w:val="24"/>
          <w:szCs w:val="24"/>
        </w:rPr>
        <w:t>"</w:t>
      </w:r>
      <w:bookmarkEnd w:id="23"/>
      <w:r w:rsidR="00AD4704" w:rsidRPr="002C2508">
        <w:rPr>
          <w:rFonts w:ascii="Times New Roman" w:eastAsia="Times New Roman" w:hAnsi="Times New Roman" w:cs="Times New Roman"/>
          <w:i/>
          <w:sz w:val="24"/>
          <w:szCs w:val="24"/>
          <w:lang w:eastAsia="fr-BE"/>
        </w:rPr>
        <w:t>plain</w:t>
      </w:r>
      <w:r w:rsidR="00AD4704" w:rsidRPr="00C82EE1">
        <w:rPr>
          <w:rFonts w:ascii="Times New Roman" w:hAnsi="Times New Roman" w:cs="Times New Roman"/>
          <w:sz w:val="24"/>
          <w:szCs w:val="24"/>
        </w:rPr>
        <w:t>"</w:t>
      </w:r>
      <w:r w:rsidRPr="00C82EE1">
        <w:rPr>
          <w:rFonts w:ascii="Times New Roman" w:eastAsia="Times New Roman" w:hAnsi="Times New Roman" w:cs="Times New Roman"/>
          <w:sz w:val="24"/>
          <w:szCs w:val="24"/>
          <w:lang w:eastAsia="fr-BE"/>
        </w:rPr>
        <w:t xml:space="preserve">. Terms like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basis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contract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data</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economy</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email</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operation</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official</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period</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network</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modified</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participate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currencies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source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profiles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specified</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Pr="00C82EE1">
        <w:rPr>
          <w:rFonts w:ascii="Times New Roman" w:eastAsia="Times New Roman" w:hAnsi="Times New Roman" w:cs="Times New Roman"/>
          <w:sz w:val="24"/>
          <w:szCs w:val="24"/>
          <w:lang w:eastAsia="fr-BE"/>
        </w:rPr>
        <w:t xml:space="preserve">etc., make up a large part of T1. These terms are straightforward and lack any substantial impact on the reader. This lexical plainness is even more apparent when contrasted with T2, which employs highly persuasive marketing language, a strategy that </w:t>
      </w:r>
      <w:r w:rsidRPr="00C82EE1">
        <w:rPr>
          <w:rFonts w:ascii="Times New Roman" w:eastAsia="Times New Roman" w:hAnsi="Times New Roman" w:cs="Times New Roman"/>
          <w:sz w:val="24"/>
          <w:szCs w:val="24"/>
          <w:lang w:val="en-GB" w:eastAsia="fr-BE"/>
        </w:rPr>
        <w:t>proves successful</w:t>
      </w:r>
      <w:r w:rsidR="00C7392E">
        <w:rPr>
          <w:rFonts w:ascii="Times New Roman" w:eastAsia="Times New Roman" w:hAnsi="Times New Roman" w:cs="Times New Roman"/>
          <w:sz w:val="24"/>
          <w:szCs w:val="24"/>
          <w:lang w:val="en-GB" w:eastAsia="fr-BE"/>
        </w:rPr>
        <w:t xml:space="preserve"> </w:t>
      </w:r>
      <w:r w:rsidRPr="00C82EE1">
        <w:rPr>
          <w:rFonts w:ascii="Times New Roman" w:eastAsia="Times New Roman" w:hAnsi="Times New Roman" w:cs="Times New Roman"/>
          <w:sz w:val="24"/>
          <w:szCs w:val="24"/>
          <w:lang w:eastAsia="fr-BE"/>
        </w:rPr>
        <w:t xml:space="preserve">given the higher investment amount collected by T2. Many of the terms listed in the table for T2 can be categorized into several key semantic groups, each designed to convey that the company is well-managed, proactive, and </w:t>
      </w:r>
      <w:r w:rsidRPr="00C82EE1">
        <w:rPr>
          <w:rFonts w:ascii="Times New Roman" w:eastAsia="Times New Roman" w:hAnsi="Times New Roman" w:cs="Times New Roman"/>
          <w:sz w:val="24"/>
          <w:szCs w:val="24"/>
          <w:lang w:eastAsia="fr-BE"/>
        </w:rPr>
        <w:lastRenderedPageBreak/>
        <w:t>poised for growth, presenting itself as a potentially lucrative investment opportunity. We identify several semantic categories below, along with representative vocabulary examples from the ICO itself (T2):</w:t>
      </w:r>
    </w:p>
    <w:p w14:paraId="1F23DA0B" w14:textId="1887BFD4" w:rsidR="00481D5B" w:rsidRPr="00C82EE1" w:rsidRDefault="00481D5B" w:rsidP="00026FCB">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b/>
          <w:bCs/>
          <w:sz w:val="24"/>
          <w:szCs w:val="24"/>
          <w:lang w:eastAsia="fr-BE"/>
        </w:rPr>
        <w:t>Innovation and technological advancement:</w:t>
      </w:r>
      <w:r w:rsidRPr="00C82EE1">
        <w:rPr>
          <w:rFonts w:ascii="Times New Roman" w:eastAsia="Times New Roman" w:hAnsi="Times New Roman" w:cs="Times New Roman"/>
          <w:sz w:val="24"/>
          <w:szCs w:val="24"/>
          <w:lang w:eastAsia="fr-BE"/>
        </w:rPr>
        <w:t xml:space="preserve"> e.g.,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advances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brain</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clever</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create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developers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founders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goals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future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giant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generation</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increasing</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increasingly</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innovation</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inspiration</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skills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produce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scalable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scales</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technological</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valuable</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novel</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 xml:space="preserve">, </w:t>
      </w:r>
      <w:r w:rsidR="002C2508" w:rsidRPr="00C82EE1">
        <w:rPr>
          <w:rFonts w:ascii="Times New Roman" w:hAnsi="Times New Roman" w:cs="Times New Roman"/>
          <w:sz w:val="24"/>
          <w:szCs w:val="24"/>
        </w:rPr>
        <w:t>"</w:t>
      </w:r>
      <w:r w:rsidRPr="00C82EE1">
        <w:rPr>
          <w:rFonts w:ascii="Times New Roman" w:eastAsia="Times New Roman" w:hAnsi="Times New Roman" w:cs="Times New Roman"/>
          <w:i/>
          <w:sz w:val="24"/>
          <w:szCs w:val="24"/>
          <w:lang w:eastAsia="fr-BE"/>
        </w:rPr>
        <w:t>smart</w:t>
      </w:r>
      <w:r w:rsidR="002C2508" w:rsidRPr="00C82EE1">
        <w:rPr>
          <w:rFonts w:ascii="Times New Roman" w:hAnsi="Times New Roman" w:cs="Times New Roman"/>
          <w:sz w:val="24"/>
          <w:szCs w:val="24"/>
        </w:rPr>
        <w:t>"</w:t>
      </w:r>
      <w:r w:rsidRPr="00C82EE1">
        <w:rPr>
          <w:rFonts w:ascii="Times New Roman" w:eastAsia="Times New Roman" w:hAnsi="Times New Roman" w:cs="Times New Roman"/>
          <w:sz w:val="24"/>
          <w:szCs w:val="24"/>
          <w:lang w:eastAsia="fr-BE"/>
        </w:rPr>
        <w:t>, etc.</w:t>
      </w:r>
    </w:p>
    <w:p w14:paraId="42B0D3AC" w14:textId="68F239B0" w:rsidR="002C2508" w:rsidRPr="00B67CD1" w:rsidRDefault="002C2508" w:rsidP="002C2508">
      <w:pPr>
        <w:pStyle w:val="Paragraphedeliste"/>
        <w:numPr>
          <w:ilvl w:val="0"/>
          <w:numId w:val="12"/>
        </w:numPr>
        <w:spacing w:before="100" w:beforeAutospacing="1" w:after="100" w:afterAutospacing="1"/>
        <w:rPr>
          <w:rFonts w:ascii="Times New Roman" w:hAnsi="Times New Roman" w:cs="Times New Roman"/>
          <w:sz w:val="24"/>
          <w:lang w:val="en-US"/>
        </w:rPr>
      </w:pPr>
      <w:r w:rsidRPr="00B67CD1">
        <w:rPr>
          <w:rStyle w:val="lev"/>
          <w:rFonts w:ascii="Times New Roman" w:hAnsi="Times New Roman" w:cs="Times New Roman"/>
          <w:sz w:val="24"/>
          <w:lang w:val="en-US"/>
        </w:rPr>
        <w:t>Business management efficiency</w:t>
      </w:r>
      <w:r w:rsidRPr="00B67CD1">
        <w:rPr>
          <w:rFonts w:ascii="Times New Roman" w:hAnsi="Times New Roman" w:cs="Times New Roman"/>
          <w:sz w:val="24"/>
          <w:lang w:val="en-US"/>
        </w:rPr>
        <w:t xml:space="preserve">: </w:t>
      </w:r>
      <w:r w:rsidR="00B67CD1" w:rsidRPr="00B67CD1">
        <w:rPr>
          <w:rFonts w:ascii="Times New Roman" w:eastAsia="Times New Roman" w:hAnsi="Times New Roman" w:cs="Times New Roman"/>
          <w:sz w:val="24"/>
          <w:szCs w:val="24"/>
          <w:lang w:val="en-US" w:eastAsia="fr-BE"/>
        </w:rPr>
        <w:t>e.g</w:t>
      </w:r>
      <w:r w:rsidRPr="00B67CD1">
        <w:rPr>
          <w:rStyle w:val="Accentuation"/>
          <w:rFonts w:ascii="Times New Roman" w:hAnsi="Times New Roman" w:cs="Times New Roman"/>
          <w:sz w:val="24"/>
          <w:lang w:val="en-US"/>
        </w:rPr>
        <w:t>.</w:t>
      </w:r>
      <w:r w:rsidRPr="00B67CD1">
        <w:rPr>
          <w:rFonts w:ascii="Times New Roman" w:hAnsi="Times New Roman" w:cs="Times New Roman"/>
          <w:sz w:val="24"/>
          <w:lang w:val="en-US"/>
        </w:rPr>
        <w:t>, "</w:t>
      </w:r>
      <w:r w:rsidRPr="00B67CD1">
        <w:rPr>
          <w:rFonts w:ascii="Times New Roman" w:hAnsi="Times New Roman" w:cs="Times New Roman"/>
          <w:i/>
          <w:sz w:val="24"/>
          <w:lang w:val="en-US"/>
        </w:rPr>
        <w:t>accessible</w:t>
      </w:r>
      <w:r w:rsidRPr="00B67CD1">
        <w:rPr>
          <w:rFonts w:ascii="Times New Roman" w:hAnsi="Times New Roman" w:cs="Times New Roman"/>
          <w:sz w:val="24"/>
          <w:lang w:val="en-US"/>
        </w:rPr>
        <w:t>", "</w:t>
      </w:r>
      <w:r w:rsidRPr="00B67CD1">
        <w:rPr>
          <w:rFonts w:ascii="Times New Roman" w:hAnsi="Times New Roman" w:cs="Times New Roman"/>
          <w:i/>
          <w:sz w:val="24"/>
          <w:lang w:val="en-US"/>
        </w:rPr>
        <w:t>adaptive</w:t>
      </w:r>
      <w:r w:rsidRPr="00B67CD1">
        <w:rPr>
          <w:rFonts w:ascii="Times New Roman" w:hAnsi="Times New Roman" w:cs="Times New Roman"/>
          <w:sz w:val="24"/>
          <w:lang w:val="en-US"/>
        </w:rPr>
        <w:t>", "</w:t>
      </w:r>
      <w:r w:rsidRPr="00B67CD1">
        <w:rPr>
          <w:rFonts w:ascii="Times New Roman" w:hAnsi="Times New Roman" w:cs="Times New Roman"/>
          <w:i/>
          <w:sz w:val="24"/>
          <w:lang w:val="en-US"/>
        </w:rPr>
        <w:t>availability</w:t>
      </w:r>
      <w:r w:rsidRPr="00B67CD1">
        <w:rPr>
          <w:rFonts w:ascii="Times New Roman" w:hAnsi="Times New Roman" w:cs="Times New Roman"/>
          <w:sz w:val="24"/>
          <w:lang w:val="en-US"/>
        </w:rPr>
        <w:t>", "</w:t>
      </w:r>
      <w:r w:rsidRPr="00B67CD1">
        <w:rPr>
          <w:rFonts w:ascii="Times New Roman" w:hAnsi="Times New Roman" w:cs="Times New Roman"/>
          <w:i/>
          <w:sz w:val="24"/>
          <w:lang w:val="en-US"/>
        </w:rPr>
        <w:t>challenges</w:t>
      </w:r>
      <w:r w:rsidRPr="00B67CD1">
        <w:rPr>
          <w:rFonts w:ascii="Times New Roman" w:hAnsi="Times New Roman" w:cs="Times New Roman"/>
          <w:sz w:val="24"/>
          <w:lang w:val="en-US"/>
        </w:rPr>
        <w:t>", "</w:t>
      </w:r>
      <w:r w:rsidRPr="00B67CD1">
        <w:rPr>
          <w:rFonts w:ascii="Times New Roman" w:hAnsi="Times New Roman" w:cs="Times New Roman"/>
          <w:i/>
          <w:sz w:val="24"/>
          <w:lang w:val="en-US"/>
        </w:rPr>
        <w:t>custom</w:t>
      </w:r>
      <w:r w:rsidRPr="00B67CD1">
        <w:rPr>
          <w:rFonts w:ascii="Times New Roman" w:hAnsi="Times New Roman" w:cs="Times New Roman"/>
          <w:sz w:val="24"/>
          <w:lang w:val="en-US"/>
        </w:rPr>
        <w:t>", "</w:t>
      </w:r>
      <w:r w:rsidRPr="00B67CD1">
        <w:rPr>
          <w:rFonts w:ascii="Times New Roman" w:hAnsi="Times New Roman" w:cs="Times New Roman"/>
          <w:i/>
          <w:sz w:val="24"/>
          <w:lang w:val="en-US"/>
        </w:rPr>
        <w:t>collaboration</w:t>
      </w:r>
      <w:r w:rsidRPr="00B67CD1">
        <w:rPr>
          <w:rFonts w:ascii="Times New Roman" w:hAnsi="Times New Roman" w:cs="Times New Roman"/>
          <w:sz w:val="24"/>
          <w:lang w:val="en-US"/>
        </w:rPr>
        <w:t>", "</w:t>
      </w:r>
      <w:r w:rsidRPr="00B67CD1">
        <w:rPr>
          <w:rFonts w:ascii="Times New Roman" w:hAnsi="Times New Roman" w:cs="Times New Roman"/>
          <w:i/>
          <w:sz w:val="24"/>
          <w:lang w:val="en-US"/>
        </w:rPr>
        <w:t>conditions</w:t>
      </w:r>
      <w:r w:rsidRPr="00B67CD1">
        <w:rPr>
          <w:rFonts w:ascii="Times New Roman" w:hAnsi="Times New Roman" w:cs="Times New Roman"/>
          <w:sz w:val="24"/>
          <w:lang w:val="en-US"/>
        </w:rPr>
        <w:t>", "</w:t>
      </w:r>
      <w:r w:rsidRPr="00B67CD1">
        <w:rPr>
          <w:rFonts w:ascii="Times New Roman" w:hAnsi="Times New Roman" w:cs="Times New Roman"/>
          <w:i/>
          <w:sz w:val="24"/>
          <w:lang w:val="en-US"/>
        </w:rPr>
        <w:t>connect</w:t>
      </w:r>
      <w:r w:rsidRPr="00B67CD1">
        <w:rPr>
          <w:rFonts w:ascii="Times New Roman" w:hAnsi="Times New Roman" w:cs="Times New Roman"/>
          <w:sz w:val="24"/>
          <w:lang w:val="en-US"/>
        </w:rPr>
        <w:t>", "</w:t>
      </w:r>
      <w:r w:rsidRPr="00B67CD1">
        <w:rPr>
          <w:rFonts w:ascii="Times New Roman" w:hAnsi="Times New Roman" w:cs="Times New Roman"/>
          <w:i/>
          <w:sz w:val="24"/>
          <w:lang w:val="en-US"/>
        </w:rPr>
        <w:t>connected</w:t>
      </w:r>
      <w:r w:rsidRPr="00B67CD1">
        <w:rPr>
          <w:rFonts w:ascii="Times New Roman" w:hAnsi="Times New Roman" w:cs="Times New Roman"/>
          <w:sz w:val="24"/>
          <w:lang w:val="en-US"/>
        </w:rPr>
        <w:t>", "</w:t>
      </w:r>
      <w:r w:rsidRPr="00B67CD1">
        <w:rPr>
          <w:rFonts w:ascii="Times New Roman" w:hAnsi="Times New Roman" w:cs="Times New Roman"/>
          <w:i/>
          <w:sz w:val="24"/>
          <w:lang w:val="en-US"/>
        </w:rPr>
        <w:t>current</w:t>
      </w:r>
      <w:r w:rsidRPr="00B67CD1">
        <w:rPr>
          <w:rFonts w:ascii="Times New Roman" w:hAnsi="Times New Roman" w:cs="Times New Roman"/>
          <w:sz w:val="24"/>
          <w:lang w:val="en-US"/>
        </w:rPr>
        <w:t>", "</w:t>
      </w:r>
      <w:r w:rsidRPr="00B67CD1">
        <w:rPr>
          <w:rFonts w:ascii="Times New Roman" w:hAnsi="Times New Roman" w:cs="Times New Roman"/>
          <w:i/>
          <w:sz w:val="24"/>
          <w:lang w:val="en-US"/>
        </w:rPr>
        <w:t>decisions</w:t>
      </w:r>
      <w:r w:rsidRPr="00B67CD1">
        <w:rPr>
          <w:rFonts w:ascii="Times New Roman" w:hAnsi="Times New Roman" w:cs="Times New Roman"/>
          <w:sz w:val="24"/>
          <w:lang w:val="en-US"/>
        </w:rPr>
        <w:t>", "</w:t>
      </w:r>
      <w:r w:rsidRPr="00B67CD1">
        <w:rPr>
          <w:rFonts w:ascii="Times New Roman" w:hAnsi="Times New Roman" w:cs="Times New Roman"/>
          <w:i/>
          <w:sz w:val="24"/>
          <w:lang w:val="en-US"/>
        </w:rPr>
        <w:t>delivering</w:t>
      </w:r>
      <w:r w:rsidRPr="00B67CD1">
        <w:rPr>
          <w:rFonts w:ascii="Times New Roman" w:hAnsi="Times New Roman" w:cs="Times New Roman"/>
          <w:sz w:val="24"/>
          <w:lang w:val="en-US"/>
        </w:rPr>
        <w:t>", "</w:t>
      </w:r>
      <w:r w:rsidRPr="00B67CD1">
        <w:rPr>
          <w:rFonts w:ascii="Times New Roman" w:hAnsi="Times New Roman" w:cs="Times New Roman"/>
          <w:i/>
          <w:sz w:val="24"/>
          <w:lang w:val="en-US"/>
        </w:rPr>
        <w:t>design</w:t>
      </w:r>
      <w:r w:rsidRPr="00B67CD1">
        <w:rPr>
          <w:rFonts w:ascii="Times New Roman" w:hAnsi="Times New Roman" w:cs="Times New Roman"/>
          <w:sz w:val="24"/>
          <w:lang w:val="en-US"/>
        </w:rPr>
        <w:t>", "</w:t>
      </w:r>
      <w:r w:rsidRPr="00B67CD1">
        <w:rPr>
          <w:rFonts w:ascii="Times New Roman" w:hAnsi="Times New Roman" w:cs="Times New Roman"/>
          <w:i/>
          <w:sz w:val="24"/>
          <w:lang w:val="en-US"/>
        </w:rPr>
        <w:t>directing</w:t>
      </w:r>
      <w:r w:rsidRPr="00B67CD1">
        <w:rPr>
          <w:rFonts w:ascii="Times New Roman" w:hAnsi="Times New Roman" w:cs="Times New Roman"/>
          <w:sz w:val="24"/>
          <w:lang w:val="en-US"/>
        </w:rPr>
        <w:t>", "</w:t>
      </w:r>
      <w:r w:rsidRPr="00B67CD1">
        <w:rPr>
          <w:rFonts w:ascii="Times New Roman" w:hAnsi="Times New Roman" w:cs="Times New Roman"/>
          <w:i/>
          <w:sz w:val="24"/>
          <w:lang w:val="en-US"/>
        </w:rPr>
        <w:t>efficient</w:t>
      </w:r>
      <w:r w:rsidRPr="00B67CD1">
        <w:rPr>
          <w:rFonts w:ascii="Times New Roman" w:hAnsi="Times New Roman" w:cs="Times New Roman"/>
          <w:sz w:val="24"/>
          <w:lang w:val="en-US"/>
        </w:rPr>
        <w:t>", "</w:t>
      </w:r>
      <w:r w:rsidRPr="00B67CD1">
        <w:rPr>
          <w:rFonts w:ascii="Times New Roman" w:hAnsi="Times New Roman" w:cs="Times New Roman"/>
          <w:i/>
          <w:sz w:val="24"/>
          <w:lang w:val="en-US"/>
        </w:rPr>
        <w:t>effort</w:t>
      </w:r>
      <w:r w:rsidRPr="00B67CD1">
        <w:rPr>
          <w:rFonts w:ascii="Times New Roman" w:hAnsi="Times New Roman" w:cs="Times New Roman"/>
          <w:sz w:val="24"/>
          <w:lang w:val="en-US"/>
        </w:rPr>
        <w:t>", "</w:t>
      </w:r>
      <w:r w:rsidRPr="00B67CD1">
        <w:rPr>
          <w:rFonts w:ascii="Times New Roman" w:hAnsi="Times New Roman" w:cs="Times New Roman"/>
          <w:i/>
          <w:sz w:val="24"/>
          <w:lang w:val="en-US"/>
        </w:rPr>
        <w:t>engage</w:t>
      </w:r>
      <w:r w:rsidRPr="00B67CD1">
        <w:rPr>
          <w:rFonts w:ascii="Times New Roman" w:hAnsi="Times New Roman" w:cs="Times New Roman"/>
          <w:sz w:val="24"/>
          <w:lang w:val="en-US"/>
        </w:rPr>
        <w:t>", "</w:t>
      </w:r>
      <w:r w:rsidRPr="00B67CD1">
        <w:rPr>
          <w:rFonts w:ascii="Times New Roman" w:hAnsi="Times New Roman" w:cs="Times New Roman"/>
          <w:i/>
          <w:sz w:val="24"/>
          <w:lang w:val="en-US"/>
        </w:rPr>
        <w:t>engineering</w:t>
      </w:r>
      <w:r w:rsidRPr="00B67CD1">
        <w:rPr>
          <w:rFonts w:ascii="Times New Roman" w:hAnsi="Times New Roman" w:cs="Times New Roman"/>
          <w:sz w:val="24"/>
          <w:lang w:val="en-US"/>
        </w:rPr>
        <w:t>", "</w:t>
      </w:r>
      <w:r w:rsidRPr="00B67CD1">
        <w:rPr>
          <w:rFonts w:ascii="Times New Roman" w:hAnsi="Times New Roman" w:cs="Times New Roman"/>
          <w:i/>
          <w:sz w:val="24"/>
          <w:lang w:val="en-US"/>
        </w:rPr>
        <w:t>enable</w:t>
      </w:r>
      <w:r w:rsidRPr="00B67CD1">
        <w:rPr>
          <w:rFonts w:ascii="Times New Roman" w:hAnsi="Times New Roman" w:cs="Times New Roman"/>
          <w:sz w:val="24"/>
          <w:lang w:val="en-US"/>
        </w:rPr>
        <w:t>", "</w:t>
      </w:r>
      <w:r w:rsidRPr="00B67CD1">
        <w:rPr>
          <w:rFonts w:ascii="Times New Roman" w:hAnsi="Times New Roman" w:cs="Times New Roman"/>
          <w:i/>
          <w:sz w:val="24"/>
          <w:lang w:val="en-US"/>
        </w:rPr>
        <w:t>fulfill</w:t>
      </w:r>
      <w:r w:rsidRPr="00B67CD1">
        <w:rPr>
          <w:rFonts w:ascii="Times New Roman" w:hAnsi="Times New Roman" w:cs="Times New Roman"/>
          <w:sz w:val="24"/>
          <w:lang w:val="en-US"/>
        </w:rPr>
        <w:t>", "</w:t>
      </w:r>
      <w:r w:rsidRPr="00B67CD1">
        <w:rPr>
          <w:rFonts w:ascii="Times New Roman" w:hAnsi="Times New Roman" w:cs="Times New Roman"/>
          <w:i/>
          <w:sz w:val="24"/>
          <w:lang w:val="en-US"/>
        </w:rPr>
        <w:t>fostering</w:t>
      </w:r>
      <w:r w:rsidRPr="00B67CD1">
        <w:rPr>
          <w:rFonts w:ascii="Times New Roman" w:hAnsi="Times New Roman" w:cs="Times New Roman"/>
          <w:sz w:val="24"/>
          <w:lang w:val="en-US"/>
        </w:rPr>
        <w:t>", "</w:t>
      </w:r>
      <w:r w:rsidRPr="00B67CD1">
        <w:rPr>
          <w:rFonts w:ascii="Times New Roman" w:hAnsi="Times New Roman" w:cs="Times New Roman"/>
          <w:i/>
          <w:sz w:val="24"/>
          <w:lang w:val="en-US"/>
        </w:rPr>
        <w:t>hire</w:t>
      </w:r>
      <w:r w:rsidRPr="00B67CD1">
        <w:rPr>
          <w:rFonts w:ascii="Times New Roman" w:hAnsi="Times New Roman" w:cs="Times New Roman"/>
          <w:sz w:val="24"/>
          <w:lang w:val="en-US"/>
        </w:rPr>
        <w:t>", "</w:t>
      </w:r>
      <w:r w:rsidRPr="00B67CD1">
        <w:rPr>
          <w:rFonts w:ascii="Times New Roman" w:hAnsi="Times New Roman" w:cs="Times New Roman"/>
          <w:i/>
          <w:sz w:val="24"/>
          <w:lang w:val="en-US"/>
        </w:rPr>
        <w:t>including</w:t>
      </w:r>
      <w:r w:rsidRPr="00B67CD1">
        <w:rPr>
          <w:rFonts w:ascii="Times New Roman" w:hAnsi="Times New Roman" w:cs="Times New Roman"/>
          <w:sz w:val="24"/>
          <w:lang w:val="en-US"/>
        </w:rPr>
        <w:t>", "</w:t>
      </w:r>
      <w:r w:rsidRPr="00B67CD1">
        <w:rPr>
          <w:rFonts w:ascii="Times New Roman" w:hAnsi="Times New Roman" w:cs="Times New Roman"/>
          <w:i/>
          <w:sz w:val="24"/>
          <w:lang w:val="en-US"/>
        </w:rPr>
        <w:t>increasing</w:t>
      </w:r>
      <w:r w:rsidRPr="00B67CD1">
        <w:rPr>
          <w:rFonts w:ascii="Times New Roman" w:hAnsi="Times New Roman" w:cs="Times New Roman"/>
          <w:sz w:val="24"/>
          <w:lang w:val="en-US"/>
        </w:rPr>
        <w:t>", "</w:t>
      </w:r>
      <w:r w:rsidRPr="00B67CD1">
        <w:rPr>
          <w:rFonts w:ascii="Times New Roman" w:hAnsi="Times New Roman" w:cs="Times New Roman"/>
          <w:i/>
          <w:sz w:val="24"/>
          <w:lang w:val="en-US"/>
        </w:rPr>
        <w:t>partners</w:t>
      </w:r>
      <w:r w:rsidRPr="00B67CD1">
        <w:rPr>
          <w:rFonts w:ascii="Times New Roman" w:hAnsi="Times New Roman" w:cs="Times New Roman"/>
          <w:sz w:val="24"/>
          <w:lang w:val="en-US"/>
        </w:rPr>
        <w:t>", "</w:t>
      </w:r>
      <w:r w:rsidRPr="00B67CD1">
        <w:rPr>
          <w:rFonts w:ascii="Times New Roman" w:hAnsi="Times New Roman" w:cs="Times New Roman"/>
          <w:i/>
          <w:sz w:val="24"/>
          <w:lang w:val="en-US"/>
        </w:rPr>
        <w:t>process</w:t>
      </w:r>
      <w:r w:rsidRPr="00B67CD1">
        <w:rPr>
          <w:rFonts w:ascii="Times New Roman" w:hAnsi="Times New Roman" w:cs="Times New Roman"/>
          <w:sz w:val="24"/>
          <w:lang w:val="en-US"/>
        </w:rPr>
        <w:t>", "</w:t>
      </w:r>
      <w:r w:rsidRPr="00B67CD1">
        <w:rPr>
          <w:rFonts w:ascii="Times New Roman" w:hAnsi="Times New Roman" w:cs="Times New Roman"/>
          <w:i/>
          <w:sz w:val="24"/>
          <w:lang w:val="en-US"/>
        </w:rPr>
        <w:t>produce</w:t>
      </w:r>
      <w:r w:rsidRPr="00B67CD1">
        <w:rPr>
          <w:rFonts w:ascii="Times New Roman" w:hAnsi="Times New Roman" w:cs="Times New Roman"/>
          <w:sz w:val="24"/>
          <w:lang w:val="en-US"/>
        </w:rPr>
        <w:t>", "</w:t>
      </w:r>
      <w:r w:rsidRPr="00B67CD1">
        <w:rPr>
          <w:rFonts w:ascii="Times New Roman" w:hAnsi="Times New Roman" w:cs="Times New Roman"/>
          <w:i/>
          <w:sz w:val="24"/>
          <w:lang w:val="en-US"/>
        </w:rPr>
        <w:t>purchase</w:t>
      </w:r>
      <w:r w:rsidRPr="00B67CD1">
        <w:rPr>
          <w:rFonts w:ascii="Times New Roman" w:hAnsi="Times New Roman" w:cs="Times New Roman"/>
          <w:sz w:val="24"/>
          <w:lang w:val="en-US"/>
        </w:rPr>
        <w:t>", "</w:t>
      </w:r>
      <w:r w:rsidRPr="00B67CD1">
        <w:rPr>
          <w:rFonts w:ascii="Times New Roman" w:hAnsi="Times New Roman" w:cs="Times New Roman"/>
          <w:i/>
          <w:sz w:val="24"/>
          <w:lang w:val="en-US"/>
        </w:rPr>
        <w:t>recovery</w:t>
      </w:r>
      <w:r w:rsidRPr="00B67CD1">
        <w:rPr>
          <w:rFonts w:ascii="Times New Roman" w:hAnsi="Times New Roman" w:cs="Times New Roman"/>
          <w:sz w:val="24"/>
          <w:lang w:val="en-US"/>
        </w:rPr>
        <w:t>", "</w:t>
      </w:r>
      <w:r w:rsidRPr="00B67CD1">
        <w:rPr>
          <w:rFonts w:ascii="Times New Roman" w:hAnsi="Times New Roman" w:cs="Times New Roman"/>
          <w:i/>
          <w:sz w:val="24"/>
          <w:lang w:val="en-US"/>
        </w:rPr>
        <w:t>successful</w:t>
      </w:r>
      <w:r w:rsidRPr="00B67CD1">
        <w:rPr>
          <w:rFonts w:ascii="Times New Roman" w:hAnsi="Times New Roman" w:cs="Times New Roman"/>
          <w:sz w:val="24"/>
          <w:lang w:val="en-US"/>
        </w:rPr>
        <w:t>", "</w:t>
      </w:r>
      <w:r w:rsidRPr="00B67CD1">
        <w:rPr>
          <w:rFonts w:ascii="Times New Roman" w:hAnsi="Times New Roman" w:cs="Times New Roman"/>
          <w:i/>
          <w:sz w:val="24"/>
          <w:lang w:val="en-US"/>
        </w:rPr>
        <w:t>smooth</w:t>
      </w:r>
      <w:r w:rsidRPr="00B67CD1">
        <w:rPr>
          <w:rFonts w:ascii="Times New Roman" w:hAnsi="Times New Roman" w:cs="Times New Roman"/>
          <w:sz w:val="24"/>
          <w:lang w:val="en-US"/>
        </w:rPr>
        <w:t>", "</w:t>
      </w:r>
      <w:r w:rsidRPr="00B67CD1">
        <w:rPr>
          <w:rFonts w:ascii="Times New Roman" w:hAnsi="Times New Roman" w:cs="Times New Roman"/>
          <w:i/>
          <w:sz w:val="24"/>
          <w:lang w:val="en-US"/>
        </w:rPr>
        <w:t>rapidly</w:t>
      </w:r>
      <w:r w:rsidRPr="00B67CD1">
        <w:rPr>
          <w:rFonts w:ascii="Times New Roman" w:hAnsi="Times New Roman" w:cs="Times New Roman"/>
          <w:sz w:val="24"/>
          <w:lang w:val="en-US"/>
        </w:rPr>
        <w:t>", etc.</w:t>
      </w:r>
    </w:p>
    <w:p w14:paraId="14B54D52" w14:textId="0E6B9FB7" w:rsidR="002C2508" w:rsidRPr="00B67CD1" w:rsidRDefault="002C2508" w:rsidP="002C2508">
      <w:pPr>
        <w:pStyle w:val="Paragraphedeliste"/>
        <w:numPr>
          <w:ilvl w:val="0"/>
          <w:numId w:val="12"/>
        </w:numPr>
        <w:spacing w:before="100" w:beforeAutospacing="1" w:after="100" w:afterAutospacing="1"/>
        <w:rPr>
          <w:rFonts w:ascii="Times New Roman" w:hAnsi="Times New Roman" w:cs="Times New Roman"/>
          <w:sz w:val="24"/>
          <w:lang w:val="en-US"/>
        </w:rPr>
      </w:pPr>
      <w:r w:rsidRPr="00B67CD1">
        <w:rPr>
          <w:rStyle w:val="lev"/>
          <w:rFonts w:ascii="Times New Roman" w:hAnsi="Times New Roman" w:cs="Times New Roman"/>
          <w:sz w:val="24"/>
          <w:lang w:val="en-US"/>
        </w:rPr>
        <w:t>Talent management</w:t>
      </w:r>
      <w:r w:rsidRPr="00B67CD1">
        <w:rPr>
          <w:rFonts w:ascii="Times New Roman" w:hAnsi="Times New Roman" w:cs="Times New Roman"/>
          <w:sz w:val="24"/>
          <w:lang w:val="en-US"/>
        </w:rPr>
        <w:t xml:space="preserve">: </w:t>
      </w:r>
      <w:r w:rsidR="00B67CD1" w:rsidRPr="00B67CD1">
        <w:rPr>
          <w:rFonts w:ascii="Times New Roman" w:eastAsia="Times New Roman" w:hAnsi="Times New Roman" w:cs="Times New Roman"/>
          <w:sz w:val="24"/>
          <w:szCs w:val="24"/>
          <w:lang w:val="en-US" w:eastAsia="fr-BE"/>
        </w:rPr>
        <w:t>e.g</w:t>
      </w:r>
      <w:r w:rsidRPr="00B67CD1">
        <w:rPr>
          <w:rStyle w:val="Accentuation"/>
          <w:rFonts w:ascii="Times New Roman" w:hAnsi="Times New Roman" w:cs="Times New Roman"/>
          <w:sz w:val="24"/>
          <w:lang w:val="en-US"/>
        </w:rPr>
        <w:t>.</w:t>
      </w:r>
      <w:r w:rsidRPr="00B67CD1">
        <w:rPr>
          <w:rFonts w:ascii="Times New Roman" w:hAnsi="Times New Roman" w:cs="Times New Roman"/>
          <w:sz w:val="24"/>
          <w:lang w:val="en-US"/>
        </w:rPr>
        <w:t>, "</w:t>
      </w:r>
      <w:r w:rsidRPr="00B67CD1">
        <w:rPr>
          <w:rFonts w:ascii="Times New Roman" w:hAnsi="Times New Roman" w:cs="Times New Roman"/>
          <w:i/>
          <w:sz w:val="24"/>
          <w:lang w:val="en-US"/>
        </w:rPr>
        <w:t>agent</w:t>
      </w:r>
      <w:r w:rsidRPr="00B67CD1">
        <w:rPr>
          <w:rFonts w:ascii="Times New Roman" w:hAnsi="Times New Roman" w:cs="Times New Roman"/>
          <w:sz w:val="24"/>
          <w:lang w:val="en-US"/>
        </w:rPr>
        <w:t>", "</w:t>
      </w:r>
      <w:r w:rsidRPr="00B67CD1">
        <w:rPr>
          <w:rFonts w:ascii="Times New Roman" w:hAnsi="Times New Roman" w:cs="Times New Roman"/>
          <w:i/>
          <w:sz w:val="24"/>
          <w:lang w:val="en-US"/>
        </w:rPr>
        <w:t>brain</w:t>
      </w:r>
      <w:r w:rsidRPr="00B67CD1">
        <w:rPr>
          <w:rFonts w:ascii="Times New Roman" w:hAnsi="Times New Roman" w:cs="Times New Roman"/>
          <w:sz w:val="24"/>
          <w:lang w:val="en-US"/>
        </w:rPr>
        <w:t>", "</w:t>
      </w:r>
      <w:r w:rsidRPr="00B67CD1">
        <w:rPr>
          <w:rFonts w:ascii="Times New Roman" w:hAnsi="Times New Roman" w:cs="Times New Roman"/>
          <w:i/>
          <w:sz w:val="24"/>
          <w:lang w:val="en-US"/>
        </w:rPr>
        <w:t>developers</w:t>
      </w:r>
      <w:r w:rsidRPr="00B67CD1">
        <w:rPr>
          <w:rFonts w:ascii="Times New Roman" w:hAnsi="Times New Roman" w:cs="Times New Roman"/>
          <w:sz w:val="24"/>
          <w:lang w:val="en-US"/>
        </w:rPr>
        <w:t>", "</w:t>
      </w:r>
      <w:r w:rsidRPr="00B67CD1">
        <w:rPr>
          <w:rFonts w:ascii="Times New Roman" w:hAnsi="Times New Roman" w:cs="Times New Roman"/>
          <w:i/>
          <w:sz w:val="24"/>
          <w:lang w:val="en-US"/>
        </w:rPr>
        <w:t>development</w:t>
      </w:r>
      <w:r w:rsidRPr="00B67CD1">
        <w:rPr>
          <w:rFonts w:ascii="Times New Roman" w:hAnsi="Times New Roman" w:cs="Times New Roman"/>
          <w:sz w:val="24"/>
          <w:lang w:val="en-US"/>
        </w:rPr>
        <w:t>", "</w:t>
      </w:r>
      <w:r w:rsidRPr="00B67CD1">
        <w:rPr>
          <w:rFonts w:ascii="Times New Roman" w:hAnsi="Times New Roman" w:cs="Times New Roman"/>
          <w:i/>
          <w:sz w:val="24"/>
          <w:lang w:val="en-US"/>
        </w:rPr>
        <w:t>directing</w:t>
      </w:r>
      <w:r w:rsidRPr="00B67CD1">
        <w:rPr>
          <w:rFonts w:ascii="Times New Roman" w:hAnsi="Times New Roman" w:cs="Times New Roman"/>
          <w:sz w:val="24"/>
          <w:lang w:val="en-US"/>
        </w:rPr>
        <w:t>", "</w:t>
      </w:r>
      <w:r w:rsidRPr="00B67CD1">
        <w:rPr>
          <w:rFonts w:ascii="Times New Roman" w:hAnsi="Times New Roman" w:cs="Times New Roman"/>
          <w:i/>
          <w:sz w:val="24"/>
          <w:lang w:val="en-US"/>
        </w:rPr>
        <w:t>efforts</w:t>
      </w:r>
      <w:r w:rsidRPr="00B67CD1">
        <w:rPr>
          <w:rFonts w:ascii="Times New Roman" w:hAnsi="Times New Roman" w:cs="Times New Roman"/>
          <w:sz w:val="24"/>
          <w:lang w:val="en-US"/>
        </w:rPr>
        <w:t>", "</w:t>
      </w:r>
      <w:r w:rsidRPr="00B67CD1">
        <w:rPr>
          <w:rFonts w:ascii="Times New Roman" w:hAnsi="Times New Roman" w:cs="Times New Roman"/>
          <w:i/>
          <w:sz w:val="24"/>
          <w:lang w:val="en-US"/>
        </w:rPr>
        <w:t>engage</w:t>
      </w:r>
      <w:r w:rsidRPr="00B67CD1">
        <w:rPr>
          <w:rFonts w:ascii="Times New Roman" w:hAnsi="Times New Roman" w:cs="Times New Roman"/>
          <w:sz w:val="24"/>
          <w:lang w:val="en-US"/>
        </w:rPr>
        <w:t>", "</w:t>
      </w:r>
      <w:r w:rsidRPr="00B67CD1">
        <w:rPr>
          <w:rFonts w:ascii="Times New Roman" w:hAnsi="Times New Roman" w:cs="Times New Roman"/>
          <w:i/>
          <w:sz w:val="24"/>
          <w:lang w:val="en-US"/>
        </w:rPr>
        <w:t>engineering</w:t>
      </w:r>
      <w:r w:rsidRPr="00B67CD1">
        <w:rPr>
          <w:rFonts w:ascii="Times New Roman" w:hAnsi="Times New Roman" w:cs="Times New Roman"/>
          <w:sz w:val="24"/>
          <w:lang w:val="en-US"/>
        </w:rPr>
        <w:t>", "</w:t>
      </w:r>
      <w:r w:rsidRPr="00B67CD1">
        <w:rPr>
          <w:rFonts w:ascii="Times New Roman" w:hAnsi="Times New Roman" w:cs="Times New Roman"/>
          <w:i/>
          <w:sz w:val="24"/>
          <w:lang w:val="en-US"/>
        </w:rPr>
        <w:t>hire</w:t>
      </w:r>
      <w:r w:rsidRPr="00B67CD1">
        <w:rPr>
          <w:rFonts w:ascii="Times New Roman" w:hAnsi="Times New Roman" w:cs="Times New Roman"/>
          <w:sz w:val="24"/>
          <w:lang w:val="en-US"/>
        </w:rPr>
        <w:t>", "</w:t>
      </w:r>
      <w:r w:rsidRPr="00B67CD1">
        <w:rPr>
          <w:rFonts w:ascii="Times New Roman" w:hAnsi="Times New Roman" w:cs="Times New Roman"/>
          <w:i/>
          <w:sz w:val="24"/>
          <w:lang w:val="en-US"/>
        </w:rPr>
        <w:t>hiring</w:t>
      </w:r>
      <w:r w:rsidRPr="00B67CD1">
        <w:rPr>
          <w:rFonts w:ascii="Times New Roman" w:hAnsi="Times New Roman" w:cs="Times New Roman"/>
          <w:sz w:val="24"/>
          <w:lang w:val="en-US"/>
        </w:rPr>
        <w:t>", "</w:t>
      </w:r>
      <w:r w:rsidRPr="00B67CD1">
        <w:rPr>
          <w:rFonts w:ascii="Times New Roman" w:hAnsi="Times New Roman" w:cs="Times New Roman"/>
          <w:i/>
          <w:sz w:val="24"/>
          <w:lang w:val="en-US"/>
        </w:rPr>
        <w:t>individuals</w:t>
      </w:r>
      <w:r w:rsidRPr="00B67CD1">
        <w:rPr>
          <w:rFonts w:ascii="Times New Roman" w:hAnsi="Times New Roman" w:cs="Times New Roman"/>
          <w:sz w:val="24"/>
          <w:lang w:val="en-US"/>
        </w:rPr>
        <w:t>", "</w:t>
      </w:r>
      <w:r w:rsidRPr="00B67CD1">
        <w:rPr>
          <w:rFonts w:ascii="Times New Roman" w:hAnsi="Times New Roman" w:cs="Times New Roman"/>
          <w:i/>
          <w:sz w:val="24"/>
          <w:lang w:val="en-US"/>
        </w:rPr>
        <w:t>managing</w:t>
      </w:r>
      <w:r w:rsidRPr="00B67CD1">
        <w:rPr>
          <w:rFonts w:ascii="Times New Roman" w:hAnsi="Times New Roman" w:cs="Times New Roman"/>
          <w:sz w:val="24"/>
          <w:lang w:val="en-US"/>
        </w:rPr>
        <w:t>", "</w:t>
      </w:r>
      <w:r w:rsidRPr="00B67CD1">
        <w:rPr>
          <w:rFonts w:ascii="Times New Roman" w:hAnsi="Times New Roman" w:cs="Times New Roman"/>
          <w:i/>
          <w:sz w:val="24"/>
          <w:lang w:val="en-US"/>
        </w:rPr>
        <w:t>operations</w:t>
      </w:r>
      <w:r w:rsidRPr="00B67CD1">
        <w:rPr>
          <w:rFonts w:ascii="Times New Roman" w:hAnsi="Times New Roman" w:cs="Times New Roman"/>
          <w:sz w:val="24"/>
          <w:lang w:val="en-US"/>
        </w:rPr>
        <w:t>", "</w:t>
      </w:r>
      <w:r w:rsidRPr="00B67CD1">
        <w:rPr>
          <w:rFonts w:ascii="Times New Roman" w:hAnsi="Times New Roman" w:cs="Times New Roman"/>
          <w:i/>
          <w:sz w:val="24"/>
          <w:lang w:val="en-US"/>
        </w:rPr>
        <w:t>organizing</w:t>
      </w:r>
      <w:r w:rsidRPr="00B67CD1">
        <w:rPr>
          <w:rFonts w:ascii="Times New Roman" w:hAnsi="Times New Roman" w:cs="Times New Roman"/>
          <w:sz w:val="24"/>
          <w:lang w:val="en-US"/>
        </w:rPr>
        <w:t>", "</w:t>
      </w:r>
      <w:r w:rsidRPr="00B67CD1">
        <w:rPr>
          <w:rFonts w:ascii="Times New Roman" w:hAnsi="Times New Roman" w:cs="Times New Roman"/>
          <w:i/>
          <w:sz w:val="24"/>
          <w:lang w:val="en-US"/>
        </w:rPr>
        <w:t>professionals</w:t>
      </w:r>
      <w:r w:rsidRPr="00B67CD1">
        <w:rPr>
          <w:rFonts w:ascii="Times New Roman" w:hAnsi="Times New Roman" w:cs="Times New Roman"/>
          <w:sz w:val="24"/>
          <w:lang w:val="en-US"/>
        </w:rPr>
        <w:t>", "</w:t>
      </w:r>
      <w:r w:rsidRPr="00B67CD1">
        <w:rPr>
          <w:rFonts w:ascii="Times New Roman" w:hAnsi="Times New Roman" w:cs="Times New Roman"/>
          <w:i/>
          <w:sz w:val="24"/>
          <w:lang w:val="en-US"/>
        </w:rPr>
        <w:t>skills</w:t>
      </w:r>
      <w:r w:rsidRPr="00B67CD1">
        <w:rPr>
          <w:rFonts w:ascii="Times New Roman" w:hAnsi="Times New Roman" w:cs="Times New Roman"/>
          <w:sz w:val="24"/>
          <w:lang w:val="en-US"/>
        </w:rPr>
        <w:t>", "</w:t>
      </w:r>
      <w:r w:rsidRPr="00B67CD1">
        <w:rPr>
          <w:rFonts w:ascii="Times New Roman" w:hAnsi="Times New Roman" w:cs="Times New Roman"/>
          <w:i/>
          <w:sz w:val="24"/>
          <w:lang w:val="en-US"/>
        </w:rPr>
        <w:t>society</w:t>
      </w:r>
      <w:r w:rsidRPr="00B67CD1">
        <w:rPr>
          <w:rFonts w:ascii="Times New Roman" w:hAnsi="Times New Roman" w:cs="Times New Roman"/>
          <w:sz w:val="24"/>
          <w:lang w:val="en-US"/>
        </w:rPr>
        <w:t>", etc.</w:t>
      </w:r>
    </w:p>
    <w:p w14:paraId="0A64027B" w14:textId="2F6B353E" w:rsidR="002C2508" w:rsidRPr="00B67CD1" w:rsidRDefault="002C2508" w:rsidP="00C7392E">
      <w:pPr>
        <w:pStyle w:val="Paragraphedeliste"/>
        <w:numPr>
          <w:ilvl w:val="0"/>
          <w:numId w:val="12"/>
        </w:numPr>
        <w:spacing w:before="100" w:beforeAutospacing="1" w:after="120"/>
        <w:ind w:left="714" w:hanging="357"/>
        <w:contextualSpacing w:val="0"/>
        <w:rPr>
          <w:rFonts w:ascii="Times New Roman" w:hAnsi="Times New Roman" w:cs="Times New Roman"/>
          <w:sz w:val="24"/>
          <w:lang w:val="en-US"/>
        </w:rPr>
      </w:pPr>
      <w:r w:rsidRPr="00B67CD1">
        <w:rPr>
          <w:rStyle w:val="lev"/>
          <w:rFonts w:ascii="Times New Roman" w:hAnsi="Times New Roman" w:cs="Times New Roman"/>
          <w:sz w:val="24"/>
          <w:lang w:val="en-US"/>
        </w:rPr>
        <w:t>Legal, ethical, and regulatory vocabulary</w:t>
      </w:r>
      <w:r w:rsidRPr="00B67CD1">
        <w:rPr>
          <w:rFonts w:ascii="Times New Roman" w:hAnsi="Times New Roman" w:cs="Times New Roman"/>
          <w:sz w:val="24"/>
          <w:lang w:val="en-US"/>
        </w:rPr>
        <w:t xml:space="preserve">: </w:t>
      </w:r>
      <w:r w:rsidR="00B67CD1" w:rsidRPr="00B67CD1">
        <w:rPr>
          <w:rFonts w:ascii="Times New Roman" w:eastAsia="Times New Roman" w:hAnsi="Times New Roman" w:cs="Times New Roman"/>
          <w:sz w:val="24"/>
          <w:szCs w:val="24"/>
          <w:lang w:val="en-US" w:eastAsia="fr-BE"/>
        </w:rPr>
        <w:t>e.g</w:t>
      </w:r>
      <w:r w:rsidRPr="00B67CD1">
        <w:rPr>
          <w:rStyle w:val="Accentuation"/>
          <w:rFonts w:ascii="Times New Roman" w:hAnsi="Times New Roman" w:cs="Times New Roman"/>
          <w:sz w:val="24"/>
          <w:lang w:val="en-US"/>
        </w:rPr>
        <w:t>.</w:t>
      </w:r>
      <w:r w:rsidRPr="00B67CD1">
        <w:rPr>
          <w:rFonts w:ascii="Times New Roman" w:hAnsi="Times New Roman" w:cs="Times New Roman"/>
          <w:sz w:val="24"/>
          <w:lang w:val="en-US"/>
        </w:rPr>
        <w:t>, "</w:t>
      </w:r>
      <w:r w:rsidRPr="00B67CD1">
        <w:rPr>
          <w:rFonts w:ascii="Times New Roman" w:hAnsi="Times New Roman" w:cs="Times New Roman"/>
          <w:i/>
          <w:sz w:val="24"/>
          <w:lang w:val="en-US"/>
        </w:rPr>
        <w:t>abuse</w:t>
      </w:r>
      <w:r w:rsidRPr="00B67CD1">
        <w:rPr>
          <w:rFonts w:ascii="Times New Roman" w:hAnsi="Times New Roman" w:cs="Times New Roman"/>
          <w:sz w:val="24"/>
          <w:lang w:val="en-US"/>
        </w:rPr>
        <w:t>", "</w:t>
      </w:r>
      <w:r w:rsidRPr="00B67CD1">
        <w:rPr>
          <w:rFonts w:ascii="Times New Roman" w:hAnsi="Times New Roman" w:cs="Times New Roman"/>
          <w:i/>
          <w:sz w:val="24"/>
          <w:lang w:val="en-US"/>
        </w:rPr>
        <w:t>behavior</w:t>
      </w:r>
      <w:r w:rsidRPr="00B67CD1">
        <w:rPr>
          <w:rFonts w:ascii="Times New Roman" w:hAnsi="Times New Roman" w:cs="Times New Roman"/>
          <w:sz w:val="24"/>
          <w:lang w:val="en-US"/>
        </w:rPr>
        <w:t>", "</w:t>
      </w:r>
      <w:r w:rsidRPr="00B67CD1">
        <w:rPr>
          <w:rFonts w:ascii="Times New Roman" w:hAnsi="Times New Roman" w:cs="Times New Roman"/>
          <w:i/>
          <w:sz w:val="24"/>
          <w:lang w:val="en-US"/>
        </w:rPr>
        <w:t>legal</w:t>
      </w:r>
      <w:r w:rsidRPr="00B67CD1">
        <w:rPr>
          <w:rFonts w:ascii="Times New Roman" w:hAnsi="Times New Roman" w:cs="Times New Roman"/>
          <w:sz w:val="24"/>
          <w:lang w:val="en-US"/>
        </w:rPr>
        <w:t>", "</w:t>
      </w:r>
      <w:r w:rsidRPr="00B67CD1">
        <w:rPr>
          <w:rFonts w:ascii="Times New Roman" w:hAnsi="Times New Roman" w:cs="Times New Roman"/>
          <w:i/>
          <w:sz w:val="24"/>
          <w:lang w:val="en-US"/>
        </w:rPr>
        <w:t>privacy</w:t>
      </w:r>
      <w:r w:rsidRPr="00B67CD1">
        <w:rPr>
          <w:rFonts w:ascii="Times New Roman" w:hAnsi="Times New Roman" w:cs="Times New Roman"/>
          <w:sz w:val="24"/>
          <w:lang w:val="en-US"/>
        </w:rPr>
        <w:t>", "</w:t>
      </w:r>
      <w:r w:rsidRPr="00B67CD1">
        <w:rPr>
          <w:rFonts w:ascii="Times New Roman" w:hAnsi="Times New Roman" w:cs="Times New Roman"/>
          <w:i/>
          <w:sz w:val="24"/>
          <w:lang w:val="en-US"/>
        </w:rPr>
        <w:t>private</w:t>
      </w:r>
      <w:r w:rsidRPr="00B67CD1">
        <w:rPr>
          <w:rFonts w:ascii="Times New Roman" w:hAnsi="Times New Roman" w:cs="Times New Roman"/>
          <w:sz w:val="24"/>
          <w:lang w:val="en-US"/>
        </w:rPr>
        <w:t>", "</w:t>
      </w:r>
      <w:r w:rsidRPr="00B67CD1">
        <w:rPr>
          <w:rFonts w:ascii="Times New Roman" w:hAnsi="Times New Roman" w:cs="Times New Roman"/>
          <w:i/>
          <w:sz w:val="24"/>
          <w:lang w:val="en-US"/>
        </w:rPr>
        <w:t>regulated</w:t>
      </w:r>
      <w:r w:rsidRPr="00B67CD1">
        <w:rPr>
          <w:rFonts w:ascii="Times New Roman" w:hAnsi="Times New Roman" w:cs="Times New Roman"/>
          <w:sz w:val="24"/>
          <w:lang w:val="en-US"/>
        </w:rPr>
        <w:t>", "</w:t>
      </w:r>
      <w:r w:rsidRPr="00B67CD1">
        <w:rPr>
          <w:rFonts w:ascii="Times New Roman" w:hAnsi="Times New Roman" w:cs="Times New Roman"/>
          <w:i/>
          <w:sz w:val="24"/>
          <w:lang w:val="en-US"/>
        </w:rPr>
        <w:t>regulating</w:t>
      </w:r>
      <w:r w:rsidRPr="00B67CD1">
        <w:rPr>
          <w:rFonts w:ascii="Times New Roman" w:hAnsi="Times New Roman" w:cs="Times New Roman"/>
          <w:sz w:val="24"/>
          <w:lang w:val="en-US"/>
        </w:rPr>
        <w:t>", "</w:t>
      </w:r>
      <w:r w:rsidRPr="00B67CD1">
        <w:rPr>
          <w:rFonts w:ascii="Times New Roman" w:hAnsi="Times New Roman" w:cs="Times New Roman"/>
          <w:i/>
          <w:sz w:val="24"/>
          <w:lang w:val="en-US"/>
        </w:rPr>
        <w:t>regulatory</w:t>
      </w:r>
      <w:r w:rsidRPr="00B67CD1">
        <w:rPr>
          <w:rFonts w:ascii="Times New Roman" w:hAnsi="Times New Roman" w:cs="Times New Roman"/>
          <w:sz w:val="24"/>
          <w:lang w:val="en-US"/>
        </w:rPr>
        <w:t>", "</w:t>
      </w:r>
      <w:r w:rsidRPr="00B67CD1">
        <w:rPr>
          <w:rFonts w:ascii="Times New Roman" w:hAnsi="Times New Roman" w:cs="Times New Roman"/>
          <w:i/>
          <w:sz w:val="24"/>
          <w:lang w:val="en-US"/>
        </w:rPr>
        <w:t>requirements</w:t>
      </w:r>
      <w:r w:rsidRPr="00B67CD1">
        <w:rPr>
          <w:rFonts w:ascii="Times New Roman" w:hAnsi="Times New Roman" w:cs="Times New Roman"/>
          <w:sz w:val="24"/>
          <w:lang w:val="en-US"/>
        </w:rPr>
        <w:t>", "</w:t>
      </w:r>
      <w:r w:rsidRPr="00B67CD1">
        <w:rPr>
          <w:rFonts w:ascii="Times New Roman" w:hAnsi="Times New Roman" w:cs="Times New Roman"/>
          <w:i/>
          <w:sz w:val="24"/>
          <w:lang w:val="en-US"/>
        </w:rPr>
        <w:t>respecting</w:t>
      </w:r>
      <w:r w:rsidRPr="00B67CD1">
        <w:rPr>
          <w:rFonts w:ascii="Times New Roman" w:hAnsi="Times New Roman" w:cs="Times New Roman"/>
          <w:sz w:val="24"/>
          <w:lang w:val="en-US"/>
        </w:rPr>
        <w:t>", "</w:t>
      </w:r>
      <w:r w:rsidRPr="00B67CD1">
        <w:rPr>
          <w:rFonts w:ascii="Times New Roman" w:hAnsi="Times New Roman" w:cs="Times New Roman"/>
          <w:i/>
          <w:sz w:val="24"/>
          <w:lang w:val="en-US"/>
        </w:rPr>
        <w:t>respects</w:t>
      </w:r>
      <w:r w:rsidRPr="00B67CD1">
        <w:rPr>
          <w:rFonts w:ascii="Times New Roman" w:hAnsi="Times New Roman" w:cs="Times New Roman"/>
          <w:sz w:val="24"/>
          <w:lang w:val="en-US"/>
        </w:rPr>
        <w:t>", "</w:t>
      </w:r>
      <w:r w:rsidRPr="00B67CD1">
        <w:rPr>
          <w:rFonts w:ascii="Times New Roman" w:hAnsi="Times New Roman" w:cs="Times New Roman"/>
          <w:i/>
          <w:sz w:val="24"/>
          <w:lang w:val="en-US"/>
        </w:rPr>
        <w:t>supervisory</w:t>
      </w:r>
      <w:r w:rsidRPr="00B67CD1">
        <w:rPr>
          <w:rFonts w:ascii="Times New Roman" w:hAnsi="Times New Roman" w:cs="Times New Roman"/>
          <w:sz w:val="24"/>
          <w:lang w:val="en-US"/>
        </w:rPr>
        <w:t>", etc.</w:t>
      </w:r>
    </w:p>
    <w:p w14:paraId="349CCCC3" w14:textId="3AECB0AA" w:rsidR="00481D5B" w:rsidRPr="007F3752" w:rsidRDefault="00C7392E" w:rsidP="00C7392E">
      <w:pPr>
        <w:pStyle w:val="Paragraphedeliste"/>
        <w:spacing w:before="240" w:after="240"/>
        <w:contextualSpacing w:val="0"/>
        <w:jc w:val="center"/>
        <w:rPr>
          <w:rFonts w:ascii="Times New Roman" w:hAnsi="Times New Roman" w:cs="Times New Roman"/>
          <w:sz w:val="24"/>
          <w:szCs w:val="24"/>
          <w:lang w:val="en-US"/>
        </w:rPr>
      </w:pPr>
      <w:r w:rsidRPr="00E24555">
        <w:rPr>
          <w:rFonts w:ascii="Times New Roman" w:hAnsi="Times New Roman" w:cs="Times New Roman"/>
          <w:sz w:val="24"/>
          <w:szCs w:val="24"/>
          <w:lang w:val="en-US"/>
        </w:rPr>
        <w:t xml:space="preserve"> </w:t>
      </w:r>
      <w:r w:rsidR="00481D5B" w:rsidRPr="00E24555">
        <w:rPr>
          <w:rFonts w:ascii="Times New Roman" w:hAnsi="Times New Roman" w:cs="Times New Roman"/>
          <w:sz w:val="24"/>
          <w:szCs w:val="24"/>
          <w:lang w:val="en-US"/>
        </w:rPr>
        <w:t>[Insert Table A2 here.]</w:t>
      </w:r>
    </w:p>
    <w:p w14:paraId="7E682070" w14:textId="42488F75" w:rsidR="00481D5B" w:rsidRPr="00C82EE1" w:rsidRDefault="00481D5B"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t xml:space="preserve">Overall, the vocabulary profile in T2 paints a picture of a dynamic, innovative, and well-managed company that is positioned to thrive and succeed, which is very appealing to potential business investors. It presents itself as flexible and adaptable (e.g., </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adaptive</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scalable</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smooth</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w:t>
      </w:r>
      <w:r w:rsidRPr="00C82EE1">
        <w:rPr>
          <w:rFonts w:ascii="Times New Roman" w:eastAsia="Times New Roman" w:hAnsi="Times New Roman" w:cs="Times New Roman"/>
          <w:sz w:val="24"/>
          <w:szCs w:val="24"/>
          <w:lang w:eastAsia="fr-BE"/>
        </w:rPr>
        <w:t xml:space="preserve"> etc.), with broad market appeal (e.g., </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community</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society</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organizations</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environment</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sz w:val="24"/>
          <w:szCs w:val="24"/>
          <w:lang w:eastAsia="fr-BE"/>
        </w:rPr>
        <w:t>customers</w:t>
      </w:r>
      <w:r w:rsidR="00B67CD1" w:rsidRPr="00B67CD1">
        <w:rPr>
          <w:rFonts w:ascii="Times New Roman" w:hAnsi="Times New Roman" w:cs="Times New Roman"/>
          <w:sz w:val="24"/>
        </w:rPr>
        <w:t>"</w:t>
      </w:r>
      <w:r w:rsidRPr="00C82EE1">
        <w:rPr>
          <w:rFonts w:ascii="Times New Roman" w:eastAsia="Times New Roman" w:hAnsi="Times New Roman" w:cs="Times New Roman"/>
          <w:sz w:val="24"/>
          <w:szCs w:val="24"/>
          <w:lang w:eastAsia="fr-BE"/>
        </w:rPr>
        <w:t>, etc.), and as accessible and inclusive (e.g</w:t>
      </w:r>
      <w:r w:rsidRPr="00C82EE1">
        <w:rPr>
          <w:rFonts w:ascii="Times New Roman" w:eastAsia="Times New Roman" w:hAnsi="Times New Roman" w:cs="Times New Roman"/>
          <w:i/>
          <w:iCs/>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iCs/>
          <w:sz w:val="24"/>
          <w:szCs w:val="24"/>
          <w:lang w:eastAsia="fr-BE"/>
        </w:rPr>
        <w:t>available</w:t>
      </w:r>
      <w:r w:rsidR="00B67CD1" w:rsidRPr="00B67CD1">
        <w:rPr>
          <w:rFonts w:ascii="Times New Roman" w:hAnsi="Times New Roman" w:cs="Times New Roman"/>
          <w:sz w:val="24"/>
        </w:rPr>
        <w:t>"</w:t>
      </w:r>
      <w:r w:rsidRPr="00C82EE1">
        <w:rPr>
          <w:rFonts w:ascii="Times New Roman" w:eastAsia="Times New Roman" w:hAnsi="Times New Roman" w:cs="Times New Roman"/>
          <w:i/>
          <w:iCs/>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iCs/>
          <w:sz w:val="24"/>
          <w:szCs w:val="24"/>
          <w:lang w:eastAsia="fr-BE"/>
        </w:rPr>
        <w:t>access</w:t>
      </w:r>
      <w:r w:rsidR="00B67CD1" w:rsidRPr="00B67CD1">
        <w:rPr>
          <w:rFonts w:ascii="Times New Roman" w:hAnsi="Times New Roman" w:cs="Times New Roman"/>
          <w:sz w:val="24"/>
        </w:rPr>
        <w:t>"</w:t>
      </w:r>
      <w:r w:rsidRPr="00C82EE1">
        <w:rPr>
          <w:rFonts w:ascii="Times New Roman" w:eastAsia="Times New Roman" w:hAnsi="Times New Roman" w:cs="Times New Roman"/>
          <w:i/>
          <w:iCs/>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iCs/>
          <w:sz w:val="24"/>
          <w:szCs w:val="24"/>
          <w:lang w:eastAsia="fr-BE"/>
        </w:rPr>
        <w:t>benefits</w:t>
      </w:r>
      <w:r w:rsidR="00B67CD1" w:rsidRPr="00B67CD1">
        <w:rPr>
          <w:rFonts w:ascii="Times New Roman" w:hAnsi="Times New Roman" w:cs="Times New Roman"/>
          <w:sz w:val="24"/>
        </w:rPr>
        <w:t>"</w:t>
      </w:r>
      <w:r w:rsidRPr="00C82EE1">
        <w:rPr>
          <w:rFonts w:ascii="Times New Roman" w:eastAsia="Times New Roman" w:hAnsi="Times New Roman" w:cs="Times New Roman"/>
          <w:i/>
          <w:iCs/>
          <w:sz w:val="24"/>
          <w:szCs w:val="24"/>
          <w:lang w:eastAsia="fr-BE"/>
        </w:rPr>
        <w:t xml:space="preserve">, </w:t>
      </w:r>
      <w:r w:rsidR="00B67CD1" w:rsidRPr="00B67CD1">
        <w:rPr>
          <w:rFonts w:ascii="Times New Roman" w:hAnsi="Times New Roman" w:cs="Times New Roman"/>
          <w:sz w:val="24"/>
        </w:rPr>
        <w:t>"</w:t>
      </w:r>
      <w:r w:rsidRPr="00C82EE1">
        <w:rPr>
          <w:rFonts w:ascii="Times New Roman" w:eastAsia="Times New Roman" w:hAnsi="Times New Roman" w:cs="Times New Roman"/>
          <w:i/>
          <w:iCs/>
          <w:sz w:val="24"/>
          <w:szCs w:val="24"/>
          <w:lang w:eastAsia="fr-BE"/>
        </w:rPr>
        <w:t>connect</w:t>
      </w:r>
      <w:r w:rsidR="00B67CD1" w:rsidRPr="00B67CD1">
        <w:rPr>
          <w:rFonts w:ascii="Times New Roman" w:hAnsi="Times New Roman" w:cs="Times New Roman"/>
          <w:sz w:val="24"/>
        </w:rPr>
        <w:t>"</w:t>
      </w:r>
      <w:r w:rsidRPr="00C82EE1">
        <w:rPr>
          <w:rFonts w:ascii="Times New Roman" w:eastAsia="Times New Roman" w:hAnsi="Times New Roman" w:cs="Times New Roman"/>
          <w:sz w:val="24"/>
          <w:szCs w:val="24"/>
          <w:lang w:eastAsia="fr-BE"/>
        </w:rPr>
        <w:t>, etc.). In other words, T2 strikes all the right vocabulary notes. It effectively employs a strategic vocabulary that resonates well with its target audience, as evidenced by the substantial funding it secures. This aligns with our main findings below that linguistic knowledge, particularly the use of precise, yet subtle and nuanced vocabulary, enhances the development and articulation of investment ideas by equipping entrepreneurial communication with persuasive linguistic marketing power.</w:t>
      </w:r>
    </w:p>
    <w:p w14:paraId="61748E8C" w14:textId="2ABE5F0B" w:rsidR="00481D5B" w:rsidRPr="00E223E9" w:rsidRDefault="00481D5B" w:rsidP="007F3752">
      <w:pPr>
        <w:spacing w:after="120" w:line="360" w:lineRule="auto"/>
        <w:ind w:firstLine="340"/>
        <w:jc w:val="both"/>
        <w:rPr>
          <w:rFonts w:ascii="Times New Roman" w:eastAsia="Times New Roman" w:hAnsi="Times New Roman" w:cs="Times New Roman"/>
          <w:sz w:val="24"/>
          <w:szCs w:val="24"/>
          <w:lang w:eastAsia="fr-BE"/>
        </w:rPr>
      </w:pPr>
      <w:r w:rsidRPr="00C82EE1">
        <w:rPr>
          <w:rFonts w:ascii="Times New Roman" w:eastAsia="Times New Roman" w:hAnsi="Times New Roman" w:cs="Times New Roman"/>
          <w:sz w:val="24"/>
          <w:szCs w:val="24"/>
          <w:lang w:eastAsia="fr-BE"/>
        </w:rPr>
        <w:lastRenderedPageBreak/>
        <w:t>Importantly, the vocabulary used in T2 is diverse and sophisticated enough to convey a sense of innovation and trustworthiness, while still maintaining readability. In other words, the text is lexically sophisticated but still perfectly intelligible, which is really the balanced combination that ICO papers should aim for. The terms highlighted are not semantically obscure but are diverse and nuanced enough to capture the interest of investors. The qualitative analysis presented here clearly illustrates the semantic categories that ICO white papers should prioritize (e.g.</w:t>
      </w:r>
      <w:r w:rsidR="00B67CD1">
        <w:rPr>
          <w:rFonts w:ascii="Times New Roman" w:eastAsia="Times New Roman" w:hAnsi="Times New Roman" w:cs="Times New Roman"/>
          <w:sz w:val="24"/>
          <w:szCs w:val="24"/>
          <w:lang w:eastAsia="fr-BE"/>
        </w:rPr>
        <w:t>,</w:t>
      </w:r>
      <w:r w:rsidRPr="00C82EE1">
        <w:rPr>
          <w:rFonts w:ascii="Times New Roman" w:eastAsia="Times New Roman" w:hAnsi="Times New Roman" w:cs="Times New Roman"/>
          <w:sz w:val="24"/>
          <w:szCs w:val="24"/>
          <w:lang w:eastAsia="fr-BE"/>
        </w:rPr>
        <w:t xml:space="preserve"> language that reflects innovation, business management efficiency, talent management and an awareness of ethical concerns), providing first-hand evidence on the specific vocabulary choices that effectively resonate with potential investors.</w:t>
      </w:r>
    </w:p>
    <w:p w14:paraId="4F8D7483" w14:textId="77777777" w:rsidR="00481D5B" w:rsidRPr="00C82EE1" w:rsidRDefault="00481D5B" w:rsidP="00E223E9">
      <w:pPr>
        <w:spacing w:before="240" w:after="240" w:line="360" w:lineRule="auto"/>
        <w:contextualSpacing/>
        <w:jc w:val="both"/>
        <w:rPr>
          <w:rFonts w:ascii="Times New Roman" w:hAnsi="Times New Roman" w:cs="Times New Roman"/>
          <w:b/>
          <w:sz w:val="32"/>
          <w:szCs w:val="24"/>
        </w:rPr>
      </w:pPr>
      <w:r w:rsidRPr="00C82EE1">
        <w:rPr>
          <w:rFonts w:ascii="Times New Roman" w:hAnsi="Times New Roman" w:cs="Times New Roman"/>
          <w:b/>
          <w:sz w:val="32"/>
          <w:szCs w:val="24"/>
        </w:rPr>
        <w:t>Appendix B - The individual impact of individual LC measures</w:t>
      </w:r>
    </w:p>
    <w:p w14:paraId="00BBB5C3" w14:textId="377C46A0" w:rsidR="00481D5B" w:rsidRPr="00C82EE1" w:rsidRDefault="00481D5B" w:rsidP="007F3752">
      <w:pPr>
        <w:spacing w:after="120" w:line="360" w:lineRule="auto"/>
        <w:jc w:val="both"/>
        <w:rPr>
          <w:rFonts w:ascii="Times New Roman" w:hAnsi="Times New Roman" w:cs="Times New Roman"/>
          <w:sz w:val="24"/>
          <w:szCs w:val="24"/>
        </w:rPr>
      </w:pPr>
      <w:r w:rsidRPr="00C82EE1">
        <w:rPr>
          <w:rFonts w:ascii="Times New Roman" w:hAnsi="Times New Roman" w:cs="Times New Roman"/>
          <w:sz w:val="24"/>
          <w:szCs w:val="24"/>
        </w:rPr>
        <w:t xml:space="preserve">Throughout our analyses, we measure LC using PCA </w:t>
      </w:r>
      <w:r w:rsidR="00485FDA" w:rsidRPr="00C82EE1">
        <w:rPr>
          <w:rFonts w:ascii="Times New Roman" w:hAnsi="Times New Roman" w:cs="Times New Roman"/>
          <w:sz w:val="24"/>
        </w:rPr>
        <w:t>(Lu, 2012)</w:t>
      </w:r>
      <w:r w:rsidRPr="00C82EE1">
        <w:rPr>
          <w:rFonts w:ascii="Times New Roman" w:hAnsi="Times New Roman" w:cs="Times New Roman"/>
          <w:sz w:val="24"/>
          <w:szCs w:val="24"/>
        </w:rPr>
        <w:t xml:space="preserve">, which aggregates a whole package of 25 different metrics. We have however not yet directly looked at the direct impact of each one of these 25 measures on the amount raised. In this section, we are interested in identifying which variables from the LCA tool influence the fundraising performance. To do so, we test the sensitivity of our model (Equation (1)) to changes in the choice of each LC </w:t>
      </w:r>
      <w:r w:rsidR="00485FDA" w:rsidRPr="00C82EE1">
        <w:rPr>
          <w:rFonts w:ascii="Times New Roman" w:hAnsi="Times New Roman" w:cs="Times New Roman"/>
          <w:sz w:val="24"/>
          <w:szCs w:val="24"/>
        </w:rPr>
        <w:t>category</w:t>
      </w:r>
      <w:r w:rsidRPr="00C82EE1">
        <w:rPr>
          <w:rFonts w:ascii="Times New Roman" w:hAnsi="Times New Roman" w:cs="Times New Roman"/>
          <w:sz w:val="24"/>
          <w:szCs w:val="24"/>
        </w:rPr>
        <w:t xml:space="preserve"> and select the variables that maximize the adjusted R2 of our model.</w:t>
      </w:r>
      <w:r w:rsidR="007B1EDA">
        <w:rPr>
          <w:rStyle w:val="Appelnotedebasdep"/>
          <w:rFonts w:ascii="Times New Roman" w:hAnsi="Times New Roman" w:cs="Times New Roman"/>
          <w:sz w:val="24"/>
          <w:szCs w:val="24"/>
        </w:rPr>
        <w:footnoteReference w:customMarkFollows="1" w:id="23"/>
        <w:t>23</w:t>
      </w:r>
      <w:r w:rsidR="00B67CD1">
        <w:rPr>
          <w:rFonts w:ascii="Times New Roman" w:hAnsi="Times New Roman" w:cs="Times New Roman"/>
          <w:sz w:val="24"/>
          <w:szCs w:val="24"/>
        </w:rPr>
        <w:t xml:space="preserve"> </w:t>
      </w:r>
      <w:r w:rsidRPr="00C82EE1">
        <w:rPr>
          <w:rFonts w:ascii="Times New Roman" w:hAnsi="Times New Roman" w:cs="Times New Roman"/>
          <w:sz w:val="24"/>
          <w:szCs w:val="24"/>
        </w:rPr>
        <w:t>With this analysis, we provide a granular analysis of the impact of the different components of LC, therefore limiting the issue of multicollinearity by including too many predictors. We also reduce the risk of over-fitting and decreasing the degrees of freedom in the model.</w:t>
      </w:r>
    </w:p>
    <w:p w14:paraId="64E233A8" w14:textId="166523E0" w:rsidR="00481D5B" w:rsidRPr="00C82EE1" w:rsidRDefault="00481D5B" w:rsidP="00C7392E">
      <w:pPr>
        <w:spacing w:after="120" w:line="360" w:lineRule="auto"/>
        <w:ind w:firstLine="340"/>
        <w:jc w:val="both"/>
        <w:rPr>
          <w:rFonts w:ascii="Times New Roman" w:hAnsi="Times New Roman" w:cs="Times New Roman"/>
          <w:sz w:val="24"/>
          <w:szCs w:val="24"/>
        </w:rPr>
      </w:pPr>
      <w:r w:rsidRPr="00C82EE1">
        <w:rPr>
          <w:rFonts w:ascii="Times New Roman" w:hAnsi="Times New Roman" w:cs="Times New Roman"/>
          <w:sz w:val="24"/>
          <w:szCs w:val="24"/>
        </w:rPr>
        <w:t xml:space="preserve">Figure </w:t>
      </w:r>
      <w:r w:rsidR="00C7392E">
        <w:rPr>
          <w:rFonts w:ascii="Times New Roman" w:hAnsi="Times New Roman" w:cs="Times New Roman"/>
          <w:sz w:val="24"/>
          <w:szCs w:val="24"/>
        </w:rPr>
        <w:t>A</w:t>
      </w:r>
      <w:r w:rsidR="00B67CD1">
        <w:rPr>
          <w:rFonts w:ascii="Times New Roman" w:hAnsi="Times New Roman" w:cs="Times New Roman"/>
          <w:sz w:val="24"/>
          <w:szCs w:val="24"/>
        </w:rPr>
        <w:t>1</w:t>
      </w:r>
      <w:r w:rsidRPr="00C82EE1">
        <w:rPr>
          <w:rFonts w:ascii="Times New Roman" w:hAnsi="Times New Roman" w:cs="Times New Roman"/>
          <w:sz w:val="24"/>
          <w:szCs w:val="24"/>
        </w:rPr>
        <w:t xml:space="preserve"> plots the tables of the ten best models showing which metrics of LC, lexical sophistication and lexical diversity pertain to each model.</w:t>
      </w:r>
      <w:r w:rsidR="007B1EDA">
        <w:rPr>
          <w:rStyle w:val="Appelnotedebasdep"/>
          <w:rFonts w:ascii="Times New Roman" w:hAnsi="Times New Roman" w:cs="Times New Roman"/>
          <w:sz w:val="24"/>
          <w:szCs w:val="24"/>
        </w:rPr>
        <w:footnoteReference w:customMarkFollows="1" w:id="24"/>
        <w:t>24</w:t>
      </w:r>
      <w:r w:rsidRPr="00C82EE1">
        <w:rPr>
          <w:rFonts w:ascii="Times New Roman" w:hAnsi="Times New Roman" w:cs="Times New Roman"/>
          <w:sz w:val="24"/>
          <w:szCs w:val="24"/>
        </w:rPr>
        <w:t xml:space="preserve"> The black (white) squares indicate that a variable is (not) included in the model. The results show that the maximum adjusted R2 possible given our set of predictors is 12.1%, 9.82% and 8.32% for LC, lexical sophistication and lexical diversity, respectively. We observe that the lexical sophistication metrics (</w:t>
      </w:r>
      <m:oMath>
        <m:r>
          <w:rPr>
            <w:rFonts w:ascii="Cambria Math" w:hAnsi="Cambria Math" w:cs="Times New Roman"/>
            <w:sz w:val="24"/>
            <w:szCs w:val="24"/>
          </w:rPr>
          <m:t>ls1</m:t>
        </m:r>
      </m:oMath>
      <w:r w:rsidRPr="00C82EE1">
        <w:rPr>
          <w:rFonts w:ascii="Times New Roman" w:hAnsi="Times New Roman" w:cs="Times New Roman"/>
          <w:i/>
          <w:sz w:val="24"/>
          <w:szCs w:val="24"/>
        </w:rPr>
        <w:t xml:space="preserve">, </w:t>
      </w:r>
      <m:oMath>
        <m:r>
          <w:rPr>
            <w:rFonts w:ascii="Cambria Math" w:hAnsi="Cambria Math" w:cs="Times New Roman"/>
            <w:sz w:val="24"/>
            <w:szCs w:val="24"/>
          </w:rPr>
          <m:t>ls2</m:t>
        </m:r>
      </m:oMath>
      <w:r w:rsidRPr="00C82EE1">
        <w:rPr>
          <w:rFonts w:ascii="Times New Roman" w:hAnsi="Times New Roman" w:cs="Times New Roman"/>
          <w:i/>
          <w:sz w:val="24"/>
          <w:szCs w:val="24"/>
        </w:rPr>
        <w:t xml:space="preserve">, </w:t>
      </w:r>
      <m:oMath>
        <m:r>
          <w:rPr>
            <w:rFonts w:ascii="Cambria Math" w:hAnsi="Cambria Math" w:cs="Times New Roman"/>
            <w:sz w:val="24"/>
            <w:szCs w:val="24"/>
          </w:rPr>
          <m:t>vs1</m:t>
        </m:r>
      </m:oMath>
      <w:r w:rsidRPr="00C82EE1">
        <w:rPr>
          <w:rFonts w:ascii="Times New Roman" w:hAnsi="Times New Roman" w:cs="Times New Roman"/>
          <w:i/>
          <w:sz w:val="24"/>
          <w:szCs w:val="24"/>
        </w:rPr>
        <w:t xml:space="preserve">, </w:t>
      </w:r>
      <m:oMath>
        <m:r>
          <w:rPr>
            <w:rFonts w:ascii="Cambria Math" w:hAnsi="Cambria Math" w:cs="Times New Roman"/>
            <w:sz w:val="24"/>
            <w:szCs w:val="24"/>
          </w:rPr>
          <m:t>vs2</m:t>
        </m:r>
      </m:oMath>
      <w:r w:rsidRPr="00C82EE1">
        <w:rPr>
          <w:rFonts w:ascii="Times New Roman" w:hAnsi="Times New Roman" w:cs="Times New Roman"/>
          <w:i/>
          <w:sz w:val="24"/>
          <w:szCs w:val="24"/>
        </w:rPr>
        <w:t xml:space="preserve">, </w:t>
      </w:r>
      <m:oMath>
        <m:r>
          <w:rPr>
            <w:rFonts w:ascii="Cambria Math" w:hAnsi="Cambria Math" w:cs="Times New Roman"/>
            <w:sz w:val="24"/>
            <w:szCs w:val="24"/>
          </w:rPr>
          <m:t>cvs1</m:t>
        </m:r>
      </m:oMath>
      <w:r w:rsidRPr="00C82EE1">
        <w:rPr>
          <w:rFonts w:ascii="Times New Roman" w:hAnsi="Times New Roman" w:cs="Times New Roman"/>
          <w:i/>
          <w:sz w:val="24"/>
          <w:szCs w:val="24"/>
        </w:rPr>
        <w:t>)</w:t>
      </w:r>
      <w:r w:rsidRPr="00C82EE1">
        <w:rPr>
          <w:rFonts w:ascii="Times New Roman" w:hAnsi="Times New Roman" w:cs="Times New Roman"/>
          <w:sz w:val="24"/>
          <w:szCs w:val="24"/>
        </w:rPr>
        <w:t xml:space="preserve"> or ratios of advanced word, word types, verb types to the total number of lexical words are significant in predicting the ICO amount raised. By looking at lexical diversity, we can outline seven different variables, which are significantly predicting the ICO amount raised. Investors are therefore likely to react to the number of different words used in white papers </w:t>
      </w:r>
      <m:oMath>
        <m:r>
          <w:rPr>
            <w:rFonts w:ascii="Cambria Math" w:hAnsi="Cambria Math" w:cs="Times New Roman"/>
            <w:sz w:val="24"/>
            <w:szCs w:val="24"/>
          </w:rPr>
          <m:t>(ndw)</m:t>
        </m:r>
      </m:oMath>
      <w:r w:rsidRPr="00C82EE1">
        <w:rPr>
          <w:rFonts w:ascii="Times New Roman" w:hAnsi="Times New Roman" w:cs="Times New Roman"/>
          <w:sz w:val="24"/>
          <w:szCs w:val="24"/>
        </w:rPr>
        <w:t xml:space="preserve">, as well as first 50 words diversity </w:t>
      </w:r>
      <m:oMath>
        <m:r>
          <w:rPr>
            <w:rFonts w:ascii="Cambria Math" w:hAnsi="Cambria Math" w:cs="Times New Roman"/>
            <w:sz w:val="24"/>
            <w:szCs w:val="24"/>
          </w:rPr>
          <m:t>(ndwz)</m:t>
        </m:r>
      </m:oMath>
      <w:r w:rsidRPr="00C82EE1">
        <w:rPr>
          <w:rFonts w:ascii="Times New Roman" w:hAnsi="Times New Roman" w:cs="Times New Roman"/>
          <w:sz w:val="24"/>
          <w:szCs w:val="24"/>
        </w:rPr>
        <w:t xml:space="preserve">  and the type-token ratio </w:t>
      </w:r>
      <m:oMath>
        <m:r>
          <w:rPr>
            <w:rFonts w:ascii="Cambria Math" w:hAnsi="Cambria Math" w:cs="Times New Roman"/>
            <w:sz w:val="24"/>
            <w:szCs w:val="24"/>
          </w:rPr>
          <m:t>(ttr)</m:t>
        </m:r>
      </m:oMath>
      <w:r w:rsidRPr="00C82EE1">
        <w:rPr>
          <w:rFonts w:ascii="Times New Roman" w:hAnsi="Times New Roman" w:cs="Times New Roman"/>
          <w:sz w:val="24"/>
          <w:szCs w:val="24"/>
        </w:rPr>
        <w:t xml:space="preserve"> and foremost to the variation of the different verbs and adverbs types (</w:t>
      </w:r>
      <m:oMath>
        <m:r>
          <w:rPr>
            <w:rFonts w:ascii="Cambria Math" w:hAnsi="Cambria Math" w:cs="Times New Roman"/>
            <w:sz w:val="24"/>
            <w:szCs w:val="24"/>
          </w:rPr>
          <m:t>lv</m:t>
        </m:r>
      </m:oMath>
      <w:r w:rsidRPr="00C82EE1">
        <w:rPr>
          <w:rFonts w:ascii="Times New Roman" w:hAnsi="Times New Roman" w:cs="Times New Roman"/>
          <w:i/>
          <w:sz w:val="24"/>
          <w:szCs w:val="24"/>
        </w:rPr>
        <w:t xml:space="preserve">, </w:t>
      </w:r>
      <m:oMath>
        <m:r>
          <w:rPr>
            <w:rFonts w:ascii="Cambria Math" w:hAnsi="Cambria Math" w:cs="Times New Roman"/>
            <w:sz w:val="24"/>
            <w:szCs w:val="24"/>
          </w:rPr>
          <m:t>vv1</m:t>
        </m:r>
      </m:oMath>
      <w:r w:rsidRPr="00C82EE1">
        <w:rPr>
          <w:rFonts w:ascii="Times New Roman" w:hAnsi="Times New Roman" w:cs="Times New Roman"/>
          <w:i/>
          <w:sz w:val="24"/>
          <w:szCs w:val="24"/>
        </w:rPr>
        <w:t xml:space="preserve">, </w:t>
      </w:r>
      <m:oMath>
        <m:r>
          <w:rPr>
            <w:rFonts w:ascii="Cambria Math" w:hAnsi="Cambria Math" w:cs="Times New Roman"/>
            <w:sz w:val="24"/>
            <w:szCs w:val="24"/>
          </w:rPr>
          <m:t>cvv1</m:t>
        </m:r>
      </m:oMath>
      <w:r w:rsidRPr="00C82EE1">
        <w:rPr>
          <w:rFonts w:ascii="Times New Roman" w:hAnsi="Times New Roman" w:cs="Times New Roman"/>
          <w:i/>
          <w:sz w:val="24"/>
          <w:szCs w:val="24"/>
        </w:rPr>
        <w:t xml:space="preserve">, </w:t>
      </w:r>
      <m:oMath>
        <m:r>
          <w:rPr>
            <w:rFonts w:ascii="Cambria Math" w:hAnsi="Cambria Math" w:cs="Times New Roman"/>
            <w:sz w:val="24"/>
            <w:szCs w:val="24"/>
          </w:rPr>
          <m:t>adjv</m:t>
        </m:r>
      </m:oMath>
      <w:r w:rsidRPr="00C82EE1">
        <w:rPr>
          <w:rFonts w:ascii="Times New Roman" w:hAnsi="Times New Roman" w:cs="Times New Roman"/>
          <w:i/>
          <w:sz w:val="24"/>
          <w:szCs w:val="24"/>
        </w:rPr>
        <w:t xml:space="preserve">). </w:t>
      </w:r>
      <w:r w:rsidRPr="00C82EE1">
        <w:rPr>
          <w:rFonts w:ascii="Times New Roman" w:hAnsi="Times New Roman" w:cs="Times New Roman"/>
          <w:sz w:val="24"/>
          <w:szCs w:val="24"/>
        </w:rPr>
        <w:lastRenderedPageBreak/>
        <w:t>Overall, this analysis shows that all metrics of lexical sophistication contribute to the impact of LC on the ICO fundraising outcome, while a portion of lexical diversity metrics has a significant impact on the amount raised.</w:t>
      </w:r>
    </w:p>
    <w:p w14:paraId="54E4B0A3" w14:textId="32240084" w:rsidR="00481D5B" w:rsidRDefault="00481D5B" w:rsidP="00C7392E">
      <w:pPr>
        <w:spacing w:before="240" w:after="240" w:line="360" w:lineRule="auto"/>
        <w:jc w:val="center"/>
        <w:rPr>
          <w:rFonts w:ascii="Times New Roman" w:hAnsi="Times New Roman" w:cs="Times New Roman"/>
          <w:sz w:val="24"/>
          <w:szCs w:val="24"/>
        </w:rPr>
      </w:pPr>
      <w:r w:rsidRPr="00C82EE1">
        <w:rPr>
          <w:rFonts w:ascii="Times New Roman" w:hAnsi="Times New Roman" w:cs="Times New Roman"/>
          <w:sz w:val="24"/>
          <w:szCs w:val="24"/>
        </w:rPr>
        <w:t>[Insert Figure A</w:t>
      </w:r>
      <w:r w:rsidR="00485FDA" w:rsidRPr="00C82EE1">
        <w:rPr>
          <w:rFonts w:ascii="Times New Roman" w:hAnsi="Times New Roman" w:cs="Times New Roman"/>
          <w:sz w:val="24"/>
          <w:szCs w:val="24"/>
        </w:rPr>
        <w:t>1</w:t>
      </w:r>
      <w:r w:rsidRPr="00C82EE1">
        <w:rPr>
          <w:rFonts w:ascii="Times New Roman" w:hAnsi="Times New Roman" w:cs="Times New Roman"/>
          <w:sz w:val="24"/>
          <w:szCs w:val="24"/>
        </w:rPr>
        <w:t xml:space="preserve"> here.]</w:t>
      </w:r>
    </w:p>
    <w:p w14:paraId="2A3491D6" w14:textId="3DCB75F7" w:rsidR="0055278B" w:rsidRDefault="0055278B" w:rsidP="00485FDA">
      <w:pPr>
        <w:spacing w:before="240" w:after="240" w:line="360" w:lineRule="auto"/>
        <w:jc w:val="center"/>
        <w:rPr>
          <w:rFonts w:ascii="Times New Roman" w:hAnsi="Times New Roman" w:cs="Times New Roman"/>
          <w:sz w:val="24"/>
          <w:szCs w:val="24"/>
        </w:rPr>
      </w:pPr>
    </w:p>
    <w:p w14:paraId="4179598D" w14:textId="676D4160" w:rsidR="0055278B" w:rsidRDefault="0055278B" w:rsidP="00485FDA">
      <w:pPr>
        <w:spacing w:before="240" w:after="240" w:line="360" w:lineRule="auto"/>
        <w:jc w:val="center"/>
        <w:rPr>
          <w:rFonts w:ascii="Times New Roman" w:hAnsi="Times New Roman" w:cs="Times New Roman"/>
          <w:sz w:val="24"/>
          <w:szCs w:val="24"/>
        </w:rPr>
      </w:pPr>
    </w:p>
    <w:p w14:paraId="6571E0D5" w14:textId="5CCB26DD" w:rsidR="0055278B" w:rsidRDefault="0055278B" w:rsidP="00485FDA">
      <w:pPr>
        <w:spacing w:before="240" w:after="240" w:line="360" w:lineRule="auto"/>
        <w:jc w:val="center"/>
        <w:rPr>
          <w:rFonts w:ascii="Times New Roman" w:hAnsi="Times New Roman" w:cs="Times New Roman"/>
          <w:sz w:val="24"/>
          <w:szCs w:val="24"/>
        </w:rPr>
      </w:pPr>
    </w:p>
    <w:p w14:paraId="789EE42B" w14:textId="02A43771" w:rsidR="0055278B" w:rsidRDefault="0055278B" w:rsidP="00485FDA">
      <w:pPr>
        <w:spacing w:before="240" w:after="240" w:line="360" w:lineRule="auto"/>
        <w:jc w:val="center"/>
        <w:rPr>
          <w:rFonts w:ascii="Times New Roman" w:hAnsi="Times New Roman" w:cs="Times New Roman"/>
          <w:sz w:val="24"/>
          <w:szCs w:val="24"/>
        </w:rPr>
      </w:pPr>
    </w:p>
    <w:p w14:paraId="70EF9A3A" w14:textId="32FC9B69" w:rsidR="0055278B" w:rsidRDefault="0055278B" w:rsidP="00485FDA">
      <w:pPr>
        <w:spacing w:before="240" w:after="240" w:line="360" w:lineRule="auto"/>
        <w:jc w:val="center"/>
        <w:rPr>
          <w:rFonts w:ascii="Times New Roman" w:hAnsi="Times New Roman" w:cs="Times New Roman"/>
          <w:sz w:val="24"/>
          <w:szCs w:val="24"/>
        </w:rPr>
      </w:pPr>
    </w:p>
    <w:p w14:paraId="1FE2CAC3" w14:textId="5A89567B" w:rsidR="0055278B" w:rsidRDefault="0055278B" w:rsidP="00485FDA">
      <w:pPr>
        <w:spacing w:before="240" w:after="240" w:line="360" w:lineRule="auto"/>
        <w:jc w:val="center"/>
        <w:rPr>
          <w:rFonts w:ascii="Times New Roman" w:hAnsi="Times New Roman" w:cs="Times New Roman"/>
          <w:sz w:val="24"/>
          <w:szCs w:val="24"/>
        </w:rPr>
      </w:pPr>
    </w:p>
    <w:p w14:paraId="61C79D00" w14:textId="41DEED8E" w:rsidR="0055278B" w:rsidRDefault="0055278B" w:rsidP="00485FDA">
      <w:pPr>
        <w:spacing w:before="240" w:after="240" w:line="360" w:lineRule="auto"/>
        <w:jc w:val="center"/>
        <w:rPr>
          <w:rFonts w:ascii="Times New Roman" w:hAnsi="Times New Roman" w:cs="Times New Roman"/>
          <w:sz w:val="24"/>
          <w:szCs w:val="24"/>
        </w:rPr>
      </w:pPr>
    </w:p>
    <w:p w14:paraId="204C3149" w14:textId="260B890D" w:rsidR="0055278B" w:rsidRDefault="0055278B" w:rsidP="00485FDA">
      <w:pPr>
        <w:spacing w:before="240" w:after="240" w:line="360" w:lineRule="auto"/>
        <w:jc w:val="center"/>
        <w:rPr>
          <w:rFonts w:ascii="Times New Roman" w:hAnsi="Times New Roman" w:cs="Times New Roman"/>
          <w:sz w:val="24"/>
          <w:szCs w:val="24"/>
        </w:rPr>
      </w:pPr>
    </w:p>
    <w:p w14:paraId="23956ECC" w14:textId="36C84EFE" w:rsidR="0055278B" w:rsidRDefault="0055278B" w:rsidP="00485FDA">
      <w:pPr>
        <w:spacing w:before="240" w:after="240" w:line="360" w:lineRule="auto"/>
        <w:jc w:val="center"/>
        <w:rPr>
          <w:rFonts w:ascii="Times New Roman" w:hAnsi="Times New Roman" w:cs="Times New Roman"/>
          <w:sz w:val="24"/>
          <w:szCs w:val="24"/>
        </w:rPr>
      </w:pPr>
    </w:p>
    <w:p w14:paraId="3D8B39AB" w14:textId="21303555" w:rsidR="0055278B" w:rsidRDefault="0055278B" w:rsidP="00485FDA">
      <w:pPr>
        <w:spacing w:before="240" w:after="240" w:line="360" w:lineRule="auto"/>
        <w:jc w:val="center"/>
        <w:rPr>
          <w:rFonts w:ascii="Times New Roman" w:hAnsi="Times New Roman" w:cs="Times New Roman"/>
          <w:sz w:val="24"/>
          <w:szCs w:val="24"/>
        </w:rPr>
      </w:pPr>
    </w:p>
    <w:p w14:paraId="517ABA0C" w14:textId="6C4032BA" w:rsidR="0055278B" w:rsidRDefault="0055278B" w:rsidP="00485FDA">
      <w:pPr>
        <w:spacing w:before="240" w:after="240" w:line="360" w:lineRule="auto"/>
        <w:jc w:val="center"/>
        <w:rPr>
          <w:rFonts w:ascii="Times New Roman" w:hAnsi="Times New Roman" w:cs="Times New Roman"/>
          <w:sz w:val="24"/>
          <w:szCs w:val="24"/>
        </w:rPr>
      </w:pPr>
    </w:p>
    <w:p w14:paraId="75E6F7A3" w14:textId="38B721F9" w:rsidR="0055278B" w:rsidRDefault="0055278B" w:rsidP="00485FDA">
      <w:pPr>
        <w:spacing w:before="240" w:after="240" w:line="360" w:lineRule="auto"/>
        <w:jc w:val="center"/>
        <w:rPr>
          <w:rFonts w:ascii="Times New Roman" w:hAnsi="Times New Roman" w:cs="Times New Roman"/>
          <w:sz w:val="24"/>
          <w:szCs w:val="24"/>
        </w:rPr>
      </w:pPr>
    </w:p>
    <w:p w14:paraId="649F2DBD" w14:textId="49AA9529" w:rsidR="0055278B" w:rsidRDefault="0055278B" w:rsidP="00485FDA">
      <w:pPr>
        <w:spacing w:before="240" w:after="240" w:line="360" w:lineRule="auto"/>
        <w:jc w:val="center"/>
        <w:rPr>
          <w:rFonts w:ascii="Times New Roman" w:hAnsi="Times New Roman" w:cs="Times New Roman"/>
          <w:sz w:val="24"/>
          <w:szCs w:val="24"/>
        </w:rPr>
      </w:pPr>
    </w:p>
    <w:p w14:paraId="30291625" w14:textId="33435186" w:rsidR="0055278B" w:rsidRDefault="0055278B" w:rsidP="00485FDA">
      <w:pPr>
        <w:spacing w:before="240" w:after="240" w:line="360" w:lineRule="auto"/>
        <w:jc w:val="center"/>
        <w:rPr>
          <w:rFonts w:ascii="Times New Roman" w:hAnsi="Times New Roman" w:cs="Times New Roman"/>
          <w:sz w:val="24"/>
          <w:szCs w:val="24"/>
        </w:rPr>
      </w:pPr>
    </w:p>
    <w:p w14:paraId="389B517B" w14:textId="3991A052" w:rsidR="0055278B" w:rsidRDefault="0055278B" w:rsidP="00485FDA">
      <w:pPr>
        <w:spacing w:before="240" w:after="240" w:line="360" w:lineRule="auto"/>
        <w:jc w:val="center"/>
        <w:rPr>
          <w:rFonts w:ascii="Times New Roman" w:hAnsi="Times New Roman" w:cs="Times New Roman"/>
          <w:sz w:val="24"/>
          <w:szCs w:val="24"/>
        </w:rPr>
      </w:pPr>
    </w:p>
    <w:p w14:paraId="22C02BF4" w14:textId="4162F207" w:rsidR="0055278B" w:rsidRDefault="0055278B" w:rsidP="00485FDA">
      <w:pPr>
        <w:spacing w:before="240" w:after="240" w:line="360" w:lineRule="auto"/>
        <w:jc w:val="center"/>
        <w:rPr>
          <w:rFonts w:ascii="Times New Roman" w:hAnsi="Times New Roman" w:cs="Times New Roman"/>
          <w:sz w:val="24"/>
          <w:szCs w:val="24"/>
        </w:rPr>
      </w:pPr>
    </w:p>
    <w:p w14:paraId="0BEBCDD7" w14:textId="704455AB" w:rsidR="0055278B" w:rsidRDefault="0055278B" w:rsidP="00485FDA">
      <w:pPr>
        <w:spacing w:before="240" w:after="240" w:line="360" w:lineRule="auto"/>
        <w:jc w:val="center"/>
        <w:rPr>
          <w:rFonts w:ascii="Times New Roman" w:hAnsi="Times New Roman" w:cs="Times New Roman"/>
          <w:sz w:val="24"/>
          <w:szCs w:val="24"/>
        </w:rPr>
      </w:pPr>
    </w:p>
    <w:p w14:paraId="733409AD" w14:textId="25DCF723" w:rsidR="00481D5B" w:rsidRDefault="00481D5B" w:rsidP="00026FCB">
      <w:pPr>
        <w:spacing w:after="0" w:line="360" w:lineRule="auto"/>
        <w:jc w:val="both"/>
        <w:rPr>
          <w:rFonts w:ascii="Times New Roman" w:hAnsi="Times New Roman" w:cs="Times New Roman"/>
          <w:sz w:val="24"/>
          <w:szCs w:val="24"/>
        </w:rPr>
      </w:pPr>
    </w:p>
    <w:p w14:paraId="2901BDD4" w14:textId="77777777" w:rsidR="007F3752" w:rsidRDefault="007F3752" w:rsidP="00026FCB">
      <w:pPr>
        <w:spacing w:after="0" w:line="360" w:lineRule="auto"/>
        <w:jc w:val="both"/>
        <w:rPr>
          <w:rFonts w:ascii="Times New Roman" w:hAnsi="Times New Roman" w:cs="Times New Roman"/>
          <w:sz w:val="24"/>
          <w:szCs w:val="24"/>
        </w:rPr>
      </w:pPr>
    </w:p>
    <w:p w14:paraId="2E641C52" w14:textId="2793F5B2" w:rsidR="0055278B" w:rsidRPr="00C82EE1" w:rsidRDefault="0055278B" w:rsidP="00E223E9">
      <w:pPr>
        <w:spacing w:after="240" w:line="360" w:lineRule="auto"/>
        <w:jc w:val="center"/>
        <w:rPr>
          <w:rFonts w:ascii="Times New Roman" w:hAnsi="Times New Roman" w:cs="Times New Roman"/>
          <w:b/>
          <w:sz w:val="28"/>
          <w:szCs w:val="24"/>
        </w:rPr>
      </w:pPr>
      <w:r w:rsidRPr="00C82EE1">
        <w:rPr>
          <w:rFonts w:ascii="Times New Roman" w:hAnsi="Times New Roman" w:cs="Times New Roman"/>
          <w:b/>
          <w:sz w:val="28"/>
          <w:szCs w:val="24"/>
        </w:rPr>
        <w:lastRenderedPageBreak/>
        <w:t>Figure A1: Model selection – ten best Adjusted R-squared models</w:t>
      </w:r>
      <w:r w:rsidR="00B849B4">
        <w:rPr>
          <w:rFonts w:ascii="Times New Roman" w:hAnsi="Times New Roman" w:cs="Times New Roman"/>
          <w:b/>
          <w:sz w:val="28"/>
          <w:szCs w:val="24"/>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4"/>
      </w:tblGrid>
      <w:tr w:rsidR="0055278B" w:rsidRPr="00C82EE1" w14:paraId="13C6ECF2" w14:textId="77777777" w:rsidTr="00AD4704">
        <w:tc>
          <w:tcPr>
            <w:tcW w:w="4476" w:type="dxa"/>
          </w:tcPr>
          <w:p w14:paraId="519F53F9" w14:textId="77777777" w:rsidR="0055278B" w:rsidRPr="00C82EE1" w:rsidRDefault="0055278B" w:rsidP="00AD4704">
            <w:pPr>
              <w:spacing w:line="360" w:lineRule="auto"/>
              <w:jc w:val="center"/>
              <w:rPr>
                <w:rFonts w:ascii="Times New Roman" w:hAnsi="Times New Roman" w:cs="Times New Roman"/>
                <w:sz w:val="24"/>
                <w:szCs w:val="24"/>
              </w:rPr>
            </w:pPr>
            <w:r w:rsidRPr="00C82EE1">
              <w:rPr>
                <w:rFonts w:ascii="Times New Roman" w:hAnsi="Times New Roman" w:cs="Times New Roman"/>
                <w:noProof/>
                <w:sz w:val="24"/>
                <w:szCs w:val="24"/>
              </w:rPr>
              <w:drawing>
                <wp:inline distT="0" distB="0" distL="0" distR="0" wp14:anchorId="48FA8EA3" wp14:editId="4F3ECC7E">
                  <wp:extent cx="2696658" cy="2948400"/>
                  <wp:effectExtent l="0" t="0" r="8890" b="444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99401" name="Image 438599401" descr="Une image contenant texte, capture d’écran, diagramme, monochrom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6658" cy="2948400"/>
                          </a:xfrm>
                          <a:prstGeom prst="rect">
                            <a:avLst/>
                          </a:prstGeom>
                        </pic:spPr>
                      </pic:pic>
                    </a:graphicData>
                  </a:graphic>
                </wp:inline>
              </w:drawing>
            </w:r>
          </w:p>
        </w:tc>
        <w:tc>
          <w:tcPr>
            <w:tcW w:w="4596" w:type="dxa"/>
          </w:tcPr>
          <w:p w14:paraId="68655DA8" w14:textId="77777777" w:rsidR="0055278B" w:rsidRPr="00C82EE1" w:rsidRDefault="0055278B" w:rsidP="00AD4704">
            <w:pPr>
              <w:spacing w:line="360" w:lineRule="auto"/>
              <w:jc w:val="center"/>
              <w:rPr>
                <w:rFonts w:ascii="Times New Roman" w:hAnsi="Times New Roman" w:cs="Times New Roman"/>
                <w:sz w:val="24"/>
                <w:szCs w:val="24"/>
              </w:rPr>
            </w:pPr>
            <w:r w:rsidRPr="00C82EE1">
              <w:rPr>
                <w:rFonts w:ascii="Times New Roman" w:hAnsi="Times New Roman" w:cs="Times New Roman"/>
                <w:noProof/>
                <w:sz w:val="24"/>
                <w:szCs w:val="24"/>
              </w:rPr>
              <w:drawing>
                <wp:inline distT="0" distB="0" distL="0" distR="0" wp14:anchorId="3737F057" wp14:editId="780C0907">
                  <wp:extent cx="2696658" cy="2948400"/>
                  <wp:effectExtent l="0" t="0" r="8890" b="444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99005" name="Image 497799005" descr="Une image contenant texte, capture d’écran, Rectangle, carré&#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6658" cy="2948400"/>
                          </a:xfrm>
                          <a:prstGeom prst="rect">
                            <a:avLst/>
                          </a:prstGeom>
                        </pic:spPr>
                      </pic:pic>
                    </a:graphicData>
                  </a:graphic>
                </wp:inline>
              </w:drawing>
            </w:r>
          </w:p>
        </w:tc>
      </w:tr>
      <w:tr w:rsidR="0055278B" w:rsidRPr="00C82EE1" w14:paraId="53EC11A1" w14:textId="77777777" w:rsidTr="00AD4704">
        <w:tc>
          <w:tcPr>
            <w:tcW w:w="4476" w:type="dxa"/>
          </w:tcPr>
          <w:p w14:paraId="517CBD81" w14:textId="77777777" w:rsidR="0055278B" w:rsidRPr="00C82EE1" w:rsidRDefault="0055278B" w:rsidP="00AD4704">
            <w:pPr>
              <w:numPr>
                <w:ilvl w:val="0"/>
                <w:numId w:val="19"/>
              </w:numPr>
              <w:spacing w:line="360" w:lineRule="auto"/>
              <w:contextualSpacing/>
              <w:jc w:val="center"/>
              <w:rPr>
                <w:rFonts w:ascii="Times New Roman" w:hAnsi="Times New Roman" w:cs="Times New Roman"/>
                <w:sz w:val="24"/>
                <w:szCs w:val="24"/>
              </w:rPr>
            </w:pPr>
            <w:r w:rsidRPr="00C82EE1">
              <w:rPr>
                <w:rFonts w:ascii="Times New Roman" w:hAnsi="Times New Roman" w:cs="Times New Roman"/>
                <w:sz w:val="24"/>
                <w:szCs w:val="24"/>
              </w:rPr>
              <w:t>LC</w:t>
            </w:r>
          </w:p>
        </w:tc>
        <w:tc>
          <w:tcPr>
            <w:tcW w:w="4596" w:type="dxa"/>
          </w:tcPr>
          <w:p w14:paraId="397EE38B" w14:textId="77777777" w:rsidR="0055278B" w:rsidRPr="00C82EE1" w:rsidRDefault="0055278B" w:rsidP="00AD4704">
            <w:pPr>
              <w:numPr>
                <w:ilvl w:val="0"/>
                <w:numId w:val="19"/>
              </w:numPr>
              <w:spacing w:line="360" w:lineRule="auto"/>
              <w:contextualSpacing/>
              <w:jc w:val="center"/>
              <w:rPr>
                <w:rFonts w:ascii="Times New Roman" w:hAnsi="Times New Roman" w:cs="Times New Roman"/>
                <w:sz w:val="24"/>
                <w:szCs w:val="24"/>
              </w:rPr>
            </w:pPr>
            <w:r w:rsidRPr="00C82EE1">
              <w:rPr>
                <w:rFonts w:ascii="Times New Roman" w:hAnsi="Times New Roman" w:cs="Times New Roman"/>
                <w:sz w:val="24"/>
                <w:szCs w:val="24"/>
              </w:rPr>
              <w:t>Lexical sophistication</w:t>
            </w:r>
          </w:p>
        </w:tc>
      </w:tr>
      <w:tr w:rsidR="0055278B" w:rsidRPr="00C82EE1" w14:paraId="50A19227" w14:textId="77777777" w:rsidTr="00AD4704">
        <w:tc>
          <w:tcPr>
            <w:tcW w:w="9072" w:type="dxa"/>
            <w:gridSpan w:val="2"/>
          </w:tcPr>
          <w:p w14:paraId="226D27EE" w14:textId="77777777" w:rsidR="0055278B" w:rsidRPr="00C82EE1" w:rsidRDefault="0055278B" w:rsidP="00AD4704">
            <w:pPr>
              <w:spacing w:line="360" w:lineRule="auto"/>
              <w:jc w:val="center"/>
              <w:rPr>
                <w:rFonts w:ascii="Times New Roman" w:hAnsi="Times New Roman" w:cs="Times New Roman"/>
                <w:sz w:val="24"/>
                <w:szCs w:val="24"/>
              </w:rPr>
            </w:pPr>
            <w:r w:rsidRPr="00C82EE1">
              <w:rPr>
                <w:rFonts w:ascii="Times New Roman" w:hAnsi="Times New Roman" w:cs="Times New Roman"/>
                <w:noProof/>
                <w:sz w:val="24"/>
                <w:szCs w:val="24"/>
              </w:rPr>
              <w:drawing>
                <wp:inline distT="0" distB="0" distL="0" distR="0" wp14:anchorId="00C34011" wp14:editId="5D7D7CA7">
                  <wp:extent cx="2697984" cy="2949850"/>
                  <wp:effectExtent l="0" t="0" r="7620" b="317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47012" name="Image 504247012" descr="Une image contenant texte, capture d’écran, mots croisés, conception&#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7984" cy="2949850"/>
                          </a:xfrm>
                          <a:prstGeom prst="rect">
                            <a:avLst/>
                          </a:prstGeom>
                        </pic:spPr>
                      </pic:pic>
                    </a:graphicData>
                  </a:graphic>
                </wp:inline>
              </w:drawing>
            </w:r>
          </w:p>
        </w:tc>
      </w:tr>
      <w:tr w:rsidR="0055278B" w:rsidRPr="00C82EE1" w14:paraId="3DA721DD" w14:textId="77777777" w:rsidTr="00AD4704">
        <w:tc>
          <w:tcPr>
            <w:tcW w:w="9072" w:type="dxa"/>
            <w:gridSpan w:val="2"/>
          </w:tcPr>
          <w:p w14:paraId="6170C0F3" w14:textId="77777777" w:rsidR="0055278B" w:rsidRPr="00C82EE1" w:rsidRDefault="0055278B" w:rsidP="00AD4704">
            <w:pPr>
              <w:numPr>
                <w:ilvl w:val="0"/>
                <w:numId w:val="19"/>
              </w:numPr>
              <w:spacing w:line="360" w:lineRule="auto"/>
              <w:contextualSpacing/>
              <w:jc w:val="center"/>
              <w:rPr>
                <w:rFonts w:ascii="Times New Roman" w:hAnsi="Times New Roman" w:cs="Times New Roman"/>
                <w:sz w:val="24"/>
                <w:szCs w:val="24"/>
              </w:rPr>
            </w:pPr>
            <w:r w:rsidRPr="00C82EE1">
              <w:rPr>
                <w:rFonts w:ascii="Times New Roman" w:hAnsi="Times New Roman" w:cs="Times New Roman"/>
                <w:sz w:val="24"/>
                <w:szCs w:val="24"/>
              </w:rPr>
              <w:t xml:space="preserve">Lexical </w:t>
            </w:r>
            <w:proofErr w:type="spellStart"/>
            <w:r w:rsidRPr="00C82EE1">
              <w:rPr>
                <w:rFonts w:ascii="Times New Roman" w:hAnsi="Times New Roman" w:cs="Times New Roman"/>
                <w:sz w:val="24"/>
                <w:szCs w:val="24"/>
              </w:rPr>
              <w:t>diversity</w:t>
            </w:r>
            <w:proofErr w:type="spellEnd"/>
          </w:p>
        </w:tc>
      </w:tr>
    </w:tbl>
    <w:p w14:paraId="4FCAF13A" w14:textId="77777777" w:rsidR="0055278B" w:rsidRPr="00C82EE1" w:rsidRDefault="0055278B" w:rsidP="0055278B">
      <w:pPr>
        <w:spacing w:after="120" w:line="240" w:lineRule="auto"/>
        <w:jc w:val="both"/>
        <w:rPr>
          <w:rFonts w:ascii="Times New Roman" w:hAnsi="Times New Roman" w:cs="Times New Roman"/>
          <w:sz w:val="20"/>
          <w:szCs w:val="20"/>
        </w:rPr>
      </w:pPr>
      <w:r w:rsidRPr="00C82EE1">
        <w:rPr>
          <w:rFonts w:ascii="Times New Roman" w:hAnsi="Times New Roman" w:cs="Times New Roman"/>
          <w:i/>
          <w:sz w:val="20"/>
          <w:szCs w:val="20"/>
        </w:rPr>
        <w:t xml:space="preserve">Notes. </w:t>
      </w:r>
      <w:r w:rsidRPr="00C82EE1">
        <w:rPr>
          <w:rFonts w:ascii="Times New Roman" w:hAnsi="Times New Roman" w:cs="Times New Roman"/>
          <w:sz w:val="20"/>
          <w:szCs w:val="20"/>
        </w:rPr>
        <w:t>This figure depicts tables of the ten best models of the LCA tool and its impact on the ICO amount raised, following the adjusted R2 criteria. The squares indicate which variables belong to the model. A black square means that a variable is included in the model and a white square means that they are not.</w:t>
      </w:r>
    </w:p>
    <w:p w14:paraId="37952506" w14:textId="77777777" w:rsidR="0055278B" w:rsidRPr="00C82EE1" w:rsidRDefault="0055278B" w:rsidP="0055278B">
      <w:pPr>
        <w:spacing w:after="0" w:line="360" w:lineRule="auto"/>
        <w:jc w:val="both"/>
        <w:rPr>
          <w:rFonts w:ascii="Times New Roman" w:hAnsi="Times New Roman" w:cs="Times New Roman"/>
          <w:b/>
          <w:sz w:val="24"/>
          <w:szCs w:val="24"/>
        </w:rPr>
      </w:pPr>
    </w:p>
    <w:p w14:paraId="6FBA20AF" w14:textId="77777777" w:rsidR="0055278B" w:rsidRDefault="0055278B" w:rsidP="0055278B">
      <w:pPr>
        <w:spacing w:after="0" w:line="360" w:lineRule="auto"/>
        <w:jc w:val="both"/>
        <w:rPr>
          <w:rFonts w:ascii="Times New Roman" w:hAnsi="Times New Roman" w:cs="Times New Roman"/>
          <w:sz w:val="24"/>
          <w:szCs w:val="24"/>
        </w:rPr>
      </w:pPr>
    </w:p>
    <w:p w14:paraId="5284BAAE" w14:textId="77777777" w:rsidR="0055278B" w:rsidRDefault="0055278B" w:rsidP="0055278B">
      <w:pPr>
        <w:spacing w:after="0" w:line="360" w:lineRule="auto"/>
        <w:jc w:val="both"/>
        <w:rPr>
          <w:rFonts w:ascii="Times New Roman" w:hAnsi="Times New Roman" w:cs="Times New Roman"/>
          <w:sz w:val="24"/>
          <w:szCs w:val="24"/>
        </w:rPr>
      </w:pPr>
    </w:p>
    <w:p w14:paraId="645939AD" w14:textId="72F319DC" w:rsidR="0055278B" w:rsidRPr="00C82EE1" w:rsidRDefault="0055278B" w:rsidP="00026FCB">
      <w:pPr>
        <w:spacing w:after="0" w:line="360" w:lineRule="auto"/>
        <w:jc w:val="both"/>
        <w:rPr>
          <w:rFonts w:ascii="Times New Roman" w:hAnsi="Times New Roman" w:cs="Times New Roman"/>
          <w:sz w:val="24"/>
          <w:szCs w:val="24"/>
        </w:rPr>
        <w:sectPr w:rsidR="0055278B" w:rsidRPr="00C82EE1" w:rsidSect="00976BB9">
          <w:footerReference w:type="default" r:id="rId12"/>
          <w:pgSz w:w="11906" w:h="16838"/>
          <w:pgMar w:top="1418" w:right="1418" w:bottom="1418" w:left="1418" w:header="709" w:footer="709" w:gutter="0"/>
          <w:cols w:space="708"/>
          <w:titlePg/>
          <w:docGrid w:linePitch="360"/>
        </w:sectPr>
      </w:pPr>
    </w:p>
    <w:tbl>
      <w:tblPr>
        <w:tblpPr w:leftFromText="141" w:rightFromText="141" w:vertAnchor="page" w:horzAnchor="margin" w:tblpXSpec="center" w:tblpY="649"/>
        <w:tblW w:w="15735" w:type="dxa"/>
        <w:tblCellMar>
          <w:left w:w="70" w:type="dxa"/>
          <w:right w:w="70" w:type="dxa"/>
        </w:tblCellMar>
        <w:tblLook w:val="04A0" w:firstRow="1" w:lastRow="0" w:firstColumn="1" w:lastColumn="0" w:noHBand="0" w:noVBand="1"/>
      </w:tblPr>
      <w:tblGrid>
        <w:gridCol w:w="2410"/>
        <w:gridCol w:w="4536"/>
        <w:gridCol w:w="8789"/>
      </w:tblGrid>
      <w:tr w:rsidR="00485FDA" w:rsidRPr="00C82EE1" w14:paraId="122660AE" w14:textId="77777777" w:rsidTr="00485FDA">
        <w:trPr>
          <w:trHeight w:val="315"/>
        </w:trPr>
        <w:tc>
          <w:tcPr>
            <w:tcW w:w="15735" w:type="dxa"/>
            <w:gridSpan w:val="3"/>
            <w:tcBorders>
              <w:top w:val="nil"/>
              <w:left w:val="nil"/>
              <w:bottom w:val="single" w:sz="8" w:space="0" w:color="auto"/>
              <w:right w:val="nil"/>
            </w:tcBorders>
            <w:shd w:val="clear" w:color="auto" w:fill="auto"/>
            <w:noWrap/>
            <w:vAlign w:val="center"/>
          </w:tcPr>
          <w:p w14:paraId="130290E0" w14:textId="77777777" w:rsidR="00485FDA" w:rsidRPr="00C82EE1" w:rsidRDefault="00485FDA" w:rsidP="00F62B5C">
            <w:pPr>
              <w:spacing w:after="0" w:line="240" w:lineRule="auto"/>
              <w:rPr>
                <w:rFonts w:ascii="Times New Roman" w:eastAsia="Times New Roman" w:hAnsi="Times New Roman" w:cs="Times New Roman"/>
                <w:b/>
                <w:iCs/>
                <w:sz w:val="24"/>
                <w:szCs w:val="24"/>
                <w:lang w:eastAsia="fr-BE"/>
              </w:rPr>
            </w:pPr>
          </w:p>
          <w:p w14:paraId="1B86B3F0" w14:textId="77777777" w:rsidR="00485FDA" w:rsidRPr="00C82EE1" w:rsidRDefault="00485FDA" w:rsidP="00485FDA">
            <w:pPr>
              <w:spacing w:after="0" w:line="240" w:lineRule="auto"/>
              <w:jc w:val="center"/>
              <w:rPr>
                <w:rFonts w:ascii="Times New Roman" w:eastAsia="Times New Roman" w:hAnsi="Times New Roman" w:cs="Times New Roman"/>
                <w:b/>
                <w:iCs/>
                <w:sz w:val="24"/>
                <w:szCs w:val="24"/>
                <w:lang w:eastAsia="fr-BE"/>
              </w:rPr>
            </w:pPr>
          </w:p>
          <w:p w14:paraId="5D30A8EB" w14:textId="62FA02B1" w:rsidR="003C73FB" w:rsidRPr="00C82EE1" w:rsidRDefault="00485FDA" w:rsidP="00E223E9">
            <w:pPr>
              <w:spacing w:after="240" w:line="240" w:lineRule="auto"/>
              <w:jc w:val="center"/>
              <w:rPr>
                <w:rFonts w:ascii="Times New Roman" w:eastAsia="Times New Roman" w:hAnsi="Times New Roman" w:cs="Times New Roman"/>
                <w:b/>
                <w:iCs/>
                <w:sz w:val="28"/>
                <w:szCs w:val="24"/>
                <w:lang w:eastAsia="fr-BE"/>
              </w:rPr>
            </w:pPr>
            <w:r w:rsidRPr="00C82EE1">
              <w:rPr>
                <w:rFonts w:ascii="Times New Roman" w:eastAsia="Times New Roman" w:hAnsi="Times New Roman" w:cs="Times New Roman"/>
                <w:b/>
                <w:iCs/>
                <w:sz w:val="28"/>
                <w:szCs w:val="24"/>
                <w:lang w:eastAsia="fr-BE"/>
              </w:rPr>
              <w:t>Table A1: Lexical Complexity Analyzer (LCA) tool.</w:t>
            </w:r>
          </w:p>
          <w:p w14:paraId="1A2ED822" w14:textId="0B8459A4" w:rsidR="00485FDA" w:rsidRPr="00C82EE1" w:rsidRDefault="00485FDA" w:rsidP="00485FDA">
            <w:pPr>
              <w:spacing w:after="0" w:line="240" w:lineRule="auto"/>
              <w:jc w:val="center"/>
              <w:rPr>
                <w:rFonts w:ascii="Times New Roman" w:eastAsia="Times New Roman" w:hAnsi="Times New Roman" w:cs="Times New Roman"/>
                <w:b/>
                <w:iCs/>
                <w:sz w:val="24"/>
                <w:szCs w:val="24"/>
                <w:lang w:eastAsia="fr-BE"/>
              </w:rPr>
            </w:pPr>
          </w:p>
        </w:tc>
      </w:tr>
      <w:tr w:rsidR="00485FDA" w:rsidRPr="00C82EE1" w14:paraId="133FDFEB" w14:textId="77777777" w:rsidTr="00485FDA">
        <w:trPr>
          <w:trHeight w:val="315"/>
        </w:trPr>
        <w:tc>
          <w:tcPr>
            <w:tcW w:w="2410" w:type="dxa"/>
            <w:tcBorders>
              <w:top w:val="nil"/>
              <w:left w:val="nil"/>
              <w:bottom w:val="single" w:sz="8" w:space="0" w:color="auto"/>
              <w:right w:val="nil"/>
            </w:tcBorders>
            <w:shd w:val="clear" w:color="auto" w:fill="auto"/>
            <w:noWrap/>
            <w:vAlign w:val="center"/>
            <w:hideMark/>
          </w:tcPr>
          <w:p w14:paraId="65579BE5" w14:textId="5A5909ED" w:rsidR="00485FDA" w:rsidRPr="00C82EE1" w:rsidRDefault="00485FDA" w:rsidP="00485FDA">
            <w:pPr>
              <w:spacing w:after="0" w:line="240" w:lineRule="auto"/>
              <w:jc w:val="both"/>
              <w:rPr>
                <w:rFonts w:ascii="Times New Roman" w:eastAsia="Times New Roman" w:hAnsi="Times New Roman" w:cs="Times New Roman"/>
                <w:b/>
                <w:iCs/>
                <w:sz w:val="20"/>
                <w:szCs w:val="20"/>
                <w:lang w:val="fr-BE" w:eastAsia="fr-BE"/>
              </w:rPr>
            </w:pPr>
            <w:r w:rsidRPr="00C82EE1">
              <w:rPr>
                <w:rFonts w:ascii="Times New Roman" w:eastAsia="Times New Roman" w:hAnsi="Times New Roman" w:cs="Times New Roman"/>
                <w:b/>
                <w:iCs/>
                <w:sz w:val="20"/>
                <w:szCs w:val="20"/>
                <w:lang w:val="fr-BE" w:eastAsia="fr-BE"/>
              </w:rPr>
              <w:t xml:space="preserve">LC </w:t>
            </w:r>
            <w:proofErr w:type="spellStart"/>
            <w:r w:rsidR="00086E4A" w:rsidRPr="00C82EE1">
              <w:rPr>
                <w:rFonts w:ascii="Times New Roman" w:eastAsia="Times New Roman" w:hAnsi="Times New Roman" w:cs="Times New Roman"/>
                <w:b/>
                <w:iCs/>
                <w:sz w:val="20"/>
                <w:szCs w:val="20"/>
                <w:lang w:val="fr-BE" w:eastAsia="fr-BE"/>
              </w:rPr>
              <w:t>sub</w:t>
            </w:r>
            <w:r w:rsidR="00AF5A16">
              <w:rPr>
                <w:rFonts w:ascii="Times New Roman" w:eastAsia="Times New Roman" w:hAnsi="Times New Roman" w:cs="Times New Roman"/>
                <w:b/>
                <w:iCs/>
                <w:sz w:val="20"/>
                <w:szCs w:val="20"/>
                <w:lang w:val="fr-BE" w:eastAsia="fr-BE"/>
              </w:rPr>
              <w:t>-</w:t>
            </w:r>
            <w:r w:rsidR="00086E4A" w:rsidRPr="00C82EE1">
              <w:rPr>
                <w:rFonts w:ascii="Times New Roman" w:eastAsia="Times New Roman" w:hAnsi="Times New Roman" w:cs="Times New Roman"/>
                <w:b/>
                <w:iCs/>
                <w:sz w:val="20"/>
                <w:szCs w:val="20"/>
                <w:lang w:val="fr-BE" w:eastAsia="fr-BE"/>
              </w:rPr>
              <w:t>construct</w:t>
            </w:r>
            <w:proofErr w:type="spellEnd"/>
          </w:p>
        </w:tc>
        <w:tc>
          <w:tcPr>
            <w:tcW w:w="4536" w:type="dxa"/>
            <w:tcBorders>
              <w:top w:val="nil"/>
              <w:left w:val="nil"/>
              <w:bottom w:val="single" w:sz="8" w:space="0" w:color="auto"/>
              <w:right w:val="nil"/>
            </w:tcBorders>
            <w:shd w:val="clear" w:color="auto" w:fill="auto"/>
            <w:noWrap/>
            <w:vAlign w:val="center"/>
            <w:hideMark/>
          </w:tcPr>
          <w:p w14:paraId="6D04923B" w14:textId="77777777" w:rsidR="00485FDA" w:rsidRPr="00C82EE1" w:rsidRDefault="00485FDA" w:rsidP="00485FDA">
            <w:pPr>
              <w:spacing w:after="0" w:line="240" w:lineRule="auto"/>
              <w:jc w:val="both"/>
              <w:rPr>
                <w:rFonts w:ascii="Times New Roman" w:eastAsia="Times New Roman" w:hAnsi="Times New Roman" w:cs="Times New Roman"/>
                <w:b/>
                <w:iCs/>
                <w:sz w:val="20"/>
                <w:szCs w:val="20"/>
                <w:lang w:val="fr-BE" w:eastAsia="fr-BE"/>
              </w:rPr>
            </w:pPr>
            <w:proofErr w:type="spellStart"/>
            <w:r w:rsidRPr="00C82EE1">
              <w:rPr>
                <w:rFonts w:ascii="Times New Roman" w:eastAsia="Times New Roman" w:hAnsi="Times New Roman" w:cs="Times New Roman"/>
                <w:b/>
                <w:iCs/>
                <w:sz w:val="20"/>
                <w:szCs w:val="20"/>
                <w:lang w:val="fr-BE" w:eastAsia="fr-BE"/>
              </w:rPr>
              <w:t>Individual</w:t>
            </w:r>
            <w:proofErr w:type="spellEnd"/>
            <w:r w:rsidRPr="00C82EE1">
              <w:rPr>
                <w:rFonts w:ascii="Times New Roman" w:eastAsia="Times New Roman" w:hAnsi="Times New Roman" w:cs="Times New Roman"/>
                <w:b/>
                <w:iCs/>
                <w:sz w:val="20"/>
                <w:szCs w:val="20"/>
                <w:lang w:val="fr-BE" w:eastAsia="fr-BE"/>
              </w:rPr>
              <w:t xml:space="preserve"> </w:t>
            </w:r>
            <w:proofErr w:type="spellStart"/>
            <w:r w:rsidRPr="00C82EE1">
              <w:rPr>
                <w:rFonts w:ascii="Times New Roman" w:eastAsia="Times New Roman" w:hAnsi="Times New Roman" w:cs="Times New Roman"/>
                <w:b/>
                <w:iCs/>
                <w:sz w:val="20"/>
                <w:szCs w:val="20"/>
                <w:lang w:val="fr-BE" w:eastAsia="fr-BE"/>
              </w:rPr>
              <w:t>metric</w:t>
            </w:r>
            <w:proofErr w:type="spellEnd"/>
          </w:p>
        </w:tc>
        <w:tc>
          <w:tcPr>
            <w:tcW w:w="8789" w:type="dxa"/>
            <w:tcBorders>
              <w:top w:val="nil"/>
              <w:left w:val="nil"/>
              <w:bottom w:val="single" w:sz="8" w:space="0" w:color="auto"/>
              <w:right w:val="nil"/>
            </w:tcBorders>
            <w:shd w:val="clear" w:color="auto" w:fill="auto"/>
            <w:noWrap/>
            <w:vAlign w:val="center"/>
            <w:hideMark/>
          </w:tcPr>
          <w:p w14:paraId="636ACCCE" w14:textId="77777777" w:rsidR="00485FDA" w:rsidRPr="00C82EE1" w:rsidRDefault="00485FDA" w:rsidP="00485FDA">
            <w:pPr>
              <w:spacing w:after="0" w:line="240" w:lineRule="auto"/>
              <w:jc w:val="both"/>
              <w:rPr>
                <w:rFonts w:ascii="Times New Roman" w:eastAsia="Times New Roman" w:hAnsi="Times New Roman" w:cs="Times New Roman"/>
                <w:b/>
                <w:iCs/>
                <w:sz w:val="20"/>
                <w:szCs w:val="20"/>
                <w:lang w:val="fr-BE" w:eastAsia="fr-BE"/>
              </w:rPr>
            </w:pPr>
            <w:proofErr w:type="spellStart"/>
            <w:r w:rsidRPr="00C82EE1">
              <w:rPr>
                <w:rFonts w:ascii="Times New Roman" w:eastAsia="Times New Roman" w:hAnsi="Times New Roman" w:cs="Times New Roman"/>
                <w:b/>
                <w:iCs/>
                <w:sz w:val="20"/>
                <w:szCs w:val="20"/>
                <w:lang w:val="fr-BE" w:eastAsia="fr-BE"/>
              </w:rPr>
              <w:t>Definition</w:t>
            </w:r>
            <w:proofErr w:type="spellEnd"/>
          </w:p>
        </w:tc>
      </w:tr>
      <w:tr w:rsidR="00485FDA" w:rsidRPr="00C82EE1" w14:paraId="0C60BC4A" w14:textId="77777777" w:rsidTr="00086E4A">
        <w:trPr>
          <w:trHeight w:val="57"/>
        </w:trPr>
        <w:tc>
          <w:tcPr>
            <w:tcW w:w="2410" w:type="dxa"/>
            <w:tcBorders>
              <w:top w:val="nil"/>
              <w:left w:val="nil"/>
              <w:bottom w:val="nil"/>
              <w:right w:val="nil"/>
            </w:tcBorders>
            <w:shd w:val="clear" w:color="auto" w:fill="auto"/>
            <w:noWrap/>
            <w:hideMark/>
          </w:tcPr>
          <w:p w14:paraId="147DEF20" w14:textId="77777777" w:rsidR="00485FDA" w:rsidRPr="00C82EE1" w:rsidRDefault="00485FDA" w:rsidP="00485FDA">
            <w:pPr>
              <w:spacing w:after="0" w:line="240" w:lineRule="auto"/>
              <w:jc w:val="both"/>
              <w:rPr>
                <w:rFonts w:ascii="Times New Roman" w:eastAsia="Times New Roman" w:hAnsi="Times New Roman" w:cs="Times New Roman"/>
                <w:b/>
                <w:bCs/>
                <w:sz w:val="20"/>
                <w:szCs w:val="20"/>
                <w:lang w:val="fr-BE" w:eastAsia="fr-BE"/>
              </w:rPr>
            </w:pPr>
            <w:r w:rsidRPr="00C82EE1">
              <w:rPr>
                <w:rFonts w:ascii="Times New Roman" w:eastAsia="Times New Roman" w:hAnsi="Times New Roman" w:cs="Times New Roman"/>
                <w:b/>
                <w:bCs/>
                <w:sz w:val="20"/>
                <w:szCs w:val="20"/>
                <w:lang w:val="fr-BE" w:eastAsia="fr-BE"/>
              </w:rPr>
              <w:t xml:space="preserve">Lexical </w:t>
            </w:r>
            <w:proofErr w:type="spellStart"/>
            <w:r w:rsidRPr="00C82EE1">
              <w:rPr>
                <w:rFonts w:ascii="Times New Roman" w:eastAsia="Times New Roman" w:hAnsi="Times New Roman" w:cs="Times New Roman"/>
                <w:b/>
                <w:bCs/>
                <w:sz w:val="20"/>
                <w:szCs w:val="20"/>
                <w:lang w:val="fr-BE" w:eastAsia="fr-BE"/>
              </w:rPr>
              <w:t>density</w:t>
            </w:r>
            <w:proofErr w:type="spellEnd"/>
          </w:p>
        </w:tc>
        <w:tc>
          <w:tcPr>
            <w:tcW w:w="4536" w:type="dxa"/>
            <w:tcBorders>
              <w:top w:val="nil"/>
              <w:left w:val="nil"/>
              <w:right w:val="nil"/>
            </w:tcBorders>
            <w:shd w:val="clear" w:color="auto" w:fill="auto"/>
            <w:noWrap/>
            <w:hideMark/>
          </w:tcPr>
          <w:p w14:paraId="3E4B4D4E"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
        </w:tc>
        <w:tc>
          <w:tcPr>
            <w:tcW w:w="8789" w:type="dxa"/>
            <w:tcBorders>
              <w:top w:val="nil"/>
              <w:left w:val="nil"/>
              <w:bottom w:val="nil"/>
              <w:right w:val="nil"/>
            </w:tcBorders>
            <w:shd w:val="clear" w:color="auto" w:fill="auto"/>
            <w:noWrap/>
            <w:vAlign w:val="center"/>
            <w:hideMark/>
          </w:tcPr>
          <w:p w14:paraId="69E18964"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p>
        </w:tc>
      </w:tr>
      <w:tr w:rsidR="00485FDA" w:rsidRPr="00C82EE1" w14:paraId="0E3802C6" w14:textId="77777777" w:rsidTr="00086E4A">
        <w:trPr>
          <w:trHeight w:val="57"/>
        </w:trPr>
        <w:tc>
          <w:tcPr>
            <w:tcW w:w="2410" w:type="dxa"/>
            <w:tcBorders>
              <w:top w:val="nil"/>
              <w:left w:val="nil"/>
              <w:bottom w:val="nil"/>
              <w:right w:val="nil"/>
            </w:tcBorders>
            <w:shd w:val="clear" w:color="auto" w:fill="auto"/>
            <w:noWrap/>
            <w:hideMark/>
          </w:tcPr>
          <w:p w14:paraId="76241921" w14:textId="32C0B4D8" w:rsidR="00485FDA" w:rsidRPr="00C82EE1" w:rsidRDefault="00454AD8" w:rsidP="00485FDA">
            <w:pPr>
              <w:spacing w:after="0" w:line="240" w:lineRule="auto"/>
              <w:jc w:val="both"/>
              <w:rPr>
                <w:rFonts w:ascii="Times New Roman" w:eastAsia="Times New Roman" w:hAnsi="Times New Roman" w:cs="Times New Roman"/>
                <w:sz w:val="20"/>
                <w:szCs w:val="20"/>
                <w:lang w:val="fr-BE" w:eastAsia="fr-BE"/>
              </w:rPr>
            </w:pPr>
            <w:proofErr w:type="spellStart"/>
            <w:r w:rsidRPr="000C0C3A">
              <w:rPr>
                <w:rFonts w:ascii="Times New Roman" w:eastAsia="Times New Roman" w:hAnsi="Times New Roman" w:cs="Times New Roman"/>
                <w:i/>
                <w:sz w:val="20"/>
                <w:szCs w:val="20"/>
                <w:lang w:val="fr-BE" w:eastAsia="fr-BE"/>
              </w:rPr>
              <w:t>L</w:t>
            </w:r>
            <w:r w:rsidR="00485FDA" w:rsidRPr="000C0C3A">
              <w:rPr>
                <w:rFonts w:ascii="Times New Roman" w:eastAsia="Times New Roman" w:hAnsi="Times New Roman" w:cs="Times New Roman"/>
                <w:i/>
                <w:sz w:val="20"/>
                <w:szCs w:val="20"/>
                <w:lang w:val="fr-BE" w:eastAsia="fr-BE"/>
              </w:rPr>
              <w:t>d</w:t>
            </w:r>
            <w:proofErr w:type="spellEnd"/>
          </w:p>
        </w:tc>
        <w:tc>
          <w:tcPr>
            <w:tcW w:w="4536" w:type="dxa"/>
            <w:tcBorders>
              <w:left w:val="nil"/>
              <w:bottom w:val="nil"/>
              <w:right w:val="nil"/>
            </w:tcBorders>
            <w:shd w:val="clear" w:color="auto" w:fill="auto"/>
            <w:hideMark/>
          </w:tcPr>
          <w:p w14:paraId="61E4F44F"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 xml:space="preserve">Lexical </w:t>
            </w:r>
            <w:proofErr w:type="spellStart"/>
            <w:r w:rsidRPr="00C82EE1">
              <w:rPr>
                <w:rFonts w:ascii="Times New Roman" w:eastAsia="Times New Roman" w:hAnsi="Times New Roman" w:cs="Times New Roman"/>
                <w:sz w:val="20"/>
                <w:szCs w:val="20"/>
                <w:lang w:val="fr-BE" w:eastAsia="fr-BE"/>
              </w:rPr>
              <w:t>density</w:t>
            </w:r>
            <w:proofErr w:type="spellEnd"/>
          </w:p>
        </w:tc>
        <w:tc>
          <w:tcPr>
            <w:tcW w:w="8789" w:type="dxa"/>
            <w:tcBorders>
              <w:top w:val="nil"/>
              <w:left w:val="nil"/>
              <w:bottom w:val="nil"/>
              <w:right w:val="nil"/>
            </w:tcBorders>
            <w:shd w:val="clear" w:color="auto" w:fill="auto"/>
            <w:vAlign w:val="center"/>
            <w:hideMark/>
          </w:tcPr>
          <w:p w14:paraId="277D5524"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Ratio of lexical words/total number of words in a text (nouns, verbs, adjectives and adverbs).</w:t>
            </w:r>
          </w:p>
        </w:tc>
      </w:tr>
      <w:tr w:rsidR="00485FDA" w:rsidRPr="00C82EE1" w14:paraId="3976A804" w14:textId="77777777" w:rsidTr="00086E4A">
        <w:trPr>
          <w:trHeight w:val="57"/>
        </w:trPr>
        <w:tc>
          <w:tcPr>
            <w:tcW w:w="2410" w:type="dxa"/>
            <w:tcBorders>
              <w:top w:val="nil"/>
              <w:left w:val="nil"/>
              <w:bottom w:val="nil"/>
              <w:right w:val="nil"/>
            </w:tcBorders>
            <w:shd w:val="clear" w:color="auto" w:fill="auto"/>
            <w:noWrap/>
            <w:hideMark/>
          </w:tcPr>
          <w:p w14:paraId="15CF1E5B" w14:textId="77777777" w:rsidR="00485FDA" w:rsidRPr="00C82EE1" w:rsidRDefault="00485FDA" w:rsidP="00485FDA">
            <w:pPr>
              <w:spacing w:after="0" w:line="240" w:lineRule="auto"/>
              <w:jc w:val="both"/>
              <w:rPr>
                <w:rFonts w:ascii="Times New Roman" w:eastAsia="Times New Roman" w:hAnsi="Times New Roman" w:cs="Times New Roman"/>
                <w:b/>
                <w:bCs/>
                <w:sz w:val="20"/>
                <w:szCs w:val="20"/>
                <w:lang w:val="fr-BE" w:eastAsia="fr-BE"/>
              </w:rPr>
            </w:pPr>
            <w:r w:rsidRPr="00C82EE1">
              <w:rPr>
                <w:rFonts w:ascii="Times New Roman" w:eastAsia="Times New Roman" w:hAnsi="Times New Roman" w:cs="Times New Roman"/>
                <w:b/>
                <w:bCs/>
                <w:sz w:val="20"/>
                <w:szCs w:val="20"/>
                <w:lang w:val="fr-BE" w:eastAsia="fr-BE"/>
              </w:rPr>
              <w:t>Lexical sophistication</w:t>
            </w:r>
          </w:p>
        </w:tc>
        <w:tc>
          <w:tcPr>
            <w:tcW w:w="4536" w:type="dxa"/>
            <w:tcBorders>
              <w:top w:val="nil"/>
              <w:left w:val="nil"/>
              <w:bottom w:val="nil"/>
              <w:right w:val="nil"/>
            </w:tcBorders>
            <w:shd w:val="clear" w:color="auto" w:fill="auto"/>
            <w:noWrap/>
            <w:hideMark/>
          </w:tcPr>
          <w:p w14:paraId="45CC33EB" w14:textId="77777777" w:rsidR="00485FDA" w:rsidRPr="00C82EE1" w:rsidRDefault="00485FDA" w:rsidP="00485FDA">
            <w:pPr>
              <w:spacing w:after="0" w:line="240" w:lineRule="auto"/>
              <w:jc w:val="both"/>
              <w:rPr>
                <w:rFonts w:ascii="Times New Roman" w:eastAsia="Times New Roman" w:hAnsi="Times New Roman" w:cs="Times New Roman"/>
                <w:b/>
                <w:bCs/>
                <w:sz w:val="20"/>
                <w:szCs w:val="20"/>
                <w:lang w:val="fr-BE" w:eastAsia="fr-BE"/>
              </w:rPr>
            </w:pPr>
          </w:p>
        </w:tc>
        <w:tc>
          <w:tcPr>
            <w:tcW w:w="8789" w:type="dxa"/>
            <w:tcBorders>
              <w:top w:val="nil"/>
              <w:left w:val="nil"/>
              <w:bottom w:val="nil"/>
              <w:right w:val="nil"/>
            </w:tcBorders>
            <w:shd w:val="clear" w:color="auto" w:fill="auto"/>
            <w:noWrap/>
            <w:vAlign w:val="bottom"/>
            <w:hideMark/>
          </w:tcPr>
          <w:p w14:paraId="45F09450"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
        </w:tc>
      </w:tr>
      <w:tr w:rsidR="00485FDA" w:rsidRPr="00C82EE1" w14:paraId="42CEEFF0" w14:textId="77777777" w:rsidTr="00086E4A">
        <w:trPr>
          <w:trHeight w:val="57"/>
        </w:trPr>
        <w:tc>
          <w:tcPr>
            <w:tcW w:w="2410" w:type="dxa"/>
            <w:tcBorders>
              <w:top w:val="nil"/>
              <w:left w:val="nil"/>
              <w:bottom w:val="nil"/>
              <w:right w:val="nil"/>
            </w:tcBorders>
            <w:shd w:val="clear" w:color="auto" w:fill="auto"/>
            <w:noWrap/>
            <w:hideMark/>
          </w:tcPr>
          <w:p w14:paraId="18186AF6"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ls</w:t>
            </w:r>
            <w:proofErr w:type="gramEnd"/>
            <w:r w:rsidRPr="00C7392E">
              <w:rPr>
                <w:rFonts w:ascii="Times New Roman" w:eastAsia="Times New Roman" w:hAnsi="Times New Roman" w:cs="Times New Roman"/>
                <w:i/>
                <w:sz w:val="20"/>
                <w:szCs w:val="20"/>
                <w:lang w:val="fr-BE" w:eastAsia="fr-BE"/>
              </w:rPr>
              <w:t>1</w:t>
            </w:r>
          </w:p>
        </w:tc>
        <w:tc>
          <w:tcPr>
            <w:tcW w:w="4536" w:type="dxa"/>
            <w:tcBorders>
              <w:top w:val="nil"/>
              <w:left w:val="nil"/>
              <w:bottom w:val="nil"/>
              <w:right w:val="nil"/>
            </w:tcBorders>
            <w:shd w:val="clear" w:color="auto" w:fill="auto"/>
            <w:noWrap/>
            <w:hideMark/>
          </w:tcPr>
          <w:p w14:paraId="7BCC1A1C"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Lexical sophistication 1</w:t>
            </w:r>
          </w:p>
        </w:tc>
        <w:tc>
          <w:tcPr>
            <w:tcW w:w="8789" w:type="dxa"/>
            <w:tcBorders>
              <w:top w:val="nil"/>
              <w:left w:val="nil"/>
              <w:bottom w:val="nil"/>
              <w:right w:val="nil"/>
            </w:tcBorders>
            <w:shd w:val="clear" w:color="auto" w:fill="auto"/>
            <w:noWrap/>
            <w:vAlign w:val="center"/>
            <w:hideMark/>
          </w:tcPr>
          <w:p w14:paraId="60128D98"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Ratio of advanced words/total lexical words.</w:t>
            </w:r>
          </w:p>
        </w:tc>
      </w:tr>
      <w:tr w:rsidR="00485FDA" w:rsidRPr="00C82EE1" w14:paraId="25C605B1" w14:textId="77777777" w:rsidTr="00086E4A">
        <w:trPr>
          <w:trHeight w:val="57"/>
        </w:trPr>
        <w:tc>
          <w:tcPr>
            <w:tcW w:w="2410" w:type="dxa"/>
            <w:tcBorders>
              <w:top w:val="nil"/>
              <w:left w:val="nil"/>
              <w:bottom w:val="nil"/>
              <w:right w:val="nil"/>
            </w:tcBorders>
            <w:shd w:val="clear" w:color="auto" w:fill="auto"/>
            <w:noWrap/>
            <w:hideMark/>
          </w:tcPr>
          <w:p w14:paraId="17D79D5C"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ls</w:t>
            </w:r>
            <w:proofErr w:type="gramEnd"/>
            <w:r w:rsidRPr="00C7392E">
              <w:rPr>
                <w:rFonts w:ascii="Times New Roman" w:eastAsia="Times New Roman" w:hAnsi="Times New Roman" w:cs="Times New Roman"/>
                <w:i/>
                <w:sz w:val="20"/>
                <w:szCs w:val="20"/>
                <w:lang w:val="fr-BE" w:eastAsia="fr-BE"/>
              </w:rPr>
              <w:t>2</w:t>
            </w:r>
          </w:p>
        </w:tc>
        <w:tc>
          <w:tcPr>
            <w:tcW w:w="4536" w:type="dxa"/>
            <w:tcBorders>
              <w:top w:val="nil"/>
              <w:left w:val="nil"/>
              <w:bottom w:val="nil"/>
              <w:right w:val="nil"/>
            </w:tcBorders>
            <w:shd w:val="clear" w:color="auto" w:fill="auto"/>
            <w:noWrap/>
            <w:hideMark/>
          </w:tcPr>
          <w:p w14:paraId="45BC9DBA"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Lexical sophistication 2</w:t>
            </w:r>
          </w:p>
        </w:tc>
        <w:tc>
          <w:tcPr>
            <w:tcW w:w="8789" w:type="dxa"/>
            <w:tcBorders>
              <w:top w:val="nil"/>
              <w:left w:val="nil"/>
              <w:bottom w:val="nil"/>
              <w:right w:val="nil"/>
            </w:tcBorders>
            <w:shd w:val="clear" w:color="auto" w:fill="auto"/>
            <w:noWrap/>
            <w:vAlign w:val="center"/>
            <w:hideMark/>
          </w:tcPr>
          <w:p w14:paraId="6FFBB119"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Ratio of advanced word types/total lexical word types.</w:t>
            </w:r>
          </w:p>
        </w:tc>
      </w:tr>
      <w:tr w:rsidR="00485FDA" w:rsidRPr="00C82EE1" w14:paraId="6797FD06" w14:textId="77777777" w:rsidTr="00086E4A">
        <w:trPr>
          <w:trHeight w:val="57"/>
        </w:trPr>
        <w:tc>
          <w:tcPr>
            <w:tcW w:w="2410" w:type="dxa"/>
            <w:tcBorders>
              <w:top w:val="nil"/>
              <w:left w:val="nil"/>
              <w:bottom w:val="nil"/>
              <w:right w:val="nil"/>
            </w:tcBorders>
            <w:shd w:val="clear" w:color="auto" w:fill="auto"/>
            <w:noWrap/>
            <w:hideMark/>
          </w:tcPr>
          <w:p w14:paraId="38D529A6"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vs</w:t>
            </w:r>
            <w:proofErr w:type="gramEnd"/>
            <w:r w:rsidRPr="00C7392E">
              <w:rPr>
                <w:rFonts w:ascii="Times New Roman" w:eastAsia="Times New Roman" w:hAnsi="Times New Roman" w:cs="Times New Roman"/>
                <w:i/>
                <w:sz w:val="20"/>
                <w:szCs w:val="20"/>
                <w:lang w:val="fr-BE" w:eastAsia="fr-BE"/>
              </w:rPr>
              <w:t>1</w:t>
            </w:r>
          </w:p>
        </w:tc>
        <w:tc>
          <w:tcPr>
            <w:tcW w:w="4536" w:type="dxa"/>
            <w:tcBorders>
              <w:top w:val="nil"/>
              <w:left w:val="nil"/>
              <w:bottom w:val="nil"/>
              <w:right w:val="nil"/>
            </w:tcBorders>
            <w:shd w:val="clear" w:color="auto" w:fill="auto"/>
            <w:noWrap/>
            <w:hideMark/>
          </w:tcPr>
          <w:p w14:paraId="64AB90AE"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Verb</w:t>
            </w:r>
            <w:proofErr w:type="spellEnd"/>
            <w:r w:rsidRPr="00C82EE1">
              <w:rPr>
                <w:rFonts w:ascii="Times New Roman" w:eastAsia="Times New Roman" w:hAnsi="Times New Roman" w:cs="Times New Roman"/>
                <w:sz w:val="20"/>
                <w:szCs w:val="20"/>
                <w:lang w:val="fr-BE" w:eastAsia="fr-BE"/>
              </w:rPr>
              <w:t xml:space="preserve"> sophistication 1</w:t>
            </w:r>
          </w:p>
        </w:tc>
        <w:tc>
          <w:tcPr>
            <w:tcW w:w="8789" w:type="dxa"/>
            <w:tcBorders>
              <w:top w:val="nil"/>
              <w:left w:val="nil"/>
              <w:bottom w:val="nil"/>
              <w:right w:val="nil"/>
            </w:tcBorders>
            <w:shd w:val="clear" w:color="auto" w:fill="auto"/>
            <w:noWrap/>
            <w:vAlign w:val="center"/>
            <w:hideMark/>
          </w:tcPr>
          <w:p w14:paraId="24DA5913"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Ratio of advanced verb types/total number of lexical verbs.</w:t>
            </w:r>
          </w:p>
        </w:tc>
      </w:tr>
      <w:tr w:rsidR="00485FDA" w:rsidRPr="00C82EE1" w14:paraId="5177C50C" w14:textId="77777777" w:rsidTr="00086E4A">
        <w:trPr>
          <w:trHeight w:val="57"/>
        </w:trPr>
        <w:tc>
          <w:tcPr>
            <w:tcW w:w="2410" w:type="dxa"/>
            <w:tcBorders>
              <w:top w:val="nil"/>
              <w:left w:val="nil"/>
              <w:bottom w:val="nil"/>
              <w:right w:val="nil"/>
            </w:tcBorders>
            <w:shd w:val="clear" w:color="auto" w:fill="auto"/>
            <w:noWrap/>
            <w:hideMark/>
          </w:tcPr>
          <w:p w14:paraId="4CD2C830"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vs</w:t>
            </w:r>
            <w:proofErr w:type="gramEnd"/>
            <w:r w:rsidRPr="00C7392E">
              <w:rPr>
                <w:rFonts w:ascii="Times New Roman" w:eastAsia="Times New Roman" w:hAnsi="Times New Roman" w:cs="Times New Roman"/>
                <w:i/>
                <w:sz w:val="20"/>
                <w:szCs w:val="20"/>
                <w:lang w:val="fr-BE" w:eastAsia="fr-BE"/>
              </w:rPr>
              <w:t>2</w:t>
            </w:r>
          </w:p>
        </w:tc>
        <w:tc>
          <w:tcPr>
            <w:tcW w:w="4536" w:type="dxa"/>
            <w:tcBorders>
              <w:top w:val="nil"/>
              <w:left w:val="nil"/>
              <w:bottom w:val="nil"/>
              <w:right w:val="nil"/>
            </w:tcBorders>
            <w:shd w:val="clear" w:color="auto" w:fill="auto"/>
            <w:noWrap/>
            <w:hideMark/>
          </w:tcPr>
          <w:p w14:paraId="4D56C0B0"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Verb</w:t>
            </w:r>
            <w:proofErr w:type="spellEnd"/>
            <w:r w:rsidRPr="00C82EE1">
              <w:rPr>
                <w:rFonts w:ascii="Times New Roman" w:eastAsia="Times New Roman" w:hAnsi="Times New Roman" w:cs="Times New Roman"/>
                <w:sz w:val="20"/>
                <w:szCs w:val="20"/>
                <w:lang w:val="fr-BE" w:eastAsia="fr-BE"/>
              </w:rPr>
              <w:t xml:space="preserve"> sophistication 2</w:t>
            </w:r>
          </w:p>
        </w:tc>
        <w:tc>
          <w:tcPr>
            <w:tcW w:w="8789" w:type="dxa"/>
            <w:tcBorders>
              <w:top w:val="nil"/>
              <w:left w:val="nil"/>
              <w:bottom w:val="nil"/>
              <w:right w:val="nil"/>
            </w:tcBorders>
            <w:shd w:val="clear" w:color="auto" w:fill="auto"/>
            <w:noWrap/>
            <w:vAlign w:val="center"/>
            <w:hideMark/>
          </w:tcPr>
          <w:p w14:paraId="142B0552" w14:textId="549BBCFD"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 xml:space="preserve">Same measure as </w:t>
            </w:r>
            <w:r w:rsidR="00A10973">
              <w:rPr>
                <w:rFonts w:ascii="Times New Roman" w:eastAsia="Times New Roman" w:hAnsi="Times New Roman" w:cs="Times New Roman"/>
                <w:sz w:val="20"/>
                <w:szCs w:val="20"/>
                <w:lang w:val="en-GB" w:eastAsia="fr-BE"/>
              </w:rPr>
              <w:t>vs1</w:t>
            </w:r>
            <w:r w:rsidRPr="00C82EE1">
              <w:rPr>
                <w:rFonts w:ascii="Times New Roman" w:eastAsia="Times New Roman" w:hAnsi="Times New Roman" w:cs="Times New Roman"/>
                <w:sz w:val="20"/>
                <w:szCs w:val="20"/>
                <w:lang w:val="en-GB" w:eastAsia="fr-BE"/>
              </w:rPr>
              <w:t xml:space="preserve"> but with a formula to reduce the sample size effect of the count.</w:t>
            </w:r>
          </w:p>
        </w:tc>
      </w:tr>
      <w:tr w:rsidR="00485FDA" w:rsidRPr="00C82EE1" w14:paraId="725F55A4" w14:textId="77777777" w:rsidTr="00086E4A">
        <w:trPr>
          <w:trHeight w:val="57"/>
        </w:trPr>
        <w:tc>
          <w:tcPr>
            <w:tcW w:w="2410" w:type="dxa"/>
            <w:tcBorders>
              <w:top w:val="nil"/>
              <w:left w:val="nil"/>
              <w:bottom w:val="nil"/>
              <w:right w:val="nil"/>
            </w:tcBorders>
            <w:shd w:val="clear" w:color="auto" w:fill="auto"/>
            <w:noWrap/>
            <w:hideMark/>
          </w:tcPr>
          <w:p w14:paraId="7ACF4847"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cvs</w:t>
            </w:r>
            <w:proofErr w:type="gramEnd"/>
            <w:r w:rsidRPr="00C7392E">
              <w:rPr>
                <w:rFonts w:ascii="Times New Roman" w:eastAsia="Times New Roman" w:hAnsi="Times New Roman" w:cs="Times New Roman"/>
                <w:i/>
                <w:sz w:val="20"/>
                <w:szCs w:val="20"/>
                <w:lang w:val="fr-BE" w:eastAsia="fr-BE"/>
              </w:rPr>
              <w:t>1</w:t>
            </w:r>
          </w:p>
        </w:tc>
        <w:tc>
          <w:tcPr>
            <w:tcW w:w="4536" w:type="dxa"/>
            <w:tcBorders>
              <w:top w:val="nil"/>
              <w:left w:val="nil"/>
              <w:bottom w:val="nil"/>
              <w:right w:val="nil"/>
            </w:tcBorders>
            <w:shd w:val="clear" w:color="auto" w:fill="auto"/>
            <w:noWrap/>
            <w:hideMark/>
          </w:tcPr>
          <w:p w14:paraId="7D14D3B6"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Corrected</w:t>
            </w:r>
            <w:proofErr w:type="spellEnd"/>
            <w:r w:rsidRPr="00C82EE1">
              <w:rPr>
                <w:rFonts w:ascii="Times New Roman" w:eastAsia="Times New Roman" w:hAnsi="Times New Roman" w:cs="Times New Roman"/>
                <w:sz w:val="20"/>
                <w:szCs w:val="20"/>
                <w:lang w:val="fr-BE" w:eastAsia="fr-BE"/>
              </w:rPr>
              <w:t xml:space="preserve"> </w:t>
            </w:r>
            <w:proofErr w:type="spellStart"/>
            <w:r w:rsidRPr="00C82EE1">
              <w:rPr>
                <w:rFonts w:ascii="Times New Roman" w:eastAsia="Times New Roman" w:hAnsi="Times New Roman" w:cs="Times New Roman"/>
                <w:sz w:val="20"/>
                <w:szCs w:val="20"/>
                <w:lang w:val="fr-BE" w:eastAsia="fr-BE"/>
              </w:rPr>
              <w:t>verb</w:t>
            </w:r>
            <w:proofErr w:type="spellEnd"/>
            <w:r w:rsidRPr="00C82EE1">
              <w:rPr>
                <w:rFonts w:ascii="Times New Roman" w:eastAsia="Times New Roman" w:hAnsi="Times New Roman" w:cs="Times New Roman"/>
                <w:sz w:val="20"/>
                <w:szCs w:val="20"/>
                <w:lang w:val="fr-BE" w:eastAsia="fr-BE"/>
              </w:rPr>
              <w:t xml:space="preserve"> sophistication 1</w:t>
            </w:r>
          </w:p>
        </w:tc>
        <w:tc>
          <w:tcPr>
            <w:tcW w:w="8789" w:type="dxa"/>
            <w:tcBorders>
              <w:top w:val="nil"/>
              <w:left w:val="nil"/>
              <w:bottom w:val="nil"/>
              <w:right w:val="nil"/>
            </w:tcBorders>
            <w:shd w:val="clear" w:color="auto" w:fill="auto"/>
            <w:noWrap/>
            <w:vAlign w:val="center"/>
            <w:hideMark/>
          </w:tcPr>
          <w:p w14:paraId="230ADA24" w14:textId="1CC9BF78"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 xml:space="preserve">Same measure as </w:t>
            </w:r>
            <w:r w:rsidR="00A10973">
              <w:rPr>
                <w:rFonts w:ascii="Times New Roman" w:eastAsia="Times New Roman" w:hAnsi="Times New Roman" w:cs="Times New Roman"/>
                <w:sz w:val="20"/>
                <w:szCs w:val="20"/>
                <w:lang w:val="en-GB" w:eastAsia="fr-BE"/>
              </w:rPr>
              <w:t>vs1</w:t>
            </w:r>
            <w:r w:rsidRPr="00C82EE1">
              <w:rPr>
                <w:rFonts w:ascii="Times New Roman" w:eastAsia="Times New Roman" w:hAnsi="Times New Roman" w:cs="Times New Roman"/>
                <w:sz w:val="20"/>
                <w:szCs w:val="20"/>
                <w:lang w:val="en-GB" w:eastAsia="fr-BE"/>
              </w:rPr>
              <w:t xml:space="preserve"> but with a formula to reduce the sample size effect of the count.</w:t>
            </w:r>
          </w:p>
        </w:tc>
      </w:tr>
      <w:tr w:rsidR="00485FDA" w:rsidRPr="00C82EE1" w14:paraId="7168A504" w14:textId="77777777" w:rsidTr="00086E4A">
        <w:trPr>
          <w:trHeight w:val="57"/>
        </w:trPr>
        <w:tc>
          <w:tcPr>
            <w:tcW w:w="2410" w:type="dxa"/>
            <w:tcBorders>
              <w:top w:val="nil"/>
              <w:left w:val="nil"/>
              <w:bottom w:val="nil"/>
              <w:right w:val="nil"/>
            </w:tcBorders>
            <w:shd w:val="clear" w:color="auto" w:fill="auto"/>
            <w:noWrap/>
            <w:hideMark/>
          </w:tcPr>
          <w:p w14:paraId="4E65681E" w14:textId="77777777" w:rsidR="00485FDA" w:rsidRPr="00C82EE1" w:rsidRDefault="00485FDA" w:rsidP="00485FDA">
            <w:pPr>
              <w:spacing w:after="0" w:line="240" w:lineRule="auto"/>
              <w:jc w:val="both"/>
              <w:rPr>
                <w:rFonts w:ascii="Times New Roman" w:eastAsia="Times New Roman" w:hAnsi="Times New Roman" w:cs="Times New Roman"/>
                <w:b/>
                <w:bCs/>
                <w:sz w:val="20"/>
                <w:szCs w:val="20"/>
                <w:lang w:val="fr-BE" w:eastAsia="fr-BE"/>
              </w:rPr>
            </w:pPr>
            <w:r w:rsidRPr="00C82EE1">
              <w:rPr>
                <w:rFonts w:ascii="Times New Roman" w:eastAsia="Times New Roman" w:hAnsi="Times New Roman" w:cs="Times New Roman"/>
                <w:b/>
                <w:bCs/>
                <w:sz w:val="20"/>
                <w:szCs w:val="20"/>
                <w:lang w:val="fr-BE" w:eastAsia="fr-BE"/>
              </w:rPr>
              <w:t xml:space="preserve">Lexical </w:t>
            </w:r>
            <w:proofErr w:type="spellStart"/>
            <w:r w:rsidRPr="00C82EE1">
              <w:rPr>
                <w:rFonts w:ascii="Times New Roman" w:eastAsia="Times New Roman" w:hAnsi="Times New Roman" w:cs="Times New Roman"/>
                <w:b/>
                <w:bCs/>
                <w:sz w:val="20"/>
                <w:szCs w:val="20"/>
                <w:lang w:val="fr-BE" w:eastAsia="fr-BE"/>
              </w:rPr>
              <w:t>diversity</w:t>
            </w:r>
            <w:proofErr w:type="spellEnd"/>
          </w:p>
        </w:tc>
        <w:tc>
          <w:tcPr>
            <w:tcW w:w="4536" w:type="dxa"/>
            <w:tcBorders>
              <w:top w:val="nil"/>
              <w:left w:val="nil"/>
              <w:bottom w:val="nil"/>
              <w:right w:val="nil"/>
            </w:tcBorders>
            <w:shd w:val="clear" w:color="auto" w:fill="auto"/>
            <w:noWrap/>
            <w:hideMark/>
          </w:tcPr>
          <w:p w14:paraId="23582456"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
        </w:tc>
        <w:tc>
          <w:tcPr>
            <w:tcW w:w="8789" w:type="dxa"/>
            <w:tcBorders>
              <w:top w:val="nil"/>
              <w:left w:val="nil"/>
              <w:bottom w:val="nil"/>
              <w:right w:val="nil"/>
            </w:tcBorders>
            <w:shd w:val="clear" w:color="auto" w:fill="auto"/>
            <w:noWrap/>
            <w:vAlign w:val="center"/>
            <w:hideMark/>
          </w:tcPr>
          <w:p w14:paraId="0776BE21"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p>
        </w:tc>
      </w:tr>
      <w:tr w:rsidR="00485FDA" w:rsidRPr="00C82EE1" w14:paraId="6C1CD21D" w14:textId="77777777" w:rsidTr="00086E4A">
        <w:trPr>
          <w:trHeight w:val="57"/>
        </w:trPr>
        <w:tc>
          <w:tcPr>
            <w:tcW w:w="2410" w:type="dxa"/>
            <w:tcBorders>
              <w:top w:val="nil"/>
              <w:left w:val="nil"/>
              <w:bottom w:val="nil"/>
              <w:right w:val="nil"/>
            </w:tcBorders>
            <w:shd w:val="clear" w:color="auto" w:fill="auto"/>
            <w:noWrap/>
            <w:hideMark/>
          </w:tcPr>
          <w:p w14:paraId="568F9106" w14:textId="4592DCA3"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N</w:t>
            </w:r>
            <w:r w:rsidR="00485FDA" w:rsidRPr="00C7392E">
              <w:rPr>
                <w:rFonts w:ascii="Times New Roman" w:eastAsia="Times New Roman" w:hAnsi="Times New Roman" w:cs="Times New Roman"/>
                <w:i/>
                <w:sz w:val="20"/>
                <w:szCs w:val="20"/>
                <w:lang w:val="fr-BE" w:eastAsia="fr-BE"/>
              </w:rPr>
              <w:t>dw</w:t>
            </w:r>
            <w:proofErr w:type="spellEnd"/>
          </w:p>
        </w:tc>
        <w:tc>
          <w:tcPr>
            <w:tcW w:w="4536" w:type="dxa"/>
            <w:tcBorders>
              <w:top w:val="nil"/>
              <w:left w:val="nil"/>
              <w:bottom w:val="nil"/>
              <w:right w:val="nil"/>
            </w:tcBorders>
            <w:shd w:val="clear" w:color="auto" w:fill="auto"/>
            <w:hideMark/>
          </w:tcPr>
          <w:p w14:paraId="5CBB75B5"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Number</w:t>
            </w:r>
            <w:proofErr w:type="spellEnd"/>
            <w:r w:rsidRPr="00C82EE1">
              <w:rPr>
                <w:rFonts w:ascii="Times New Roman" w:eastAsia="Times New Roman" w:hAnsi="Times New Roman" w:cs="Times New Roman"/>
                <w:sz w:val="20"/>
                <w:szCs w:val="20"/>
                <w:lang w:val="fr-BE" w:eastAsia="fr-BE"/>
              </w:rPr>
              <w:t xml:space="preserve"> of </w:t>
            </w:r>
            <w:proofErr w:type="spellStart"/>
            <w:r w:rsidRPr="00C82EE1">
              <w:rPr>
                <w:rFonts w:ascii="Times New Roman" w:eastAsia="Times New Roman" w:hAnsi="Times New Roman" w:cs="Times New Roman"/>
                <w:sz w:val="20"/>
                <w:szCs w:val="20"/>
                <w:lang w:val="fr-BE" w:eastAsia="fr-BE"/>
              </w:rPr>
              <w:t>different</w:t>
            </w:r>
            <w:proofErr w:type="spellEnd"/>
            <w:r w:rsidRPr="00C82EE1">
              <w:rPr>
                <w:rFonts w:ascii="Times New Roman" w:eastAsia="Times New Roman" w:hAnsi="Times New Roman" w:cs="Times New Roman"/>
                <w:sz w:val="20"/>
                <w:szCs w:val="20"/>
                <w:lang w:val="fr-BE" w:eastAsia="fr-BE"/>
              </w:rPr>
              <w:t xml:space="preserve"> </w:t>
            </w:r>
            <w:proofErr w:type="spellStart"/>
            <w:r w:rsidRPr="00C82EE1">
              <w:rPr>
                <w:rFonts w:ascii="Times New Roman" w:eastAsia="Times New Roman" w:hAnsi="Times New Roman" w:cs="Times New Roman"/>
                <w:sz w:val="20"/>
                <w:szCs w:val="20"/>
                <w:lang w:val="fr-BE" w:eastAsia="fr-BE"/>
              </w:rPr>
              <w:t>words</w:t>
            </w:r>
            <w:proofErr w:type="spellEnd"/>
          </w:p>
        </w:tc>
        <w:tc>
          <w:tcPr>
            <w:tcW w:w="8789" w:type="dxa"/>
            <w:tcBorders>
              <w:top w:val="nil"/>
              <w:left w:val="nil"/>
              <w:bottom w:val="nil"/>
              <w:right w:val="nil"/>
            </w:tcBorders>
            <w:shd w:val="clear" w:color="auto" w:fill="auto"/>
            <w:vAlign w:val="center"/>
            <w:hideMark/>
          </w:tcPr>
          <w:p w14:paraId="1E9F9B7D"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eastAsia="fr-BE"/>
              </w:rPr>
              <w:t>Number of different unique words.</w:t>
            </w:r>
          </w:p>
        </w:tc>
      </w:tr>
      <w:tr w:rsidR="00485FDA" w:rsidRPr="00C82EE1" w14:paraId="67B4CFA6" w14:textId="77777777" w:rsidTr="00086E4A">
        <w:trPr>
          <w:trHeight w:val="57"/>
        </w:trPr>
        <w:tc>
          <w:tcPr>
            <w:tcW w:w="2410" w:type="dxa"/>
            <w:tcBorders>
              <w:top w:val="nil"/>
              <w:left w:val="nil"/>
              <w:bottom w:val="nil"/>
              <w:right w:val="nil"/>
            </w:tcBorders>
            <w:shd w:val="clear" w:color="auto" w:fill="auto"/>
            <w:noWrap/>
            <w:hideMark/>
          </w:tcPr>
          <w:p w14:paraId="28B59C38" w14:textId="6F9030F8"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N</w:t>
            </w:r>
            <w:r w:rsidR="00485FDA" w:rsidRPr="00C7392E">
              <w:rPr>
                <w:rFonts w:ascii="Times New Roman" w:eastAsia="Times New Roman" w:hAnsi="Times New Roman" w:cs="Times New Roman"/>
                <w:i/>
                <w:sz w:val="20"/>
                <w:szCs w:val="20"/>
                <w:lang w:val="fr-BE" w:eastAsia="fr-BE"/>
              </w:rPr>
              <w:t>dwz</w:t>
            </w:r>
            <w:proofErr w:type="spellEnd"/>
          </w:p>
        </w:tc>
        <w:tc>
          <w:tcPr>
            <w:tcW w:w="4536" w:type="dxa"/>
            <w:tcBorders>
              <w:top w:val="nil"/>
              <w:left w:val="nil"/>
              <w:bottom w:val="nil"/>
              <w:right w:val="nil"/>
            </w:tcBorders>
            <w:shd w:val="clear" w:color="auto" w:fill="auto"/>
            <w:noWrap/>
            <w:hideMark/>
          </w:tcPr>
          <w:p w14:paraId="5A36E995"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Number of different words – first 50 words</w:t>
            </w:r>
          </w:p>
        </w:tc>
        <w:tc>
          <w:tcPr>
            <w:tcW w:w="8789" w:type="dxa"/>
            <w:tcBorders>
              <w:top w:val="nil"/>
              <w:left w:val="nil"/>
              <w:bottom w:val="nil"/>
              <w:right w:val="nil"/>
            </w:tcBorders>
            <w:shd w:val="clear" w:color="auto" w:fill="auto"/>
            <w:noWrap/>
            <w:vAlign w:val="center"/>
            <w:hideMark/>
          </w:tcPr>
          <w:p w14:paraId="07ABDFC9"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Number of different word types in the first fifty words of sample.</w:t>
            </w:r>
          </w:p>
        </w:tc>
      </w:tr>
      <w:tr w:rsidR="00485FDA" w:rsidRPr="00C82EE1" w14:paraId="5F3B15BF" w14:textId="77777777" w:rsidTr="00086E4A">
        <w:trPr>
          <w:trHeight w:val="57"/>
        </w:trPr>
        <w:tc>
          <w:tcPr>
            <w:tcW w:w="2410" w:type="dxa"/>
            <w:tcBorders>
              <w:top w:val="nil"/>
              <w:left w:val="nil"/>
              <w:bottom w:val="nil"/>
              <w:right w:val="nil"/>
            </w:tcBorders>
            <w:shd w:val="clear" w:color="auto" w:fill="auto"/>
            <w:noWrap/>
            <w:hideMark/>
          </w:tcPr>
          <w:p w14:paraId="1E8F04E6"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spellStart"/>
            <w:proofErr w:type="gramStart"/>
            <w:r w:rsidRPr="00C7392E">
              <w:rPr>
                <w:rFonts w:ascii="Times New Roman" w:eastAsia="Times New Roman" w:hAnsi="Times New Roman" w:cs="Times New Roman"/>
                <w:i/>
                <w:sz w:val="20"/>
                <w:szCs w:val="20"/>
                <w:lang w:val="fr-BE" w:eastAsia="fr-BE"/>
              </w:rPr>
              <w:t>ndw</w:t>
            </w:r>
            <w:proofErr w:type="gramEnd"/>
            <w:r w:rsidRPr="00C7392E">
              <w:rPr>
                <w:rFonts w:ascii="Times New Roman" w:eastAsia="Times New Roman" w:hAnsi="Times New Roman" w:cs="Times New Roman"/>
                <w:i/>
                <w:sz w:val="20"/>
                <w:szCs w:val="20"/>
                <w:lang w:val="fr-BE" w:eastAsia="fr-BE"/>
              </w:rPr>
              <w:t>-erz</w:t>
            </w:r>
            <w:proofErr w:type="spellEnd"/>
          </w:p>
        </w:tc>
        <w:tc>
          <w:tcPr>
            <w:tcW w:w="4536" w:type="dxa"/>
            <w:tcBorders>
              <w:top w:val="nil"/>
              <w:left w:val="nil"/>
              <w:bottom w:val="nil"/>
              <w:right w:val="nil"/>
            </w:tcBorders>
            <w:shd w:val="clear" w:color="auto" w:fill="auto"/>
            <w:noWrap/>
            <w:hideMark/>
          </w:tcPr>
          <w:p w14:paraId="6FBBAD1D"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Number of different words – expected random 50</w:t>
            </w:r>
          </w:p>
        </w:tc>
        <w:tc>
          <w:tcPr>
            <w:tcW w:w="8789" w:type="dxa"/>
            <w:tcBorders>
              <w:top w:val="nil"/>
              <w:left w:val="nil"/>
              <w:bottom w:val="nil"/>
              <w:right w:val="nil"/>
            </w:tcBorders>
            <w:shd w:val="clear" w:color="auto" w:fill="auto"/>
            <w:noWrap/>
            <w:vAlign w:val="center"/>
            <w:hideMark/>
          </w:tcPr>
          <w:p w14:paraId="0DED2F45"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Mean of the number of different words of 10 random 50-word samples.</w:t>
            </w:r>
          </w:p>
        </w:tc>
      </w:tr>
      <w:tr w:rsidR="00485FDA" w:rsidRPr="00C82EE1" w14:paraId="7605BBAC" w14:textId="77777777" w:rsidTr="00086E4A">
        <w:trPr>
          <w:trHeight w:val="57"/>
        </w:trPr>
        <w:tc>
          <w:tcPr>
            <w:tcW w:w="2410" w:type="dxa"/>
            <w:tcBorders>
              <w:top w:val="nil"/>
              <w:left w:val="nil"/>
              <w:bottom w:val="nil"/>
              <w:right w:val="nil"/>
            </w:tcBorders>
            <w:shd w:val="clear" w:color="auto" w:fill="auto"/>
            <w:noWrap/>
            <w:hideMark/>
          </w:tcPr>
          <w:p w14:paraId="78BE3C9D"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spellStart"/>
            <w:proofErr w:type="gramStart"/>
            <w:r w:rsidRPr="00C7392E">
              <w:rPr>
                <w:rFonts w:ascii="Times New Roman" w:eastAsia="Times New Roman" w:hAnsi="Times New Roman" w:cs="Times New Roman"/>
                <w:i/>
                <w:sz w:val="20"/>
                <w:szCs w:val="20"/>
                <w:lang w:val="fr-BE" w:eastAsia="fr-BE"/>
              </w:rPr>
              <w:t>ndw</w:t>
            </w:r>
            <w:proofErr w:type="gramEnd"/>
            <w:r w:rsidRPr="00C7392E">
              <w:rPr>
                <w:rFonts w:ascii="Times New Roman" w:eastAsia="Times New Roman" w:hAnsi="Times New Roman" w:cs="Times New Roman"/>
                <w:i/>
                <w:sz w:val="20"/>
                <w:szCs w:val="20"/>
                <w:lang w:val="fr-BE" w:eastAsia="fr-BE"/>
              </w:rPr>
              <w:t>-esz</w:t>
            </w:r>
            <w:proofErr w:type="spellEnd"/>
          </w:p>
        </w:tc>
        <w:tc>
          <w:tcPr>
            <w:tcW w:w="4536" w:type="dxa"/>
            <w:tcBorders>
              <w:top w:val="nil"/>
              <w:left w:val="nil"/>
              <w:bottom w:val="nil"/>
              <w:right w:val="nil"/>
            </w:tcBorders>
            <w:shd w:val="clear" w:color="auto" w:fill="auto"/>
            <w:noWrap/>
            <w:hideMark/>
          </w:tcPr>
          <w:p w14:paraId="35285962"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Number of different words – expected sequence 50</w:t>
            </w:r>
          </w:p>
        </w:tc>
        <w:tc>
          <w:tcPr>
            <w:tcW w:w="8789" w:type="dxa"/>
            <w:tcBorders>
              <w:top w:val="nil"/>
              <w:left w:val="nil"/>
              <w:bottom w:val="nil"/>
              <w:right w:val="nil"/>
            </w:tcBorders>
            <w:shd w:val="clear" w:color="auto" w:fill="auto"/>
            <w:noWrap/>
            <w:vAlign w:val="center"/>
            <w:hideMark/>
          </w:tcPr>
          <w:p w14:paraId="67F9D24D"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Mean word types of 10 random 50-word sequences.</w:t>
            </w:r>
          </w:p>
        </w:tc>
      </w:tr>
      <w:tr w:rsidR="00485FDA" w:rsidRPr="00C82EE1" w14:paraId="1E67F2AB" w14:textId="77777777" w:rsidTr="00086E4A">
        <w:trPr>
          <w:trHeight w:val="57"/>
        </w:trPr>
        <w:tc>
          <w:tcPr>
            <w:tcW w:w="2410" w:type="dxa"/>
            <w:tcBorders>
              <w:top w:val="nil"/>
              <w:left w:val="nil"/>
              <w:bottom w:val="nil"/>
              <w:right w:val="nil"/>
            </w:tcBorders>
            <w:shd w:val="clear" w:color="auto" w:fill="auto"/>
            <w:noWrap/>
            <w:hideMark/>
          </w:tcPr>
          <w:p w14:paraId="54FD9E4F" w14:textId="24C02B42"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T</w:t>
            </w:r>
            <w:r w:rsidR="00485FDA" w:rsidRPr="00C7392E">
              <w:rPr>
                <w:rFonts w:ascii="Times New Roman" w:eastAsia="Times New Roman" w:hAnsi="Times New Roman" w:cs="Times New Roman"/>
                <w:i/>
                <w:sz w:val="20"/>
                <w:szCs w:val="20"/>
                <w:lang w:val="fr-BE" w:eastAsia="fr-BE"/>
              </w:rPr>
              <w:t>tr</w:t>
            </w:r>
            <w:proofErr w:type="spellEnd"/>
          </w:p>
        </w:tc>
        <w:tc>
          <w:tcPr>
            <w:tcW w:w="4536" w:type="dxa"/>
            <w:tcBorders>
              <w:top w:val="nil"/>
              <w:left w:val="nil"/>
              <w:bottom w:val="nil"/>
              <w:right w:val="nil"/>
            </w:tcBorders>
            <w:shd w:val="clear" w:color="auto" w:fill="auto"/>
            <w:noWrap/>
            <w:hideMark/>
          </w:tcPr>
          <w:p w14:paraId="20AF1B09"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Type/</w:t>
            </w:r>
            <w:proofErr w:type="spellStart"/>
            <w:r w:rsidRPr="00C82EE1">
              <w:rPr>
                <w:rFonts w:ascii="Times New Roman" w:eastAsia="Times New Roman" w:hAnsi="Times New Roman" w:cs="Times New Roman"/>
                <w:sz w:val="20"/>
                <w:szCs w:val="20"/>
                <w:lang w:val="fr-BE" w:eastAsia="fr-BE"/>
              </w:rPr>
              <w:t>token</w:t>
            </w:r>
            <w:proofErr w:type="spellEnd"/>
            <w:r w:rsidRPr="00C82EE1">
              <w:rPr>
                <w:rFonts w:ascii="Times New Roman" w:eastAsia="Times New Roman" w:hAnsi="Times New Roman" w:cs="Times New Roman"/>
                <w:sz w:val="20"/>
                <w:szCs w:val="20"/>
                <w:lang w:val="fr-BE" w:eastAsia="fr-BE"/>
              </w:rPr>
              <w:t xml:space="preserve"> ratio</w:t>
            </w:r>
          </w:p>
        </w:tc>
        <w:tc>
          <w:tcPr>
            <w:tcW w:w="8789" w:type="dxa"/>
            <w:tcBorders>
              <w:top w:val="nil"/>
              <w:left w:val="nil"/>
              <w:bottom w:val="nil"/>
              <w:right w:val="nil"/>
            </w:tcBorders>
            <w:shd w:val="clear" w:color="auto" w:fill="auto"/>
            <w:noWrap/>
            <w:vAlign w:val="center"/>
            <w:hideMark/>
          </w:tcPr>
          <w:p w14:paraId="78ACF60B"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Ratio of different words/total number of words.</w:t>
            </w:r>
          </w:p>
        </w:tc>
      </w:tr>
      <w:tr w:rsidR="00485FDA" w:rsidRPr="00C82EE1" w14:paraId="2917B532" w14:textId="77777777" w:rsidTr="00086E4A">
        <w:trPr>
          <w:trHeight w:val="57"/>
        </w:trPr>
        <w:tc>
          <w:tcPr>
            <w:tcW w:w="2410" w:type="dxa"/>
            <w:tcBorders>
              <w:top w:val="nil"/>
              <w:left w:val="nil"/>
              <w:bottom w:val="nil"/>
              <w:right w:val="nil"/>
            </w:tcBorders>
            <w:shd w:val="clear" w:color="auto" w:fill="auto"/>
            <w:noWrap/>
            <w:hideMark/>
          </w:tcPr>
          <w:p w14:paraId="14D5488A" w14:textId="7A466AA5"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M</w:t>
            </w:r>
            <w:r w:rsidR="00485FDA" w:rsidRPr="00C7392E">
              <w:rPr>
                <w:rFonts w:ascii="Times New Roman" w:eastAsia="Times New Roman" w:hAnsi="Times New Roman" w:cs="Times New Roman"/>
                <w:i/>
                <w:sz w:val="20"/>
                <w:szCs w:val="20"/>
                <w:lang w:val="fr-BE" w:eastAsia="fr-BE"/>
              </w:rPr>
              <w:t>sttr</w:t>
            </w:r>
            <w:proofErr w:type="spellEnd"/>
          </w:p>
        </w:tc>
        <w:tc>
          <w:tcPr>
            <w:tcW w:w="4536" w:type="dxa"/>
            <w:tcBorders>
              <w:top w:val="nil"/>
              <w:left w:val="nil"/>
              <w:bottom w:val="nil"/>
              <w:right w:val="nil"/>
            </w:tcBorders>
            <w:shd w:val="clear" w:color="auto" w:fill="auto"/>
            <w:noWrap/>
            <w:hideMark/>
          </w:tcPr>
          <w:p w14:paraId="554C955F" w14:textId="1BF3016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Mean</w:t>
            </w:r>
            <w:proofErr w:type="spellEnd"/>
            <w:r w:rsidRPr="00C82EE1">
              <w:rPr>
                <w:rFonts w:ascii="Times New Roman" w:eastAsia="Times New Roman" w:hAnsi="Times New Roman" w:cs="Times New Roman"/>
                <w:sz w:val="20"/>
                <w:szCs w:val="20"/>
                <w:lang w:val="fr-BE" w:eastAsia="fr-BE"/>
              </w:rPr>
              <w:t xml:space="preserve"> segmental </w:t>
            </w:r>
            <w:proofErr w:type="spellStart"/>
            <w:r w:rsidR="007C1CC0">
              <w:rPr>
                <w:rFonts w:ascii="Times New Roman" w:eastAsia="Times New Roman" w:hAnsi="Times New Roman" w:cs="Times New Roman"/>
                <w:sz w:val="20"/>
                <w:szCs w:val="20"/>
                <w:lang w:val="fr-BE" w:eastAsia="fr-BE"/>
              </w:rPr>
              <w:t>ttr</w:t>
            </w:r>
            <w:proofErr w:type="spellEnd"/>
          </w:p>
        </w:tc>
        <w:tc>
          <w:tcPr>
            <w:tcW w:w="8789" w:type="dxa"/>
            <w:tcBorders>
              <w:top w:val="nil"/>
              <w:left w:val="nil"/>
              <w:bottom w:val="nil"/>
              <w:right w:val="nil"/>
            </w:tcBorders>
            <w:shd w:val="clear" w:color="auto" w:fill="auto"/>
            <w:noWrap/>
            <w:vAlign w:val="center"/>
            <w:hideMark/>
          </w:tcPr>
          <w:p w14:paraId="760B4309" w14:textId="435CFB2C"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 xml:space="preserve">Divides a sample into successive segments of a given length and then calculates the average </w:t>
            </w:r>
            <w:proofErr w:type="spellStart"/>
            <w:r w:rsidR="007C1CC0">
              <w:rPr>
                <w:rFonts w:ascii="Times New Roman" w:eastAsia="Times New Roman" w:hAnsi="Times New Roman" w:cs="Times New Roman"/>
                <w:sz w:val="20"/>
                <w:szCs w:val="20"/>
                <w:lang w:val="en-GB" w:eastAsia="fr-BE"/>
              </w:rPr>
              <w:t>ttr</w:t>
            </w:r>
            <w:proofErr w:type="spellEnd"/>
            <w:r w:rsidRPr="00C82EE1">
              <w:rPr>
                <w:rFonts w:ascii="Times New Roman" w:eastAsia="Times New Roman" w:hAnsi="Times New Roman" w:cs="Times New Roman"/>
                <w:sz w:val="20"/>
                <w:szCs w:val="20"/>
                <w:lang w:val="en-GB" w:eastAsia="fr-BE"/>
              </w:rPr>
              <w:t xml:space="preserve"> of all segments.</w:t>
            </w:r>
          </w:p>
        </w:tc>
      </w:tr>
      <w:tr w:rsidR="00485FDA" w:rsidRPr="00C82EE1" w14:paraId="0079B124" w14:textId="77777777" w:rsidTr="00086E4A">
        <w:trPr>
          <w:trHeight w:val="57"/>
        </w:trPr>
        <w:tc>
          <w:tcPr>
            <w:tcW w:w="2410" w:type="dxa"/>
            <w:tcBorders>
              <w:top w:val="nil"/>
              <w:left w:val="nil"/>
              <w:bottom w:val="nil"/>
              <w:right w:val="nil"/>
            </w:tcBorders>
            <w:shd w:val="clear" w:color="auto" w:fill="auto"/>
            <w:noWrap/>
            <w:hideMark/>
          </w:tcPr>
          <w:p w14:paraId="0D8EFBA2" w14:textId="606E29C8"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C</w:t>
            </w:r>
            <w:r w:rsidR="00485FDA" w:rsidRPr="00C7392E">
              <w:rPr>
                <w:rFonts w:ascii="Times New Roman" w:eastAsia="Times New Roman" w:hAnsi="Times New Roman" w:cs="Times New Roman"/>
                <w:i/>
                <w:sz w:val="20"/>
                <w:szCs w:val="20"/>
                <w:lang w:val="fr-BE" w:eastAsia="fr-BE"/>
              </w:rPr>
              <w:t>ttr</w:t>
            </w:r>
            <w:proofErr w:type="spellEnd"/>
          </w:p>
        </w:tc>
        <w:tc>
          <w:tcPr>
            <w:tcW w:w="4536" w:type="dxa"/>
            <w:tcBorders>
              <w:top w:val="nil"/>
              <w:left w:val="nil"/>
              <w:bottom w:val="nil"/>
              <w:right w:val="nil"/>
            </w:tcBorders>
            <w:shd w:val="clear" w:color="auto" w:fill="auto"/>
            <w:noWrap/>
            <w:hideMark/>
          </w:tcPr>
          <w:p w14:paraId="41583FBB" w14:textId="70D7D13F"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Corrected</w:t>
            </w:r>
            <w:proofErr w:type="spellEnd"/>
            <w:r w:rsidRPr="00C82EE1">
              <w:rPr>
                <w:rFonts w:ascii="Times New Roman" w:eastAsia="Times New Roman" w:hAnsi="Times New Roman" w:cs="Times New Roman"/>
                <w:sz w:val="20"/>
                <w:szCs w:val="20"/>
                <w:lang w:val="fr-BE" w:eastAsia="fr-BE"/>
              </w:rPr>
              <w:t xml:space="preserve"> </w:t>
            </w:r>
            <w:proofErr w:type="spellStart"/>
            <w:r w:rsidR="007C1CC0">
              <w:rPr>
                <w:rFonts w:ascii="Times New Roman" w:eastAsia="Times New Roman" w:hAnsi="Times New Roman" w:cs="Times New Roman"/>
                <w:sz w:val="20"/>
                <w:szCs w:val="20"/>
                <w:lang w:val="fr-BE" w:eastAsia="fr-BE"/>
              </w:rPr>
              <w:t>ttr</w:t>
            </w:r>
            <w:proofErr w:type="spellEnd"/>
          </w:p>
        </w:tc>
        <w:tc>
          <w:tcPr>
            <w:tcW w:w="8789" w:type="dxa"/>
            <w:tcBorders>
              <w:top w:val="nil"/>
              <w:left w:val="nil"/>
              <w:bottom w:val="nil"/>
              <w:right w:val="nil"/>
            </w:tcBorders>
            <w:shd w:val="clear" w:color="auto" w:fill="auto"/>
            <w:noWrap/>
            <w:vAlign w:val="center"/>
            <w:hideMark/>
          </w:tcPr>
          <w:p w14:paraId="7191C684" w14:textId="0CE5FD5C"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 xml:space="preserve">Transformation of the </w:t>
            </w:r>
            <w:proofErr w:type="spellStart"/>
            <w:r w:rsidR="00A10973">
              <w:rPr>
                <w:rFonts w:ascii="Times New Roman" w:eastAsia="Times New Roman" w:hAnsi="Times New Roman" w:cs="Times New Roman"/>
                <w:sz w:val="20"/>
                <w:szCs w:val="20"/>
                <w:lang w:val="en-GB" w:eastAsia="fr-BE"/>
              </w:rPr>
              <w:t>ttr</w:t>
            </w:r>
            <w:proofErr w:type="spellEnd"/>
            <w:r w:rsidRPr="00C82EE1">
              <w:rPr>
                <w:rFonts w:ascii="Times New Roman" w:eastAsia="Times New Roman" w:hAnsi="Times New Roman" w:cs="Times New Roman"/>
                <w:sz w:val="20"/>
                <w:szCs w:val="20"/>
                <w:lang w:val="fr-BE" w:eastAsia="fr-BE"/>
              </w:rPr>
              <w:t>.</w:t>
            </w:r>
          </w:p>
        </w:tc>
      </w:tr>
      <w:tr w:rsidR="00485FDA" w:rsidRPr="00C82EE1" w14:paraId="5A9B8BD8" w14:textId="77777777" w:rsidTr="00086E4A">
        <w:trPr>
          <w:trHeight w:val="57"/>
        </w:trPr>
        <w:tc>
          <w:tcPr>
            <w:tcW w:w="2410" w:type="dxa"/>
            <w:tcBorders>
              <w:top w:val="nil"/>
              <w:left w:val="nil"/>
              <w:bottom w:val="nil"/>
              <w:right w:val="nil"/>
            </w:tcBorders>
            <w:shd w:val="clear" w:color="auto" w:fill="auto"/>
            <w:noWrap/>
            <w:hideMark/>
          </w:tcPr>
          <w:p w14:paraId="578D56DE" w14:textId="39DDD4D0"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R</w:t>
            </w:r>
            <w:r w:rsidR="00485FDA" w:rsidRPr="00C7392E">
              <w:rPr>
                <w:rFonts w:ascii="Times New Roman" w:eastAsia="Times New Roman" w:hAnsi="Times New Roman" w:cs="Times New Roman"/>
                <w:i/>
                <w:sz w:val="20"/>
                <w:szCs w:val="20"/>
                <w:lang w:val="fr-BE" w:eastAsia="fr-BE"/>
              </w:rPr>
              <w:t>ttr</w:t>
            </w:r>
            <w:proofErr w:type="spellEnd"/>
          </w:p>
        </w:tc>
        <w:tc>
          <w:tcPr>
            <w:tcW w:w="4536" w:type="dxa"/>
            <w:tcBorders>
              <w:top w:val="nil"/>
              <w:left w:val="nil"/>
              <w:bottom w:val="nil"/>
              <w:right w:val="nil"/>
            </w:tcBorders>
            <w:shd w:val="clear" w:color="auto" w:fill="auto"/>
            <w:noWrap/>
            <w:hideMark/>
          </w:tcPr>
          <w:p w14:paraId="644A639B" w14:textId="102F15AB"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 xml:space="preserve">Root </w:t>
            </w:r>
            <w:proofErr w:type="spellStart"/>
            <w:r w:rsidR="007C1CC0">
              <w:rPr>
                <w:rFonts w:ascii="Times New Roman" w:eastAsia="Times New Roman" w:hAnsi="Times New Roman" w:cs="Times New Roman"/>
                <w:sz w:val="20"/>
                <w:szCs w:val="20"/>
                <w:lang w:val="fr-BE" w:eastAsia="fr-BE"/>
              </w:rPr>
              <w:t>ttr</w:t>
            </w:r>
            <w:proofErr w:type="spellEnd"/>
          </w:p>
        </w:tc>
        <w:tc>
          <w:tcPr>
            <w:tcW w:w="8789" w:type="dxa"/>
            <w:tcBorders>
              <w:top w:val="nil"/>
              <w:left w:val="nil"/>
              <w:bottom w:val="nil"/>
              <w:right w:val="nil"/>
            </w:tcBorders>
            <w:shd w:val="clear" w:color="auto" w:fill="auto"/>
            <w:noWrap/>
            <w:vAlign w:val="center"/>
            <w:hideMark/>
          </w:tcPr>
          <w:p w14:paraId="14DC1843" w14:textId="6E355C74"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Transformation of the</w:t>
            </w:r>
            <w:r w:rsidR="00A10973">
              <w:rPr>
                <w:rFonts w:ascii="Times New Roman" w:eastAsia="Times New Roman" w:hAnsi="Times New Roman" w:cs="Times New Roman"/>
                <w:sz w:val="20"/>
                <w:szCs w:val="20"/>
                <w:lang w:val="en-GB" w:eastAsia="fr-BE"/>
              </w:rPr>
              <w:t xml:space="preserve"> </w:t>
            </w:r>
            <w:proofErr w:type="spellStart"/>
            <w:r w:rsidR="00A10973">
              <w:rPr>
                <w:rFonts w:ascii="Times New Roman" w:eastAsia="Times New Roman" w:hAnsi="Times New Roman" w:cs="Times New Roman"/>
                <w:sz w:val="20"/>
                <w:szCs w:val="20"/>
                <w:lang w:val="en-GB" w:eastAsia="fr-BE"/>
              </w:rPr>
              <w:t>ttr</w:t>
            </w:r>
            <w:proofErr w:type="spellEnd"/>
            <w:r w:rsidRPr="00C82EE1">
              <w:rPr>
                <w:rFonts w:ascii="Times New Roman" w:eastAsia="Times New Roman" w:hAnsi="Times New Roman" w:cs="Times New Roman"/>
                <w:sz w:val="20"/>
                <w:szCs w:val="20"/>
                <w:lang w:val="fr-BE" w:eastAsia="fr-BE"/>
              </w:rPr>
              <w:t>.</w:t>
            </w:r>
          </w:p>
        </w:tc>
      </w:tr>
      <w:tr w:rsidR="00485FDA" w:rsidRPr="00C82EE1" w14:paraId="7CFDEBCF" w14:textId="77777777" w:rsidTr="00086E4A">
        <w:trPr>
          <w:trHeight w:val="57"/>
        </w:trPr>
        <w:tc>
          <w:tcPr>
            <w:tcW w:w="2410" w:type="dxa"/>
            <w:tcBorders>
              <w:top w:val="nil"/>
              <w:left w:val="nil"/>
              <w:bottom w:val="nil"/>
              <w:right w:val="nil"/>
            </w:tcBorders>
            <w:shd w:val="clear" w:color="auto" w:fill="auto"/>
            <w:noWrap/>
            <w:hideMark/>
          </w:tcPr>
          <w:p w14:paraId="1C50BE94" w14:textId="15BEA404"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L</w:t>
            </w:r>
            <w:r w:rsidR="00485FDA" w:rsidRPr="00C7392E">
              <w:rPr>
                <w:rFonts w:ascii="Times New Roman" w:eastAsia="Times New Roman" w:hAnsi="Times New Roman" w:cs="Times New Roman"/>
                <w:i/>
                <w:sz w:val="20"/>
                <w:szCs w:val="20"/>
                <w:lang w:val="fr-BE" w:eastAsia="fr-BE"/>
              </w:rPr>
              <w:t>ogttr</w:t>
            </w:r>
            <w:proofErr w:type="spellEnd"/>
          </w:p>
        </w:tc>
        <w:tc>
          <w:tcPr>
            <w:tcW w:w="4536" w:type="dxa"/>
            <w:tcBorders>
              <w:top w:val="nil"/>
              <w:left w:val="nil"/>
              <w:bottom w:val="nil"/>
              <w:right w:val="nil"/>
            </w:tcBorders>
            <w:shd w:val="clear" w:color="auto" w:fill="auto"/>
            <w:noWrap/>
            <w:hideMark/>
          </w:tcPr>
          <w:p w14:paraId="60ABF6D3" w14:textId="317642C6"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Bilogarithmic</w:t>
            </w:r>
            <w:proofErr w:type="spellEnd"/>
            <w:r w:rsidRPr="00C82EE1">
              <w:rPr>
                <w:rFonts w:ascii="Times New Roman" w:eastAsia="Times New Roman" w:hAnsi="Times New Roman" w:cs="Times New Roman"/>
                <w:sz w:val="20"/>
                <w:szCs w:val="20"/>
                <w:lang w:val="fr-BE" w:eastAsia="fr-BE"/>
              </w:rPr>
              <w:t xml:space="preserve"> </w:t>
            </w:r>
            <w:proofErr w:type="spellStart"/>
            <w:r w:rsidR="007C1CC0">
              <w:rPr>
                <w:rFonts w:ascii="Times New Roman" w:eastAsia="Times New Roman" w:hAnsi="Times New Roman" w:cs="Times New Roman"/>
                <w:sz w:val="20"/>
                <w:szCs w:val="20"/>
                <w:lang w:val="fr-BE" w:eastAsia="fr-BE"/>
              </w:rPr>
              <w:t>ttr</w:t>
            </w:r>
            <w:proofErr w:type="spellEnd"/>
          </w:p>
        </w:tc>
        <w:tc>
          <w:tcPr>
            <w:tcW w:w="8789" w:type="dxa"/>
            <w:tcBorders>
              <w:top w:val="nil"/>
              <w:left w:val="nil"/>
              <w:bottom w:val="nil"/>
              <w:right w:val="nil"/>
            </w:tcBorders>
            <w:shd w:val="clear" w:color="auto" w:fill="auto"/>
            <w:noWrap/>
            <w:vAlign w:val="center"/>
            <w:hideMark/>
          </w:tcPr>
          <w:p w14:paraId="4028EC4C" w14:textId="1028CA86"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 xml:space="preserve">Transformation of the </w:t>
            </w:r>
            <w:proofErr w:type="spellStart"/>
            <w:r w:rsidR="00A10973">
              <w:rPr>
                <w:rFonts w:ascii="Times New Roman" w:eastAsia="Times New Roman" w:hAnsi="Times New Roman" w:cs="Times New Roman"/>
                <w:sz w:val="20"/>
                <w:szCs w:val="20"/>
                <w:lang w:val="en-GB" w:eastAsia="fr-BE"/>
              </w:rPr>
              <w:t>ttr</w:t>
            </w:r>
            <w:proofErr w:type="spellEnd"/>
            <w:r w:rsidRPr="00C82EE1">
              <w:rPr>
                <w:rFonts w:ascii="Times New Roman" w:eastAsia="Times New Roman" w:hAnsi="Times New Roman" w:cs="Times New Roman"/>
                <w:sz w:val="20"/>
                <w:szCs w:val="20"/>
                <w:lang w:val="fr-BE" w:eastAsia="fr-BE"/>
              </w:rPr>
              <w:t>.</w:t>
            </w:r>
          </w:p>
        </w:tc>
      </w:tr>
      <w:tr w:rsidR="00485FDA" w:rsidRPr="00C82EE1" w14:paraId="54911D94" w14:textId="77777777" w:rsidTr="00086E4A">
        <w:trPr>
          <w:trHeight w:val="57"/>
        </w:trPr>
        <w:tc>
          <w:tcPr>
            <w:tcW w:w="2410" w:type="dxa"/>
            <w:tcBorders>
              <w:top w:val="nil"/>
              <w:left w:val="nil"/>
              <w:bottom w:val="nil"/>
              <w:right w:val="nil"/>
            </w:tcBorders>
            <w:shd w:val="clear" w:color="auto" w:fill="auto"/>
            <w:noWrap/>
            <w:hideMark/>
          </w:tcPr>
          <w:p w14:paraId="344C59FD" w14:textId="7CDA0DB2"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r w:rsidRPr="00C7392E">
              <w:rPr>
                <w:rFonts w:ascii="Times New Roman" w:eastAsia="Times New Roman" w:hAnsi="Times New Roman" w:cs="Times New Roman"/>
                <w:i/>
                <w:sz w:val="20"/>
                <w:szCs w:val="20"/>
                <w:lang w:val="fr-BE" w:eastAsia="fr-BE"/>
              </w:rPr>
              <w:t>U</w:t>
            </w:r>
            <w:r w:rsidR="00485FDA" w:rsidRPr="00C7392E">
              <w:rPr>
                <w:rFonts w:ascii="Times New Roman" w:eastAsia="Times New Roman" w:hAnsi="Times New Roman" w:cs="Times New Roman"/>
                <w:i/>
                <w:sz w:val="20"/>
                <w:szCs w:val="20"/>
                <w:lang w:val="fr-BE" w:eastAsia="fr-BE"/>
              </w:rPr>
              <w:t>ber</w:t>
            </w:r>
          </w:p>
        </w:tc>
        <w:tc>
          <w:tcPr>
            <w:tcW w:w="4536" w:type="dxa"/>
            <w:tcBorders>
              <w:top w:val="nil"/>
              <w:left w:val="nil"/>
              <w:bottom w:val="nil"/>
              <w:right w:val="nil"/>
            </w:tcBorders>
            <w:shd w:val="clear" w:color="auto" w:fill="auto"/>
            <w:noWrap/>
            <w:hideMark/>
          </w:tcPr>
          <w:p w14:paraId="70250710"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Uber Index</w:t>
            </w:r>
          </w:p>
        </w:tc>
        <w:tc>
          <w:tcPr>
            <w:tcW w:w="8789" w:type="dxa"/>
            <w:tcBorders>
              <w:top w:val="nil"/>
              <w:left w:val="nil"/>
              <w:bottom w:val="nil"/>
              <w:right w:val="nil"/>
            </w:tcBorders>
            <w:shd w:val="clear" w:color="auto" w:fill="auto"/>
            <w:noWrap/>
            <w:vAlign w:val="center"/>
            <w:hideMark/>
          </w:tcPr>
          <w:p w14:paraId="578CEDF1" w14:textId="07EE3E3D"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 xml:space="preserve">Transformation of the </w:t>
            </w:r>
            <w:proofErr w:type="spellStart"/>
            <w:r w:rsidR="00A10973">
              <w:rPr>
                <w:rFonts w:ascii="Times New Roman" w:eastAsia="Times New Roman" w:hAnsi="Times New Roman" w:cs="Times New Roman"/>
                <w:sz w:val="20"/>
                <w:szCs w:val="20"/>
                <w:lang w:val="en-GB" w:eastAsia="fr-BE"/>
              </w:rPr>
              <w:t>ttr</w:t>
            </w:r>
            <w:proofErr w:type="spellEnd"/>
            <w:r w:rsidRPr="00C82EE1">
              <w:rPr>
                <w:rFonts w:ascii="Times New Roman" w:eastAsia="Times New Roman" w:hAnsi="Times New Roman" w:cs="Times New Roman"/>
                <w:sz w:val="20"/>
                <w:szCs w:val="20"/>
                <w:lang w:val="fr-BE" w:eastAsia="fr-BE"/>
              </w:rPr>
              <w:t>.</w:t>
            </w:r>
          </w:p>
        </w:tc>
      </w:tr>
      <w:tr w:rsidR="00485FDA" w:rsidRPr="00C82EE1" w14:paraId="356EFD48" w14:textId="77777777" w:rsidTr="00086E4A">
        <w:trPr>
          <w:trHeight w:val="57"/>
        </w:trPr>
        <w:tc>
          <w:tcPr>
            <w:tcW w:w="2410" w:type="dxa"/>
            <w:tcBorders>
              <w:top w:val="nil"/>
              <w:left w:val="nil"/>
              <w:bottom w:val="nil"/>
              <w:right w:val="nil"/>
            </w:tcBorders>
            <w:shd w:val="clear" w:color="auto" w:fill="auto"/>
            <w:noWrap/>
            <w:hideMark/>
          </w:tcPr>
          <w:p w14:paraId="5E28873D"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vv</w:t>
            </w:r>
            <w:proofErr w:type="gramEnd"/>
            <w:r w:rsidRPr="00C7392E">
              <w:rPr>
                <w:rFonts w:ascii="Times New Roman" w:eastAsia="Times New Roman" w:hAnsi="Times New Roman" w:cs="Times New Roman"/>
                <w:i/>
                <w:sz w:val="20"/>
                <w:szCs w:val="20"/>
                <w:lang w:val="fr-BE" w:eastAsia="fr-BE"/>
              </w:rPr>
              <w:t>1</w:t>
            </w:r>
          </w:p>
        </w:tc>
        <w:tc>
          <w:tcPr>
            <w:tcW w:w="4536" w:type="dxa"/>
            <w:tcBorders>
              <w:top w:val="nil"/>
              <w:left w:val="nil"/>
              <w:bottom w:val="nil"/>
              <w:right w:val="nil"/>
            </w:tcBorders>
            <w:shd w:val="clear" w:color="auto" w:fill="auto"/>
            <w:noWrap/>
            <w:hideMark/>
          </w:tcPr>
          <w:p w14:paraId="53D90C25"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Verb</w:t>
            </w:r>
            <w:proofErr w:type="spellEnd"/>
            <w:r w:rsidRPr="00C82EE1">
              <w:rPr>
                <w:rFonts w:ascii="Times New Roman" w:eastAsia="Times New Roman" w:hAnsi="Times New Roman" w:cs="Times New Roman"/>
                <w:sz w:val="20"/>
                <w:szCs w:val="20"/>
                <w:lang w:val="fr-BE" w:eastAsia="fr-BE"/>
              </w:rPr>
              <w:t xml:space="preserve"> variation 1</w:t>
            </w:r>
          </w:p>
        </w:tc>
        <w:tc>
          <w:tcPr>
            <w:tcW w:w="8789" w:type="dxa"/>
            <w:tcBorders>
              <w:top w:val="nil"/>
              <w:left w:val="nil"/>
              <w:bottom w:val="nil"/>
              <w:right w:val="nil"/>
            </w:tcBorders>
            <w:shd w:val="clear" w:color="auto" w:fill="auto"/>
            <w:noWrap/>
            <w:vAlign w:val="center"/>
            <w:hideMark/>
          </w:tcPr>
          <w:p w14:paraId="48B3D13D"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Ratio of the number of verb types to the total number of verbs.</w:t>
            </w:r>
          </w:p>
        </w:tc>
      </w:tr>
      <w:tr w:rsidR="00485FDA" w:rsidRPr="00C82EE1" w14:paraId="11BF4F9B" w14:textId="77777777" w:rsidTr="00086E4A">
        <w:trPr>
          <w:trHeight w:val="57"/>
        </w:trPr>
        <w:tc>
          <w:tcPr>
            <w:tcW w:w="2410" w:type="dxa"/>
            <w:tcBorders>
              <w:top w:val="nil"/>
              <w:left w:val="nil"/>
              <w:bottom w:val="nil"/>
              <w:right w:val="nil"/>
            </w:tcBorders>
            <w:shd w:val="clear" w:color="auto" w:fill="auto"/>
            <w:noWrap/>
            <w:hideMark/>
          </w:tcPr>
          <w:p w14:paraId="7DF7911D"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svv</w:t>
            </w:r>
            <w:proofErr w:type="gramEnd"/>
            <w:r w:rsidRPr="00C7392E">
              <w:rPr>
                <w:rFonts w:ascii="Times New Roman" w:eastAsia="Times New Roman" w:hAnsi="Times New Roman" w:cs="Times New Roman"/>
                <w:i/>
                <w:sz w:val="20"/>
                <w:szCs w:val="20"/>
                <w:lang w:val="fr-BE" w:eastAsia="fr-BE"/>
              </w:rPr>
              <w:t>1</w:t>
            </w:r>
          </w:p>
        </w:tc>
        <w:tc>
          <w:tcPr>
            <w:tcW w:w="4536" w:type="dxa"/>
            <w:tcBorders>
              <w:top w:val="nil"/>
              <w:left w:val="nil"/>
              <w:bottom w:val="nil"/>
              <w:right w:val="nil"/>
            </w:tcBorders>
            <w:shd w:val="clear" w:color="auto" w:fill="auto"/>
            <w:noWrap/>
            <w:hideMark/>
          </w:tcPr>
          <w:p w14:paraId="1D86FD33" w14:textId="379E69B6"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Squared</w:t>
            </w:r>
            <w:proofErr w:type="spellEnd"/>
            <w:r w:rsidRPr="00C82EE1">
              <w:rPr>
                <w:rFonts w:ascii="Times New Roman" w:eastAsia="Times New Roman" w:hAnsi="Times New Roman" w:cs="Times New Roman"/>
                <w:sz w:val="20"/>
                <w:szCs w:val="20"/>
                <w:lang w:val="fr-BE" w:eastAsia="fr-BE"/>
              </w:rPr>
              <w:t xml:space="preserve"> </w:t>
            </w:r>
            <w:r w:rsidR="007C1CC0">
              <w:rPr>
                <w:rFonts w:ascii="Times New Roman" w:eastAsia="Times New Roman" w:hAnsi="Times New Roman" w:cs="Times New Roman"/>
                <w:sz w:val="20"/>
                <w:szCs w:val="20"/>
                <w:lang w:val="fr-BE" w:eastAsia="fr-BE"/>
              </w:rPr>
              <w:t>vv1</w:t>
            </w:r>
          </w:p>
        </w:tc>
        <w:tc>
          <w:tcPr>
            <w:tcW w:w="8789" w:type="dxa"/>
            <w:tcBorders>
              <w:top w:val="nil"/>
              <w:left w:val="nil"/>
              <w:bottom w:val="nil"/>
              <w:right w:val="nil"/>
            </w:tcBorders>
            <w:shd w:val="clear" w:color="auto" w:fill="auto"/>
            <w:noWrap/>
            <w:vAlign w:val="center"/>
            <w:hideMark/>
          </w:tcPr>
          <w:p w14:paraId="5EAC4426" w14:textId="761C483E"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 xml:space="preserve">Transformed formula for </w:t>
            </w:r>
            <w:r w:rsidR="00A10973">
              <w:rPr>
                <w:rFonts w:ascii="Times New Roman" w:eastAsia="Times New Roman" w:hAnsi="Times New Roman" w:cs="Times New Roman"/>
                <w:sz w:val="20"/>
                <w:szCs w:val="20"/>
                <w:lang w:val="en-GB" w:eastAsia="fr-BE"/>
              </w:rPr>
              <w:t>vv1</w:t>
            </w:r>
            <w:r w:rsidRPr="00C82EE1">
              <w:rPr>
                <w:rFonts w:ascii="Times New Roman" w:eastAsia="Times New Roman" w:hAnsi="Times New Roman" w:cs="Times New Roman"/>
                <w:sz w:val="20"/>
                <w:szCs w:val="20"/>
                <w:lang w:val="en-GB" w:eastAsia="fr-BE"/>
              </w:rPr>
              <w:t xml:space="preserve"> which controls for effect size of sample.</w:t>
            </w:r>
          </w:p>
        </w:tc>
      </w:tr>
      <w:tr w:rsidR="00485FDA" w:rsidRPr="00C82EE1" w14:paraId="530B98D1" w14:textId="77777777" w:rsidTr="00086E4A">
        <w:trPr>
          <w:trHeight w:val="57"/>
        </w:trPr>
        <w:tc>
          <w:tcPr>
            <w:tcW w:w="2410" w:type="dxa"/>
            <w:tcBorders>
              <w:top w:val="nil"/>
              <w:left w:val="nil"/>
              <w:bottom w:val="nil"/>
              <w:right w:val="nil"/>
            </w:tcBorders>
            <w:shd w:val="clear" w:color="auto" w:fill="auto"/>
            <w:noWrap/>
            <w:hideMark/>
          </w:tcPr>
          <w:p w14:paraId="735DB310"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cvv</w:t>
            </w:r>
            <w:proofErr w:type="gramEnd"/>
            <w:r w:rsidRPr="00C7392E">
              <w:rPr>
                <w:rFonts w:ascii="Times New Roman" w:eastAsia="Times New Roman" w:hAnsi="Times New Roman" w:cs="Times New Roman"/>
                <w:i/>
                <w:sz w:val="20"/>
                <w:szCs w:val="20"/>
                <w:lang w:val="fr-BE" w:eastAsia="fr-BE"/>
              </w:rPr>
              <w:t>1</w:t>
            </w:r>
          </w:p>
        </w:tc>
        <w:tc>
          <w:tcPr>
            <w:tcW w:w="4536" w:type="dxa"/>
            <w:tcBorders>
              <w:top w:val="nil"/>
              <w:left w:val="nil"/>
              <w:bottom w:val="nil"/>
              <w:right w:val="nil"/>
            </w:tcBorders>
            <w:shd w:val="clear" w:color="auto" w:fill="auto"/>
            <w:noWrap/>
            <w:hideMark/>
          </w:tcPr>
          <w:p w14:paraId="6CAB7122" w14:textId="32CC0AF3"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Corrected</w:t>
            </w:r>
            <w:proofErr w:type="spellEnd"/>
            <w:r w:rsidRPr="00C82EE1">
              <w:rPr>
                <w:rFonts w:ascii="Times New Roman" w:eastAsia="Times New Roman" w:hAnsi="Times New Roman" w:cs="Times New Roman"/>
                <w:sz w:val="20"/>
                <w:szCs w:val="20"/>
                <w:lang w:val="fr-BE" w:eastAsia="fr-BE"/>
              </w:rPr>
              <w:t xml:space="preserve"> </w:t>
            </w:r>
            <w:r w:rsidR="007C1CC0">
              <w:rPr>
                <w:rFonts w:ascii="Times New Roman" w:eastAsia="Times New Roman" w:hAnsi="Times New Roman" w:cs="Times New Roman"/>
                <w:sz w:val="20"/>
                <w:szCs w:val="20"/>
                <w:lang w:val="fr-BE" w:eastAsia="fr-BE"/>
              </w:rPr>
              <w:t>vv1</w:t>
            </w:r>
          </w:p>
        </w:tc>
        <w:tc>
          <w:tcPr>
            <w:tcW w:w="8789" w:type="dxa"/>
            <w:tcBorders>
              <w:top w:val="nil"/>
              <w:left w:val="nil"/>
              <w:bottom w:val="nil"/>
              <w:right w:val="nil"/>
            </w:tcBorders>
            <w:shd w:val="clear" w:color="auto" w:fill="auto"/>
            <w:noWrap/>
            <w:vAlign w:val="center"/>
            <w:hideMark/>
          </w:tcPr>
          <w:p w14:paraId="08201D2A" w14:textId="3C1A6D2E"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 xml:space="preserve">Transformed formula for </w:t>
            </w:r>
            <w:r w:rsidR="00A10973">
              <w:rPr>
                <w:rFonts w:ascii="Times New Roman" w:eastAsia="Times New Roman" w:hAnsi="Times New Roman" w:cs="Times New Roman"/>
                <w:sz w:val="20"/>
                <w:szCs w:val="20"/>
                <w:lang w:val="en-GB" w:eastAsia="fr-BE"/>
              </w:rPr>
              <w:t>vv1</w:t>
            </w:r>
            <w:r w:rsidRPr="00C82EE1">
              <w:rPr>
                <w:rFonts w:ascii="Times New Roman" w:eastAsia="Times New Roman" w:hAnsi="Times New Roman" w:cs="Times New Roman"/>
                <w:sz w:val="20"/>
                <w:szCs w:val="20"/>
                <w:lang w:val="en-GB" w:eastAsia="fr-BE"/>
              </w:rPr>
              <w:t xml:space="preserve"> which controls for sample size effect.</w:t>
            </w:r>
          </w:p>
        </w:tc>
      </w:tr>
      <w:tr w:rsidR="00485FDA" w:rsidRPr="00C82EE1" w14:paraId="6D1D732E" w14:textId="77777777" w:rsidTr="00086E4A">
        <w:trPr>
          <w:trHeight w:val="57"/>
        </w:trPr>
        <w:tc>
          <w:tcPr>
            <w:tcW w:w="2410" w:type="dxa"/>
            <w:tcBorders>
              <w:top w:val="nil"/>
              <w:left w:val="nil"/>
              <w:bottom w:val="nil"/>
              <w:right w:val="nil"/>
            </w:tcBorders>
            <w:shd w:val="clear" w:color="auto" w:fill="auto"/>
            <w:noWrap/>
            <w:hideMark/>
          </w:tcPr>
          <w:p w14:paraId="7EF26B7B" w14:textId="5EF939C3"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L</w:t>
            </w:r>
            <w:r w:rsidR="00485FDA" w:rsidRPr="00C7392E">
              <w:rPr>
                <w:rFonts w:ascii="Times New Roman" w:eastAsia="Times New Roman" w:hAnsi="Times New Roman" w:cs="Times New Roman"/>
                <w:i/>
                <w:sz w:val="20"/>
                <w:szCs w:val="20"/>
                <w:lang w:val="fr-BE" w:eastAsia="fr-BE"/>
              </w:rPr>
              <w:t>v</w:t>
            </w:r>
            <w:proofErr w:type="spellEnd"/>
          </w:p>
        </w:tc>
        <w:tc>
          <w:tcPr>
            <w:tcW w:w="4536" w:type="dxa"/>
            <w:tcBorders>
              <w:top w:val="nil"/>
              <w:left w:val="nil"/>
              <w:bottom w:val="nil"/>
              <w:right w:val="nil"/>
            </w:tcBorders>
            <w:shd w:val="clear" w:color="auto" w:fill="auto"/>
            <w:noWrap/>
            <w:hideMark/>
          </w:tcPr>
          <w:p w14:paraId="35123A8E"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 xml:space="preserve">Lexical </w:t>
            </w:r>
            <w:proofErr w:type="spellStart"/>
            <w:r w:rsidRPr="00C82EE1">
              <w:rPr>
                <w:rFonts w:ascii="Times New Roman" w:eastAsia="Times New Roman" w:hAnsi="Times New Roman" w:cs="Times New Roman"/>
                <w:sz w:val="20"/>
                <w:szCs w:val="20"/>
                <w:lang w:val="fr-BE" w:eastAsia="fr-BE"/>
              </w:rPr>
              <w:t>word</w:t>
            </w:r>
            <w:proofErr w:type="spellEnd"/>
            <w:r w:rsidRPr="00C82EE1">
              <w:rPr>
                <w:rFonts w:ascii="Times New Roman" w:eastAsia="Times New Roman" w:hAnsi="Times New Roman" w:cs="Times New Roman"/>
                <w:sz w:val="20"/>
                <w:szCs w:val="20"/>
                <w:lang w:val="fr-BE" w:eastAsia="fr-BE"/>
              </w:rPr>
              <w:t xml:space="preserve"> variation</w:t>
            </w:r>
          </w:p>
        </w:tc>
        <w:tc>
          <w:tcPr>
            <w:tcW w:w="8789" w:type="dxa"/>
            <w:tcBorders>
              <w:top w:val="nil"/>
              <w:left w:val="nil"/>
              <w:bottom w:val="nil"/>
              <w:right w:val="nil"/>
            </w:tcBorders>
            <w:shd w:val="clear" w:color="auto" w:fill="auto"/>
            <w:noWrap/>
            <w:vAlign w:val="center"/>
            <w:hideMark/>
          </w:tcPr>
          <w:p w14:paraId="175D3095"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Ratio of the number of lexical word types/total number of lexical words.</w:t>
            </w:r>
          </w:p>
        </w:tc>
      </w:tr>
      <w:tr w:rsidR="00485FDA" w:rsidRPr="00C82EE1" w14:paraId="4097185C" w14:textId="77777777" w:rsidTr="00086E4A">
        <w:trPr>
          <w:trHeight w:val="57"/>
        </w:trPr>
        <w:tc>
          <w:tcPr>
            <w:tcW w:w="2410" w:type="dxa"/>
            <w:tcBorders>
              <w:top w:val="nil"/>
              <w:left w:val="nil"/>
              <w:bottom w:val="nil"/>
              <w:right w:val="nil"/>
            </w:tcBorders>
            <w:shd w:val="clear" w:color="auto" w:fill="auto"/>
            <w:noWrap/>
            <w:hideMark/>
          </w:tcPr>
          <w:p w14:paraId="1DD8AE9D" w14:textId="77777777" w:rsidR="00485FDA" w:rsidRPr="00C7392E" w:rsidRDefault="00485FDA" w:rsidP="00485FDA">
            <w:pPr>
              <w:spacing w:after="0" w:line="240" w:lineRule="auto"/>
              <w:jc w:val="both"/>
              <w:rPr>
                <w:rFonts w:ascii="Times New Roman" w:eastAsia="Times New Roman" w:hAnsi="Times New Roman" w:cs="Times New Roman"/>
                <w:i/>
                <w:sz w:val="20"/>
                <w:szCs w:val="20"/>
                <w:lang w:val="fr-BE" w:eastAsia="fr-BE"/>
              </w:rPr>
            </w:pPr>
            <w:proofErr w:type="gramStart"/>
            <w:r w:rsidRPr="00C7392E">
              <w:rPr>
                <w:rFonts w:ascii="Times New Roman" w:eastAsia="Times New Roman" w:hAnsi="Times New Roman" w:cs="Times New Roman"/>
                <w:i/>
                <w:sz w:val="20"/>
                <w:szCs w:val="20"/>
                <w:lang w:val="fr-BE" w:eastAsia="fr-BE"/>
              </w:rPr>
              <w:t>vv</w:t>
            </w:r>
            <w:proofErr w:type="gramEnd"/>
            <w:r w:rsidRPr="00C7392E">
              <w:rPr>
                <w:rFonts w:ascii="Times New Roman" w:eastAsia="Times New Roman" w:hAnsi="Times New Roman" w:cs="Times New Roman"/>
                <w:i/>
                <w:sz w:val="20"/>
                <w:szCs w:val="20"/>
                <w:lang w:val="fr-BE" w:eastAsia="fr-BE"/>
              </w:rPr>
              <w:t>2</w:t>
            </w:r>
          </w:p>
        </w:tc>
        <w:tc>
          <w:tcPr>
            <w:tcW w:w="4536" w:type="dxa"/>
            <w:tcBorders>
              <w:top w:val="nil"/>
              <w:left w:val="nil"/>
              <w:bottom w:val="nil"/>
              <w:right w:val="nil"/>
            </w:tcBorders>
            <w:shd w:val="clear" w:color="auto" w:fill="auto"/>
            <w:noWrap/>
            <w:hideMark/>
          </w:tcPr>
          <w:p w14:paraId="1CAF7D1A"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Verb</w:t>
            </w:r>
            <w:proofErr w:type="spellEnd"/>
            <w:r w:rsidRPr="00C82EE1">
              <w:rPr>
                <w:rFonts w:ascii="Times New Roman" w:eastAsia="Times New Roman" w:hAnsi="Times New Roman" w:cs="Times New Roman"/>
                <w:sz w:val="20"/>
                <w:szCs w:val="20"/>
                <w:lang w:val="fr-BE" w:eastAsia="fr-BE"/>
              </w:rPr>
              <w:t xml:space="preserve"> variation 2</w:t>
            </w:r>
          </w:p>
        </w:tc>
        <w:tc>
          <w:tcPr>
            <w:tcW w:w="8789" w:type="dxa"/>
            <w:tcBorders>
              <w:top w:val="nil"/>
              <w:left w:val="nil"/>
              <w:bottom w:val="nil"/>
              <w:right w:val="nil"/>
            </w:tcBorders>
            <w:shd w:val="clear" w:color="auto" w:fill="auto"/>
            <w:noWrap/>
            <w:vAlign w:val="center"/>
            <w:hideMark/>
          </w:tcPr>
          <w:p w14:paraId="135F0D8A"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Ratio of the number of verb types/total number of lexical words in a text.</w:t>
            </w:r>
          </w:p>
        </w:tc>
      </w:tr>
      <w:tr w:rsidR="00485FDA" w:rsidRPr="00C82EE1" w14:paraId="220F6EDC" w14:textId="77777777" w:rsidTr="00086E4A">
        <w:trPr>
          <w:trHeight w:val="57"/>
        </w:trPr>
        <w:tc>
          <w:tcPr>
            <w:tcW w:w="2410" w:type="dxa"/>
            <w:tcBorders>
              <w:top w:val="nil"/>
              <w:left w:val="nil"/>
              <w:bottom w:val="nil"/>
              <w:right w:val="nil"/>
            </w:tcBorders>
            <w:shd w:val="clear" w:color="auto" w:fill="auto"/>
            <w:noWrap/>
            <w:hideMark/>
          </w:tcPr>
          <w:p w14:paraId="7F8E6838" w14:textId="50BAA2D5"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r w:rsidRPr="00C7392E">
              <w:rPr>
                <w:rFonts w:ascii="Times New Roman" w:eastAsia="Times New Roman" w:hAnsi="Times New Roman" w:cs="Times New Roman"/>
                <w:i/>
                <w:sz w:val="20"/>
                <w:szCs w:val="20"/>
                <w:lang w:val="fr-BE" w:eastAsia="fr-BE"/>
              </w:rPr>
              <w:t>N</w:t>
            </w:r>
            <w:r w:rsidR="00485FDA" w:rsidRPr="00C7392E">
              <w:rPr>
                <w:rFonts w:ascii="Times New Roman" w:eastAsia="Times New Roman" w:hAnsi="Times New Roman" w:cs="Times New Roman"/>
                <w:i/>
                <w:sz w:val="20"/>
                <w:szCs w:val="20"/>
                <w:lang w:val="fr-BE" w:eastAsia="fr-BE"/>
              </w:rPr>
              <w:t>v</w:t>
            </w:r>
          </w:p>
        </w:tc>
        <w:tc>
          <w:tcPr>
            <w:tcW w:w="4536" w:type="dxa"/>
            <w:tcBorders>
              <w:top w:val="nil"/>
              <w:left w:val="nil"/>
              <w:bottom w:val="nil"/>
              <w:right w:val="nil"/>
            </w:tcBorders>
            <w:shd w:val="clear" w:color="auto" w:fill="auto"/>
            <w:noWrap/>
            <w:hideMark/>
          </w:tcPr>
          <w:p w14:paraId="154134A4"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Noun variation</w:t>
            </w:r>
          </w:p>
        </w:tc>
        <w:tc>
          <w:tcPr>
            <w:tcW w:w="8789" w:type="dxa"/>
            <w:tcBorders>
              <w:top w:val="nil"/>
              <w:left w:val="nil"/>
              <w:bottom w:val="nil"/>
              <w:right w:val="nil"/>
            </w:tcBorders>
            <w:shd w:val="clear" w:color="auto" w:fill="auto"/>
            <w:noWrap/>
            <w:vAlign w:val="center"/>
            <w:hideMark/>
          </w:tcPr>
          <w:p w14:paraId="018D3AA5"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Number of noun types/total number of lexical words.</w:t>
            </w:r>
          </w:p>
        </w:tc>
      </w:tr>
      <w:tr w:rsidR="00485FDA" w:rsidRPr="00C82EE1" w14:paraId="3C7C83F0" w14:textId="77777777" w:rsidTr="00086E4A">
        <w:trPr>
          <w:trHeight w:val="57"/>
        </w:trPr>
        <w:tc>
          <w:tcPr>
            <w:tcW w:w="2410" w:type="dxa"/>
            <w:tcBorders>
              <w:top w:val="nil"/>
              <w:left w:val="nil"/>
              <w:bottom w:val="nil"/>
              <w:right w:val="nil"/>
            </w:tcBorders>
            <w:shd w:val="clear" w:color="auto" w:fill="auto"/>
            <w:noWrap/>
            <w:hideMark/>
          </w:tcPr>
          <w:p w14:paraId="451CBA20" w14:textId="4FDFC19F"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A</w:t>
            </w:r>
            <w:r w:rsidR="00485FDA" w:rsidRPr="00C7392E">
              <w:rPr>
                <w:rFonts w:ascii="Times New Roman" w:eastAsia="Times New Roman" w:hAnsi="Times New Roman" w:cs="Times New Roman"/>
                <w:i/>
                <w:sz w:val="20"/>
                <w:szCs w:val="20"/>
                <w:lang w:val="fr-BE" w:eastAsia="fr-BE"/>
              </w:rPr>
              <w:t>djv</w:t>
            </w:r>
            <w:proofErr w:type="spellEnd"/>
          </w:p>
        </w:tc>
        <w:tc>
          <w:tcPr>
            <w:tcW w:w="4536" w:type="dxa"/>
            <w:tcBorders>
              <w:top w:val="nil"/>
              <w:left w:val="nil"/>
              <w:bottom w:val="nil"/>
              <w:right w:val="nil"/>
            </w:tcBorders>
            <w:shd w:val="clear" w:color="auto" w:fill="auto"/>
            <w:noWrap/>
            <w:hideMark/>
          </w:tcPr>
          <w:p w14:paraId="7A1D388C"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Adjective variation</w:t>
            </w:r>
          </w:p>
        </w:tc>
        <w:tc>
          <w:tcPr>
            <w:tcW w:w="8789" w:type="dxa"/>
            <w:tcBorders>
              <w:top w:val="nil"/>
              <w:left w:val="nil"/>
              <w:bottom w:val="nil"/>
              <w:right w:val="nil"/>
            </w:tcBorders>
            <w:shd w:val="clear" w:color="auto" w:fill="auto"/>
            <w:noWrap/>
            <w:vAlign w:val="center"/>
            <w:hideMark/>
          </w:tcPr>
          <w:p w14:paraId="4E0F4FFD"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Number of adjective types/total number of lexical words.</w:t>
            </w:r>
          </w:p>
        </w:tc>
      </w:tr>
      <w:tr w:rsidR="00485FDA" w:rsidRPr="00C82EE1" w14:paraId="5C4C9264" w14:textId="77777777" w:rsidTr="00086E4A">
        <w:trPr>
          <w:trHeight w:val="57"/>
        </w:trPr>
        <w:tc>
          <w:tcPr>
            <w:tcW w:w="2410" w:type="dxa"/>
            <w:tcBorders>
              <w:top w:val="nil"/>
              <w:left w:val="nil"/>
              <w:bottom w:val="nil"/>
              <w:right w:val="nil"/>
            </w:tcBorders>
            <w:shd w:val="clear" w:color="auto" w:fill="auto"/>
            <w:noWrap/>
            <w:hideMark/>
          </w:tcPr>
          <w:p w14:paraId="0FDE5EAA" w14:textId="22FC1AF5"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A</w:t>
            </w:r>
            <w:r w:rsidR="00485FDA" w:rsidRPr="00C7392E">
              <w:rPr>
                <w:rFonts w:ascii="Times New Roman" w:eastAsia="Times New Roman" w:hAnsi="Times New Roman" w:cs="Times New Roman"/>
                <w:i/>
                <w:sz w:val="20"/>
                <w:szCs w:val="20"/>
                <w:lang w:val="fr-BE" w:eastAsia="fr-BE"/>
              </w:rPr>
              <w:t>dvv</w:t>
            </w:r>
            <w:proofErr w:type="spellEnd"/>
          </w:p>
        </w:tc>
        <w:tc>
          <w:tcPr>
            <w:tcW w:w="4536" w:type="dxa"/>
            <w:tcBorders>
              <w:top w:val="nil"/>
              <w:left w:val="nil"/>
              <w:bottom w:val="nil"/>
              <w:right w:val="nil"/>
            </w:tcBorders>
            <w:shd w:val="clear" w:color="auto" w:fill="auto"/>
            <w:noWrap/>
            <w:hideMark/>
          </w:tcPr>
          <w:p w14:paraId="60E25661"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Adverb</w:t>
            </w:r>
            <w:proofErr w:type="spellEnd"/>
            <w:r w:rsidRPr="00C82EE1">
              <w:rPr>
                <w:rFonts w:ascii="Times New Roman" w:eastAsia="Times New Roman" w:hAnsi="Times New Roman" w:cs="Times New Roman"/>
                <w:sz w:val="20"/>
                <w:szCs w:val="20"/>
                <w:lang w:val="fr-BE" w:eastAsia="fr-BE"/>
              </w:rPr>
              <w:t xml:space="preserve"> variation</w:t>
            </w:r>
          </w:p>
        </w:tc>
        <w:tc>
          <w:tcPr>
            <w:tcW w:w="8789" w:type="dxa"/>
            <w:tcBorders>
              <w:top w:val="nil"/>
              <w:left w:val="nil"/>
              <w:bottom w:val="nil"/>
              <w:right w:val="nil"/>
            </w:tcBorders>
            <w:shd w:val="clear" w:color="auto" w:fill="auto"/>
            <w:noWrap/>
            <w:vAlign w:val="center"/>
            <w:hideMark/>
          </w:tcPr>
          <w:p w14:paraId="6618B109"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proofErr w:type="spellStart"/>
            <w:r w:rsidRPr="00C82EE1">
              <w:rPr>
                <w:rFonts w:ascii="Times New Roman" w:eastAsia="Times New Roman" w:hAnsi="Times New Roman" w:cs="Times New Roman"/>
                <w:sz w:val="20"/>
                <w:szCs w:val="20"/>
                <w:lang w:val="fr-BE" w:eastAsia="fr-BE"/>
              </w:rPr>
              <w:t>Number</w:t>
            </w:r>
            <w:proofErr w:type="spellEnd"/>
            <w:r w:rsidRPr="00C82EE1">
              <w:rPr>
                <w:rFonts w:ascii="Times New Roman" w:eastAsia="Times New Roman" w:hAnsi="Times New Roman" w:cs="Times New Roman"/>
                <w:sz w:val="20"/>
                <w:szCs w:val="20"/>
                <w:lang w:val="fr-BE" w:eastAsia="fr-BE"/>
              </w:rPr>
              <w:t xml:space="preserve"> of </w:t>
            </w:r>
            <w:proofErr w:type="spellStart"/>
            <w:r w:rsidRPr="00C82EE1">
              <w:rPr>
                <w:rFonts w:ascii="Times New Roman" w:eastAsia="Times New Roman" w:hAnsi="Times New Roman" w:cs="Times New Roman"/>
                <w:sz w:val="20"/>
                <w:szCs w:val="20"/>
                <w:lang w:val="fr-BE" w:eastAsia="fr-BE"/>
              </w:rPr>
              <w:t>adverb</w:t>
            </w:r>
            <w:proofErr w:type="spellEnd"/>
            <w:r w:rsidRPr="00C82EE1">
              <w:rPr>
                <w:rFonts w:ascii="Times New Roman" w:eastAsia="Times New Roman" w:hAnsi="Times New Roman" w:cs="Times New Roman"/>
                <w:sz w:val="20"/>
                <w:szCs w:val="20"/>
                <w:lang w:val="fr-BE" w:eastAsia="fr-BE"/>
              </w:rPr>
              <w:t xml:space="preserve"> types.</w:t>
            </w:r>
          </w:p>
        </w:tc>
      </w:tr>
      <w:tr w:rsidR="00485FDA" w:rsidRPr="00C82EE1" w14:paraId="45217B17" w14:textId="77777777" w:rsidTr="00086E4A">
        <w:trPr>
          <w:trHeight w:val="57"/>
        </w:trPr>
        <w:tc>
          <w:tcPr>
            <w:tcW w:w="2410" w:type="dxa"/>
            <w:tcBorders>
              <w:top w:val="nil"/>
              <w:left w:val="nil"/>
              <w:bottom w:val="single" w:sz="4" w:space="0" w:color="auto"/>
              <w:right w:val="nil"/>
            </w:tcBorders>
            <w:shd w:val="clear" w:color="auto" w:fill="auto"/>
            <w:noWrap/>
            <w:hideMark/>
          </w:tcPr>
          <w:p w14:paraId="0098E44B" w14:textId="69F62CC9" w:rsidR="00485FDA" w:rsidRPr="00C7392E" w:rsidRDefault="00454AD8" w:rsidP="00485FDA">
            <w:pPr>
              <w:spacing w:after="0" w:line="240" w:lineRule="auto"/>
              <w:jc w:val="both"/>
              <w:rPr>
                <w:rFonts w:ascii="Times New Roman" w:eastAsia="Times New Roman" w:hAnsi="Times New Roman" w:cs="Times New Roman"/>
                <w:i/>
                <w:sz w:val="20"/>
                <w:szCs w:val="20"/>
                <w:lang w:val="fr-BE" w:eastAsia="fr-BE"/>
              </w:rPr>
            </w:pPr>
            <w:proofErr w:type="spellStart"/>
            <w:r w:rsidRPr="00C7392E">
              <w:rPr>
                <w:rFonts w:ascii="Times New Roman" w:eastAsia="Times New Roman" w:hAnsi="Times New Roman" w:cs="Times New Roman"/>
                <w:i/>
                <w:sz w:val="20"/>
                <w:szCs w:val="20"/>
                <w:lang w:val="fr-BE" w:eastAsia="fr-BE"/>
              </w:rPr>
              <w:t>M</w:t>
            </w:r>
            <w:r w:rsidR="00485FDA" w:rsidRPr="00C7392E">
              <w:rPr>
                <w:rFonts w:ascii="Times New Roman" w:eastAsia="Times New Roman" w:hAnsi="Times New Roman" w:cs="Times New Roman"/>
                <w:i/>
                <w:sz w:val="20"/>
                <w:szCs w:val="20"/>
                <w:lang w:val="fr-BE" w:eastAsia="fr-BE"/>
              </w:rPr>
              <w:t>odv</w:t>
            </w:r>
            <w:proofErr w:type="spellEnd"/>
          </w:p>
        </w:tc>
        <w:tc>
          <w:tcPr>
            <w:tcW w:w="4536" w:type="dxa"/>
            <w:tcBorders>
              <w:top w:val="nil"/>
              <w:left w:val="nil"/>
              <w:bottom w:val="single" w:sz="4" w:space="0" w:color="auto"/>
              <w:right w:val="nil"/>
            </w:tcBorders>
            <w:shd w:val="clear" w:color="auto" w:fill="auto"/>
            <w:noWrap/>
            <w:hideMark/>
          </w:tcPr>
          <w:p w14:paraId="047ABC2F" w14:textId="77777777" w:rsidR="00485FDA" w:rsidRPr="00C82EE1" w:rsidRDefault="00485FDA" w:rsidP="00485FDA">
            <w:pPr>
              <w:spacing w:after="0" w:line="240" w:lineRule="auto"/>
              <w:jc w:val="both"/>
              <w:rPr>
                <w:rFonts w:ascii="Times New Roman" w:eastAsia="Times New Roman" w:hAnsi="Times New Roman" w:cs="Times New Roman"/>
                <w:sz w:val="20"/>
                <w:szCs w:val="20"/>
                <w:lang w:val="fr-BE" w:eastAsia="fr-BE"/>
              </w:rPr>
            </w:pPr>
            <w:r w:rsidRPr="00C82EE1">
              <w:rPr>
                <w:rFonts w:ascii="Times New Roman" w:eastAsia="Times New Roman" w:hAnsi="Times New Roman" w:cs="Times New Roman"/>
                <w:sz w:val="20"/>
                <w:szCs w:val="20"/>
                <w:lang w:val="fr-BE" w:eastAsia="fr-BE"/>
              </w:rPr>
              <w:t>Modifier variation</w:t>
            </w:r>
          </w:p>
        </w:tc>
        <w:tc>
          <w:tcPr>
            <w:tcW w:w="8789" w:type="dxa"/>
            <w:tcBorders>
              <w:top w:val="nil"/>
              <w:left w:val="nil"/>
              <w:bottom w:val="single" w:sz="4" w:space="0" w:color="auto"/>
              <w:right w:val="nil"/>
            </w:tcBorders>
            <w:shd w:val="clear" w:color="auto" w:fill="auto"/>
            <w:noWrap/>
            <w:vAlign w:val="center"/>
            <w:hideMark/>
          </w:tcPr>
          <w:p w14:paraId="73920D9F" w14:textId="77777777" w:rsidR="00485FDA" w:rsidRPr="00C82EE1" w:rsidRDefault="00485FDA" w:rsidP="00485FDA">
            <w:pPr>
              <w:spacing w:after="0" w:line="240" w:lineRule="auto"/>
              <w:jc w:val="both"/>
              <w:rPr>
                <w:rFonts w:ascii="Times New Roman" w:eastAsia="Times New Roman" w:hAnsi="Times New Roman" w:cs="Times New Roman"/>
                <w:sz w:val="20"/>
                <w:szCs w:val="20"/>
                <w:lang w:eastAsia="fr-BE"/>
              </w:rPr>
            </w:pPr>
            <w:r w:rsidRPr="00C82EE1">
              <w:rPr>
                <w:rFonts w:ascii="Times New Roman" w:eastAsia="Times New Roman" w:hAnsi="Times New Roman" w:cs="Times New Roman"/>
                <w:sz w:val="20"/>
                <w:szCs w:val="20"/>
                <w:lang w:val="en-GB" w:eastAsia="fr-BE"/>
              </w:rPr>
              <w:t>Total number of lexical words.</w:t>
            </w:r>
          </w:p>
        </w:tc>
      </w:tr>
      <w:tr w:rsidR="00485FDA" w:rsidRPr="00A10973" w14:paraId="1E0D4E19" w14:textId="77777777" w:rsidTr="00485FDA">
        <w:trPr>
          <w:trHeight w:val="57"/>
        </w:trPr>
        <w:tc>
          <w:tcPr>
            <w:tcW w:w="15735" w:type="dxa"/>
            <w:gridSpan w:val="3"/>
            <w:tcBorders>
              <w:top w:val="single" w:sz="4" w:space="0" w:color="auto"/>
              <w:left w:val="nil"/>
              <w:right w:val="nil"/>
            </w:tcBorders>
            <w:shd w:val="clear" w:color="auto" w:fill="auto"/>
            <w:noWrap/>
            <w:vAlign w:val="center"/>
          </w:tcPr>
          <w:p w14:paraId="307BF25B" w14:textId="24DEC050" w:rsidR="00485FDA" w:rsidRPr="00A10973" w:rsidRDefault="00485FDA" w:rsidP="00485FDA">
            <w:pPr>
              <w:spacing w:after="0" w:line="240" w:lineRule="auto"/>
              <w:jc w:val="both"/>
              <w:rPr>
                <w:rFonts w:ascii="Times New Roman" w:eastAsia="Times New Roman" w:hAnsi="Times New Roman" w:cs="Times New Roman"/>
                <w:sz w:val="20"/>
                <w:szCs w:val="24"/>
                <w:lang w:val="en-GB" w:eastAsia="fr-BE"/>
              </w:rPr>
            </w:pPr>
            <w:r w:rsidRPr="00A10973">
              <w:rPr>
                <w:rFonts w:ascii="Times New Roman" w:eastAsia="Times New Roman" w:hAnsi="Times New Roman" w:cs="Times New Roman"/>
                <w:i/>
                <w:iCs/>
                <w:sz w:val="20"/>
                <w:szCs w:val="24"/>
                <w:lang w:val="en-GB" w:eastAsia="fr-BE"/>
              </w:rPr>
              <w:t xml:space="preserve">Notes. </w:t>
            </w:r>
            <w:r w:rsidRPr="00A10973">
              <w:rPr>
                <w:rFonts w:ascii="Times New Roman" w:eastAsia="Times New Roman" w:hAnsi="Times New Roman" w:cs="Times New Roman"/>
                <w:sz w:val="20"/>
                <w:szCs w:val="24"/>
                <w:lang w:val="en-GB" w:eastAsia="fr-BE"/>
              </w:rPr>
              <w:t>This table displays the 25 lexical metrics of complexity from the study of Lu (2012). Measures are separated into three sub</w:t>
            </w:r>
            <w:r w:rsidR="00AF5A16" w:rsidRPr="00A10973">
              <w:rPr>
                <w:rFonts w:ascii="Times New Roman" w:eastAsia="Times New Roman" w:hAnsi="Times New Roman" w:cs="Times New Roman"/>
                <w:sz w:val="20"/>
                <w:szCs w:val="24"/>
                <w:lang w:val="en-GB" w:eastAsia="fr-BE"/>
              </w:rPr>
              <w:t>-</w:t>
            </w:r>
            <w:r w:rsidRPr="00A10973">
              <w:rPr>
                <w:rFonts w:ascii="Times New Roman" w:eastAsia="Times New Roman" w:hAnsi="Times New Roman" w:cs="Times New Roman"/>
                <w:sz w:val="20"/>
                <w:szCs w:val="24"/>
                <w:lang w:val="en-GB" w:eastAsia="fr-BE"/>
              </w:rPr>
              <w:t>constructs representing lexical density, sophistication and diversity.</w:t>
            </w:r>
          </w:p>
        </w:tc>
      </w:tr>
    </w:tbl>
    <w:p w14:paraId="066BC4E5" w14:textId="77777777" w:rsidR="00481D5B" w:rsidRPr="00C82EE1" w:rsidRDefault="00481D5B" w:rsidP="00026FCB">
      <w:pPr>
        <w:jc w:val="both"/>
        <w:rPr>
          <w:rFonts w:ascii="Times New Roman" w:hAnsi="Times New Roman" w:cs="Times New Roman"/>
          <w:sz w:val="24"/>
          <w:szCs w:val="24"/>
          <w:lang w:val="en-GB"/>
        </w:rPr>
        <w:sectPr w:rsidR="00481D5B" w:rsidRPr="00C82EE1" w:rsidSect="00C76A66">
          <w:pgSz w:w="16838" w:h="11906" w:orient="landscape"/>
          <w:pgMar w:top="1418" w:right="1418" w:bottom="1418" w:left="1418" w:header="709" w:footer="709" w:gutter="0"/>
          <w:cols w:space="708"/>
          <w:docGrid w:linePitch="360"/>
        </w:sectPr>
      </w:pPr>
    </w:p>
    <w:p w14:paraId="03F90A25" w14:textId="77777777" w:rsidR="0055278B" w:rsidRPr="0055278B" w:rsidRDefault="0055278B" w:rsidP="00026FCB">
      <w:pPr>
        <w:spacing w:after="0" w:line="360" w:lineRule="auto"/>
        <w:jc w:val="both"/>
        <w:rPr>
          <w:rFonts w:ascii="Times New Roman" w:hAnsi="Times New Roman" w:cs="Times New Roman"/>
          <w:sz w:val="24"/>
          <w:szCs w:val="24"/>
        </w:rPr>
      </w:pPr>
    </w:p>
    <w:tbl>
      <w:tblPr>
        <w:tblW w:w="9214" w:type="dxa"/>
        <w:jc w:val="center"/>
        <w:tblCellMar>
          <w:left w:w="70" w:type="dxa"/>
          <w:right w:w="70" w:type="dxa"/>
        </w:tblCellMar>
        <w:tblLook w:val="04A0" w:firstRow="1" w:lastRow="0" w:firstColumn="1" w:lastColumn="0" w:noHBand="0" w:noVBand="1"/>
      </w:tblPr>
      <w:tblGrid>
        <w:gridCol w:w="4328"/>
        <w:gridCol w:w="4886"/>
      </w:tblGrid>
      <w:tr w:rsidR="00481D5B" w:rsidRPr="00C82EE1" w14:paraId="44AD9A26" w14:textId="77777777" w:rsidTr="00C76A66">
        <w:trPr>
          <w:trHeight w:val="10"/>
          <w:jc w:val="center"/>
        </w:trPr>
        <w:tc>
          <w:tcPr>
            <w:tcW w:w="9214" w:type="dxa"/>
            <w:gridSpan w:val="2"/>
            <w:tcBorders>
              <w:top w:val="nil"/>
              <w:left w:val="nil"/>
              <w:bottom w:val="single" w:sz="4" w:space="0" w:color="auto"/>
              <w:right w:val="nil"/>
            </w:tcBorders>
            <w:shd w:val="clear" w:color="auto" w:fill="auto"/>
            <w:vAlign w:val="bottom"/>
            <w:hideMark/>
          </w:tcPr>
          <w:p w14:paraId="0F9D1149" w14:textId="3A975FA7" w:rsidR="003C73FB" w:rsidRPr="00C82EE1" w:rsidRDefault="00481D5B" w:rsidP="00E223E9">
            <w:pPr>
              <w:spacing w:after="240" w:line="240" w:lineRule="auto"/>
              <w:jc w:val="center"/>
              <w:rPr>
                <w:rFonts w:ascii="Times New Roman" w:eastAsia="Times New Roman" w:hAnsi="Times New Roman" w:cs="Times New Roman"/>
                <w:b/>
                <w:bCs/>
                <w:sz w:val="28"/>
                <w:szCs w:val="19"/>
                <w:lang w:val="en-GB"/>
              </w:rPr>
            </w:pPr>
            <w:r w:rsidRPr="00C82EE1">
              <w:rPr>
                <w:rFonts w:ascii="Times New Roman" w:eastAsia="Times New Roman" w:hAnsi="Times New Roman" w:cs="Times New Roman"/>
                <w:b/>
                <w:sz w:val="28"/>
                <w:szCs w:val="19"/>
                <w:lang w:val="en-GB"/>
              </w:rPr>
              <w:t>Table A2:</w:t>
            </w:r>
            <w:r w:rsidRPr="00C82EE1">
              <w:rPr>
                <w:rFonts w:ascii="Times New Roman" w:eastAsia="Times New Roman" w:hAnsi="Times New Roman" w:cs="Times New Roman"/>
                <w:sz w:val="28"/>
                <w:szCs w:val="19"/>
                <w:lang w:val="en-GB"/>
              </w:rPr>
              <w:t xml:space="preserve"> </w:t>
            </w:r>
            <w:r w:rsidRPr="00C82EE1">
              <w:rPr>
                <w:rFonts w:ascii="Times New Roman" w:eastAsia="Times New Roman" w:hAnsi="Times New Roman" w:cs="Times New Roman"/>
                <w:b/>
                <w:bCs/>
                <w:sz w:val="28"/>
                <w:szCs w:val="19"/>
                <w:lang w:val="en-GB"/>
              </w:rPr>
              <w:t>Vocabulary profiles of two ICO white</w:t>
            </w:r>
            <w:r w:rsidR="008D4C23" w:rsidRPr="00C82EE1">
              <w:rPr>
                <w:rFonts w:ascii="Times New Roman" w:eastAsia="Times New Roman" w:hAnsi="Times New Roman" w:cs="Times New Roman"/>
                <w:b/>
                <w:bCs/>
                <w:sz w:val="28"/>
                <w:szCs w:val="19"/>
                <w:lang w:val="en-GB"/>
              </w:rPr>
              <w:t xml:space="preserve"> </w:t>
            </w:r>
            <w:r w:rsidRPr="00C82EE1">
              <w:rPr>
                <w:rFonts w:ascii="Times New Roman" w:eastAsia="Times New Roman" w:hAnsi="Times New Roman" w:cs="Times New Roman"/>
                <w:b/>
                <w:bCs/>
                <w:sz w:val="28"/>
                <w:szCs w:val="19"/>
                <w:lang w:val="en-GB"/>
              </w:rPr>
              <w:t>papers - 2k &amp; 3k vocabulary examples.</w:t>
            </w:r>
          </w:p>
          <w:p w14:paraId="2BADC6BA" w14:textId="5443F32E" w:rsidR="00485FDA" w:rsidRPr="00C82EE1" w:rsidRDefault="00485FDA" w:rsidP="00485FDA">
            <w:pPr>
              <w:spacing w:after="0" w:line="240" w:lineRule="auto"/>
              <w:jc w:val="center"/>
              <w:rPr>
                <w:rFonts w:ascii="Times New Roman" w:eastAsia="Times New Roman" w:hAnsi="Times New Roman" w:cs="Times New Roman"/>
                <w:sz w:val="19"/>
                <w:szCs w:val="19"/>
                <w:lang w:val="en-GB"/>
              </w:rPr>
            </w:pPr>
          </w:p>
        </w:tc>
      </w:tr>
      <w:tr w:rsidR="00481D5B" w:rsidRPr="00C82EE1" w14:paraId="782314C2" w14:textId="77777777" w:rsidTr="00C76A66">
        <w:trPr>
          <w:trHeight w:val="10"/>
          <w:jc w:val="center"/>
        </w:trPr>
        <w:tc>
          <w:tcPr>
            <w:tcW w:w="4328" w:type="dxa"/>
            <w:tcBorders>
              <w:top w:val="nil"/>
              <w:left w:val="nil"/>
              <w:bottom w:val="single" w:sz="4" w:space="0" w:color="auto"/>
              <w:right w:val="nil"/>
            </w:tcBorders>
            <w:shd w:val="clear" w:color="auto" w:fill="auto"/>
            <w:noWrap/>
            <w:vAlign w:val="bottom"/>
            <w:hideMark/>
          </w:tcPr>
          <w:p w14:paraId="52FF6FB5" w14:textId="77777777" w:rsidR="00481D5B" w:rsidRPr="00C82EE1" w:rsidRDefault="00481D5B" w:rsidP="00026FCB">
            <w:pPr>
              <w:spacing w:after="0" w:line="240" w:lineRule="auto"/>
              <w:jc w:val="both"/>
              <w:rPr>
                <w:rFonts w:ascii="Times New Roman" w:eastAsia="Times New Roman" w:hAnsi="Times New Roman" w:cs="Times New Roman"/>
                <w:i/>
                <w:iCs/>
                <w:sz w:val="18"/>
                <w:szCs w:val="18"/>
                <w:lang w:val="en-GB"/>
              </w:rPr>
            </w:pPr>
            <w:r w:rsidRPr="00C82EE1">
              <w:rPr>
                <w:rFonts w:ascii="Times New Roman" w:eastAsia="Times New Roman" w:hAnsi="Times New Roman" w:cs="Times New Roman"/>
                <w:i/>
                <w:iCs/>
                <w:sz w:val="18"/>
                <w:szCs w:val="18"/>
                <w:lang w:val="en-GB"/>
              </w:rPr>
              <w:t>T1: ICO topic: Creating a liquidity pool for ICO investments</w:t>
            </w:r>
          </w:p>
        </w:tc>
        <w:tc>
          <w:tcPr>
            <w:tcW w:w="4886" w:type="dxa"/>
            <w:tcBorders>
              <w:top w:val="nil"/>
              <w:left w:val="nil"/>
              <w:bottom w:val="single" w:sz="4" w:space="0" w:color="auto"/>
              <w:right w:val="nil"/>
            </w:tcBorders>
            <w:shd w:val="clear" w:color="auto" w:fill="auto"/>
            <w:noWrap/>
            <w:vAlign w:val="bottom"/>
            <w:hideMark/>
          </w:tcPr>
          <w:p w14:paraId="2C6D4CAB" w14:textId="77777777" w:rsidR="00481D5B" w:rsidRPr="00C82EE1" w:rsidRDefault="00481D5B" w:rsidP="00026FCB">
            <w:pPr>
              <w:spacing w:after="0" w:line="240" w:lineRule="auto"/>
              <w:jc w:val="both"/>
              <w:rPr>
                <w:rFonts w:ascii="Times New Roman" w:eastAsia="Times New Roman" w:hAnsi="Times New Roman" w:cs="Times New Roman"/>
                <w:i/>
                <w:iCs/>
                <w:sz w:val="18"/>
                <w:szCs w:val="18"/>
                <w:lang w:val="en-GB"/>
              </w:rPr>
            </w:pPr>
            <w:r w:rsidRPr="00C82EE1">
              <w:rPr>
                <w:rFonts w:ascii="Times New Roman" w:eastAsia="Times New Roman" w:hAnsi="Times New Roman" w:cs="Times New Roman"/>
                <w:i/>
                <w:iCs/>
                <w:sz w:val="18"/>
                <w:szCs w:val="18"/>
                <w:lang w:val="en-GB"/>
              </w:rPr>
              <w:t>T2: ICO topic: Creating an open-source protocol for a decentralized market of coordinated AI services</w:t>
            </w:r>
          </w:p>
        </w:tc>
      </w:tr>
      <w:tr w:rsidR="00481D5B" w:rsidRPr="00C82EE1" w14:paraId="050795FB" w14:textId="77777777" w:rsidTr="00C76A66">
        <w:trPr>
          <w:trHeight w:val="10"/>
          <w:jc w:val="center"/>
        </w:trPr>
        <w:tc>
          <w:tcPr>
            <w:tcW w:w="4328" w:type="dxa"/>
            <w:tcBorders>
              <w:top w:val="nil"/>
              <w:left w:val="nil"/>
              <w:bottom w:val="single" w:sz="4" w:space="0" w:color="auto"/>
              <w:right w:val="nil"/>
            </w:tcBorders>
            <w:shd w:val="clear" w:color="auto" w:fill="auto"/>
            <w:noWrap/>
            <w:vAlign w:val="bottom"/>
            <w:hideMark/>
          </w:tcPr>
          <w:p w14:paraId="74E0521B" w14:textId="77777777" w:rsidR="00481D5B" w:rsidRPr="00C82EE1" w:rsidRDefault="00481D5B" w:rsidP="00026FCB">
            <w:pPr>
              <w:spacing w:after="0" w:line="240" w:lineRule="auto"/>
              <w:jc w:val="both"/>
              <w:rPr>
                <w:rFonts w:ascii="Times New Roman" w:eastAsia="Times New Roman" w:hAnsi="Times New Roman" w:cs="Times New Roman"/>
                <w:i/>
                <w:iCs/>
                <w:sz w:val="18"/>
                <w:szCs w:val="18"/>
                <w:lang w:val="fr-BE"/>
              </w:rPr>
            </w:pPr>
            <w:r w:rsidRPr="00C82EE1">
              <w:rPr>
                <w:rFonts w:ascii="Times New Roman" w:eastAsia="Times New Roman" w:hAnsi="Times New Roman" w:cs="Times New Roman"/>
                <w:i/>
                <w:iCs/>
                <w:sz w:val="18"/>
                <w:szCs w:val="18"/>
                <w:lang w:val="fr-BE"/>
              </w:rPr>
              <w:t xml:space="preserve">Low LC profile </w:t>
            </w:r>
          </w:p>
        </w:tc>
        <w:tc>
          <w:tcPr>
            <w:tcW w:w="4886" w:type="dxa"/>
            <w:tcBorders>
              <w:top w:val="nil"/>
              <w:left w:val="nil"/>
              <w:bottom w:val="single" w:sz="4" w:space="0" w:color="auto"/>
              <w:right w:val="nil"/>
            </w:tcBorders>
            <w:shd w:val="clear" w:color="auto" w:fill="auto"/>
            <w:noWrap/>
            <w:vAlign w:val="bottom"/>
            <w:hideMark/>
          </w:tcPr>
          <w:p w14:paraId="5CBACAEC" w14:textId="4770BE0E" w:rsidR="00481D5B" w:rsidRPr="00C82EE1" w:rsidRDefault="00485FDA" w:rsidP="00026FCB">
            <w:pPr>
              <w:spacing w:after="0" w:line="240" w:lineRule="auto"/>
              <w:jc w:val="both"/>
              <w:rPr>
                <w:rFonts w:ascii="Times New Roman" w:eastAsia="Times New Roman" w:hAnsi="Times New Roman" w:cs="Times New Roman"/>
                <w:i/>
                <w:iCs/>
                <w:sz w:val="18"/>
                <w:szCs w:val="18"/>
                <w:lang w:val="fr-BE"/>
              </w:rPr>
            </w:pPr>
            <w:r w:rsidRPr="00C82EE1">
              <w:rPr>
                <w:rFonts w:ascii="Times New Roman" w:eastAsia="Times New Roman" w:hAnsi="Times New Roman" w:cs="Times New Roman"/>
                <w:i/>
                <w:iCs/>
                <w:sz w:val="18"/>
                <w:szCs w:val="18"/>
                <w:lang w:val="fr-BE"/>
              </w:rPr>
              <w:t>L</w:t>
            </w:r>
            <w:r w:rsidR="00481D5B" w:rsidRPr="00C82EE1">
              <w:rPr>
                <w:rFonts w:ascii="Times New Roman" w:eastAsia="Times New Roman" w:hAnsi="Times New Roman" w:cs="Times New Roman"/>
                <w:i/>
                <w:iCs/>
                <w:sz w:val="18"/>
                <w:szCs w:val="18"/>
                <w:lang w:val="fr-BE"/>
              </w:rPr>
              <w:t xml:space="preserve">ow </w:t>
            </w:r>
            <w:proofErr w:type="spellStart"/>
            <w:r w:rsidR="00481D5B" w:rsidRPr="00C82EE1">
              <w:rPr>
                <w:rFonts w:ascii="Times New Roman" w:eastAsia="Times New Roman" w:hAnsi="Times New Roman" w:cs="Times New Roman"/>
                <w:i/>
                <w:iCs/>
                <w:sz w:val="18"/>
                <w:szCs w:val="18"/>
                <w:lang w:val="fr-BE"/>
              </w:rPr>
              <w:t>investment</w:t>
            </w:r>
            <w:proofErr w:type="spellEnd"/>
            <w:r w:rsidR="00481D5B" w:rsidRPr="00C82EE1">
              <w:rPr>
                <w:rFonts w:ascii="Times New Roman" w:eastAsia="Times New Roman" w:hAnsi="Times New Roman" w:cs="Times New Roman"/>
                <w:i/>
                <w:iCs/>
                <w:sz w:val="18"/>
                <w:szCs w:val="18"/>
                <w:lang w:val="fr-BE"/>
              </w:rPr>
              <w:t xml:space="preserve"> </w:t>
            </w:r>
            <w:proofErr w:type="spellStart"/>
            <w:r w:rsidR="00481D5B" w:rsidRPr="00C82EE1">
              <w:rPr>
                <w:rFonts w:ascii="Times New Roman" w:eastAsia="Times New Roman" w:hAnsi="Times New Roman" w:cs="Times New Roman"/>
                <w:i/>
                <w:iCs/>
                <w:sz w:val="18"/>
                <w:szCs w:val="18"/>
                <w:lang w:val="fr-BE"/>
              </w:rPr>
              <w:t>result</w:t>
            </w:r>
            <w:proofErr w:type="spellEnd"/>
          </w:p>
        </w:tc>
      </w:tr>
      <w:tr w:rsidR="00481D5B" w:rsidRPr="00C82EE1" w14:paraId="392809BD" w14:textId="77777777" w:rsidTr="00C76A66">
        <w:trPr>
          <w:trHeight w:val="10"/>
          <w:jc w:val="center"/>
        </w:trPr>
        <w:tc>
          <w:tcPr>
            <w:tcW w:w="4328" w:type="dxa"/>
            <w:tcBorders>
              <w:top w:val="nil"/>
              <w:left w:val="nil"/>
              <w:bottom w:val="single" w:sz="4" w:space="0" w:color="auto"/>
              <w:right w:val="nil"/>
            </w:tcBorders>
            <w:shd w:val="clear" w:color="auto" w:fill="auto"/>
            <w:noWrap/>
            <w:vAlign w:val="bottom"/>
            <w:hideMark/>
          </w:tcPr>
          <w:p w14:paraId="0F117449" w14:textId="77777777" w:rsidR="00481D5B" w:rsidRPr="00C82EE1" w:rsidRDefault="00481D5B" w:rsidP="00026FCB">
            <w:pPr>
              <w:spacing w:after="0" w:line="240" w:lineRule="auto"/>
              <w:jc w:val="both"/>
              <w:rPr>
                <w:rFonts w:ascii="Times New Roman" w:eastAsia="Times New Roman" w:hAnsi="Times New Roman" w:cs="Times New Roman"/>
                <w:b/>
                <w:bCs/>
                <w:sz w:val="18"/>
                <w:szCs w:val="18"/>
                <w:lang w:val="fr-BE"/>
              </w:rPr>
            </w:pPr>
            <w:r w:rsidRPr="00C82EE1">
              <w:rPr>
                <w:rFonts w:ascii="Times New Roman" w:eastAsia="Times New Roman" w:hAnsi="Times New Roman" w:cs="Times New Roman"/>
                <w:b/>
                <w:bCs/>
                <w:sz w:val="18"/>
                <w:szCs w:val="18"/>
                <w:lang w:val="fr-BE"/>
              </w:rPr>
              <w:t xml:space="preserve">2k </w:t>
            </w:r>
            <w:proofErr w:type="spellStart"/>
            <w:r w:rsidRPr="00C82EE1">
              <w:rPr>
                <w:rFonts w:ascii="Times New Roman" w:eastAsia="Times New Roman" w:hAnsi="Times New Roman" w:cs="Times New Roman"/>
                <w:b/>
                <w:bCs/>
                <w:sz w:val="18"/>
                <w:szCs w:val="18"/>
                <w:lang w:val="fr-BE"/>
              </w:rPr>
              <w:t>words</w:t>
            </w:r>
            <w:proofErr w:type="spellEnd"/>
          </w:p>
        </w:tc>
        <w:tc>
          <w:tcPr>
            <w:tcW w:w="4886" w:type="dxa"/>
            <w:tcBorders>
              <w:top w:val="nil"/>
              <w:left w:val="nil"/>
              <w:bottom w:val="single" w:sz="4" w:space="0" w:color="auto"/>
              <w:right w:val="nil"/>
            </w:tcBorders>
            <w:shd w:val="clear" w:color="auto" w:fill="auto"/>
            <w:noWrap/>
            <w:vAlign w:val="bottom"/>
            <w:hideMark/>
          </w:tcPr>
          <w:p w14:paraId="2BA6CD8B" w14:textId="77777777" w:rsidR="00481D5B" w:rsidRPr="00C82EE1" w:rsidRDefault="00481D5B" w:rsidP="00026FCB">
            <w:pPr>
              <w:spacing w:after="0" w:line="240" w:lineRule="auto"/>
              <w:jc w:val="both"/>
              <w:rPr>
                <w:rFonts w:ascii="Times New Roman" w:eastAsia="Times New Roman" w:hAnsi="Times New Roman" w:cs="Times New Roman"/>
                <w:b/>
                <w:bCs/>
                <w:sz w:val="18"/>
                <w:szCs w:val="18"/>
                <w:lang w:val="fr-BE"/>
              </w:rPr>
            </w:pPr>
            <w:r w:rsidRPr="00C82EE1">
              <w:rPr>
                <w:rFonts w:ascii="Times New Roman" w:eastAsia="Times New Roman" w:hAnsi="Times New Roman" w:cs="Times New Roman"/>
                <w:b/>
                <w:bCs/>
                <w:sz w:val="18"/>
                <w:szCs w:val="18"/>
                <w:lang w:val="fr-BE"/>
              </w:rPr>
              <w:t xml:space="preserve">2k </w:t>
            </w:r>
            <w:proofErr w:type="spellStart"/>
            <w:r w:rsidRPr="00C82EE1">
              <w:rPr>
                <w:rFonts w:ascii="Times New Roman" w:eastAsia="Times New Roman" w:hAnsi="Times New Roman" w:cs="Times New Roman"/>
                <w:b/>
                <w:bCs/>
                <w:sz w:val="18"/>
                <w:szCs w:val="18"/>
                <w:lang w:val="fr-BE"/>
              </w:rPr>
              <w:t>words</w:t>
            </w:r>
            <w:proofErr w:type="spellEnd"/>
          </w:p>
        </w:tc>
      </w:tr>
      <w:tr w:rsidR="00481D5B" w:rsidRPr="00C82EE1" w14:paraId="2FD37030" w14:textId="77777777" w:rsidTr="00C76A66">
        <w:trPr>
          <w:trHeight w:val="10"/>
          <w:jc w:val="center"/>
        </w:trPr>
        <w:tc>
          <w:tcPr>
            <w:tcW w:w="4328" w:type="dxa"/>
            <w:tcBorders>
              <w:top w:val="nil"/>
              <w:left w:val="nil"/>
              <w:bottom w:val="single" w:sz="4" w:space="0" w:color="auto"/>
              <w:right w:val="nil"/>
            </w:tcBorders>
            <w:shd w:val="clear" w:color="auto" w:fill="auto"/>
            <w:noWrap/>
            <w:vAlign w:val="bottom"/>
            <w:hideMark/>
          </w:tcPr>
          <w:p w14:paraId="500A72FF" w14:textId="77777777" w:rsidR="00481D5B" w:rsidRPr="00C82EE1" w:rsidRDefault="00481D5B" w:rsidP="00026FCB">
            <w:pPr>
              <w:spacing w:after="0" w:line="240" w:lineRule="auto"/>
              <w:jc w:val="both"/>
              <w:rPr>
                <w:rFonts w:ascii="Times New Roman" w:eastAsia="Times New Roman" w:hAnsi="Times New Roman" w:cs="Times New Roman"/>
                <w:i/>
                <w:iCs/>
                <w:sz w:val="18"/>
                <w:szCs w:val="18"/>
                <w:lang w:val="en-GB"/>
              </w:rPr>
            </w:pPr>
            <w:r w:rsidRPr="00C82EE1">
              <w:rPr>
                <w:rFonts w:ascii="Times New Roman" w:eastAsia="Times New Roman" w:hAnsi="Times New Roman" w:cs="Times New Roman"/>
                <w:i/>
                <w:iCs/>
                <w:sz w:val="18"/>
                <w:szCs w:val="18"/>
                <w:lang w:val="en-GB"/>
              </w:rPr>
              <w:t>advanced, announced, available, basis, cash, community, compared, conditions, contracts, created, creating, creation, delivery, destroyed, development, economy, email, entire, exchanges, existence, finance, flows, funded, funds, future, grade, including, income, increase, increased, increasing, instructions, loss, models, official, operation, performed, period, pool, preventing, prevents, process, professional, project, provide, provider, provides, quoting, reserve, risk, sale, smart, speed, spreads, stable, traded, trading, traditional, value, various</w:t>
            </w:r>
          </w:p>
        </w:tc>
        <w:tc>
          <w:tcPr>
            <w:tcW w:w="4886" w:type="dxa"/>
            <w:tcBorders>
              <w:top w:val="nil"/>
              <w:left w:val="nil"/>
              <w:bottom w:val="single" w:sz="4" w:space="0" w:color="auto"/>
              <w:right w:val="nil"/>
            </w:tcBorders>
            <w:shd w:val="clear" w:color="auto" w:fill="auto"/>
            <w:noWrap/>
            <w:vAlign w:val="bottom"/>
            <w:hideMark/>
          </w:tcPr>
          <w:p w14:paraId="3BEA8A96" w14:textId="77777777" w:rsidR="00481D5B" w:rsidRPr="00C82EE1" w:rsidRDefault="00481D5B" w:rsidP="00026FCB">
            <w:pPr>
              <w:spacing w:after="0" w:line="240" w:lineRule="auto"/>
              <w:jc w:val="both"/>
              <w:rPr>
                <w:rFonts w:ascii="Times New Roman" w:eastAsia="Times New Roman" w:hAnsi="Times New Roman" w:cs="Times New Roman"/>
                <w:i/>
                <w:iCs/>
                <w:sz w:val="18"/>
                <w:szCs w:val="18"/>
                <w:lang w:val="en-GB"/>
              </w:rPr>
            </w:pPr>
            <w:r w:rsidRPr="00C82EE1">
              <w:rPr>
                <w:rFonts w:ascii="Times New Roman" w:eastAsia="Times New Roman" w:hAnsi="Times New Roman" w:cs="Times New Roman"/>
                <w:i/>
                <w:iCs/>
                <w:sz w:val="18"/>
                <w:szCs w:val="18"/>
                <w:lang w:val="en-GB"/>
              </w:rPr>
              <w:t>access, accessed, accessible, according, activities, adaptive, advanced, advances, advised, agent, agents, applications, armies, availability, benefit, benefits, brain, broad, broadly, capabilities, capability, challenges, clever, cloud, combination, community, conditions, connect, connected, containing, contract, contracts, create, created, creating, creation, creations, creators, current, currently, customers, decision, decisions, delivering, demand, design, designed, detailed, developers, developing, development, directing, economic, economies, economy, effort, efforts, encourages, encouraging, engage, engineering, eventual, exchange, exist, existing, financial, firm, future, generation, giants, goals, hire, hiring, include, including, increasing, increasingly, individuals, intended, internet, legal, manner, match, minor, model, operate, operation, operational, operations, ordinary, organization, organizations, organizing, partners, path, percentage, pool, positive, practical, practice, prevent, privacy, private, process, produce, products, professionals, project, projects, provide, provides, providing, purchase, purely, rapidly, rarely, recovery, reducing, regarding, require, requirements, researchers, respecting, respects, results, role, sales, scalable, scales, series, shelf, similar, skills, smart, smooth, society, species, specific, standard, successful, successfully, supply, tech, technological, technologies, technology, tool, tools, valuable, varying</w:t>
            </w:r>
          </w:p>
        </w:tc>
      </w:tr>
      <w:tr w:rsidR="00481D5B" w:rsidRPr="00C82EE1" w14:paraId="6F5E42A2" w14:textId="77777777" w:rsidTr="00C76A66">
        <w:trPr>
          <w:trHeight w:val="10"/>
          <w:jc w:val="center"/>
        </w:trPr>
        <w:tc>
          <w:tcPr>
            <w:tcW w:w="4328" w:type="dxa"/>
            <w:tcBorders>
              <w:top w:val="nil"/>
              <w:left w:val="nil"/>
              <w:bottom w:val="single" w:sz="4" w:space="0" w:color="auto"/>
              <w:right w:val="nil"/>
            </w:tcBorders>
            <w:shd w:val="clear" w:color="auto" w:fill="auto"/>
            <w:noWrap/>
            <w:vAlign w:val="bottom"/>
            <w:hideMark/>
          </w:tcPr>
          <w:p w14:paraId="5D83B727" w14:textId="77777777" w:rsidR="00481D5B" w:rsidRPr="00C82EE1" w:rsidRDefault="00481D5B" w:rsidP="00026FCB">
            <w:pPr>
              <w:spacing w:after="0" w:line="240" w:lineRule="auto"/>
              <w:jc w:val="both"/>
              <w:rPr>
                <w:rFonts w:ascii="Times New Roman" w:eastAsia="Times New Roman" w:hAnsi="Times New Roman" w:cs="Times New Roman"/>
                <w:b/>
                <w:bCs/>
                <w:i/>
                <w:iCs/>
                <w:sz w:val="18"/>
                <w:szCs w:val="18"/>
                <w:lang w:val="fr-BE"/>
              </w:rPr>
            </w:pPr>
            <w:r w:rsidRPr="00C82EE1">
              <w:rPr>
                <w:rFonts w:ascii="Times New Roman" w:eastAsia="Times New Roman" w:hAnsi="Times New Roman" w:cs="Times New Roman"/>
                <w:b/>
                <w:bCs/>
                <w:i/>
                <w:iCs/>
                <w:sz w:val="18"/>
                <w:szCs w:val="18"/>
                <w:lang w:val="fr-BE"/>
              </w:rPr>
              <w:t xml:space="preserve">3k </w:t>
            </w:r>
            <w:proofErr w:type="spellStart"/>
            <w:r w:rsidRPr="00C82EE1">
              <w:rPr>
                <w:rFonts w:ascii="Times New Roman" w:eastAsia="Times New Roman" w:hAnsi="Times New Roman" w:cs="Times New Roman"/>
                <w:b/>
                <w:bCs/>
                <w:i/>
                <w:iCs/>
                <w:sz w:val="18"/>
                <w:szCs w:val="18"/>
                <w:lang w:val="fr-BE"/>
              </w:rPr>
              <w:t>words</w:t>
            </w:r>
            <w:proofErr w:type="spellEnd"/>
          </w:p>
        </w:tc>
        <w:tc>
          <w:tcPr>
            <w:tcW w:w="4886" w:type="dxa"/>
            <w:tcBorders>
              <w:top w:val="nil"/>
              <w:left w:val="nil"/>
              <w:bottom w:val="single" w:sz="4" w:space="0" w:color="auto"/>
              <w:right w:val="nil"/>
            </w:tcBorders>
            <w:shd w:val="clear" w:color="auto" w:fill="auto"/>
            <w:noWrap/>
            <w:vAlign w:val="bottom"/>
            <w:hideMark/>
          </w:tcPr>
          <w:p w14:paraId="21164B94" w14:textId="77777777" w:rsidR="00481D5B" w:rsidRPr="00C82EE1" w:rsidRDefault="00481D5B" w:rsidP="00026FCB">
            <w:pPr>
              <w:spacing w:after="0" w:line="240" w:lineRule="auto"/>
              <w:jc w:val="both"/>
              <w:rPr>
                <w:rFonts w:ascii="Times New Roman" w:eastAsia="Times New Roman" w:hAnsi="Times New Roman" w:cs="Times New Roman"/>
                <w:b/>
                <w:bCs/>
                <w:i/>
                <w:iCs/>
                <w:sz w:val="18"/>
                <w:szCs w:val="18"/>
                <w:lang w:val="fr-BE"/>
              </w:rPr>
            </w:pPr>
            <w:r w:rsidRPr="00C82EE1">
              <w:rPr>
                <w:rFonts w:ascii="Times New Roman" w:eastAsia="Times New Roman" w:hAnsi="Times New Roman" w:cs="Times New Roman"/>
                <w:b/>
                <w:bCs/>
                <w:i/>
                <w:iCs/>
                <w:sz w:val="18"/>
                <w:szCs w:val="18"/>
                <w:lang w:val="fr-BE"/>
              </w:rPr>
              <w:t xml:space="preserve">3k </w:t>
            </w:r>
            <w:proofErr w:type="spellStart"/>
            <w:r w:rsidRPr="00C82EE1">
              <w:rPr>
                <w:rFonts w:ascii="Times New Roman" w:eastAsia="Times New Roman" w:hAnsi="Times New Roman" w:cs="Times New Roman"/>
                <w:b/>
                <w:bCs/>
                <w:i/>
                <w:iCs/>
                <w:sz w:val="18"/>
                <w:szCs w:val="18"/>
                <w:lang w:val="fr-BE"/>
              </w:rPr>
              <w:t>words</w:t>
            </w:r>
            <w:proofErr w:type="spellEnd"/>
          </w:p>
        </w:tc>
      </w:tr>
      <w:tr w:rsidR="00481D5B" w:rsidRPr="00C82EE1" w14:paraId="7124F9C0" w14:textId="77777777" w:rsidTr="00C76A66">
        <w:trPr>
          <w:trHeight w:val="10"/>
          <w:jc w:val="center"/>
        </w:trPr>
        <w:tc>
          <w:tcPr>
            <w:tcW w:w="4328" w:type="dxa"/>
            <w:tcBorders>
              <w:top w:val="nil"/>
              <w:left w:val="nil"/>
              <w:bottom w:val="single" w:sz="4" w:space="0" w:color="auto"/>
              <w:right w:val="nil"/>
            </w:tcBorders>
            <w:shd w:val="clear" w:color="auto" w:fill="auto"/>
            <w:noWrap/>
            <w:vAlign w:val="bottom"/>
            <w:hideMark/>
          </w:tcPr>
          <w:p w14:paraId="0E2F20D7" w14:textId="77777777" w:rsidR="00481D5B" w:rsidRPr="00C82EE1" w:rsidRDefault="00481D5B" w:rsidP="00026FCB">
            <w:pPr>
              <w:spacing w:after="0" w:line="240" w:lineRule="auto"/>
              <w:jc w:val="both"/>
              <w:rPr>
                <w:rFonts w:ascii="Times New Roman" w:eastAsia="Times New Roman" w:hAnsi="Times New Roman" w:cs="Times New Roman"/>
                <w:i/>
                <w:iCs/>
                <w:sz w:val="18"/>
                <w:szCs w:val="18"/>
                <w:lang w:val="en-GB"/>
              </w:rPr>
            </w:pPr>
            <w:r w:rsidRPr="00C82EE1">
              <w:rPr>
                <w:rFonts w:ascii="Times New Roman" w:eastAsia="Times New Roman" w:hAnsi="Times New Roman" w:cs="Times New Roman"/>
                <w:i/>
                <w:iCs/>
                <w:sz w:val="18"/>
                <w:szCs w:val="18"/>
                <w:lang w:val="en-GB"/>
              </w:rPr>
              <w:t>achieved, adopters, aim, asset, assets, boost, currencies, currency, data, decrease, destruction, digital, distributed, effective, efficient, executed, generated, injected, institutional, investors, liquid, liquidity, modified, network, participate, potential, profiles, promote, published, relatively, revolution, source, specified, transaction</w:t>
            </w:r>
          </w:p>
        </w:tc>
        <w:tc>
          <w:tcPr>
            <w:tcW w:w="4886" w:type="dxa"/>
            <w:tcBorders>
              <w:top w:val="nil"/>
              <w:left w:val="nil"/>
              <w:bottom w:val="single" w:sz="4" w:space="0" w:color="auto"/>
              <w:right w:val="nil"/>
            </w:tcBorders>
            <w:shd w:val="clear" w:color="auto" w:fill="auto"/>
            <w:noWrap/>
            <w:vAlign w:val="bottom"/>
            <w:hideMark/>
          </w:tcPr>
          <w:p w14:paraId="410B7F71" w14:textId="77777777" w:rsidR="00481D5B" w:rsidRPr="00C82EE1" w:rsidRDefault="00481D5B" w:rsidP="00026FCB">
            <w:pPr>
              <w:spacing w:after="0" w:line="240" w:lineRule="auto"/>
              <w:jc w:val="both"/>
              <w:rPr>
                <w:rFonts w:ascii="Times New Roman" w:eastAsia="Times New Roman" w:hAnsi="Times New Roman" w:cs="Times New Roman"/>
                <w:i/>
                <w:iCs/>
                <w:sz w:val="18"/>
                <w:szCs w:val="18"/>
                <w:lang w:val="en-GB"/>
              </w:rPr>
            </w:pPr>
            <w:r w:rsidRPr="00C82EE1">
              <w:rPr>
                <w:rFonts w:ascii="Times New Roman" w:eastAsia="Times New Roman" w:hAnsi="Times New Roman" w:cs="Times New Roman"/>
                <w:i/>
                <w:iCs/>
                <w:sz w:val="18"/>
                <w:szCs w:val="18"/>
                <w:lang w:val="en-GB"/>
              </w:rPr>
              <w:t xml:space="preserve">abuse, academics, accelerate, accelerating, agencies, agency, analysis, appropriate, architecture, </w:t>
            </w:r>
            <w:proofErr w:type="spellStart"/>
            <w:r w:rsidRPr="00C82EE1">
              <w:rPr>
                <w:rFonts w:ascii="Times New Roman" w:eastAsia="Times New Roman" w:hAnsi="Times New Roman" w:cs="Times New Roman"/>
                <w:i/>
                <w:iCs/>
                <w:sz w:val="18"/>
                <w:szCs w:val="18"/>
                <w:lang w:val="en-GB"/>
              </w:rPr>
              <w:t>behavior</w:t>
            </w:r>
            <w:proofErr w:type="spellEnd"/>
            <w:r w:rsidRPr="00C82EE1">
              <w:rPr>
                <w:rFonts w:ascii="Times New Roman" w:eastAsia="Times New Roman" w:hAnsi="Times New Roman" w:cs="Times New Roman"/>
                <w:i/>
                <w:iCs/>
                <w:sz w:val="18"/>
                <w:szCs w:val="18"/>
                <w:lang w:val="en-GB"/>
              </w:rPr>
              <w:t xml:space="preserve">, chairman, characteristics, code, collaboration, complexity, concept, concepts, conceptualize, consultancy, consulting, contemporary, context, cooperative, core, corporation, corporations, critical, critically, custom, data, decades, democratic, democratically, democratizing, device, devices, digital, distinguished, distributed, dominant, effectively, efficient, emergence, emergent, emerging, emphasizes, enable, enabled, enabling, ensure, essentially, estimate, evolve, evolves, executive, expert, experts, explicitly, external, facilitate, factor, failure, flexible, formal, foster, fostering, foundation, founders, founding, framework, </w:t>
            </w:r>
            <w:proofErr w:type="spellStart"/>
            <w:r w:rsidRPr="00C82EE1">
              <w:rPr>
                <w:rFonts w:ascii="Times New Roman" w:eastAsia="Times New Roman" w:hAnsi="Times New Roman" w:cs="Times New Roman"/>
                <w:i/>
                <w:iCs/>
                <w:sz w:val="18"/>
                <w:szCs w:val="18"/>
                <w:lang w:val="en-GB"/>
              </w:rPr>
              <w:t>fulfill</w:t>
            </w:r>
            <w:proofErr w:type="spellEnd"/>
            <w:r w:rsidRPr="00C82EE1">
              <w:rPr>
                <w:rFonts w:ascii="Times New Roman" w:eastAsia="Times New Roman" w:hAnsi="Times New Roman" w:cs="Times New Roman"/>
                <w:i/>
                <w:iCs/>
                <w:sz w:val="18"/>
                <w:szCs w:val="18"/>
                <w:lang w:val="en-GB"/>
              </w:rPr>
              <w:t xml:space="preserve">, generate, global, goods, grad, gravity, host, hostile, incorporated, independent, initial, initiatives, insert, insertion, inspiration, inspired, install, institutions, intelligence, interact, interaction, interactions, launches, launching, logic, mechanism, mechanisms, methods, mode, modifying, modularity, monitored, monitoring, multiple, network, </w:t>
            </w:r>
            <w:proofErr w:type="spellStart"/>
            <w:r w:rsidRPr="00C82EE1">
              <w:rPr>
                <w:rFonts w:ascii="Times New Roman" w:eastAsia="Times New Roman" w:hAnsi="Times New Roman" w:cs="Times New Roman"/>
                <w:i/>
                <w:iCs/>
                <w:sz w:val="18"/>
                <w:szCs w:val="18"/>
                <w:lang w:val="en-GB"/>
              </w:rPr>
              <w:t>nonprofit</w:t>
            </w:r>
            <w:proofErr w:type="spellEnd"/>
            <w:r w:rsidRPr="00C82EE1">
              <w:rPr>
                <w:rFonts w:ascii="Times New Roman" w:eastAsia="Times New Roman" w:hAnsi="Times New Roman" w:cs="Times New Roman"/>
                <w:i/>
                <w:iCs/>
                <w:sz w:val="18"/>
                <w:szCs w:val="18"/>
                <w:lang w:val="en-GB"/>
              </w:rPr>
              <w:t>, novel, numerous, obtain, organic, phases, platform, potential, principles, prior, profit, pursues, radically, regulated, regulating, request, resource, significant, software, solely, solution, solutions, sophisticated, source, sovereignty, structure, structures, sufficient, supervising, supervisory, task, tasks, theoretical, theory, transaction, transactions, transition, undertaking, unprecedented, via, vision</w:t>
            </w:r>
          </w:p>
        </w:tc>
      </w:tr>
      <w:tr w:rsidR="00481D5B" w:rsidRPr="00C82EE1" w14:paraId="11F79CBD" w14:textId="77777777" w:rsidTr="00C76A66">
        <w:trPr>
          <w:trHeight w:val="145"/>
          <w:jc w:val="center"/>
        </w:trPr>
        <w:tc>
          <w:tcPr>
            <w:tcW w:w="9214" w:type="dxa"/>
            <w:gridSpan w:val="2"/>
            <w:tcBorders>
              <w:top w:val="single" w:sz="4" w:space="0" w:color="auto"/>
              <w:left w:val="nil"/>
              <w:bottom w:val="nil"/>
              <w:right w:val="nil"/>
            </w:tcBorders>
            <w:shd w:val="clear" w:color="auto" w:fill="auto"/>
            <w:noWrap/>
            <w:vAlign w:val="bottom"/>
            <w:hideMark/>
          </w:tcPr>
          <w:p w14:paraId="328E2393" w14:textId="77777777" w:rsidR="00481D5B" w:rsidRPr="00C82EE1" w:rsidRDefault="00481D5B" w:rsidP="00026FCB">
            <w:pPr>
              <w:spacing w:after="0" w:line="240" w:lineRule="auto"/>
              <w:jc w:val="both"/>
              <w:rPr>
                <w:rFonts w:ascii="Times New Roman" w:eastAsia="Times New Roman" w:hAnsi="Times New Roman" w:cs="Times New Roman"/>
                <w:sz w:val="19"/>
                <w:szCs w:val="19"/>
                <w:lang w:val="en-GB"/>
              </w:rPr>
            </w:pPr>
            <w:r w:rsidRPr="00C82EE1">
              <w:rPr>
                <w:rFonts w:ascii="Times New Roman" w:eastAsia="Times New Roman" w:hAnsi="Times New Roman" w:cs="Times New Roman"/>
                <w:i/>
                <w:iCs/>
                <w:sz w:val="20"/>
                <w:szCs w:val="19"/>
                <w:lang w:val="en-GB"/>
              </w:rPr>
              <w:t xml:space="preserve">Notes. </w:t>
            </w:r>
            <w:r w:rsidRPr="00C82EE1">
              <w:rPr>
                <w:rFonts w:ascii="Times New Roman" w:eastAsia="Times New Roman" w:hAnsi="Times New Roman" w:cs="Times New Roman"/>
                <w:sz w:val="20"/>
                <w:szCs w:val="19"/>
                <w:lang w:val="en-GB"/>
              </w:rPr>
              <w:t>This table displays the different vocabulary profiles for a white paper with a low-level of LC compared with a high-level of LC.</w:t>
            </w:r>
          </w:p>
        </w:tc>
      </w:tr>
    </w:tbl>
    <w:p w14:paraId="10C14327" w14:textId="77777777" w:rsidR="0093472B" w:rsidRPr="00C82EE1" w:rsidRDefault="0093472B" w:rsidP="00026FCB">
      <w:pPr>
        <w:jc w:val="both"/>
        <w:rPr>
          <w:rFonts w:ascii="Times New Roman" w:eastAsia="Times New Roman" w:hAnsi="Times New Roman" w:cs="Times New Roman"/>
          <w:sz w:val="24"/>
          <w:szCs w:val="24"/>
          <w:lang w:eastAsia="fr-BE"/>
        </w:rPr>
        <w:sectPr w:rsidR="0093472B" w:rsidRPr="00C82EE1" w:rsidSect="00C76A66">
          <w:pgSz w:w="11906" w:h="16838"/>
          <w:pgMar w:top="1417" w:right="1417" w:bottom="1417" w:left="1417" w:header="708" w:footer="708" w:gutter="0"/>
          <w:cols w:space="708"/>
          <w:docGrid w:linePitch="360"/>
        </w:sectPr>
      </w:pPr>
    </w:p>
    <w:p w14:paraId="1DDCDE66" w14:textId="3D4CA1B5" w:rsidR="0093472B" w:rsidRPr="00C82EE1" w:rsidRDefault="0093472B" w:rsidP="00485FDA">
      <w:pPr>
        <w:spacing w:after="0" w:line="360" w:lineRule="auto"/>
        <w:rPr>
          <w:rFonts w:ascii="Times New Roman" w:eastAsia="Times New Roman" w:hAnsi="Times New Roman" w:cs="Times New Roman"/>
          <w:sz w:val="40"/>
          <w:szCs w:val="24"/>
          <w:lang w:eastAsia="fr-BE"/>
        </w:rPr>
      </w:pPr>
    </w:p>
    <w:tbl>
      <w:tblPr>
        <w:tblW w:w="16108" w:type="dxa"/>
        <w:jc w:val="center"/>
        <w:tblLook w:val="04A0" w:firstRow="1" w:lastRow="0" w:firstColumn="1" w:lastColumn="0" w:noHBand="0" w:noVBand="1"/>
      </w:tblPr>
      <w:tblGrid>
        <w:gridCol w:w="2410"/>
        <w:gridCol w:w="966"/>
        <w:gridCol w:w="1184"/>
        <w:gridCol w:w="1184"/>
        <w:gridCol w:w="1183"/>
        <w:gridCol w:w="1183"/>
        <w:gridCol w:w="1183"/>
        <w:gridCol w:w="1183"/>
        <w:gridCol w:w="1183"/>
        <w:gridCol w:w="1183"/>
        <w:gridCol w:w="1183"/>
        <w:gridCol w:w="1183"/>
        <w:gridCol w:w="1183"/>
      </w:tblGrid>
      <w:tr w:rsidR="0093472B" w:rsidRPr="00C82EE1" w14:paraId="115A8FFF" w14:textId="77777777" w:rsidTr="00485FDA">
        <w:trPr>
          <w:trHeight w:val="113"/>
          <w:jc w:val="center"/>
        </w:trPr>
        <w:tc>
          <w:tcPr>
            <w:tcW w:w="16108" w:type="dxa"/>
            <w:gridSpan w:val="13"/>
            <w:tcBorders>
              <w:top w:val="nil"/>
              <w:left w:val="nil"/>
              <w:bottom w:val="single" w:sz="4" w:space="0" w:color="auto"/>
              <w:right w:val="nil"/>
            </w:tcBorders>
            <w:shd w:val="clear" w:color="auto" w:fill="auto"/>
            <w:noWrap/>
            <w:vAlign w:val="bottom"/>
            <w:hideMark/>
          </w:tcPr>
          <w:p w14:paraId="6BC9ECC5" w14:textId="045B126C" w:rsidR="003C73FB" w:rsidRPr="00C82EE1" w:rsidRDefault="0093472B" w:rsidP="00E223E9">
            <w:pPr>
              <w:spacing w:after="240" w:line="240" w:lineRule="auto"/>
              <w:jc w:val="center"/>
              <w:rPr>
                <w:rFonts w:ascii="Times New Roman" w:eastAsia="Times New Roman" w:hAnsi="Times New Roman" w:cs="Times New Roman"/>
                <w:b/>
                <w:bCs/>
                <w:color w:val="000000"/>
                <w:sz w:val="28"/>
                <w:szCs w:val="24"/>
              </w:rPr>
            </w:pPr>
            <w:r w:rsidRPr="00C82EE1">
              <w:rPr>
                <w:rFonts w:ascii="Times New Roman" w:eastAsia="Times New Roman" w:hAnsi="Times New Roman" w:cs="Times New Roman"/>
                <w:b/>
                <w:bCs/>
                <w:color w:val="000000"/>
                <w:sz w:val="28"/>
                <w:szCs w:val="24"/>
              </w:rPr>
              <w:t>Table A3: Correlations table</w:t>
            </w:r>
            <w:r w:rsidR="00A10973">
              <w:rPr>
                <w:rFonts w:ascii="Times New Roman" w:eastAsia="Times New Roman" w:hAnsi="Times New Roman" w:cs="Times New Roman"/>
                <w:b/>
                <w:bCs/>
                <w:color w:val="000000"/>
                <w:sz w:val="28"/>
                <w:szCs w:val="24"/>
              </w:rPr>
              <w:t>.</w:t>
            </w:r>
          </w:p>
          <w:p w14:paraId="0EB35899" w14:textId="6BD63E4D" w:rsidR="00485FDA" w:rsidRPr="00C82EE1" w:rsidRDefault="00485FDA" w:rsidP="00485FDA">
            <w:pPr>
              <w:spacing w:after="0" w:line="240" w:lineRule="auto"/>
              <w:jc w:val="center"/>
              <w:rPr>
                <w:rFonts w:ascii="Times New Roman" w:eastAsia="Times New Roman" w:hAnsi="Times New Roman" w:cs="Times New Roman"/>
                <w:b/>
                <w:bCs/>
                <w:color w:val="000000"/>
                <w:sz w:val="24"/>
                <w:szCs w:val="24"/>
              </w:rPr>
            </w:pPr>
          </w:p>
        </w:tc>
      </w:tr>
      <w:tr w:rsidR="0093472B" w:rsidRPr="00C82EE1" w14:paraId="1BF1C481" w14:textId="77777777" w:rsidTr="00485FDA">
        <w:trPr>
          <w:trHeight w:val="113"/>
          <w:jc w:val="center"/>
        </w:trPr>
        <w:tc>
          <w:tcPr>
            <w:tcW w:w="2410" w:type="dxa"/>
            <w:tcBorders>
              <w:top w:val="nil"/>
              <w:left w:val="nil"/>
              <w:bottom w:val="single" w:sz="4" w:space="0" w:color="auto"/>
              <w:right w:val="nil"/>
            </w:tcBorders>
            <w:shd w:val="clear" w:color="auto" w:fill="auto"/>
            <w:noWrap/>
            <w:vAlign w:val="bottom"/>
            <w:hideMark/>
          </w:tcPr>
          <w:p w14:paraId="5A52D5C5"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Variables</w:t>
            </w:r>
          </w:p>
        </w:tc>
        <w:tc>
          <w:tcPr>
            <w:tcW w:w="683" w:type="dxa"/>
            <w:tcBorders>
              <w:top w:val="nil"/>
              <w:left w:val="nil"/>
              <w:bottom w:val="single" w:sz="4" w:space="0" w:color="auto"/>
              <w:right w:val="nil"/>
            </w:tcBorders>
            <w:shd w:val="clear" w:color="auto" w:fill="auto"/>
            <w:noWrap/>
            <w:vAlign w:val="bottom"/>
            <w:hideMark/>
          </w:tcPr>
          <w:p w14:paraId="36DFBFE2"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w:t>
            </w:r>
          </w:p>
        </w:tc>
        <w:tc>
          <w:tcPr>
            <w:tcW w:w="1184" w:type="dxa"/>
            <w:tcBorders>
              <w:top w:val="nil"/>
              <w:left w:val="nil"/>
              <w:bottom w:val="single" w:sz="4" w:space="0" w:color="auto"/>
              <w:right w:val="nil"/>
            </w:tcBorders>
            <w:shd w:val="clear" w:color="auto" w:fill="auto"/>
            <w:noWrap/>
            <w:vAlign w:val="bottom"/>
            <w:hideMark/>
          </w:tcPr>
          <w:p w14:paraId="40D1085C"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(2)</w:t>
            </w:r>
          </w:p>
        </w:tc>
        <w:tc>
          <w:tcPr>
            <w:tcW w:w="1184" w:type="dxa"/>
            <w:tcBorders>
              <w:top w:val="nil"/>
              <w:left w:val="nil"/>
              <w:bottom w:val="single" w:sz="4" w:space="0" w:color="auto"/>
              <w:right w:val="nil"/>
            </w:tcBorders>
            <w:shd w:val="clear" w:color="auto" w:fill="auto"/>
            <w:noWrap/>
            <w:vAlign w:val="bottom"/>
            <w:hideMark/>
          </w:tcPr>
          <w:p w14:paraId="2E3A814C"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(3)</w:t>
            </w:r>
          </w:p>
        </w:tc>
        <w:tc>
          <w:tcPr>
            <w:tcW w:w="1183" w:type="dxa"/>
            <w:tcBorders>
              <w:top w:val="nil"/>
              <w:left w:val="nil"/>
              <w:bottom w:val="single" w:sz="4" w:space="0" w:color="auto"/>
              <w:right w:val="nil"/>
            </w:tcBorders>
            <w:shd w:val="clear" w:color="auto" w:fill="auto"/>
            <w:noWrap/>
            <w:vAlign w:val="bottom"/>
            <w:hideMark/>
          </w:tcPr>
          <w:p w14:paraId="157F0C37"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(4)</w:t>
            </w:r>
          </w:p>
        </w:tc>
        <w:tc>
          <w:tcPr>
            <w:tcW w:w="1183" w:type="dxa"/>
            <w:tcBorders>
              <w:top w:val="nil"/>
              <w:left w:val="nil"/>
              <w:bottom w:val="single" w:sz="4" w:space="0" w:color="auto"/>
              <w:right w:val="nil"/>
            </w:tcBorders>
            <w:shd w:val="clear" w:color="auto" w:fill="auto"/>
            <w:noWrap/>
            <w:vAlign w:val="bottom"/>
            <w:hideMark/>
          </w:tcPr>
          <w:p w14:paraId="46045805"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(5)</w:t>
            </w:r>
          </w:p>
        </w:tc>
        <w:tc>
          <w:tcPr>
            <w:tcW w:w="1183" w:type="dxa"/>
            <w:tcBorders>
              <w:top w:val="nil"/>
              <w:left w:val="nil"/>
              <w:bottom w:val="single" w:sz="4" w:space="0" w:color="auto"/>
              <w:right w:val="nil"/>
            </w:tcBorders>
            <w:shd w:val="clear" w:color="auto" w:fill="auto"/>
            <w:noWrap/>
            <w:vAlign w:val="bottom"/>
            <w:hideMark/>
          </w:tcPr>
          <w:p w14:paraId="2FB1A0F1"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(6)</w:t>
            </w:r>
          </w:p>
        </w:tc>
        <w:tc>
          <w:tcPr>
            <w:tcW w:w="1183" w:type="dxa"/>
            <w:tcBorders>
              <w:top w:val="nil"/>
              <w:left w:val="nil"/>
              <w:bottom w:val="single" w:sz="4" w:space="0" w:color="auto"/>
              <w:right w:val="nil"/>
            </w:tcBorders>
            <w:shd w:val="clear" w:color="auto" w:fill="auto"/>
            <w:noWrap/>
            <w:vAlign w:val="bottom"/>
            <w:hideMark/>
          </w:tcPr>
          <w:p w14:paraId="4C781152"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(7)</w:t>
            </w:r>
          </w:p>
        </w:tc>
        <w:tc>
          <w:tcPr>
            <w:tcW w:w="1183" w:type="dxa"/>
            <w:tcBorders>
              <w:top w:val="nil"/>
              <w:left w:val="nil"/>
              <w:bottom w:val="single" w:sz="4" w:space="0" w:color="auto"/>
              <w:right w:val="nil"/>
            </w:tcBorders>
            <w:shd w:val="clear" w:color="auto" w:fill="auto"/>
            <w:noWrap/>
            <w:vAlign w:val="bottom"/>
            <w:hideMark/>
          </w:tcPr>
          <w:p w14:paraId="353D537A"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(8)</w:t>
            </w:r>
          </w:p>
        </w:tc>
        <w:tc>
          <w:tcPr>
            <w:tcW w:w="1183" w:type="dxa"/>
            <w:tcBorders>
              <w:top w:val="nil"/>
              <w:left w:val="nil"/>
              <w:bottom w:val="single" w:sz="4" w:space="0" w:color="auto"/>
              <w:right w:val="nil"/>
            </w:tcBorders>
            <w:shd w:val="clear" w:color="auto" w:fill="auto"/>
            <w:noWrap/>
            <w:vAlign w:val="bottom"/>
            <w:hideMark/>
          </w:tcPr>
          <w:p w14:paraId="0CB83D40"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(9)</w:t>
            </w:r>
          </w:p>
        </w:tc>
        <w:tc>
          <w:tcPr>
            <w:tcW w:w="1183" w:type="dxa"/>
            <w:tcBorders>
              <w:top w:val="nil"/>
              <w:left w:val="nil"/>
              <w:bottom w:val="single" w:sz="4" w:space="0" w:color="auto"/>
              <w:right w:val="nil"/>
            </w:tcBorders>
            <w:shd w:val="clear" w:color="auto" w:fill="auto"/>
            <w:noWrap/>
            <w:vAlign w:val="bottom"/>
            <w:hideMark/>
          </w:tcPr>
          <w:p w14:paraId="13127022"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(10)</w:t>
            </w:r>
          </w:p>
        </w:tc>
        <w:tc>
          <w:tcPr>
            <w:tcW w:w="1183" w:type="dxa"/>
            <w:tcBorders>
              <w:top w:val="nil"/>
              <w:left w:val="nil"/>
              <w:bottom w:val="single" w:sz="4" w:space="0" w:color="auto"/>
              <w:right w:val="nil"/>
            </w:tcBorders>
            <w:shd w:val="clear" w:color="auto" w:fill="auto"/>
            <w:noWrap/>
            <w:vAlign w:val="bottom"/>
            <w:hideMark/>
          </w:tcPr>
          <w:p w14:paraId="45647E73"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(11)</w:t>
            </w:r>
          </w:p>
        </w:tc>
        <w:tc>
          <w:tcPr>
            <w:tcW w:w="1183" w:type="dxa"/>
            <w:tcBorders>
              <w:top w:val="nil"/>
              <w:left w:val="nil"/>
              <w:bottom w:val="single" w:sz="4" w:space="0" w:color="auto"/>
              <w:right w:val="nil"/>
            </w:tcBorders>
            <w:shd w:val="clear" w:color="auto" w:fill="auto"/>
            <w:noWrap/>
            <w:vAlign w:val="bottom"/>
            <w:hideMark/>
          </w:tcPr>
          <w:p w14:paraId="3B53E129" w14:textId="77777777" w:rsidR="0093472B" w:rsidRPr="00C82EE1" w:rsidRDefault="0093472B" w:rsidP="00026FCB">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(12)</w:t>
            </w:r>
          </w:p>
        </w:tc>
      </w:tr>
      <w:tr w:rsidR="0093472B" w:rsidRPr="00C82EE1" w14:paraId="51291CF1"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250C3DD7"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Amount raised (1)</w:t>
            </w:r>
          </w:p>
        </w:tc>
        <w:tc>
          <w:tcPr>
            <w:tcW w:w="683" w:type="dxa"/>
            <w:tcBorders>
              <w:top w:val="nil"/>
              <w:left w:val="nil"/>
              <w:bottom w:val="nil"/>
              <w:right w:val="nil"/>
            </w:tcBorders>
            <w:shd w:val="clear" w:color="auto" w:fill="auto"/>
            <w:noWrap/>
            <w:vAlign w:val="bottom"/>
            <w:hideMark/>
          </w:tcPr>
          <w:p w14:paraId="61AD24B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4" w:type="dxa"/>
            <w:tcBorders>
              <w:top w:val="nil"/>
              <w:left w:val="nil"/>
              <w:bottom w:val="nil"/>
              <w:right w:val="nil"/>
            </w:tcBorders>
            <w:shd w:val="clear" w:color="auto" w:fill="auto"/>
            <w:noWrap/>
            <w:vAlign w:val="bottom"/>
            <w:hideMark/>
          </w:tcPr>
          <w:p w14:paraId="4A656DF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4" w:type="dxa"/>
            <w:tcBorders>
              <w:top w:val="nil"/>
              <w:left w:val="nil"/>
              <w:bottom w:val="nil"/>
              <w:right w:val="nil"/>
            </w:tcBorders>
            <w:shd w:val="clear" w:color="auto" w:fill="auto"/>
            <w:noWrap/>
            <w:vAlign w:val="bottom"/>
            <w:hideMark/>
          </w:tcPr>
          <w:p w14:paraId="3039A55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2E89661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681EEFAD"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05DD9FD6"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22497C02"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78271318"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0E146CA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409993C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5EC7AB03"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2CF86AE2"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39DF4173"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31483646"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Token traded (2)</w:t>
            </w:r>
          </w:p>
        </w:tc>
        <w:tc>
          <w:tcPr>
            <w:tcW w:w="683" w:type="dxa"/>
            <w:tcBorders>
              <w:top w:val="nil"/>
              <w:left w:val="nil"/>
              <w:bottom w:val="nil"/>
              <w:right w:val="nil"/>
            </w:tcBorders>
            <w:shd w:val="clear" w:color="auto" w:fill="auto"/>
            <w:noWrap/>
            <w:vAlign w:val="bottom"/>
            <w:hideMark/>
          </w:tcPr>
          <w:p w14:paraId="3A56E46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0.319***</w:t>
            </w:r>
          </w:p>
        </w:tc>
        <w:tc>
          <w:tcPr>
            <w:tcW w:w="1184" w:type="dxa"/>
            <w:tcBorders>
              <w:top w:val="nil"/>
              <w:left w:val="nil"/>
              <w:bottom w:val="nil"/>
              <w:right w:val="nil"/>
            </w:tcBorders>
            <w:shd w:val="clear" w:color="auto" w:fill="auto"/>
            <w:noWrap/>
            <w:vAlign w:val="bottom"/>
            <w:hideMark/>
          </w:tcPr>
          <w:p w14:paraId="328566D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4" w:type="dxa"/>
            <w:tcBorders>
              <w:top w:val="nil"/>
              <w:left w:val="nil"/>
              <w:bottom w:val="nil"/>
              <w:right w:val="nil"/>
            </w:tcBorders>
            <w:shd w:val="clear" w:color="auto" w:fill="auto"/>
            <w:noWrap/>
            <w:vAlign w:val="bottom"/>
            <w:hideMark/>
          </w:tcPr>
          <w:p w14:paraId="42C6FFA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674A7053"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2DC40502"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5400E3E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4135293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2F7B9B5E"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3404444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22BD586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54F528C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5C295CF0"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2527E963"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44DE9F96"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ICOCompletion</w:t>
            </w:r>
            <w:proofErr w:type="spellEnd"/>
            <w:r w:rsidRPr="00C82EE1">
              <w:rPr>
                <w:rFonts w:ascii="Times New Roman" w:eastAsia="Times New Roman" w:hAnsi="Times New Roman" w:cs="Times New Roman"/>
                <w:i/>
                <w:color w:val="000000"/>
                <w:sz w:val="20"/>
                <w:szCs w:val="20"/>
              </w:rPr>
              <w:t xml:space="preserve"> (3)</w:t>
            </w:r>
          </w:p>
        </w:tc>
        <w:tc>
          <w:tcPr>
            <w:tcW w:w="683" w:type="dxa"/>
            <w:tcBorders>
              <w:top w:val="nil"/>
              <w:left w:val="nil"/>
              <w:bottom w:val="nil"/>
              <w:right w:val="nil"/>
            </w:tcBorders>
            <w:shd w:val="clear" w:color="auto" w:fill="auto"/>
            <w:noWrap/>
            <w:vAlign w:val="bottom"/>
            <w:hideMark/>
          </w:tcPr>
          <w:p w14:paraId="2B9D09E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0.300***</w:t>
            </w:r>
          </w:p>
        </w:tc>
        <w:tc>
          <w:tcPr>
            <w:tcW w:w="1184" w:type="dxa"/>
            <w:tcBorders>
              <w:top w:val="nil"/>
              <w:left w:val="nil"/>
              <w:bottom w:val="nil"/>
              <w:right w:val="nil"/>
            </w:tcBorders>
            <w:shd w:val="clear" w:color="auto" w:fill="auto"/>
            <w:noWrap/>
            <w:vAlign w:val="bottom"/>
            <w:hideMark/>
          </w:tcPr>
          <w:p w14:paraId="429260B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0.749***</w:t>
            </w:r>
          </w:p>
        </w:tc>
        <w:tc>
          <w:tcPr>
            <w:tcW w:w="1184" w:type="dxa"/>
            <w:tcBorders>
              <w:top w:val="nil"/>
              <w:left w:val="nil"/>
              <w:bottom w:val="nil"/>
              <w:right w:val="nil"/>
            </w:tcBorders>
            <w:shd w:val="clear" w:color="auto" w:fill="auto"/>
            <w:noWrap/>
            <w:vAlign w:val="bottom"/>
            <w:hideMark/>
          </w:tcPr>
          <w:p w14:paraId="0494953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532C03F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5AA0F70A"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6C32327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5CC603E6"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3390694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46243AD0"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76F10BDC"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1860F002"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59E44495"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57FBE2FE"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07314BF7"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LC (4)</w:t>
            </w:r>
          </w:p>
        </w:tc>
        <w:tc>
          <w:tcPr>
            <w:tcW w:w="683" w:type="dxa"/>
            <w:tcBorders>
              <w:top w:val="nil"/>
              <w:left w:val="nil"/>
              <w:bottom w:val="nil"/>
              <w:right w:val="nil"/>
            </w:tcBorders>
            <w:shd w:val="clear" w:color="auto" w:fill="auto"/>
            <w:noWrap/>
            <w:vAlign w:val="bottom"/>
            <w:hideMark/>
          </w:tcPr>
          <w:p w14:paraId="093C03C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0.166***</w:t>
            </w:r>
          </w:p>
        </w:tc>
        <w:tc>
          <w:tcPr>
            <w:tcW w:w="1184" w:type="dxa"/>
            <w:tcBorders>
              <w:top w:val="nil"/>
              <w:left w:val="nil"/>
              <w:bottom w:val="nil"/>
              <w:right w:val="nil"/>
            </w:tcBorders>
            <w:shd w:val="clear" w:color="auto" w:fill="auto"/>
            <w:noWrap/>
            <w:vAlign w:val="bottom"/>
            <w:hideMark/>
          </w:tcPr>
          <w:p w14:paraId="5E69698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0.155***</w:t>
            </w:r>
          </w:p>
        </w:tc>
        <w:tc>
          <w:tcPr>
            <w:tcW w:w="1184" w:type="dxa"/>
            <w:tcBorders>
              <w:top w:val="nil"/>
              <w:left w:val="nil"/>
              <w:bottom w:val="nil"/>
              <w:right w:val="nil"/>
            </w:tcBorders>
            <w:shd w:val="clear" w:color="auto" w:fill="auto"/>
            <w:noWrap/>
            <w:vAlign w:val="bottom"/>
            <w:hideMark/>
          </w:tcPr>
          <w:p w14:paraId="0D01DBB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0.087**</w:t>
            </w:r>
          </w:p>
        </w:tc>
        <w:tc>
          <w:tcPr>
            <w:tcW w:w="1183" w:type="dxa"/>
            <w:tcBorders>
              <w:top w:val="nil"/>
              <w:left w:val="nil"/>
              <w:bottom w:val="nil"/>
              <w:right w:val="nil"/>
            </w:tcBorders>
            <w:shd w:val="clear" w:color="auto" w:fill="auto"/>
            <w:noWrap/>
            <w:vAlign w:val="bottom"/>
            <w:hideMark/>
          </w:tcPr>
          <w:p w14:paraId="1B56275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532FE8C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70011E22"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75EDFF60"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466AFDFC"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119E8CFC"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0A934A42"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4F948DF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1117C56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739AE324"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7540126C"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Density (5)</w:t>
            </w:r>
          </w:p>
        </w:tc>
        <w:tc>
          <w:tcPr>
            <w:tcW w:w="683" w:type="dxa"/>
            <w:tcBorders>
              <w:top w:val="nil"/>
              <w:left w:val="nil"/>
              <w:bottom w:val="nil"/>
              <w:right w:val="nil"/>
            </w:tcBorders>
            <w:shd w:val="clear" w:color="auto" w:fill="auto"/>
            <w:noWrap/>
            <w:vAlign w:val="bottom"/>
            <w:hideMark/>
          </w:tcPr>
          <w:p w14:paraId="360FA58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0.112***</w:t>
            </w:r>
          </w:p>
        </w:tc>
        <w:tc>
          <w:tcPr>
            <w:tcW w:w="1184" w:type="dxa"/>
            <w:tcBorders>
              <w:top w:val="nil"/>
              <w:left w:val="nil"/>
              <w:bottom w:val="nil"/>
              <w:right w:val="nil"/>
            </w:tcBorders>
            <w:shd w:val="clear" w:color="auto" w:fill="auto"/>
            <w:noWrap/>
            <w:vAlign w:val="bottom"/>
            <w:hideMark/>
          </w:tcPr>
          <w:p w14:paraId="114D31D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0.061*</w:t>
            </w:r>
          </w:p>
        </w:tc>
        <w:tc>
          <w:tcPr>
            <w:tcW w:w="1184" w:type="dxa"/>
            <w:tcBorders>
              <w:top w:val="nil"/>
              <w:left w:val="nil"/>
              <w:bottom w:val="nil"/>
              <w:right w:val="nil"/>
            </w:tcBorders>
            <w:shd w:val="clear" w:color="auto" w:fill="auto"/>
            <w:noWrap/>
            <w:vAlign w:val="bottom"/>
            <w:hideMark/>
          </w:tcPr>
          <w:p w14:paraId="597DAEC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0.068*</w:t>
            </w:r>
          </w:p>
        </w:tc>
        <w:tc>
          <w:tcPr>
            <w:tcW w:w="1183" w:type="dxa"/>
            <w:tcBorders>
              <w:top w:val="nil"/>
              <w:left w:val="nil"/>
              <w:bottom w:val="nil"/>
              <w:right w:val="nil"/>
            </w:tcBorders>
            <w:shd w:val="clear" w:color="auto" w:fill="auto"/>
            <w:noWrap/>
            <w:vAlign w:val="bottom"/>
            <w:hideMark/>
          </w:tcPr>
          <w:p w14:paraId="45A66EB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0.093**</w:t>
            </w:r>
          </w:p>
        </w:tc>
        <w:tc>
          <w:tcPr>
            <w:tcW w:w="1183" w:type="dxa"/>
            <w:tcBorders>
              <w:top w:val="nil"/>
              <w:left w:val="nil"/>
              <w:bottom w:val="nil"/>
              <w:right w:val="nil"/>
            </w:tcBorders>
            <w:shd w:val="clear" w:color="auto" w:fill="auto"/>
            <w:noWrap/>
            <w:vAlign w:val="bottom"/>
            <w:hideMark/>
          </w:tcPr>
          <w:p w14:paraId="1CF34B3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3C9833F3"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360DBE0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483F0634"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34DDCA90"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3BB0CFB4"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091CFA9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37C74B2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6E3EC8D6"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1808E354"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Diversity (6)</w:t>
            </w:r>
          </w:p>
        </w:tc>
        <w:tc>
          <w:tcPr>
            <w:tcW w:w="683" w:type="dxa"/>
            <w:tcBorders>
              <w:top w:val="nil"/>
              <w:left w:val="nil"/>
              <w:bottom w:val="nil"/>
              <w:right w:val="nil"/>
            </w:tcBorders>
            <w:shd w:val="clear" w:color="auto" w:fill="auto"/>
            <w:noWrap/>
            <w:vAlign w:val="bottom"/>
            <w:hideMark/>
          </w:tcPr>
          <w:p w14:paraId="2805BBC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0.142***</w:t>
            </w:r>
          </w:p>
        </w:tc>
        <w:tc>
          <w:tcPr>
            <w:tcW w:w="1184" w:type="dxa"/>
            <w:tcBorders>
              <w:top w:val="nil"/>
              <w:left w:val="nil"/>
              <w:bottom w:val="nil"/>
              <w:right w:val="nil"/>
            </w:tcBorders>
            <w:shd w:val="clear" w:color="auto" w:fill="auto"/>
            <w:noWrap/>
            <w:vAlign w:val="bottom"/>
            <w:hideMark/>
          </w:tcPr>
          <w:p w14:paraId="7F006AF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0.148***</w:t>
            </w:r>
          </w:p>
        </w:tc>
        <w:tc>
          <w:tcPr>
            <w:tcW w:w="1184" w:type="dxa"/>
            <w:tcBorders>
              <w:top w:val="nil"/>
              <w:left w:val="nil"/>
              <w:bottom w:val="nil"/>
              <w:right w:val="nil"/>
            </w:tcBorders>
            <w:shd w:val="clear" w:color="auto" w:fill="auto"/>
            <w:noWrap/>
            <w:vAlign w:val="bottom"/>
            <w:hideMark/>
          </w:tcPr>
          <w:p w14:paraId="4E15A5F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0.083**</w:t>
            </w:r>
          </w:p>
        </w:tc>
        <w:tc>
          <w:tcPr>
            <w:tcW w:w="1183" w:type="dxa"/>
            <w:tcBorders>
              <w:top w:val="nil"/>
              <w:left w:val="nil"/>
              <w:bottom w:val="nil"/>
              <w:right w:val="nil"/>
            </w:tcBorders>
            <w:shd w:val="clear" w:color="auto" w:fill="auto"/>
            <w:noWrap/>
            <w:vAlign w:val="bottom"/>
            <w:hideMark/>
          </w:tcPr>
          <w:p w14:paraId="2F8C827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0.973***</w:t>
            </w:r>
          </w:p>
        </w:tc>
        <w:tc>
          <w:tcPr>
            <w:tcW w:w="1183" w:type="dxa"/>
            <w:tcBorders>
              <w:top w:val="nil"/>
              <w:left w:val="nil"/>
              <w:bottom w:val="nil"/>
              <w:right w:val="nil"/>
            </w:tcBorders>
            <w:shd w:val="clear" w:color="auto" w:fill="auto"/>
            <w:noWrap/>
            <w:vAlign w:val="bottom"/>
            <w:hideMark/>
          </w:tcPr>
          <w:p w14:paraId="3C750C1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0.022</w:t>
            </w:r>
          </w:p>
        </w:tc>
        <w:tc>
          <w:tcPr>
            <w:tcW w:w="1183" w:type="dxa"/>
            <w:tcBorders>
              <w:top w:val="nil"/>
              <w:left w:val="nil"/>
              <w:bottom w:val="nil"/>
              <w:right w:val="nil"/>
            </w:tcBorders>
            <w:shd w:val="clear" w:color="auto" w:fill="auto"/>
            <w:noWrap/>
            <w:vAlign w:val="bottom"/>
            <w:hideMark/>
          </w:tcPr>
          <w:p w14:paraId="715E469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48C7067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164EF2F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6DCCE139"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67E93793"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7905E395"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71F8BB85"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73CEA187"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79ABACC1"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Sophistication (7)</w:t>
            </w:r>
          </w:p>
        </w:tc>
        <w:tc>
          <w:tcPr>
            <w:tcW w:w="683" w:type="dxa"/>
            <w:tcBorders>
              <w:top w:val="nil"/>
              <w:left w:val="nil"/>
              <w:bottom w:val="nil"/>
              <w:right w:val="nil"/>
            </w:tcBorders>
            <w:shd w:val="clear" w:color="auto" w:fill="auto"/>
            <w:noWrap/>
            <w:vAlign w:val="bottom"/>
            <w:hideMark/>
          </w:tcPr>
          <w:p w14:paraId="4A0F616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0.227***</w:t>
            </w:r>
          </w:p>
        </w:tc>
        <w:tc>
          <w:tcPr>
            <w:tcW w:w="1184" w:type="dxa"/>
            <w:tcBorders>
              <w:top w:val="nil"/>
              <w:left w:val="nil"/>
              <w:bottom w:val="nil"/>
              <w:right w:val="nil"/>
            </w:tcBorders>
            <w:shd w:val="clear" w:color="auto" w:fill="auto"/>
            <w:noWrap/>
            <w:vAlign w:val="bottom"/>
            <w:hideMark/>
          </w:tcPr>
          <w:p w14:paraId="4B19491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0.173***</w:t>
            </w:r>
          </w:p>
        </w:tc>
        <w:tc>
          <w:tcPr>
            <w:tcW w:w="1184" w:type="dxa"/>
            <w:tcBorders>
              <w:top w:val="nil"/>
              <w:left w:val="nil"/>
              <w:bottom w:val="nil"/>
              <w:right w:val="nil"/>
            </w:tcBorders>
            <w:shd w:val="clear" w:color="auto" w:fill="auto"/>
            <w:noWrap/>
            <w:vAlign w:val="bottom"/>
            <w:hideMark/>
          </w:tcPr>
          <w:p w14:paraId="2415136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0.101***</w:t>
            </w:r>
          </w:p>
        </w:tc>
        <w:tc>
          <w:tcPr>
            <w:tcW w:w="1183" w:type="dxa"/>
            <w:tcBorders>
              <w:top w:val="nil"/>
              <w:left w:val="nil"/>
              <w:bottom w:val="nil"/>
              <w:right w:val="nil"/>
            </w:tcBorders>
            <w:shd w:val="clear" w:color="auto" w:fill="auto"/>
            <w:noWrap/>
            <w:vAlign w:val="bottom"/>
            <w:hideMark/>
          </w:tcPr>
          <w:p w14:paraId="5796246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0.786***</w:t>
            </w:r>
          </w:p>
        </w:tc>
        <w:tc>
          <w:tcPr>
            <w:tcW w:w="1183" w:type="dxa"/>
            <w:tcBorders>
              <w:top w:val="nil"/>
              <w:left w:val="nil"/>
              <w:bottom w:val="nil"/>
              <w:right w:val="nil"/>
            </w:tcBorders>
            <w:shd w:val="clear" w:color="auto" w:fill="auto"/>
            <w:noWrap/>
            <w:vAlign w:val="bottom"/>
            <w:hideMark/>
          </w:tcPr>
          <w:p w14:paraId="35FFFA1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0.252***</w:t>
            </w:r>
          </w:p>
        </w:tc>
        <w:tc>
          <w:tcPr>
            <w:tcW w:w="1183" w:type="dxa"/>
            <w:tcBorders>
              <w:top w:val="nil"/>
              <w:left w:val="nil"/>
              <w:bottom w:val="nil"/>
              <w:right w:val="nil"/>
            </w:tcBorders>
            <w:shd w:val="clear" w:color="auto" w:fill="auto"/>
            <w:noWrap/>
            <w:vAlign w:val="bottom"/>
            <w:hideMark/>
          </w:tcPr>
          <w:p w14:paraId="3829CFF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0.648***</w:t>
            </w:r>
          </w:p>
        </w:tc>
        <w:tc>
          <w:tcPr>
            <w:tcW w:w="1183" w:type="dxa"/>
            <w:tcBorders>
              <w:top w:val="nil"/>
              <w:left w:val="nil"/>
              <w:bottom w:val="nil"/>
              <w:right w:val="nil"/>
            </w:tcBorders>
            <w:shd w:val="clear" w:color="auto" w:fill="auto"/>
            <w:noWrap/>
            <w:vAlign w:val="bottom"/>
            <w:hideMark/>
          </w:tcPr>
          <w:p w14:paraId="371C3CD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5157564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1E95CEE4"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742EC649"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4179C6F8"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77D2FA06"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353C2B98"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5917A0DE"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Readability_Flesch</w:t>
            </w:r>
            <w:proofErr w:type="spellEnd"/>
            <w:r w:rsidRPr="00C82EE1">
              <w:rPr>
                <w:rFonts w:ascii="Times New Roman" w:eastAsia="Times New Roman" w:hAnsi="Times New Roman" w:cs="Times New Roman"/>
                <w:i/>
                <w:color w:val="000000"/>
                <w:sz w:val="20"/>
                <w:szCs w:val="20"/>
              </w:rPr>
              <w:t xml:space="preserve"> (8)</w:t>
            </w:r>
          </w:p>
        </w:tc>
        <w:tc>
          <w:tcPr>
            <w:tcW w:w="683" w:type="dxa"/>
            <w:tcBorders>
              <w:top w:val="nil"/>
              <w:left w:val="nil"/>
              <w:bottom w:val="nil"/>
              <w:right w:val="nil"/>
            </w:tcBorders>
            <w:shd w:val="clear" w:color="auto" w:fill="auto"/>
            <w:noWrap/>
            <w:vAlign w:val="bottom"/>
            <w:hideMark/>
          </w:tcPr>
          <w:p w14:paraId="7A8342F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0.019*</w:t>
            </w:r>
          </w:p>
        </w:tc>
        <w:tc>
          <w:tcPr>
            <w:tcW w:w="1184" w:type="dxa"/>
            <w:tcBorders>
              <w:top w:val="nil"/>
              <w:left w:val="nil"/>
              <w:bottom w:val="nil"/>
              <w:right w:val="nil"/>
            </w:tcBorders>
            <w:shd w:val="clear" w:color="auto" w:fill="auto"/>
            <w:noWrap/>
            <w:vAlign w:val="bottom"/>
            <w:hideMark/>
          </w:tcPr>
          <w:p w14:paraId="18AD8B5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-0.048</w:t>
            </w:r>
          </w:p>
        </w:tc>
        <w:tc>
          <w:tcPr>
            <w:tcW w:w="1184" w:type="dxa"/>
            <w:tcBorders>
              <w:top w:val="nil"/>
              <w:left w:val="nil"/>
              <w:bottom w:val="nil"/>
              <w:right w:val="nil"/>
            </w:tcBorders>
            <w:shd w:val="clear" w:color="auto" w:fill="auto"/>
            <w:noWrap/>
            <w:vAlign w:val="bottom"/>
            <w:hideMark/>
          </w:tcPr>
          <w:p w14:paraId="54C6B79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-0.056</w:t>
            </w:r>
          </w:p>
        </w:tc>
        <w:tc>
          <w:tcPr>
            <w:tcW w:w="1183" w:type="dxa"/>
            <w:tcBorders>
              <w:top w:val="nil"/>
              <w:left w:val="nil"/>
              <w:bottom w:val="nil"/>
              <w:right w:val="nil"/>
            </w:tcBorders>
            <w:shd w:val="clear" w:color="auto" w:fill="auto"/>
            <w:noWrap/>
            <w:vAlign w:val="bottom"/>
            <w:hideMark/>
          </w:tcPr>
          <w:p w14:paraId="667EA7F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-0.218***</w:t>
            </w:r>
          </w:p>
        </w:tc>
        <w:tc>
          <w:tcPr>
            <w:tcW w:w="1183" w:type="dxa"/>
            <w:tcBorders>
              <w:top w:val="nil"/>
              <w:left w:val="nil"/>
              <w:bottom w:val="nil"/>
              <w:right w:val="nil"/>
            </w:tcBorders>
            <w:shd w:val="clear" w:color="auto" w:fill="auto"/>
            <w:noWrap/>
            <w:vAlign w:val="bottom"/>
            <w:hideMark/>
          </w:tcPr>
          <w:p w14:paraId="23FDEBA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-0.346***</w:t>
            </w:r>
          </w:p>
        </w:tc>
        <w:tc>
          <w:tcPr>
            <w:tcW w:w="1183" w:type="dxa"/>
            <w:tcBorders>
              <w:top w:val="nil"/>
              <w:left w:val="nil"/>
              <w:bottom w:val="nil"/>
              <w:right w:val="nil"/>
            </w:tcBorders>
            <w:shd w:val="clear" w:color="auto" w:fill="auto"/>
            <w:noWrap/>
            <w:vAlign w:val="bottom"/>
            <w:hideMark/>
          </w:tcPr>
          <w:p w14:paraId="5F46E98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-0.140***</w:t>
            </w:r>
          </w:p>
        </w:tc>
        <w:tc>
          <w:tcPr>
            <w:tcW w:w="1183" w:type="dxa"/>
            <w:tcBorders>
              <w:top w:val="nil"/>
              <w:left w:val="nil"/>
              <w:bottom w:val="nil"/>
              <w:right w:val="nil"/>
            </w:tcBorders>
            <w:shd w:val="clear" w:color="auto" w:fill="auto"/>
            <w:noWrap/>
            <w:vAlign w:val="bottom"/>
            <w:hideMark/>
          </w:tcPr>
          <w:p w14:paraId="3E796A7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-0.355***</w:t>
            </w:r>
          </w:p>
        </w:tc>
        <w:tc>
          <w:tcPr>
            <w:tcW w:w="1183" w:type="dxa"/>
            <w:tcBorders>
              <w:top w:val="nil"/>
              <w:left w:val="nil"/>
              <w:bottom w:val="nil"/>
              <w:right w:val="nil"/>
            </w:tcBorders>
            <w:shd w:val="clear" w:color="auto" w:fill="auto"/>
            <w:noWrap/>
            <w:vAlign w:val="bottom"/>
            <w:hideMark/>
          </w:tcPr>
          <w:p w14:paraId="52F5EDD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3FB2E53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4D105615"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06C33B13"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0ABDFA68"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54A58514"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60612874"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Readability_FOG</w:t>
            </w:r>
            <w:proofErr w:type="spellEnd"/>
            <w:r w:rsidRPr="00C82EE1">
              <w:rPr>
                <w:rFonts w:ascii="Times New Roman" w:eastAsia="Times New Roman" w:hAnsi="Times New Roman" w:cs="Times New Roman"/>
                <w:i/>
                <w:color w:val="000000"/>
                <w:sz w:val="20"/>
                <w:szCs w:val="20"/>
              </w:rPr>
              <w:t xml:space="preserve"> (9)</w:t>
            </w:r>
          </w:p>
        </w:tc>
        <w:tc>
          <w:tcPr>
            <w:tcW w:w="683" w:type="dxa"/>
            <w:tcBorders>
              <w:top w:val="nil"/>
              <w:left w:val="nil"/>
              <w:bottom w:val="nil"/>
              <w:right w:val="nil"/>
            </w:tcBorders>
            <w:shd w:val="clear" w:color="auto" w:fill="auto"/>
            <w:noWrap/>
            <w:vAlign w:val="bottom"/>
            <w:hideMark/>
          </w:tcPr>
          <w:p w14:paraId="0A59D9D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0.012*</w:t>
            </w:r>
          </w:p>
        </w:tc>
        <w:tc>
          <w:tcPr>
            <w:tcW w:w="1184" w:type="dxa"/>
            <w:tcBorders>
              <w:top w:val="nil"/>
              <w:left w:val="nil"/>
              <w:bottom w:val="nil"/>
              <w:right w:val="nil"/>
            </w:tcBorders>
            <w:shd w:val="clear" w:color="auto" w:fill="auto"/>
            <w:noWrap/>
            <w:vAlign w:val="bottom"/>
            <w:hideMark/>
          </w:tcPr>
          <w:p w14:paraId="3407A01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-0.032</w:t>
            </w:r>
          </w:p>
        </w:tc>
        <w:tc>
          <w:tcPr>
            <w:tcW w:w="1184" w:type="dxa"/>
            <w:tcBorders>
              <w:top w:val="nil"/>
              <w:left w:val="nil"/>
              <w:bottom w:val="nil"/>
              <w:right w:val="nil"/>
            </w:tcBorders>
            <w:shd w:val="clear" w:color="auto" w:fill="auto"/>
            <w:noWrap/>
            <w:vAlign w:val="bottom"/>
            <w:hideMark/>
          </w:tcPr>
          <w:p w14:paraId="2395840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-0.034</w:t>
            </w:r>
          </w:p>
        </w:tc>
        <w:tc>
          <w:tcPr>
            <w:tcW w:w="1183" w:type="dxa"/>
            <w:tcBorders>
              <w:top w:val="nil"/>
              <w:left w:val="nil"/>
              <w:bottom w:val="nil"/>
              <w:right w:val="nil"/>
            </w:tcBorders>
            <w:shd w:val="clear" w:color="auto" w:fill="auto"/>
            <w:noWrap/>
            <w:vAlign w:val="bottom"/>
            <w:hideMark/>
          </w:tcPr>
          <w:p w14:paraId="39F6A2B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-0.226***</w:t>
            </w:r>
          </w:p>
        </w:tc>
        <w:tc>
          <w:tcPr>
            <w:tcW w:w="1183" w:type="dxa"/>
            <w:tcBorders>
              <w:top w:val="nil"/>
              <w:left w:val="nil"/>
              <w:bottom w:val="nil"/>
              <w:right w:val="nil"/>
            </w:tcBorders>
            <w:shd w:val="clear" w:color="auto" w:fill="auto"/>
            <w:noWrap/>
            <w:vAlign w:val="bottom"/>
            <w:hideMark/>
          </w:tcPr>
          <w:p w14:paraId="45CCF35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-0.172***</w:t>
            </w:r>
          </w:p>
        </w:tc>
        <w:tc>
          <w:tcPr>
            <w:tcW w:w="1183" w:type="dxa"/>
            <w:tcBorders>
              <w:top w:val="nil"/>
              <w:left w:val="nil"/>
              <w:bottom w:val="nil"/>
              <w:right w:val="nil"/>
            </w:tcBorders>
            <w:shd w:val="clear" w:color="auto" w:fill="auto"/>
            <w:noWrap/>
            <w:vAlign w:val="bottom"/>
            <w:hideMark/>
          </w:tcPr>
          <w:p w14:paraId="62A1090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-0.168***</w:t>
            </w:r>
          </w:p>
        </w:tc>
        <w:tc>
          <w:tcPr>
            <w:tcW w:w="1183" w:type="dxa"/>
            <w:tcBorders>
              <w:top w:val="nil"/>
              <w:left w:val="nil"/>
              <w:bottom w:val="nil"/>
              <w:right w:val="nil"/>
            </w:tcBorders>
            <w:shd w:val="clear" w:color="auto" w:fill="auto"/>
            <w:noWrap/>
            <w:vAlign w:val="bottom"/>
            <w:hideMark/>
          </w:tcPr>
          <w:p w14:paraId="56E548D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-0.315***</w:t>
            </w:r>
          </w:p>
        </w:tc>
        <w:tc>
          <w:tcPr>
            <w:tcW w:w="1183" w:type="dxa"/>
            <w:tcBorders>
              <w:top w:val="nil"/>
              <w:left w:val="nil"/>
              <w:bottom w:val="nil"/>
              <w:right w:val="nil"/>
            </w:tcBorders>
            <w:shd w:val="clear" w:color="auto" w:fill="auto"/>
            <w:noWrap/>
            <w:vAlign w:val="bottom"/>
            <w:hideMark/>
          </w:tcPr>
          <w:p w14:paraId="3528F38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0.894***</w:t>
            </w:r>
          </w:p>
        </w:tc>
        <w:tc>
          <w:tcPr>
            <w:tcW w:w="1183" w:type="dxa"/>
            <w:tcBorders>
              <w:top w:val="nil"/>
              <w:left w:val="nil"/>
              <w:bottom w:val="nil"/>
              <w:right w:val="nil"/>
            </w:tcBorders>
            <w:shd w:val="clear" w:color="auto" w:fill="auto"/>
            <w:noWrap/>
            <w:vAlign w:val="bottom"/>
            <w:hideMark/>
          </w:tcPr>
          <w:p w14:paraId="7F13EA3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3A0E490E"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511573BA"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3F059803"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186AC2E4"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6CEF2FDF"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Readability_Size</w:t>
            </w:r>
            <w:proofErr w:type="spellEnd"/>
            <w:r w:rsidRPr="00C82EE1">
              <w:rPr>
                <w:rFonts w:ascii="Times New Roman" w:eastAsia="Times New Roman" w:hAnsi="Times New Roman" w:cs="Times New Roman"/>
                <w:i/>
                <w:color w:val="000000"/>
                <w:sz w:val="20"/>
                <w:szCs w:val="20"/>
              </w:rPr>
              <w:t xml:space="preserve"> (10)</w:t>
            </w:r>
          </w:p>
        </w:tc>
        <w:tc>
          <w:tcPr>
            <w:tcW w:w="683" w:type="dxa"/>
            <w:tcBorders>
              <w:top w:val="nil"/>
              <w:left w:val="nil"/>
              <w:bottom w:val="nil"/>
              <w:right w:val="nil"/>
            </w:tcBorders>
            <w:shd w:val="clear" w:color="auto" w:fill="auto"/>
            <w:noWrap/>
            <w:vAlign w:val="bottom"/>
            <w:hideMark/>
          </w:tcPr>
          <w:p w14:paraId="2F0C758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0.011*</w:t>
            </w:r>
          </w:p>
        </w:tc>
        <w:tc>
          <w:tcPr>
            <w:tcW w:w="1184" w:type="dxa"/>
            <w:tcBorders>
              <w:top w:val="nil"/>
              <w:left w:val="nil"/>
              <w:bottom w:val="nil"/>
              <w:right w:val="nil"/>
            </w:tcBorders>
            <w:shd w:val="clear" w:color="auto" w:fill="auto"/>
            <w:noWrap/>
            <w:vAlign w:val="bottom"/>
            <w:hideMark/>
          </w:tcPr>
          <w:p w14:paraId="0C0564B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-0.061*</w:t>
            </w:r>
          </w:p>
        </w:tc>
        <w:tc>
          <w:tcPr>
            <w:tcW w:w="1184" w:type="dxa"/>
            <w:tcBorders>
              <w:top w:val="nil"/>
              <w:left w:val="nil"/>
              <w:bottom w:val="nil"/>
              <w:right w:val="nil"/>
            </w:tcBorders>
            <w:shd w:val="clear" w:color="auto" w:fill="auto"/>
            <w:noWrap/>
            <w:vAlign w:val="bottom"/>
            <w:hideMark/>
          </w:tcPr>
          <w:p w14:paraId="45F6259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-0.010</w:t>
            </w:r>
          </w:p>
        </w:tc>
        <w:tc>
          <w:tcPr>
            <w:tcW w:w="1183" w:type="dxa"/>
            <w:tcBorders>
              <w:top w:val="nil"/>
              <w:left w:val="nil"/>
              <w:bottom w:val="nil"/>
              <w:right w:val="nil"/>
            </w:tcBorders>
            <w:shd w:val="clear" w:color="auto" w:fill="auto"/>
            <w:noWrap/>
            <w:vAlign w:val="bottom"/>
            <w:hideMark/>
          </w:tcPr>
          <w:p w14:paraId="0F0DBD0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-0.706***</w:t>
            </w:r>
          </w:p>
        </w:tc>
        <w:tc>
          <w:tcPr>
            <w:tcW w:w="1183" w:type="dxa"/>
            <w:tcBorders>
              <w:top w:val="nil"/>
              <w:left w:val="nil"/>
              <w:bottom w:val="nil"/>
              <w:right w:val="nil"/>
            </w:tcBorders>
            <w:shd w:val="clear" w:color="auto" w:fill="auto"/>
            <w:noWrap/>
            <w:vAlign w:val="bottom"/>
            <w:hideMark/>
          </w:tcPr>
          <w:p w14:paraId="1D1A340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-0.085**</w:t>
            </w:r>
          </w:p>
        </w:tc>
        <w:tc>
          <w:tcPr>
            <w:tcW w:w="1183" w:type="dxa"/>
            <w:tcBorders>
              <w:top w:val="nil"/>
              <w:left w:val="nil"/>
              <w:bottom w:val="nil"/>
              <w:right w:val="nil"/>
            </w:tcBorders>
            <w:shd w:val="clear" w:color="auto" w:fill="auto"/>
            <w:noWrap/>
            <w:vAlign w:val="bottom"/>
            <w:hideMark/>
          </w:tcPr>
          <w:p w14:paraId="1149B82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-0.686***</w:t>
            </w:r>
          </w:p>
        </w:tc>
        <w:tc>
          <w:tcPr>
            <w:tcW w:w="1183" w:type="dxa"/>
            <w:tcBorders>
              <w:top w:val="nil"/>
              <w:left w:val="nil"/>
              <w:bottom w:val="nil"/>
              <w:right w:val="nil"/>
            </w:tcBorders>
            <w:shd w:val="clear" w:color="auto" w:fill="auto"/>
            <w:noWrap/>
            <w:vAlign w:val="bottom"/>
            <w:hideMark/>
          </w:tcPr>
          <w:p w14:paraId="542A3C9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-0.528***</w:t>
            </w:r>
          </w:p>
        </w:tc>
        <w:tc>
          <w:tcPr>
            <w:tcW w:w="1183" w:type="dxa"/>
            <w:tcBorders>
              <w:top w:val="nil"/>
              <w:left w:val="nil"/>
              <w:bottom w:val="nil"/>
              <w:right w:val="nil"/>
            </w:tcBorders>
            <w:shd w:val="clear" w:color="auto" w:fill="auto"/>
            <w:noWrap/>
            <w:vAlign w:val="bottom"/>
            <w:hideMark/>
          </w:tcPr>
          <w:p w14:paraId="7363E5F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0.124***</w:t>
            </w:r>
          </w:p>
        </w:tc>
        <w:tc>
          <w:tcPr>
            <w:tcW w:w="1183" w:type="dxa"/>
            <w:tcBorders>
              <w:top w:val="nil"/>
              <w:left w:val="nil"/>
              <w:bottom w:val="nil"/>
              <w:right w:val="nil"/>
            </w:tcBorders>
            <w:shd w:val="clear" w:color="auto" w:fill="auto"/>
            <w:noWrap/>
            <w:vAlign w:val="bottom"/>
            <w:hideMark/>
          </w:tcPr>
          <w:p w14:paraId="5A7B196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0.133***</w:t>
            </w:r>
          </w:p>
        </w:tc>
        <w:tc>
          <w:tcPr>
            <w:tcW w:w="1183" w:type="dxa"/>
            <w:tcBorders>
              <w:top w:val="nil"/>
              <w:left w:val="nil"/>
              <w:bottom w:val="nil"/>
              <w:right w:val="nil"/>
            </w:tcBorders>
            <w:shd w:val="clear" w:color="auto" w:fill="auto"/>
            <w:noWrap/>
            <w:vAlign w:val="bottom"/>
            <w:hideMark/>
          </w:tcPr>
          <w:p w14:paraId="3F89DC2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26D0BC29"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183" w:type="dxa"/>
            <w:tcBorders>
              <w:top w:val="nil"/>
              <w:left w:val="nil"/>
              <w:bottom w:val="nil"/>
              <w:right w:val="nil"/>
            </w:tcBorders>
            <w:shd w:val="clear" w:color="auto" w:fill="auto"/>
            <w:noWrap/>
            <w:vAlign w:val="bottom"/>
            <w:hideMark/>
          </w:tcPr>
          <w:p w14:paraId="30CF368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16A9690D"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52C35801"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Sentiment (11)</w:t>
            </w:r>
          </w:p>
        </w:tc>
        <w:tc>
          <w:tcPr>
            <w:tcW w:w="683" w:type="dxa"/>
            <w:tcBorders>
              <w:top w:val="nil"/>
              <w:left w:val="nil"/>
              <w:bottom w:val="nil"/>
              <w:right w:val="nil"/>
            </w:tcBorders>
            <w:shd w:val="clear" w:color="auto" w:fill="auto"/>
            <w:noWrap/>
            <w:vAlign w:val="bottom"/>
            <w:hideMark/>
          </w:tcPr>
          <w:p w14:paraId="2B13FA8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-0.061*</w:t>
            </w:r>
          </w:p>
        </w:tc>
        <w:tc>
          <w:tcPr>
            <w:tcW w:w="1184" w:type="dxa"/>
            <w:tcBorders>
              <w:top w:val="nil"/>
              <w:left w:val="nil"/>
              <w:bottom w:val="nil"/>
              <w:right w:val="nil"/>
            </w:tcBorders>
            <w:shd w:val="clear" w:color="auto" w:fill="auto"/>
            <w:noWrap/>
            <w:vAlign w:val="bottom"/>
            <w:hideMark/>
          </w:tcPr>
          <w:p w14:paraId="387ED08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-0.046</w:t>
            </w:r>
          </w:p>
        </w:tc>
        <w:tc>
          <w:tcPr>
            <w:tcW w:w="1184" w:type="dxa"/>
            <w:tcBorders>
              <w:top w:val="nil"/>
              <w:left w:val="nil"/>
              <w:bottom w:val="nil"/>
              <w:right w:val="nil"/>
            </w:tcBorders>
            <w:shd w:val="clear" w:color="auto" w:fill="auto"/>
            <w:noWrap/>
            <w:vAlign w:val="bottom"/>
            <w:hideMark/>
          </w:tcPr>
          <w:p w14:paraId="7413A44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0.000</w:t>
            </w:r>
          </w:p>
        </w:tc>
        <w:tc>
          <w:tcPr>
            <w:tcW w:w="1183" w:type="dxa"/>
            <w:tcBorders>
              <w:top w:val="nil"/>
              <w:left w:val="nil"/>
              <w:bottom w:val="nil"/>
              <w:right w:val="nil"/>
            </w:tcBorders>
            <w:shd w:val="clear" w:color="auto" w:fill="auto"/>
            <w:noWrap/>
            <w:vAlign w:val="bottom"/>
            <w:hideMark/>
          </w:tcPr>
          <w:p w14:paraId="30936AE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-0.121***</w:t>
            </w:r>
          </w:p>
        </w:tc>
        <w:tc>
          <w:tcPr>
            <w:tcW w:w="1183" w:type="dxa"/>
            <w:tcBorders>
              <w:top w:val="nil"/>
              <w:left w:val="nil"/>
              <w:bottom w:val="nil"/>
              <w:right w:val="nil"/>
            </w:tcBorders>
            <w:shd w:val="clear" w:color="auto" w:fill="auto"/>
            <w:noWrap/>
            <w:vAlign w:val="bottom"/>
            <w:hideMark/>
          </w:tcPr>
          <w:p w14:paraId="2278F1A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0.149***</w:t>
            </w:r>
          </w:p>
        </w:tc>
        <w:tc>
          <w:tcPr>
            <w:tcW w:w="1183" w:type="dxa"/>
            <w:tcBorders>
              <w:top w:val="nil"/>
              <w:left w:val="nil"/>
              <w:bottom w:val="nil"/>
              <w:right w:val="nil"/>
            </w:tcBorders>
            <w:shd w:val="clear" w:color="auto" w:fill="auto"/>
            <w:noWrap/>
            <w:vAlign w:val="bottom"/>
            <w:hideMark/>
          </w:tcPr>
          <w:p w14:paraId="14DBE71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-0.106***</w:t>
            </w:r>
          </w:p>
        </w:tc>
        <w:tc>
          <w:tcPr>
            <w:tcW w:w="1183" w:type="dxa"/>
            <w:tcBorders>
              <w:top w:val="nil"/>
              <w:left w:val="nil"/>
              <w:bottom w:val="nil"/>
              <w:right w:val="nil"/>
            </w:tcBorders>
            <w:shd w:val="clear" w:color="auto" w:fill="auto"/>
            <w:noWrap/>
            <w:vAlign w:val="bottom"/>
            <w:hideMark/>
          </w:tcPr>
          <w:p w14:paraId="533E340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-0.137***</w:t>
            </w:r>
          </w:p>
        </w:tc>
        <w:tc>
          <w:tcPr>
            <w:tcW w:w="1183" w:type="dxa"/>
            <w:tcBorders>
              <w:top w:val="nil"/>
              <w:left w:val="nil"/>
              <w:bottom w:val="nil"/>
              <w:right w:val="nil"/>
            </w:tcBorders>
            <w:shd w:val="clear" w:color="auto" w:fill="auto"/>
            <w:noWrap/>
            <w:vAlign w:val="bottom"/>
            <w:hideMark/>
          </w:tcPr>
          <w:p w14:paraId="145DD67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0.012</w:t>
            </w:r>
          </w:p>
        </w:tc>
        <w:tc>
          <w:tcPr>
            <w:tcW w:w="1183" w:type="dxa"/>
            <w:tcBorders>
              <w:top w:val="nil"/>
              <w:left w:val="nil"/>
              <w:bottom w:val="nil"/>
              <w:right w:val="nil"/>
            </w:tcBorders>
            <w:shd w:val="clear" w:color="auto" w:fill="auto"/>
            <w:noWrap/>
            <w:vAlign w:val="bottom"/>
            <w:hideMark/>
          </w:tcPr>
          <w:p w14:paraId="6EFA683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0.011</w:t>
            </w:r>
          </w:p>
        </w:tc>
        <w:tc>
          <w:tcPr>
            <w:tcW w:w="1183" w:type="dxa"/>
            <w:tcBorders>
              <w:top w:val="nil"/>
              <w:left w:val="nil"/>
              <w:bottom w:val="nil"/>
              <w:right w:val="nil"/>
            </w:tcBorders>
            <w:shd w:val="clear" w:color="auto" w:fill="auto"/>
            <w:noWrap/>
            <w:vAlign w:val="bottom"/>
            <w:hideMark/>
          </w:tcPr>
          <w:p w14:paraId="177D6BB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0.048</w:t>
            </w:r>
          </w:p>
        </w:tc>
        <w:tc>
          <w:tcPr>
            <w:tcW w:w="1183" w:type="dxa"/>
            <w:tcBorders>
              <w:top w:val="nil"/>
              <w:left w:val="nil"/>
              <w:bottom w:val="nil"/>
              <w:right w:val="nil"/>
            </w:tcBorders>
            <w:shd w:val="clear" w:color="auto" w:fill="auto"/>
            <w:noWrap/>
            <w:vAlign w:val="bottom"/>
            <w:hideMark/>
          </w:tcPr>
          <w:p w14:paraId="4199FBA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183" w:type="dxa"/>
            <w:tcBorders>
              <w:top w:val="nil"/>
              <w:left w:val="nil"/>
              <w:bottom w:val="nil"/>
              <w:right w:val="nil"/>
            </w:tcBorders>
            <w:shd w:val="clear" w:color="auto" w:fill="auto"/>
            <w:noWrap/>
            <w:vAlign w:val="bottom"/>
            <w:hideMark/>
          </w:tcPr>
          <w:p w14:paraId="4B58545E"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r>
      <w:tr w:rsidR="0093472B" w:rsidRPr="00C82EE1" w14:paraId="27F9F80B"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7C2FD576"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Institution (12)</w:t>
            </w:r>
          </w:p>
        </w:tc>
        <w:tc>
          <w:tcPr>
            <w:tcW w:w="683" w:type="dxa"/>
            <w:tcBorders>
              <w:top w:val="nil"/>
              <w:left w:val="nil"/>
              <w:bottom w:val="nil"/>
              <w:right w:val="nil"/>
            </w:tcBorders>
            <w:shd w:val="clear" w:color="auto" w:fill="auto"/>
            <w:noWrap/>
            <w:vAlign w:val="bottom"/>
            <w:hideMark/>
          </w:tcPr>
          <w:p w14:paraId="521D037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0.125***</w:t>
            </w:r>
          </w:p>
        </w:tc>
        <w:tc>
          <w:tcPr>
            <w:tcW w:w="1184" w:type="dxa"/>
            <w:tcBorders>
              <w:top w:val="nil"/>
              <w:left w:val="nil"/>
              <w:bottom w:val="nil"/>
              <w:right w:val="nil"/>
            </w:tcBorders>
            <w:shd w:val="clear" w:color="auto" w:fill="auto"/>
            <w:noWrap/>
            <w:vAlign w:val="bottom"/>
            <w:hideMark/>
          </w:tcPr>
          <w:p w14:paraId="3E1B6A0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0.098***</w:t>
            </w:r>
          </w:p>
        </w:tc>
        <w:tc>
          <w:tcPr>
            <w:tcW w:w="1184" w:type="dxa"/>
            <w:tcBorders>
              <w:top w:val="nil"/>
              <w:left w:val="nil"/>
              <w:bottom w:val="nil"/>
              <w:right w:val="nil"/>
            </w:tcBorders>
            <w:shd w:val="clear" w:color="auto" w:fill="auto"/>
            <w:noWrap/>
            <w:vAlign w:val="bottom"/>
            <w:hideMark/>
          </w:tcPr>
          <w:p w14:paraId="3CBED73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0.061*</w:t>
            </w:r>
          </w:p>
        </w:tc>
        <w:tc>
          <w:tcPr>
            <w:tcW w:w="1183" w:type="dxa"/>
            <w:tcBorders>
              <w:top w:val="nil"/>
              <w:left w:val="nil"/>
              <w:bottom w:val="nil"/>
              <w:right w:val="nil"/>
            </w:tcBorders>
            <w:shd w:val="clear" w:color="auto" w:fill="auto"/>
            <w:noWrap/>
            <w:vAlign w:val="bottom"/>
            <w:hideMark/>
          </w:tcPr>
          <w:p w14:paraId="005463C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0.115***</w:t>
            </w:r>
          </w:p>
        </w:tc>
        <w:tc>
          <w:tcPr>
            <w:tcW w:w="1183" w:type="dxa"/>
            <w:tcBorders>
              <w:top w:val="nil"/>
              <w:left w:val="nil"/>
              <w:bottom w:val="nil"/>
              <w:right w:val="nil"/>
            </w:tcBorders>
            <w:shd w:val="clear" w:color="auto" w:fill="auto"/>
            <w:noWrap/>
            <w:vAlign w:val="bottom"/>
            <w:hideMark/>
          </w:tcPr>
          <w:p w14:paraId="4084A59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0.109***</w:t>
            </w:r>
          </w:p>
        </w:tc>
        <w:tc>
          <w:tcPr>
            <w:tcW w:w="1183" w:type="dxa"/>
            <w:tcBorders>
              <w:top w:val="nil"/>
              <w:left w:val="nil"/>
              <w:bottom w:val="nil"/>
              <w:right w:val="nil"/>
            </w:tcBorders>
            <w:shd w:val="clear" w:color="auto" w:fill="auto"/>
            <w:noWrap/>
            <w:vAlign w:val="bottom"/>
            <w:hideMark/>
          </w:tcPr>
          <w:p w14:paraId="3BD1FCC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0.084**</w:t>
            </w:r>
          </w:p>
        </w:tc>
        <w:tc>
          <w:tcPr>
            <w:tcW w:w="1183" w:type="dxa"/>
            <w:tcBorders>
              <w:top w:val="nil"/>
              <w:left w:val="nil"/>
              <w:bottom w:val="nil"/>
              <w:right w:val="nil"/>
            </w:tcBorders>
            <w:shd w:val="clear" w:color="auto" w:fill="auto"/>
            <w:noWrap/>
            <w:vAlign w:val="bottom"/>
            <w:hideMark/>
          </w:tcPr>
          <w:p w14:paraId="01DA715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0.183***</w:t>
            </w:r>
          </w:p>
        </w:tc>
        <w:tc>
          <w:tcPr>
            <w:tcW w:w="1183" w:type="dxa"/>
            <w:tcBorders>
              <w:top w:val="nil"/>
              <w:left w:val="nil"/>
              <w:bottom w:val="nil"/>
              <w:right w:val="nil"/>
            </w:tcBorders>
            <w:shd w:val="clear" w:color="auto" w:fill="auto"/>
            <w:noWrap/>
            <w:vAlign w:val="bottom"/>
            <w:hideMark/>
          </w:tcPr>
          <w:p w14:paraId="343B392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-0.044</w:t>
            </w:r>
          </w:p>
        </w:tc>
        <w:tc>
          <w:tcPr>
            <w:tcW w:w="1183" w:type="dxa"/>
            <w:tcBorders>
              <w:top w:val="nil"/>
              <w:left w:val="nil"/>
              <w:bottom w:val="nil"/>
              <w:right w:val="nil"/>
            </w:tcBorders>
            <w:shd w:val="clear" w:color="auto" w:fill="auto"/>
            <w:noWrap/>
            <w:vAlign w:val="bottom"/>
            <w:hideMark/>
          </w:tcPr>
          <w:p w14:paraId="5F0B59A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-0.032</w:t>
            </w:r>
          </w:p>
        </w:tc>
        <w:tc>
          <w:tcPr>
            <w:tcW w:w="1183" w:type="dxa"/>
            <w:tcBorders>
              <w:top w:val="nil"/>
              <w:left w:val="nil"/>
              <w:bottom w:val="nil"/>
              <w:right w:val="nil"/>
            </w:tcBorders>
            <w:shd w:val="clear" w:color="auto" w:fill="auto"/>
            <w:noWrap/>
            <w:vAlign w:val="bottom"/>
            <w:hideMark/>
          </w:tcPr>
          <w:p w14:paraId="517AD15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-0.048</w:t>
            </w:r>
          </w:p>
        </w:tc>
        <w:tc>
          <w:tcPr>
            <w:tcW w:w="1183" w:type="dxa"/>
            <w:tcBorders>
              <w:top w:val="nil"/>
              <w:left w:val="nil"/>
              <w:bottom w:val="nil"/>
              <w:right w:val="nil"/>
            </w:tcBorders>
            <w:shd w:val="clear" w:color="auto" w:fill="auto"/>
            <w:noWrap/>
            <w:vAlign w:val="bottom"/>
            <w:hideMark/>
          </w:tcPr>
          <w:p w14:paraId="6FBD5AC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-0.059*</w:t>
            </w:r>
          </w:p>
        </w:tc>
        <w:tc>
          <w:tcPr>
            <w:tcW w:w="1183" w:type="dxa"/>
            <w:tcBorders>
              <w:top w:val="nil"/>
              <w:left w:val="nil"/>
              <w:bottom w:val="nil"/>
              <w:right w:val="nil"/>
            </w:tcBorders>
            <w:shd w:val="clear" w:color="auto" w:fill="auto"/>
            <w:noWrap/>
            <w:vAlign w:val="bottom"/>
            <w:hideMark/>
          </w:tcPr>
          <w:p w14:paraId="4E51822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r>
      <w:tr w:rsidR="0093472B" w:rsidRPr="00C82EE1" w14:paraId="55F91F6F"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3BAD7F7C"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US restrict (13)</w:t>
            </w:r>
          </w:p>
        </w:tc>
        <w:tc>
          <w:tcPr>
            <w:tcW w:w="683" w:type="dxa"/>
            <w:tcBorders>
              <w:top w:val="nil"/>
              <w:left w:val="nil"/>
              <w:bottom w:val="nil"/>
              <w:right w:val="nil"/>
            </w:tcBorders>
            <w:shd w:val="clear" w:color="auto" w:fill="auto"/>
            <w:noWrap/>
            <w:vAlign w:val="bottom"/>
            <w:hideMark/>
          </w:tcPr>
          <w:p w14:paraId="0A00887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-0.017</w:t>
            </w:r>
          </w:p>
        </w:tc>
        <w:tc>
          <w:tcPr>
            <w:tcW w:w="1184" w:type="dxa"/>
            <w:tcBorders>
              <w:top w:val="nil"/>
              <w:left w:val="nil"/>
              <w:bottom w:val="nil"/>
              <w:right w:val="nil"/>
            </w:tcBorders>
            <w:shd w:val="clear" w:color="auto" w:fill="auto"/>
            <w:noWrap/>
            <w:vAlign w:val="bottom"/>
            <w:hideMark/>
          </w:tcPr>
          <w:p w14:paraId="517F536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0.041</w:t>
            </w:r>
          </w:p>
        </w:tc>
        <w:tc>
          <w:tcPr>
            <w:tcW w:w="1184" w:type="dxa"/>
            <w:tcBorders>
              <w:top w:val="nil"/>
              <w:left w:val="nil"/>
              <w:bottom w:val="nil"/>
              <w:right w:val="nil"/>
            </w:tcBorders>
            <w:shd w:val="clear" w:color="auto" w:fill="auto"/>
            <w:noWrap/>
            <w:vAlign w:val="bottom"/>
            <w:hideMark/>
          </w:tcPr>
          <w:p w14:paraId="1CB090E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-0.055</w:t>
            </w:r>
          </w:p>
        </w:tc>
        <w:tc>
          <w:tcPr>
            <w:tcW w:w="1183" w:type="dxa"/>
            <w:tcBorders>
              <w:top w:val="nil"/>
              <w:left w:val="nil"/>
              <w:bottom w:val="nil"/>
              <w:right w:val="nil"/>
            </w:tcBorders>
            <w:shd w:val="clear" w:color="auto" w:fill="auto"/>
            <w:noWrap/>
            <w:vAlign w:val="bottom"/>
            <w:hideMark/>
          </w:tcPr>
          <w:p w14:paraId="3CB2F37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0.141***</w:t>
            </w:r>
          </w:p>
        </w:tc>
        <w:tc>
          <w:tcPr>
            <w:tcW w:w="1183" w:type="dxa"/>
            <w:tcBorders>
              <w:top w:val="nil"/>
              <w:left w:val="nil"/>
              <w:bottom w:val="nil"/>
              <w:right w:val="nil"/>
            </w:tcBorders>
            <w:shd w:val="clear" w:color="auto" w:fill="auto"/>
            <w:noWrap/>
            <w:vAlign w:val="bottom"/>
            <w:hideMark/>
          </w:tcPr>
          <w:p w14:paraId="3833BD8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0.015</w:t>
            </w:r>
          </w:p>
        </w:tc>
        <w:tc>
          <w:tcPr>
            <w:tcW w:w="1183" w:type="dxa"/>
            <w:tcBorders>
              <w:top w:val="nil"/>
              <w:left w:val="nil"/>
              <w:bottom w:val="nil"/>
              <w:right w:val="nil"/>
            </w:tcBorders>
            <w:shd w:val="clear" w:color="auto" w:fill="auto"/>
            <w:noWrap/>
            <w:vAlign w:val="bottom"/>
            <w:hideMark/>
          </w:tcPr>
          <w:p w14:paraId="33FAC9F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0.142***</w:t>
            </w:r>
          </w:p>
        </w:tc>
        <w:tc>
          <w:tcPr>
            <w:tcW w:w="1183" w:type="dxa"/>
            <w:tcBorders>
              <w:top w:val="nil"/>
              <w:left w:val="nil"/>
              <w:bottom w:val="nil"/>
              <w:right w:val="nil"/>
            </w:tcBorders>
            <w:shd w:val="clear" w:color="auto" w:fill="auto"/>
            <w:noWrap/>
            <w:vAlign w:val="bottom"/>
            <w:hideMark/>
          </w:tcPr>
          <w:p w14:paraId="372223F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0.110***</w:t>
            </w:r>
          </w:p>
        </w:tc>
        <w:tc>
          <w:tcPr>
            <w:tcW w:w="1183" w:type="dxa"/>
            <w:tcBorders>
              <w:top w:val="nil"/>
              <w:left w:val="nil"/>
              <w:bottom w:val="nil"/>
              <w:right w:val="nil"/>
            </w:tcBorders>
            <w:shd w:val="clear" w:color="auto" w:fill="auto"/>
            <w:noWrap/>
            <w:vAlign w:val="bottom"/>
            <w:hideMark/>
          </w:tcPr>
          <w:p w14:paraId="33CA15B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-0.018</w:t>
            </w:r>
          </w:p>
        </w:tc>
        <w:tc>
          <w:tcPr>
            <w:tcW w:w="1183" w:type="dxa"/>
            <w:tcBorders>
              <w:top w:val="nil"/>
              <w:left w:val="nil"/>
              <w:bottom w:val="nil"/>
              <w:right w:val="nil"/>
            </w:tcBorders>
            <w:shd w:val="clear" w:color="auto" w:fill="auto"/>
            <w:noWrap/>
            <w:vAlign w:val="bottom"/>
            <w:hideMark/>
          </w:tcPr>
          <w:p w14:paraId="6AAFF1A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-0.043</w:t>
            </w:r>
          </w:p>
        </w:tc>
        <w:tc>
          <w:tcPr>
            <w:tcW w:w="1183" w:type="dxa"/>
            <w:tcBorders>
              <w:top w:val="nil"/>
              <w:left w:val="nil"/>
              <w:bottom w:val="nil"/>
              <w:right w:val="nil"/>
            </w:tcBorders>
            <w:shd w:val="clear" w:color="auto" w:fill="auto"/>
            <w:noWrap/>
            <w:vAlign w:val="bottom"/>
            <w:hideMark/>
          </w:tcPr>
          <w:p w14:paraId="7AD6B49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-0.145***</w:t>
            </w:r>
          </w:p>
        </w:tc>
        <w:tc>
          <w:tcPr>
            <w:tcW w:w="1183" w:type="dxa"/>
            <w:tcBorders>
              <w:top w:val="nil"/>
              <w:left w:val="nil"/>
              <w:bottom w:val="nil"/>
              <w:right w:val="nil"/>
            </w:tcBorders>
            <w:shd w:val="clear" w:color="auto" w:fill="auto"/>
            <w:noWrap/>
            <w:vAlign w:val="bottom"/>
            <w:hideMark/>
          </w:tcPr>
          <w:p w14:paraId="19DBCB2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-0.014</w:t>
            </w:r>
          </w:p>
        </w:tc>
        <w:tc>
          <w:tcPr>
            <w:tcW w:w="1183" w:type="dxa"/>
            <w:tcBorders>
              <w:top w:val="nil"/>
              <w:left w:val="nil"/>
              <w:bottom w:val="nil"/>
              <w:right w:val="nil"/>
            </w:tcBorders>
            <w:shd w:val="clear" w:color="auto" w:fill="auto"/>
            <w:noWrap/>
            <w:vAlign w:val="bottom"/>
            <w:hideMark/>
          </w:tcPr>
          <w:p w14:paraId="200E0C4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0.099***</w:t>
            </w:r>
          </w:p>
        </w:tc>
      </w:tr>
      <w:tr w:rsidR="0093472B" w:rsidRPr="00C82EE1" w14:paraId="25575B56"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5137CEE6"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Social media (14)</w:t>
            </w:r>
          </w:p>
        </w:tc>
        <w:tc>
          <w:tcPr>
            <w:tcW w:w="683" w:type="dxa"/>
            <w:tcBorders>
              <w:top w:val="nil"/>
              <w:left w:val="nil"/>
              <w:bottom w:val="nil"/>
              <w:right w:val="nil"/>
            </w:tcBorders>
            <w:shd w:val="clear" w:color="auto" w:fill="auto"/>
            <w:noWrap/>
            <w:vAlign w:val="bottom"/>
            <w:hideMark/>
          </w:tcPr>
          <w:p w14:paraId="650924C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-0.055</w:t>
            </w:r>
          </w:p>
        </w:tc>
        <w:tc>
          <w:tcPr>
            <w:tcW w:w="1184" w:type="dxa"/>
            <w:tcBorders>
              <w:top w:val="nil"/>
              <w:left w:val="nil"/>
              <w:bottom w:val="nil"/>
              <w:right w:val="nil"/>
            </w:tcBorders>
            <w:shd w:val="clear" w:color="auto" w:fill="auto"/>
            <w:noWrap/>
            <w:vAlign w:val="bottom"/>
            <w:hideMark/>
          </w:tcPr>
          <w:p w14:paraId="2AD483E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0.069*</w:t>
            </w:r>
          </w:p>
        </w:tc>
        <w:tc>
          <w:tcPr>
            <w:tcW w:w="1184" w:type="dxa"/>
            <w:tcBorders>
              <w:top w:val="nil"/>
              <w:left w:val="nil"/>
              <w:bottom w:val="nil"/>
              <w:right w:val="nil"/>
            </w:tcBorders>
            <w:shd w:val="clear" w:color="auto" w:fill="auto"/>
            <w:noWrap/>
            <w:vAlign w:val="bottom"/>
            <w:hideMark/>
          </w:tcPr>
          <w:p w14:paraId="35D4920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-0.031</w:t>
            </w:r>
          </w:p>
        </w:tc>
        <w:tc>
          <w:tcPr>
            <w:tcW w:w="1183" w:type="dxa"/>
            <w:tcBorders>
              <w:top w:val="nil"/>
              <w:left w:val="nil"/>
              <w:bottom w:val="nil"/>
              <w:right w:val="nil"/>
            </w:tcBorders>
            <w:shd w:val="clear" w:color="auto" w:fill="auto"/>
            <w:noWrap/>
            <w:vAlign w:val="bottom"/>
            <w:hideMark/>
          </w:tcPr>
          <w:p w14:paraId="36F1F17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0.148***</w:t>
            </w:r>
          </w:p>
        </w:tc>
        <w:tc>
          <w:tcPr>
            <w:tcW w:w="1183" w:type="dxa"/>
            <w:tcBorders>
              <w:top w:val="nil"/>
              <w:left w:val="nil"/>
              <w:bottom w:val="nil"/>
              <w:right w:val="nil"/>
            </w:tcBorders>
            <w:shd w:val="clear" w:color="auto" w:fill="auto"/>
            <w:noWrap/>
            <w:vAlign w:val="bottom"/>
            <w:hideMark/>
          </w:tcPr>
          <w:p w14:paraId="7AC9A93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0.068*</w:t>
            </w:r>
          </w:p>
        </w:tc>
        <w:tc>
          <w:tcPr>
            <w:tcW w:w="1183" w:type="dxa"/>
            <w:tcBorders>
              <w:top w:val="nil"/>
              <w:left w:val="nil"/>
              <w:bottom w:val="nil"/>
              <w:right w:val="nil"/>
            </w:tcBorders>
            <w:shd w:val="clear" w:color="auto" w:fill="auto"/>
            <w:noWrap/>
            <w:vAlign w:val="bottom"/>
            <w:hideMark/>
          </w:tcPr>
          <w:p w14:paraId="256E73C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0.146***</w:t>
            </w:r>
          </w:p>
        </w:tc>
        <w:tc>
          <w:tcPr>
            <w:tcW w:w="1183" w:type="dxa"/>
            <w:tcBorders>
              <w:top w:val="nil"/>
              <w:left w:val="nil"/>
              <w:bottom w:val="nil"/>
              <w:right w:val="nil"/>
            </w:tcBorders>
            <w:shd w:val="clear" w:color="auto" w:fill="auto"/>
            <w:noWrap/>
            <w:vAlign w:val="bottom"/>
            <w:hideMark/>
          </w:tcPr>
          <w:p w14:paraId="195CABC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0.100***</w:t>
            </w:r>
          </w:p>
        </w:tc>
        <w:tc>
          <w:tcPr>
            <w:tcW w:w="1183" w:type="dxa"/>
            <w:tcBorders>
              <w:top w:val="nil"/>
              <w:left w:val="nil"/>
              <w:bottom w:val="nil"/>
              <w:right w:val="nil"/>
            </w:tcBorders>
            <w:shd w:val="clear" w:color="auto" w:fill="auto"/>
            <w:noWrap/>
            <w:vAlign w:val="bottom"/>
            <w:hideMark/>
          </w:tcPr>
          <w:p w14:paraId="1336CF4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-0.010</w:t>
            </w:r>
          </w:p>
        </w:tc>
        <w:tc>
          <w:tcPr>
            <w:tcW w:w="1183" w:type="dxa"/>
            <w:tcBorders>
              <w:top w:val="nil"/>
              <w:left w:val="nil"/>
              <w:bottom w:val="nil"/>
              <w:right w:val="nil"/>
            </w:tcBorders>
            <w:shd w:val="clear" w:color="auto" w:fill="auto"/>
            <w:noWrap/>
            <w:vAlign w:val="bottom"/>
            <w:hideMark/>
          </w:tcPr>
          <w:p w14:paraId="38B9C1E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0.008</w:t>
            </w:r>
          </w:p>
        </w:tc>
        <w:tc>
          <w:tcPr>
            <w:tcW w:w="1183" w:type="dxa"/>
            <w:tcBorders>
              <w:top w:val="nil"/>
              <w:left w:val="nil"/>
              <w:bottom w:val="nil"/>
              <w:right w:val="nil"/>
            </w:tcBorders>
            <w:shd w:val="clear" w:color="auto" w:fill="auto"/>
            <w:noWrap/>
            <w:vAlign w:val="bottom"/>
            <w:hideMark/>
          </w:tcPr>
          <w:p w14:paraId="4950E48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-0.144***</w:t>
            </w:r>
          </w:p>
        </w:tc>
        <w:tc>
          <w:tcPr>
            <w:tcW w:w="1183" w:type="dxa"/>
            <w:tcBorders>
              <w:top w:val="nil"/>
              <w:left w:val="nil"/>
              <w:bottom w:val="nil"/>
              <w:right w:val="nil"/>
            </w:tcBorders>
            <w:shd w:val="clear" w:color="auto" w:fill="auto"/>
            <w:noWrap/>
            <w:vAlign w:val="bottom"/>
            <w:hideMark/>
          </w:tcPr>
          <w:p w14:paraId="3F5CFE6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-0.020</w:t>
            </w:r>
          </w:p>
        </w:tc>
        <w:tc>
          <w:tcPr>
            <w:tcW w:w="1183" w:type="dxa"/>
            <w:tcBorders>
              <w:top w:val="nil"/>
              <w:left w:val="nil"/>
              <w:bottom w:val="nil"/>
              <w:right w:val="nil"/>
            </w:tcBorders>
            <w:shd w:val="clear" w:color="auto" w:fill="auto"/>
            <w:noWrap/>
            <w:vAlign w:val="bottom"/>
            <w:hideMark/>
          </w:tcPr>
          <w:p w14:paraId="6D9918B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-0.002</w:t>
            </w:r>
          </w:p>
        </w:tc>
      </w:tr>
      <w:tr w:rsidR="0093472B" w:rsidRPr="00C82EE1" w14:paraId="7F07C055"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2357C723"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Eth (15)</w:t>
            </w:r>
          </w:p>
        </w:tc>
        <w:tc>
          <w:tcPr>
            <w:tcW w:w="683" w:type="dxa"/>
            <w:tcBorders>
              <w:top w:val="nil"/>
              <w:left w:val="nil"/>
              <w:bottom w:val="nil"/>
              <w:right w:val="nil"/>
            </w:tcBorders>
            <w:shd w:val="clear" w:color="auto" w:fill="auto"/>
            <w:noWrap/>
            <w:vAlign w:val="bottom"/>
            <w:hideMark/>
          </w:tcPr>
          <w:p w14:paraId="797F5BD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-0.023</w:t>
            </w:r>
          </w:p>
        </w:tc>
        <w:tc>
          <w:tcPr>
            <w:tcW w:w="1184" w:type="dxa"/>
            <w:tcBorders>
              <w:top w:val="nil"/>
              <w:left w:val="nil"/>
              <w:bottom w:val="nil"/>
              <w:right w:val="nil"/>
            </w:tcBorders>
            <w:shd w:val="clear" w:color="auto" w:fill="auto"/>
            <w:noWrap/>
            <w:vAlign w:val="bottom"/>
            <w:hideMark/>
          </w:tcPr>
          <w:p w14:paraId="25F2FD9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-0.031</w:t>
            </w:r>
          </w:p>
        </w:tc>
        <w:tc>
          <w:tcPr>
            <w:tcW w:w="1184" w:type="dxa"/>
            <w:tcBorders>
              <w:top w:val="nil"/>
              <w:left w:val="nil"/>
              <w:bottom w:val="nil"/>
              <w:right w:val="nil"/>
            </w:tcBorders>
            <w:shd w:val="clear" w:color="auto" w:fill="auto"/>
            <w:noWrap/>
            <w:vAlign w:val="bottom"/>
            <w:hideMark/>
          </w:tcPr>
          <w:p w14:paraId="75F6F2B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-0.095**</w:t>
            </w:r>
          </w:p>
        </w:tc>
        <w:tc>
          <w:tcPr>
            <w:tcW w:w="1183" w:type="dxa"/>
            <w:tcBorders>
              <w:top w:val="nil"/>
              <w:left w:val="nil"/>
              <w:bottom w:val="nil"/>
              <w:right w:val="nil"/>
            </w:tcBorders>
            <w:shd w:val="clear" w:color="auto" w:fill="auto"/>
            <w:noWrap/>
            <w:vAlign w:val="bottom"/>
            <w:hideMark/>
          </w:tcPr>
          <w:p w14:paraId="1DC9B85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0.064*</w:t>
            </w:r>
          </w:p>
        </w:tc>
        <w:tc>
          <w:tcPr>
            <w:tcW w:w="1183" w:type="dxa"/>
            <w:tcBorders>
              <w:top w:val="nil"/>
              <w:left w:val="nil"/>
              <w:bottom w:val="nil"/>
              <w:right w:val="nil"/>
            </w:tcBorders>
            <w:shd w:val="clear" w:color="auto" w:fill="auto"/>
            <w:noWrap/>
            <w:vAlign w:val="bottom"/>
            <w:hideMark/>
          </w:tcPr>
          <w:p w14:paraId="5EB27AA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0.050</w:t>
            </w:r>
          </w:p>
        </w:tc>
        <w:tc>
          <w:tcPr>
            <w:tcW w:w="1183" w:type="dxa"/>
            <w:tcBorders>
              <w:top w:val="nil"/>
              <w:left w:val="nil"/>
              <w:bottom w:val="nil"/>
              <w:right w:val="nil"/>
            </w:tcBorders>
            <w:shd w:val="clear" w:color="auto" w:fill="auto"/>
            <w:noWrap/>
            <w:vAlign w:val="bottom"/>
            <w:hideMark/>
          </w:tcPr>
          <w:p w14:paraId="00188C0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0.079**</w:t>
            </w:r>
          </w:p>
        </w:tc>
        <w:tc>
          <w:tcPr>
            <w:tcW w:w="1183" w:type="dxa"/>
            <w:tcBorders>
              <w:top w:val="nil"/>
              <w:left w:val="nil"/>
              <w:bottom w:val="nil"/>
              <w:right w:val="nil"/>
            </w:tcBorders>
            <w:shd w:val="clear" w:color="auto" w:fill="auto"/>
            <w:noWrap/>
            <w:vAlign w:val="bottom"/>
            <w:hideMark/>
          </w:tcPr>
          <w:p w14:paraId="48C17C5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0.002</w:t>
            </w:r>
          </w:p>
        </w:tc>
        <w:tc>
          <w:tcPr>
            <w:tcW w:w="1183" w:type="dxa"/>
            <w:tcBorders>
              <w:top w:val="nil"/>
              <w:left w:val="nil"/>
              <w:bottom w:val="nil"/>
              <w:right w:val="nil"/>
            </w:tcBorders>
            <w:shd w:val="clear" w:color="auto" w:fill="auto"/>
            <w:noWrap/>
            <w:vAlign w:val="bottom"/>
            <w:hideMark/>
          </w:tcPr>
          <w:p w14:paraId="41CC7A4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-0.020</w:t>
            </w:r>
          </w:p>
        </w:tc>
        <w:tc>
          <w:tcPr>
            <w:tcW w:w="1183" w:type="dxa"/>
            <w:tcBorders>
              <w:top w:val="nil"/>
              <w:left w:val="nil"/>
              <w:bottom w:val="nil"/>
              <w:right w:val="nil"/>
            </w:tcBorders>
            <w:shd w:val="clear" w:color="auto" w:fill="auto"/>
            <w:noWrap/>
            <w:vAlign w:val="bottom"/>
            <w:hideMark/>
          </w:tcPr>
          <w:p w14:paraId="5C7C381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-0.012</w:t>
            </w:r>
          </w:p>
        </w:tc>
        <w:tc>
          <w:tcPr>
            <w:tcW w:w="1183" w:type="dxa"/>
            <w:tcBorders>
              <w:top w:val="nil"/>
              <w:left w:val="nil"/>
              <w:bottom w:val="nil"/>
              <w:right w:val="nil"/>
            </w:tcBorders>
            <w:shd w:val="clear" w:color="auto" w:fill="auto"/>
            <w:noWrap/>
            <w:vAlign w:val="bottom"/>
            <w:hideMark/>
          </w:tcPr>
          <w:p w14:paraId="2480573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-0.054</w:t>
            </w:r>
          </w:p>
        </w:tc>
        <w:tc>
          <w:tcPr>
            <w:tcW w:w="1183" w:type="dxa"/>
            <w:tcBorders>
              <w:top w:val="nil"/>
              <w:left w:val="nil"/>
              <w:bottom w:val="nil"/>
              <w:right w:val="nil"/>
            </w:tcBorders>
            <w:shd w:val="clear" w:color="auto" w:fill="auto"/>
            <w:noWrap/>
            <w:vAlign w:val="bottom"/>
            <w:hideMark/>
          </w:tcPr>
          <w:p w14:paraId="6A9FC8A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-0.080**</w:t>
            </w:r>
          </w:p>
        </w:tc>
        <w:tc>
          <w:tcPr>
            <w:tcW w:w="1183" w:type="dxa"/>
            <w:tcBorders>
              <w:top w:val="nil"/>
              <w:left w:val="nil"/>
              <w:bottom w:val="nil"/>
              <w:right w:val="nil"/>
            </w:tcBorders>
            <w:shd w:val="clear" w:color="auto" w:fill="auto"/>
            <w:noWrap/>
            <w:vAlign w:val="bottom"/>
            <w:hideMark/>
          </w:tcPr>
          <w:p w14:paraId="0EE1946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0.018</w:t>
            </w:r>
          </w:p>
        </w:tc>
      </w:tr>
      <w:tr w:rsidR="0093472B" w:rsidRPr="00C82EE1" w14:paraId="102F6557"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676A798F"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Video (16)</w:t>
            </w:r>
          </w:p>
        </w:tc>
        <w:tc>
          <w:tcPr>
            <w:tcW w:w="683" w:type="dxa"/>
            <w:tcBorders>
              <w:top w:val="nil"/>
              <w:left w:val="nil"/>
              <w:bottom w:val="nil"/>
              <w:right w:val="nil"/>
            </w:tcBorders>
            <w:shd w:val="clear" w:color="auto" w:fill="auto"/>
            <w:noWrap/>
            <w:vAlign w:val="bottom"/>
            <w:hideMark/>
          </w:tcPr>
          <w:p w14:paraId="7AC6466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0.039</w:t>
            </w:r>
          </w:p>
        </w:tc>
        <w:tc>
          <w:tcPr>
            <w:tcW w:w="1184" w:type="dxa"/>
            <w:tcBorders>
              <w:top w:val="nil"/>
              <w:left w:val="nil"/>
              <w:bottom w:val="nil"/>
              <w:right w:val="nil"/>
            </w:tcBorders>
            <w:shd w:val="clear" w:color="auto" w:fill="auto"/>
            <w:noWrap/>
            <w:vAlign w:val="bottom"/>
            <w:hideMark/>
          </w:tcPr>
          <w:p w14:paraId="2386D28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0.085**</w:t>
            </w:r>
          </w:p>
        </w:tc>
        <w:tc>
          <w:tcPr>
            <w:tcW w:w="1184" w:type="dxa"/>
            <w:tcBorders>
              <w:top w:val="nil"/>
              <w:left w:val="nil"/>
              <w:bottom w:val="nil"/>
              <w:right w:val="nil"/>
            </w:tcBorders>
            <w:shd w:val="clear" w:color="auto" w:fill="auto"/>
            <w:noWrap/>
            <w:vAlign w:val="bottom"/>
            <w:hideMark/>
          </w:tcPr>
          <w:p w14:paraId="06465BA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0.040</w:t>
            </w:r>
          </w:p>
        </w:tc>
        <w:tc>
          <w:tcPr>
            <w:tcW w:w="1183" w:type="dxa"/>
            <w:tcBorders>
              <w:top w:val="nil"/>
              <w:left w:val="nil"/>
              <w:bottom w:val="nil"/>
              <w:right w:val="nil"/>
            </w:tcBorders>
            <w:shd w:val="clear" w:color="auto" w:fill="auto"/>
            <w:noWrap/>
            <w:vAlign w:val="bottom"/>
            <w:hideMark/>
          </w:tcPr>
          <w:p w14:paraId="5436153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0.198***</w:t>
            </w:r>
          </w:p>
        </w:tc>
        <w:tc>
          <w:tcPr>
            <w:tcW w:w="1183" w:type="dxa"/>
            <w:tcBorders>
              <w:top w:val="nil"/>
              <w:left w:val="nil"/>
              <w:bottom w:val="nil"/>
              <w:right w:val="nil"/>
            </w:tcBorders>
            <w:shd w:val="clear" w:color="auto" w:fill="auto"/>
            <w:noWrap/>
            <w:vAlign w:val="bottom"/>
            <w:hideMark/>
          </w:tcPr>
          <w:p w14:paraId="39D9B8A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0.066*</w:t>
            </w:r>
          </w:p>
        </w:tc>
        <w:tc>
          <w:tcPr>
            <w:tcW w:w="1183" w:type="dxa"/>
            <w:tcBorders>
              <w:top w:val="nil"/>
              <w:left w:val="nil"/>
              <w:bottom w:val="nil"/>
              <w:right w:val="nil"/>
            </w:tcBorders>
            <w:shd w:val="clear" w:color="auto" w:fill="auto"/>
            <w:noWrap/>
            <w:vAlign w:val="bottom"/>
            <w:hideMark/>
          </w:tcPr>
          <w:p w14:paraId="708CA87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0.189***</w:t>
            </w:r>
          </w:p>
        </w:tc>
        <w:tc>
          <w:tcPr>
            <w:tcW w:w="1183" w:type="dxa"/>
            <w:tcBorders>
              <w:top w:val="nil"/>
              <w:left w:val="nil"/>
              <w:bottom w:val="nil"/>
              <w:right w:val="nil"/>
            </w:tcBorders>
            <w:shd w:val="clear" w:color="auto" w:fill="auto"/>
            <w:noWrap/>
            <w:vAlign w:val="bottom"/>
            <w:hideMark/>
          </w:tcPr>
          <w:p w14:paraId="5F26DA7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0.173***</w:t>
            </w:r>
          </w:p>
        </w:tc>
        <w:tc>
          <w:tcPr>
            <w:tcW w:w="1183" w:type="dxa"/>
            <w:tcBorders>
              <w:top w:val="nil"/>
              <w:left w:val="nil"/>
              <w:bottom w:val="nil"/>
              <w:right w:val="nil"/>
            </w:tcBorders>
            <w:shd w:val="clear" w:color="auto" w:fill="auto"/>
            <w:noWrap/>
            <w:vAlign w:val="bottom"/>
            <w:hideMark/>
          </w:tcPr>
          <w:p w14:paraId="70987C0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-0.040</w:t>
            </w:r>
          </w:p>
        </w:tc>
        <w:tc>
          <w:tcPr>
            <w:tcW w:w="1183" w:type="dxa"/>
            <w:tcBorders>
              <w:top w:val="nil"/>
              <w:left w:val="nil"/>
              <w:bottom w:val="nil"/>
              <w:right w:val="nil"/>
            </w:tcBorders>
            <w:shd w:val="clear" w:color="auto" w:fill="auto"/>
            <w:noWrap/>
            <w:vAlign w:val="bottom"/>
            <w:hideMark/>
          </w:tcPr>
          <w:p w14:paraId="24DAB5C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-0.038</w:t>
            </w:r>
          </w:p>
        </w:tc>
        <w:tc>
          <w:tcPr>
            <w:tcW w:w="1183" w:type="dxa"/>
            <w:tcBorders>
              <w:top w:val="nil"/>
              <w:left w:val="nil"/>
              <w:bottom w:val="nil"/>
              <w:right w:val="nil"/>
            </w:tcBorders>
            <w:shd w:val="clear" w:color="auto" w:fill="auto"/>
            <w:noWrap/>
            <w:vAlign w:val="bottom"/>
            <w:hideMark/>
          </w:tcPr>
          <w:p w14:paraId="757BF40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-0.164***</w:t>
            </w:r>
          </w:p>
        </w:tc>
        <w:tc>
          <w:tcPr>
            <w:tcW w:w="1183" w:type="dxa"/>
            <w:tcBorders>
              <w:top w:val="nil"/>
              <w:left w:val="nil"/>
              <w:bottom w:val="nil"/>
              <w:right w:val="nil"/>
            </w:tcBorders>
            <w:shd w:val="clear" w:color="auto" w:fill="auto"/>
            <w:noWrap/>
            <w:vAlign w:val="bottom"/>
            <w:hideMark/>
          </w:tcPr>
          <w:p w14:paraId="2F4E540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-0.002</w:t>
            </w:r>
          </w:p>
        </w:tc>
        <w:tc>
          <w:tcPr>
            <w:tcW w:w="1183" w:type="dxa"/>
            <w:tcBorders>
              <w:top w:val="nil"/>
              <w:left w:val="nil"/>
              <w:bottom w:val="nil"/>
              <w:right w:val="nil"/>
            </w:tcBorders>
            <w:shd w:val="clear" w:color="auto" w:fill="auto"/>
            <w:noWrap/>
            <w:vAlign w:val="bottom"/>
            <w:hideMark/>
          </w:tcPr>
          <w:p w14:paraId="6AF9E76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0.021</w:t>
            </w:r>
          </w:p>
        </w:tc>
      </w:tr>
      <w:tr w:rsidR="0093472B" w:rsidRPr="00C82EE1" w14:paraId="5D1E1F73"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054F6518"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Token distribution (17)</w:t>
            </w:r>
          </w:p>
        </w:tc>
        <w:tc>
          <w:tcPr>
            <w:tcW w:w="683" w:type="dxa"/>
            <w:tcBorders>
              <w:top w:val="nil"/>
              <w:left w:val="nil"/>
              <w:bottom w:val="nil"/>
              <w:right w:val="nil"/>
            </w:tcBorders>
            <w:shd w:val="clear" w:color="auto" w:fill="auto"/>
            <w:noWrap/>
            <w:vAlign w:val="bottom"/>
            <w:hideMark/>
          </w:tcPr>
          <w:p w14:paraId="51E5FCD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-0.011</w:t>
            </w:r>
          </w:p>
        </w:tc>
        <w:tc>
          <w:tcPr>
            <w:tcW w:w="1184" w:type="dxa"/>
            <w:tcBorders>
              <w:top w:val="nil"/>
              <w:left w:val="nil"/>
              <w:bottom w:val="nil"/>
              <w:right w:val="nil"/>
            </w:tcBorders>
            <w:shd w:val="clear" w:color="auto" w:fill="auto"/>
            <w:noWrap/>
            <w:vAlign w:val="bottom"/>
            <w:hideMark/>
          </w:tcPr>
          <w:p w14:paraId="7F20D97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0.052</w:t>
            </w:r>
          </w:p>
        </w:tc>
        <w:tc>
          <w:tcPr>
            <w:tcW w:w="1184" w:type="dxa"/>
            <w:tcBorders>
              <w:top w:val="nil"/>
              <w:left w:val="nil"/>
              <w:bottom w:val="nil"/>
              <w:right w:val="nil"/>
            </w:tcBorders>
            <w:shd w:val="clear" w:color="auto" w:fill="auto"/>
            <w:noWrap/>
            <w:vAlign w:val="bottom"/>
            <w:hideMark/>
          </w:tcPr>
          <w:p w14:paraId="2A4431A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-0.044</w:t>
            </w:r>
          </w:p>
        </w:tc>
        <w:tc>
          <w:tcPr>
            <w:tcW w:w="1183" w:type="dxa"/>
            <w:tcBorders>
              <w:top w:val="nil"/>
              <w:left w:val="nil"/>
              <w:bottom w:val="nil"/>
              <w:right w:val="nil"/>
            </w:tcBorders>
            <w:shd w:val="clear" w:color="auto" w:fill="auto"/>
            <w:noWrap/>
            <w:vAlign w:val="bottom"/>
            <w:hideMark/>
          </w:tcPr>
          <w:p w14:paraId="1532AC9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0.072*</w:t>
            </w:r>
          </w:p>
        </w:tc>
        <w:tc>
          <w:tcPr>
            <w:tcW w:w="1183" w:type="dxa"/>
            <w:tcBorders>
              <w:top w:val="nil"/>
              <w:left w:val="nil"/>
              <w:bottom w:val="nil"/>
              <w:right w:val="nil"/>
            </w:tcBorders>
            <w:shd w:val="clear" w:color="auto" w:fill="auto"/>
            <w:noWrap/>
            <w:vAlign w:val="bottom"/>
            <w:hideMark/>
          </w:tcPr>
          <w:p w14:paraId="5412EDA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-0.013</w:t>
            </w:r>
          </w:p>
        </w:tc>
        <w:tc>
          <w:tcPr>
            <w:tcW w:w="1183" w:type="dxa"/>
            <w:tcBorders>
              <w:top w:val="nil"/>
              <w:left w:val="nil"/>
              <w:bottom w:val="nil"/>
              <w:right w:val="nil"/>
            </w:tcBorders>
            <w:shd w:val="clear" w:color="auto" w:fill="auto"/>
            <w:noWrap/>
            <w:vAlign w:val="bottom"/>
            <w:hideMark/>
          </w:tcPr>
          <w:p w14:paraId="7534C5C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0.067*</w:t>
            </w:r>
          </w:p>
        </w:tc>
        <w:tc>
          <w:tcPr>
            <w:tcW w:w="1183" w:type="dxa"/>
            <w:tcBorders>
              <w:top w:val="nil"/>
              <w:left w:val="nil"/>
              <w:bottom w:val="nil"/>
              <w:right w:val="nil"/>
            </w:tcBorders>
            <w:shd w:val="clear" w:color="auto" w:fill="auto"/>
            <w:noWrap/>
            <w:vAlign w:val="bottom"/>
            <w:hideMark/>
          </w:tcPr>
          <w:p w14:paraId="0493A15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0.060*</w:t>
            </w:r>
          </w:p>
        </w:tc>
        <w:tc>
          <w:tcPr>
            <w:tcW w:w="1183" w:type="dxa"/>
            <w:tcBorders>
              <w:top w:val="nil"/>
              <w:left w:val="nil"/>
              <w:bottom w:val="nil"/>
              <w:right w:val="nil"/>
            </w:tcBorders>
            <w:shd w:val="clear" w:color="auto" w:fill="auto"/>
            <w:noWrap/>
            <w:vAlign w:val="bottom"/>
            <w:hideMark/>
          </w:tcPr>
          <w:p w14:paraId="2EA1FFE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0.004</w:t>
            </w:r>
          </w:p>
        </w:tc>
        <w:tc>
          <w:tcPr>
            <w:tcW w:w="1183" w:type="dxa"/>
            <w:tcBorders>
              <w:top w:val="nil"/>
              <w:left w:val="nil"/>
              <w:bottom w:val="nil"/>
              <w:right w:val="nil"/>
            </w:tcBorders>
            <w:shd w:val="clear" w:color="auto" w:fill="auto"/>
            <w:noWrap/>
            <w:vAlign w:val="bottom"/>
            <w:hideMark/>
          </w:tcPr>
          <w:p w14:paraId="17E2B3E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0.005</w:t>
            </w:r>
          </w:p>
        </w:tc>
        <w:tc>
          <w:tcPr>
            <w:tcW w:w="1183" w:type="dxa"/>
            <w:tcBorders>
              <w:top w:val="nil"/>
              <w:left w:val="nil"/>
              <w:bottom w:val="nil"/>
              <w:right w:val="nil"/>
            </w:tcBorders>
            <w:shd w:val="clear" w:color="auto" w:fill="auto"/>
            <w:noWrap/>
            <w:vAlign w:val="bottom"/>
            <w:hideMark/>
          </w:tcPr>
          <w:p w14:paraId="6F1BA7B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-0.078**</w:t>
            </w:r>
          </w:p>
        </w:tc>
        <w:tc>
          <w:tcPr>
            <w:tcW w:w="1183" w:type="dxa"/>
            <w:tcBorders>
              <w:top w:val="nil"/>
              <w:left w:val="nil"/>
              <w:bottom w:val="nil"/>
              <w:right w:val="nil"/>
            </w:tcBorders>
            <w:shd w:val="clear" w:color="auto" w:fill="auto"/>
            <w:noWrap/>
            <w:vAlign w:val="bottom"/>
            <w:hideMark/>
          </w:tcPr>
          <w:p w14:paraId="12FDDD5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-0.044</w:t>
            </w:r>
          </w:p>
        </w:tc>
        <w:tc>
          <w:tcPr>
            <w:tcW w:w="1183" w:type="dxa"/>
            <w:tcBorders>
              <w:top w:val="nil"/>
              <w:left w:val="nil"/>
              <w:bottom w:val="nil"/>
              <w:right w:val="nil"/>
            </w:tcBorders>
            <w:shd w:val="clear" w:color="auto" w:fill="auto"/>
            <w:noWrap/>
            <w:vAlign w:val="bottom"/>
            <w:hideMark/>
          </w:tcPr>
          <w:p w14:paraId="30202AF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0.010</w:t>
            </w:r>
          </w:p>
        </w:tc>
      </w:tr>
      <w:tr w:rsidR="0093472B" w:rsidRPr="00C82EE1" w14:paraId="3D62C689"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67A95C10"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Minimum investment (18)</w:t>
            </w:r>
          </w:p>
        </w:tc>
        <w:tc>
          <w:tcPr>
            <w:tcW w:w="683" w:type="dxa"/>
            <w:tcBorders>
              <w:top w:val="nil"/>
              <w:left w:val="nil"/>
              <w:bottom w:val="nil"/>
              <w:right w:val="nil"/>
            </w:tcBorders>
            <w:shd w:val="clear" w:color="auto" w:fill="auto"/>
            <w:noWrap/>
            <w:vAlign w:val="bottom"/>
            <w:hideMark/>
          </w:tcPr>
          <w:p w14:paraId="673DB11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-0.032</w:t>
            </w:r>
          </w:p>
        </w:tc>
        <w:tc>
          <w:tcPr>
            <w:tcW w:w="1184" w:type="dxa"/>
            <w:tcBorders>
              <w:top w:val="nil"/>
              <w:left w:val="nil"/>
              <w:bottom w:val="nil"/>
              <w:right w:val="nil"/>
            </w:tcBorders>
            <w:shd w:val="clear" w:color="auto" w:fill="auto"/>
            <w:noWrap/>
            <w:vAlign w:val="bottom"/>
            <w:hideMark/>
          </w:tcPr>
          <w:p w14:paraId="44C0CDE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-0.019</w:t>
            </w:r>
          </w:p>
        </w:tc>
        <w:tc>
          <w:tcPr>
            <w:tcW w:w="1184" w:type="dxa"/>
            <w:tcBorders>
              <w:top w:val="nil"/>
              <w:left w:val="nil"/>
              <w:bottom w:val="nil"/>
              <w:right w:val="nil"/>
            </w:tcBorders>
            <w:shd w:val="clear" w:color="auto" w:fill="auto"/>
            <w:noWrap/>
            <w:vAlign w:val="bottom"/>
            <w:hideMark/>
          </w:tcPr>
          <w:p w14:paraId="33A7D00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-0.088**</w:t>
            </w:r>
          </w:p>
        </w:tc>
        <w:tc>
          <w:tcPr>
            <w:tcW w:w="1183" w:type="dxa"/>
            <w:tcBorders>
              <w:top w:val="nil"/>
              <w:left w:val="nil"/>
              <w:bottom w:val="nil"/>
              <w:right w:val="nil"/>
            </w:tcBorders>
            <w:shd w:val="clear" w:color="auto" w:fill="auto"/>
            <w:noWrap/>
            <w:vAlign w:val="bottom"/>
            <w:hideMark/>
          </w:tcPr>
          <w:p w14:paraId="47E3ECA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0.092**</w:t>
            </w:r>
          </w:p>
        </w:tc>
        <w:tc>
          <w:tcPr>
            <w:tcW w:w="1183" w:type="dxa"/>
            <w:tcBorders>
              <w:top w:val="nil"/>
              <w:left w:val="nil"/>
              <w:bottom w:val="nil"/>
              <w:right w:val="nil"/>
            </w:tcBorders>
            <w:shd w:val="clear" w:color="auto" w:fill="auto"/>
            <w:noWrap/>
            <w:vAlign w:val="bottom"/>
            <w:hideMark/>
          </w:tcPr>
          <w:p w14:paraId="0DFB0CF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0.027</w:t>
            </w:r>
          </w:p>
        </w:tc>
        <w:tc>
          <w:tcPr>
            <w:tcW w:w="1183" w:type="dxa"/>
            <w:tcBorders>
              <w:top w:val="nil"/>
              <w:left w:val="nil"/>
              <w:bottom w:val="nil"/>
              <w:right w:val="nil"/>
            </w:tcBorders>
            <w:shd w:val="clear" w:color="auto" w:fill="auto"/>
            <w:noWrap/>
            <w:vAlign w:val="bottom"/>
            <w:hideMark/>
          </w:tcPr>
          <w:p w14:paraId="732D96C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0.095**</w:t>
            </w:r>
          </w:p>
        </w:tc>
        <w:tc>
          <w:tcPr>
            <w:tcW w:w="1183" w:type="dxa"/>
            <w:tcBorders>
              <w:top w:val="nil"/>
              <w:left w:val="nil"/>
              <w:bottom w:val="nil"/>
              <w:right w:val="nil"/>
            </w:tcBorders>
            <w:shd w:val="clear" w:color="auto" w:fill="auto"/>
            <w:noWrap/>
            <w:vAlign w:val="bottom"/>
            <w:hideMark/>
          </w:tcPr>
          <w:p w14:paraId="36FE46D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0.057*</w:t>
            </w:r>
          </w:p>
        </w:tc>
        <w:tc>
          <w:tcPr>
            <w:tcW w:w="1183" w:type="dxa"/>
            <w:tcBorders>
              <w:top w:val="nil"/>
              <w:left w:val="nil"/>
              <w:bottom w:val="nil"/>
              <w:right w:val="nil"/>
            </w:tcBorders>
            <w:shd w:val="clear" w:color="auto" w:fill="auto"/>
            <w:noWrap/>
            <w:vAlign w:val="bottom"/>
            <w:hideMark/>
          </w:tcPr>
          <w:p w14:paraId="53F01AA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0.016</w:t>
            </w:r>
          </w:p>
        </w:tc>
        <w:tc>
          <w:tcPr>
            <w:tcW w:w="1183" w:type="dxa"/>
            <w:tcBorders>
              <w:top w:val="nil"/>
              <w:left w:val="nil"/>
              <w:bottom w:val="nil"/>
              <w:right w:val="nil"/>
            </w:tcBorders>
            <w:shd w:val="clear" w:color="auto" w:fill="auto"/>
            <w:noWrap/>
            <w:vAlign w:val="bottom"/>
            <w:hideMark/>
          </w:tcPr>
          <w:p w14:paraId="3D3AE76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-0.006</w:t>
            </w:r>
          </w:p>
        </w:tc>
        <w:tc>
          <w:tcPr>
            <w:tcW w:w="1183" w:type="dxa"/>
            <w:tcBorders>
              <w:top w:val="nil"/>
              <w:left w:val="nil"/>
              <w:bottom w:val="nil"/>
              <w:right w:val="nil"/>
            </w:tcBorders>
            <w:shd w:val="clear" w:color="auto" w:fill="auto"/>
            <w:noWrap/>
            <w:vAlign w:val="bottom"/>
            <w:hideMark/>
          </w:tcPr>
          <w:p w14:paraId="17CD6FB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-0.111***</w:t>
            </w:r>
          </w:p>
        </w:tc>
        <w:tc>
          <w:tcPr>
            <w:tcW w:w="1183" w:type="dxa"/>
            <w:tcBorders>
              <w:top w:val="nil"/>
              <w:left w:val="nil"/>
              <w:bottom w:val="nil"/>
              <w:right w:val="nil"/>
            </w:tcBorders>
            <w:shd w:val="clear" w:color="auto" w:fill="auto"/>
            <w:noWrap/>
            <w:vAlign w:val="bottom"/>
            <w:hideMark/>
          </w:tcPr>
          <w:p w14:paraId="3F43393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-0.080**</w:t>
            </w:r>
          </w:p>
        </w:tc>
        <w:tc>
          <w:tcPr>
            <w:tcW w:w="1183" w:type="dxa"/>
            <w:tcBorders>
              <w:top w:val="nil"/>
              <w:left w:val="nil"/>
              <w:bottom w:val="nil"/>
              <w:right w:val="nil"/>
            </w:tcBorders>
            <w:shd w:val="clear" w:color="auto" w:fill="auto"/>
            <w:noWrap/>
            <w:vAlign w:val="bottom"/>
            <w:hideMark/>
          </w:tcPr>
          <w:p w14:paraId="10F5B66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0.050</w:t>
            </w:r>
          </w:p>
        </w:tc>
      </w:tr>
      <w:tr w:rsidR="0093472B" w:rsidRPr="00C82EE1" w14:paraId="2A1B2631"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1167560E"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Fiat (19)</w:t>
            </w:r>
          </w:p>
        </w:tc>
        <w:tc>
          <w:tcPr>
            <w:tcW w:w="683" w:type="dxa"/>
            <w:tcBorders>
              <w:top w:val="nil"/>
              <w:left w:val="nil"/>
              <w:bottom w:val="nil"/>
              <w:right w:val="nil"/>
            </w:tcBorders>
            <w:shd w:val="clear" w:color="auto" w:fill="auto"/>
            <w:noWrap/>
            <w:vAlign w:val="bottom"/>
            <w:hideMark/>
          </w:tcPr>
          <w:p w14:paraId="445D1A3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0.038</w:t>
            </w:r>
          </w:p>
        </w:tc>
        <w:tc>
          <w:tcPr>
            <w:tcW w:w="1184" w:type="dxa"/>
            <w:tcBorders>
              <w:top w:val="nil"/>
              <w:left w:val="nil"/>
              <w:bottom w:val="nil"/>
              <w:right w:val="nil"/>
            </w:tcBorders>
            <w:shd w:val="clear" w:color="auto" w:fill="auto"/>
            <w:noWrap/>
            <w:vAlign w:val="bottom"/>
            <w:hideMark/>
          </w:tcPr>
          <w:p w14:paraId="42C3CCF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-0.058*</w:t>
            </w:r>
          </w:p>
        </w:tc>
        <w:tc>
          <w:tcPr>
            <w:tcW w:w="1184" w:type="dxa"/>
            <w:tcBorders>
              <w:top w:val="nil"/>
              <w:left w:val="nil"/>
              <w:bottom w:val="nil"/>
              <w:right w:val="nil"/>
            </w:tcBorders>
            <w:shd w:val="clear" w:color="auto" w:fill="auto"/>
            <w:noWrap/>
            <w:vAlign w:val="bottom"/>
            <w:hideMark/>
          </w:tcPr>
          <w:p w14:paraId="6C9A9B1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-0.059*</w:t>
            </w:r>
          </w:p>
        </w:tc>
        <w:tc>
          <w:tcPr>
            <w:tcW w:w="1183" w:type="dxa"/>
            <w:tcBorders>
              <w:top w:val="nil"/>
              <w:left w:val="nil"/>
              <w:bottom w:val="nil"/>
              <w:right w:val="nil"/>
            </w:tcBorders>
            <w:shd w:val="clear" w:color="auto" w:fill="auto"/>
            <w:noWrap/>
            <w:vAlign w:val="bottom"/>
            <w:hideMark/>
          </w:tcPr>
          <w:p w14:paraId="023C6AC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0.131***</w:t>
            </w:r>
          </w:p>
        </w:tc>
        <w:tc>
          <w:tcPr>
            <w:tcW w:w="1183" w:type="dxa"/>
            <w:tcBorders>
              <w:top w:val="nil"/>
              <w:left w:val="nil"/>
              <w:bottom w:val="nil"/>
              <w:right w:val="nil"/>
            </w:tcBorders>
            <w:shd w:val="clear" w:color="auto" w:fill="auto"/>
            <w:noWrap/>
            <w:vAlign w:val="bottom"/>
            <w:hideMark/>
          </w:tcPr>
          <w:p w14:paraId="62D9B27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0.019</w:t>
            </w:r>
          </w:p>
        </w:tc>
        <w:tc>
          <w:tcPr>
            <w:tcW w:w="1183" w:type="dxa"/>
            <w:tcBorders>
              <w:top w:val="nil"/>
              <w:left w:val="nil"/>
              <w:bottom w:val="nil"/>
              <w:right w:val="nil"/>
            </w:tcBorders>
            <w:shd w:val="clear" w:color="auto" w:fill="auto"/>
            <w:noWrap/>
            <w:vAlign w:val="bottom"/>
            <w:hideMark/>
          </w:tcPr>
          <w:p w14:paraId="549FFBA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0.123***</w:t>
            </w:r>
          </w:p>
        </w:tc>
        <w:tc>
          <w:tcPr>
            <w:tcW w:w="1183" w:type="dxa"/>
            <w:tcBorders>
              <w:top w:val="nil"/>
              <w:left w:val="nil"/>
              <w:bottom w:val="nil"/>
              <w:right w:val="nil"/>
            </w:tcBorders>
            <w:shd w:val="clear" w:color="auto" w:fill="auto"/>
            <w:noWrap/>
            <w:vAlign w:val="bottom"/>
            <w:hideMark/>
          </w:tcPr>
          <w:p w14:paraId="1885717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0.097***</w:t>
            </w:r>
          </w:p>
        </w:tc>
        <w:tc>
          <w:tcPr>
            <w:tcW w:w="1183" w:type="dxa"/>
            <w:tcBorders>
              <w:top w:val="nil"/>
              <w:left w:val="nil"/>
              <w:bottom w:val="nil"/>
              <w:right w:val="nil"/>
            </w:tcBorders>
            <w:shd w:val="clear" w:color="auto" w:fill="auto"/>
            <w:noWrap/>
            <w:vAlign w:val="bottom"/>
            <w:hideMark/>
          </w:tcPr>
          <w:p w14:paraId="525F70A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-0.046</w:t>
            </w:r>
          </w:p>
        </w:tc>
        <w:tc>
          <w:tcPr>
            <w:tcW w:w="1183" w:type="dxa"/>
            <w:tcBorders>
              <w:top w:val="nil"/>
              <w:left w:val="nil"/>
              <w:bottom w:val="nil"/>
              <w:right w:val="nil"/>
            </w:tcBorders>
            <w:shd w:val="clear" w:color="auto" w:fill="auto"/>
            <w:noWrap/>
            <w:vAlign w:val="bottom"/>
            <w:hideMark/>
          </w:tcPr>
          <w:p w14:paraId="3271588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-0.070*</w:t>
            </w:r>
          </w:p>
        </w:tc>
        <w:tc>
          <w:tcPr>
            <w:tcW w:w="1183" w:type="dxa"/>
            <w:tcBorders>
              <w:top w:val="nil"/>
              <w:left w:val="nil"/>
              <w:bottom w:val="nil"/>
              <w:right w:val="nil"/>
            </w:tcBorders>
            <w:shd w:val="clear" w:color="auto" w:fill="auto"/>
            <w:noWrap/>
            <w:vAlign w:val="bottom"/>
            <w:hideMark/>
          </w:tcPr>
          <w:p w14:paraId="415E5D8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-0.165***</w:t>
            </w:r>
          </w:p>
        </w:tc>
        <w:tc>
          <w:tcPr>
            <w:tcW w:w="1183" w:type="dxa"/>
            <w:tcBorders>
              <w:top w:val="nil"/>
              <w:left w:val="nil"/>
              <w:bottom w:val="nil"/>
              <w:right w:val="nil"/>
            </w:tcBorders>
            <w:shd w:val="clear" w:color="auto" w:fill="auto"/>
            <w:noWrap/>
            <w:vAlign w:val="bottom"/>
            <w:hideMark/>
          </w:tcPr>
          <w:p w14:paraId="5C36009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0.045</w:t>
            </w:r>
          </w:p>
        </w:tc>
        <w:tc>
          <w:tcPr>
            <w:tcW w:w="1183" w:type="dxa"/>
            <w:tcBorders>
              <w:top w:val="nil"/>
              <w:left w:val="nil"/>
              <w:bottom w:val="nil"/>
              <w:right w:val="nil"/>
            </w:tcBorders>
            <w:shd w:val="clear" w:color="auto" w:fill="auto"/>
            <w:noWrap/>
            <w:vAlign w:val="bottom"/>
            <w:hideMark/>
          </w:tcPr>
          <w:p w14:paraId="1EC296A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0.026</w:t>
            </w:r>
          </w:p>
        </w:tc>
      </w:tr>
      <w:tr w:rsidR="0093472B" w:rsidRPr="00C82EE1" w14:paraId="5FAA2E7A"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6E94FA3E"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Hardcap</w:t>
            </w:r>
            <w:proofErr w:type="spellEnd"/>
            <w:r w:rsidRPr="00C82EE1">
              <w:rPr>
                <w:rFonts w:ascii="Times New Roman" w:eastAsia="Times New Roman" w:hAnsi="Times New Roman" w:cs="Times New Roman"/>
                <w:i/>
                <w:color w:val="000000"/>
                <w:sz w:val="20"/>
                <w:szCs w:val="20"/>
              </w:rPr>
              <w:t xml:space="preserve"> (20)</w:t>
            </w:r>
          </w:p>
        </w:tc>
        <w:tc>
          <w:tcPr>
            <w:tcW w:w="683" w:type="dxa"/>
            <w:tcBorders>
              <w:top w:val="nil"/>
              <w:left w:val="nil"/>
              <w:bottom w:val="nil"/>
              <w:right w:val="nil"/>
            </w:tcBorders>
            <w:shd w:val="clear" w:color="auto" w:fill="auto"/>
            <w:noWrap/>
            <w:vAlign w:val="bottom"/>
            <w:hideMark/>
          </w:tcPr>
          <w:p w14:paraId="6451118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0.008</w:t>
            </w:r>
          </w:p>
        </w:tc>
        <w:tc>
          <w:tcPr>
            <w:tcW w:w="1184" w:type="dxa"/>
            <w:tcBorders>
              <w:top w:val="nil"/>
              <w:left w:val="nil"/>
              <w:bottom w:val="nil"/>
              <w:right w:val="nil"/>
            </w:tcBorders>
            <w:shd w:val="clear" w:color="auto" w:fill="auto"/>
            <w:noWrap/>
            <w:vAlign w:val="bottom"/>
            <w:hideMark/>
          </w:tcPr>
          <w:p w14:paraId="151B90A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-0.028</w:t>
            </w:r>
          </w:p>
        </w:tc>
        <w:tc>
          <w:tcPr>
            <w:tcW w:w="1184" w:type="dxa"/>
            <w:tcBorders>
              <w:top w:val="nil"/>
              <w:left w:val="nil"/>
              <w:bottom w:val="nil"/>
              <w:right w:val="nil"/>
            </w:tcBorders>
            <w:shd w:val="clear" w:color="auto" w:fill="auto"/>
            <w:noWrap/>
            <w:vAlign w:val="bottom"/>
            <w:hideMark/>
          </w:tcPr>
          <w:p w14:paraId="5D898AF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-0.162***</w:t>
            </w:r>
          </w:p>
        </w:tc>
        <w:tc>
          <w:tcPr>
            <w:tcW w:w="1183" w:type="dxa"/>
            <w:tcBorders>
              <w:top w:val="nil"/>
              <w:left w:val="nil"/>
              <w:bottom w:val="nil"/>
              <w:right w:val="nil"/>
            </w:tcBorders>
            <w:shd w:val="clear" w:color="auto" w:fill="auto"/>
            <w:noWrap/>
            <w:vAlign w:val="bottom"/>
            <w:hideMark/>
          </w:tcPr>
          <w:p w14:paraId="00A440C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0.089**</w:t>
            </w:r>
          </w:p>
        </w:tc>
        <w:tc>
          <w:tcPr>
            <w:tcW w:w="1183" w:type="dxa"/>
            <w:tcBorders>
              <w:top w:val="nil"/>
              <w:left w:val="nil"/>
              <w:bottom w:val="nil"/>
              <w:right w:val="nil"/>
            </w:tcBorders>
            <w:shd w:val="clear" w:color="auto" w:fill="auto"/>
            <w:noWrap/>
            <w:vAlign w:val="bottom"/>
            <w:hideMark/>
          </w:tcPr>
          <w:p w14:paraId="3856DEF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0.075**</w:t>
            </w:r>
          </w:p>
        </w:tc>
        <w:tc>
          <w:tcPr>
            <w:tcW w:w="1183" w:type="dxa"/>
            <w:tcBorders>
              <w:top w:val="nil"/>
              <w:left w:val="nil"/>
              <w:bottom w:val="nil"/>
              <w:right w:val="nil"/>
            </w:tcBorders>
            <w:shd w:val="clear" w:color="auto" w:fill="auto"/>
            <w:noWrap/>
            <w:vAlign w:val="bottom"/>
            <w:hideMark/>
          </w:tcPr>
          <w:p w14:paraId="77B4E2E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0.086**</w:t>
            </w:r>
          </w:p>
        </w:tc>
        <w:tc>
          <w:tcPr>
            <w:tcW w:w="1183" w:type="dxa"/>
            <w:tcBorders>
              <w:top w:val="nil"/>
              <w:left w:val="nil"/>
              <w:bottom w:val="nil"/>
              <w:right w:val="nil"/>
            </w:tcBorders>
            <w:shd w:val="clear" w:color="auto" w:fill="auto"/>
            <w:noWrap/>
            <w:vAlign w:val="bottom"/>
            <w:hideMark/>
          </w:tcPr>
          <w:p w14:paraId="7170B0A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0.066*</w:t>
            </w:r>
          </w:p>
        </w:tc>
        <w:tc>
          <w:tcPr>
            <w:tcW w:w="1183" w:type="dxa"/>
            <w:tcBorders>
              <w:top w:val="nil"/>
              <w:left w:val="nil"/>
              <w:bottom w:val="nil"/>
              <w:right w:val="nil"/>
            </w:tcBorders>
            <w:shd w:val="clear" w:color="auto" w:fill="auto"/>
            <w:noWrap/>
            <w:vAlign w:val="bottom"/>
            <w:hideMark/>
          </w:tcPr>
          <w:p w14:paraId="0B3695B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-0.043</w:t>
            </w:r>
          </w:p>
        </w:tc>
        <w:tc>
          <w:tcPr>
            <w:tcW w:w="1183" w:type="dxa"/>
            <w:tcBorders>
              <w:top w:val="nil"/>
              <w:left w:val="nil"/>
              <w:bottom w:val="nil"/>
              <w:right w:val="nil"/>
            </w:tcBorders>
            <w:shd w:val="clear" w:color="auto" w:fill="auto"/>
            <w:noWrap/>
            <w:vAlign w:val="bottom"/>
            <w:hideMark/>
          </w:tcPr>
          <w:p w14:paraId="481A889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-0.043</w:t>
            </w:r>
          </w:p>
        </w:tc>
        <w:tc>
          <w:tcPr>
            <w:tcW w:w="1183" w:type="dxa"/>
            <w:tcBorders>
              <w:top w:val="nil"/>
              <w:left w:val="nil"/>
              <w:bottom w:val="nil"/>
              <w:right w:val="nil"/>
            </w:tcBorders>
            <w:shd w:val="clear" w:color="auto" w:fill="auto"/>
            <w:noWrap/>
            <w:vAlign w:val="bottom"/>
            <w:hideMark/>
          </w:tcPr>
          <w:p w14:paraId="3CF6CD0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-0.112***</w:t>
            </w:r>
          </w:p>
        </w:tc>
        <w:tc>
          <w:tcPr>
            <w:tcW w:w="1183" w:type="dxa"/>
            <w:tcBorders>
              <w:top w:val="nil"/>
              <w:left w:val="nil"/>
              <w:bottom w:val="nil"/>
              <w:right w:val="nil"/>
            </w:tcBorders>
            <w:shd w:val="clear" w:color="auto" w:fill="auto"/>
            <w:noWrap/>
            <w:vAlign w:val="bottom"/>
            <w:hideMark/>
          </w:tcPr>
          <w:p w14:paraId="6324DDB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0.002</w:t>
            </w:r>
          </w:p>
        </w:tc>
        <w:tc>
          <w:tcPr>
            <w:tcW w:w="1183" w:type="dxa"/>
            <w:tcBorders>
              <w:top w:val="nil"/>
              <w:left w:val="nil"/>
              <w:bottom w:val="nil"/>
              <w:right w:val="nil"/>
            </w:tcBorders>
            <w:shd w:val="clear" w:color="auto" w:fill="auto"/>
            <w:noWrap/>
            <w:vAlign w:val="bottom"/>
            <w:hideMark/>
          </w:tcPr>
          <w:p w14:paraId="185A6A3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0.092**</w:t>
            </w:r>
          </w:p>
        </w:tc>
      </w:tr>
      <w:tr w:rsidR="0093472B" w:rsidRPr="00C82EE1" w14:paraId="21A5BD43"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1EC5DE61"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Softcap</w:t>
            </w:r>
            <w:proofErr w:type="spellEnd"/>
            <w:r w:rsidRPr="00C82EE1">
              <w:rPr>
                <w:rFonts w:ascii="Times New Roman" w:eastAsia="Times New Roman" w:hAnsi="Times New Roman" w:cs="Times New Roman"/>
                <w:i/>
                <w:color w:val="000000"/>
                <w:sz w:val="20"/>
                <w:szCs w:val="20"/>
              </w:rPr>
              <w:t xml:space="preserve"> (21)</w:t>
            </w:r>
          </w:p>
        </w:tc>
        <w:tc>
          <w:tcPr>
            <w:tcW w:w="683" w:type="dxa"/>
            <w:tcBorders>
              <w:top w:val="nil"/>
              <w:left w:val="nil"/>
              <w:bottom w:val="nil"/>
              <w:right w:val="nil"/>
            </w:tcBorders>
            <w:shd w:val="clear" w:color="auto" w:fill="auto"/>
            <w:noWrap/>
            <w:vAlign w:val="bottom"/>
            <w:hideMark/>
          </w:tcPr>
          <w:p w14:paraId="27F103D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-0.016</w:t>
            </w:r>
          </w:p>
        </w:tc>
        <w:tc>
          <w:tcPr>
            <w:tcW w:w="1184" w:type="dxa"/>
            <w:tcBorders>
              <w:top w:val="nil"/>
              <w:left w:val="nil"/>
              <w:bottom w:val="nil"/>
              <w:right w:val="nil"/>
            </w:tcBorders>
            <w:shd w:val="clear" w:color="auto" w:fill="auto"/>
            <w:noWrap/>
            <w:vAlign w:val="bottom"/>
            <w:hideMark/>
          </w:tcPr>
          <w:p w14:paraId="642CDEF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0.003</w:t>
            </w:r>
          </w:p>
        </w:tc>
        <w:tc>
          <w:tcPr>
            <w:tcW w:w="1184" w:type="dxa"/>
            <w:tcBorders>
              <w:top w:val="nil"/>
              <w:left w:val="nil"/>
              <w:bottom w:val="nil"/>
              <w:right w:val="nil"/>
            </w:tcBorders>
            <w:shd w:val="clear" w:color="auto" w:fill="auto"/>
            <w:noWrap/>
            <w:vAlign w:val="bottom"/>
            <w:hideMark/>
          </w:tcPr>
          <w:p w14:paraId="28737D3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-0.488***</w:t>
            </w:r>
          </w:p>
        </w:tc>
        <w:tc>
          <w:tcPr>
            <w:tcW w:w="1183" w:type="dxa"/>
            <w:tcBorders>
              <w:top w:val="nil"/>
              <w:left w:val="nil"/>
              <w:bottom w:val="nil"/>
              <w:right w:val="nil"/>
            </w:tcBorders>
            <w:shd w:val="clear" w:color="auto" w:fill="auto"/>
            <w:noWrap/>
            <w:vAlign w:val="bottom"/>
            <w:hideMark/>
          </w:tcPr>
          <w:p w14:paraId="71981AC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0.114***</w:t>
            </w:r>
          </w:p>
        </w:tc>
        <w:tc>
          <w:tcPr>
            <w:tcW w:w="1183" w:type="dxa"/>
            <w:tcBorders>
              <w:top w:val="nil"/>
              <w:left w:val="nil"/>
              <w:bottom w:val="nil"/>
              <w:right w:val="nil"/>
            </w:tcBorders>
            <w:shd w:val="clear" w:color="auto" w:fill="auto"/>
            <w:noWrap/>
            <w:vAlign w:val="bottom"/>
            <w:hideMark/>
          </w:tcPr>
          <w:p w14:paraId="7348E03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0.007</w:t>
            </w:r>
          </w:p>
        </w:tc>
        <w:tc>
          <w:tcPr>
            <w:tcW w:w="1183" w:type="dxa"/>
            <w:tcBorders>
              <w:top w:val="nil"/>
              <w:left w:val="nil"/>
              <w:bottom w:val="nil"/>
              <w:right w:val="nil"/>
            </w:tcBorders>
            <w:shd w:val="clear" w:color="auto" w:fill="auto"/>
            <w:noWrap/>
            <w:vAlign w:val="bottom"/>
            <w:hideMark/>
          </w:tcPr>
          <w:p w14:paraId="4DCDC12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0.110***</w:t>
            </w:r>
          </w:p>
        </w:tc>
        <w:tc>
          <w:tcPr>
            <w:tcW w:w="1183" w:type="dxa"/>
            <w:tcBorders>
              <w:top w:val="nil"/>
              <w:left w:val="nil"/>
              <w:bottom w:val="nil"/>
              <w:right w:val="nil"/>
            </w:tcBorders>
            <w:shd w:val="clear" w:color="auto" w:fill="auto"/>
            <w:noWrap/>
            <w:vAlign w:val="bottom"/>
            <w:hideMark/>
          </w:tcPr>
          <w:p w14:paraId="6977805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0.093**</w:t>
            </w:r>
          </w:p>
        </w:tc>
        <w:tc>
          <w:tcPr>
            <w:tcW w:w="1183" w:type="dxa"/>
            <w:tcBorders>
              <w:top w:val="nil"/>
              <w:left w:val="nil"/>
              <w:bottom w:val="nil"/>
              <w:right w:val="nil"/>
            </w:tcBorders>
            <w:shd w:val="clear" w:color="auto" w:fill="auto"/>
            <w:noWrap/>
            <w:vAlign w:val="bottom"/>
            <w:hideMark/>
          </w:tcPr>
          <w:p w14:paraId="2883193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0.004</w:t>
            </w:r>
          </w:p>
        </w:tc>
        <w:tc>
          <w:tcPr>
            <w:tcW w:w="1183" w:type="dxa"/>
            <w:tcBorders>
              <w:top w:val="nil"/>
              <w:left w:val="nil"/>
              <w:bottom w:val="nil"/>
              <w:right w:val="nil"/>
            </w:tcBorders>
            <w:shd w:val="clear" w:color="auto" w:fill="auto"/>
            <w:noWrap/>
            <w:vAlign w:val="bottom"/>
            <w:hideMark/>
          </w:tcPr>
          <w:p w14:paraId="486A3E3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-0.003</w:t>
            </w:r>
          </w:p>
        </w:tc>
        <w:tc>
          <w:tcPr>
            <w:tcW w:w="1183" w:type="dxa"/>
            <w:tcBorders>
              <w:top w:val="nil"/>
              <w:left w:val="nil"/>
              <w:bottom w:val="nil"/>
              <w:right w:val="nil"/>
            </w:tcBorders>
            <w:shd w:val="clear" w:color="auto" w:fill="auto"/>
            <w:noWrap/>
            <w:vAlign w:val="bottom"/>
            <w:hideMark/>
          </w:tcPr>
          <w:p w14:paraId="2EE2E1B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-0.106***</w:t>
            </w:r>
          </w:p>
        </w:tc>
        <w:tc>
          <w:tcPr>
            <w:tcW w:w="1183" w:type="dxa"/>
            <w:tcBorders>
              <w:top w:val="nil"/>
              <w:left w:val="nil"/>
              <w:bottom w:val="nil"/>
              <w:right w:val="nil"/>
            </w:tcBorders>
            <w:shd w:val="clear" w:color="auto" w:fill="auto"/>
            <w:noWrap/>
            <w:vAlign w:val="bottom"/>
            <w:hideMark/>
          </w:tcPr>
          <w:p w14:paraId="50FAC3E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-0.054</w:t>
            </w:r>
          </w:p>
        </w:tc>
        <w:tc>
          <w:tcPr>
            <w:tcW w:w="1183" w:type="dxa"/>
            <w:tcBorders>
              <w:top w:val="nil"/>
              <w:left w:val="nil"/>
              <w:bottom w:val="nil"/>
              <w:right w:val="nil"/>
            </w:tcBorders>
            <w:shd w:val="clear" w:color="auto" w:fill="auto"/>
            <w:noWrap/>
            <w:vAlign w:val="bottom"/>
            <w:hideMark/>
          </w:tcPr>
          <w:p w14:paraId="3F39A61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0.041</w:t>
            </w:r>
          </w:p>
        </w:tc>
      </w:tr>
      <w:tr w:rsidR="0093472B" w:rsidRPr="00C82EE1" w14:paraId="4C9C5EF3"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6E5A854F"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Bonus (22)</w:t>
            </w:r>
          </w:p>
        </w:tc>
        <w:tc>
          <w:tcPr>
            <w:tcW w:w="683" w:type="dxa"/>
            <w:tcBorders>
              <w:top w:val="nil"/>
              <w:left w:val="nil"/>
              <w:bottom w:val="nil"/>
              <w:right w:val="nil"/>
            </w:tcBorders>
            <w:shd w:val="clear" w:color="auto" w:fill="auto"/>
            <w:noWrap/>
            <w:vAlign w:val="bottom"/>
            <w:hideMark/>
          </w:tcPr>
          <w:p w14:paraId="21B91CF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-0.037</w:t>
            </w:r>
          </w:p>
        </w:tc>
        <w:tc>
          <w:tcPr>
            <w:tcW w:w="1184" w:type="dxa"/>
            <w:tcBorders>
              <w:top w:val="nil"/>
              <w:left w:val="nil"/>
              <w:bottom w:val="nil"/>
              <w:right w:val="nil"/>
            </w:tcBorders>
            <w:shd w:val="clear" w:color="auto" w:fill="auto"/>
            <w:noWrap/>
            <w:vAlign w:val="bottom"/>
            <w:hideMark/>
          </w:tcPr>
          <w:p w14:paraId="5598ED8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-0.056</w:t>
            </w:r>
          </w:p>
        </w:tc>
        <w:tc>
          <w:tcPr>
            <w:tcW w:w="1184" w:type="dxa"/>
            <w:tcBorders>
              <w:top w:val="nil"/>
              <w:left w:val="nil"/>
              <w:bottom w:val="nil"/>
              <w:right w:val="nil"/>
            </w:tcBorders>
            <w:shd w:val="clear" w:color="auto" w:fill="auto"/>
            <w:noWrap/>
            <w:vAlign w:val="bottom"/>
            <w:hideMark/>
          </w:tcPr>
          <w:p w14:paraId="66DDE81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-0.139***</w:t>
            </w:r>
          </w:p>
        </w:tc>
        <w:tc>
          <w:tcPr>
            <w:tcW w:w="1183" w:type="dxa"/>
            <w:tcBorders>
              <w:top w:val="nil"/>
              <w:left w:val="nil"/>
              <w:bottom w:val="nil"/>
              <w:right w:val="nil"/>
            </w:tcBorders>
            <w:shd w:val="clear" w:color="auto" w:fill="auto"/>
            <w:noWrap/>
            <w:vAlign w:val="bottom"/>
            <w:hideMark/>
          </w:tcPr>
          <w:p w14:paraId="6A1D276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0.083**</w:t>
            </w:r>
          </w:p>
        </w:tc>
        <w:tc>
          <w:tcPr>
            <w:tcW w:w="1183" w:type="dxa"/>
            <w:tcBorders>
              <w:top w:val="nil"/>
              <w:left w:val="nil"/>
              <w:bottom w:val="nil"/>
              <w:right w:val="nil"/>
            </w:tcBorders>
            <w:shd w:val="clear" w:color="auto" w:fill="auto"/>
            <w:noWrap/>
            <w:vAlign w:val="bottom"/>
            <w:hideMark/>
          </w:tcPr>
          <w:p w14:paraId="7B7D4F9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-0.021</w:t>
            </w:r>
          </w:p>
        </w:tc>
        <w:tc>
          <w:tcPr>
            <w:tcW w:w="1183" w:type="dxa"/>
            <w:tcBorders>
              <w:top w:val="nil"/>
              <w:left w:val="nil"/>
              <w:bottom w:val="nil"/>
              <w:right w:val="nil"/>
            </w:tcBorders>
            <w:shd w:val="clear" w:color="auto" w:fill="auto"/>
            <w:noWrap/>
            <w:vAlign w:val="bottom"/>
            <w:hideMark/>
          </w:tcPr>
          <w:p w14:paraId="116438E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0.089**</w:t>
            </w:r>
          </w:p>
        </w:tc>
        <w:tc>
          <w:tcPr>
            <w:tcW w:w="1183" w:type="dxa"/>
            <w:tcBorders>
              <w:top w:val="nil"/>
              <w:left w:val="nil"/>
              <w:bottom w:val="nil"/>
              <w:right w:val="nil"/>
            </w:tcBorders>
            <w:shd w:val="clear" w:color="auto" w:fill="auto"/>
            <w:noWrap/>
            <w:vAlign w:val="bottom"/>
            <w:hideMark/>
          </w:tcPr>
          <w:p w14:paraId="4CE74A3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0.028</w:t>
            </w:r>
          </w:p>
        </w:tc>
        <w:tc>
          <w:tcPr>
            <w:tcW w:w="1183" w:type="dxa"/>
            <w:tcBorders>
              <w:top w:val="nil"/>
              <w:left w:val="nil"/>
              <w:bottom w:val="nil"/>
              <w:right w:val="nil"/>
            </w:tcBorders>
            <w:shd w:val="clear" w:color="auto" w:fill="auto"/>
            <w:noWrap/>
            <w:vAlign w:val="bottom"/>
            <w:hideMark/>
          </w:tcPr>
          <w:p w14:paraId="6017BD9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0.049</w:t>
            </w:r>
          </w:p>
        </w:tc>
        <w:tc>
          <w:tcPr>
            <w:tcW w:w="1183" w:type="dxa"/>
            <w:tcBorders>
              <w:top w:val="nil"/>
              <w:left w:val="nil"/>
              <w:bottom w:val="nil"/>
              <w:right w:val="nil"/>
            </w:tcBorders>
            <w:shd w:val="clear" w:color="auto" w:fill="auto"/>
            <w:noWrap/>
            <w:vAlign w:val="bottom"/>
            <w:hideMark/>
          </w:tcPr>
          <w:p w14:paraId="09D1CD0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0.026</w:t>
            </w:r>
          </w:p>
        </w:tc>
        <w:tc>
          <w:tcPr>
            <w:tcW w:w="1183" w:type="dxa"/>
            <w:tcBorders>
              <w:top w:val="nil"/>
              <w:left w:val="nil"/>
              <w:bottom w:val="nil"/>
              <w:right w:val="nil"/>
            </w:tcBorders>
            <w:shd w:val="clear" w:color="auto" w:fill="auto"/>
            <w:noWrap/>
            <w:vAlign w:val="bottom"/>
            <w:hideMark/>
          </w:tcPr>
          <w:p w14:paraId="50B3910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-0.111***</w:t>
            </w:r>
          </w:p>
        </w:tc>
        <w:tc>
          <w:tcPr>
            <w:tcW w:w="1183" w:type="dxa"/>
            <w:tcBorders>
              <w:top w:val="nil"/>
              <w:left w:val="nil"/>
              <w:bottom w:val="nil"/>
              <w:right w:val="nil"/>
            </w:tcBorders>
            <w:shd w:val="clear" w:color="auto" w:fill="auto"/>
            <w:noWrap/>
            <w:vAlign w:val="bottom"/>
            <w:hideMark/>
          </w:tcPr>
          <w:p w14:paraId="13D0CE8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0.023</w:t>
            </w:r>
          </w:p>
        </w:tc>
        <w:tc>
          <w:tcPr>
            <w:tcW w:w="1183" w:type="dxa"/>
            <w:tcBorders>
              <w:top w:val="nil"/>
              <w:left w:val="nil"/>
              <w:bottom w:val="nil"/>
              <w:right w:val="nil"/>
            </w:tcBorders>
            <w:shd w:val="clear" w:color="auto" w:fill="auto"/>
            <w:noWrap/>
            <w:vAlign w:val="bottom"/>
            <w:hideMark/>
          </w:tcPr>
          <w:p w14:paraId="4C90085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0.013</w:t>
            </w:r>
          </w:p>
        </w:tc>
      </w:tr>
      <w:tr w:rsidR="0093472B" w:rsidRPr="00C82EE1" w14:paraId="67CF64C3"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25F3615A"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TopicDiversity</w:t>
            </w:r>
            <w:proofErr w:type="spellEnd"/>
            <w:r w:rsidRPr="00C82EE1">
              <w:rPr>
                <w:rFonts w:ascii="Times New Roman" w:eastAsia="Times New Roman" w:hAnsi="Times New Roman" w:cs="Times New Roman"/>
                <w:i/>
                <w:color w:val="000000"/>
                <w:sz w:val="20"/>
                <w:szCs w:val="20"/>
              </w:rPr>
              <w:t xml:space="preserve"> (23)</w:t>
            </w:r>
          </w:p>
        </w:tc>
        <w:tc>
          <w:tcPr>
            <w:tcW w:w="683" w:type="dxa"/>
            <w:tcBorders>
              <w:top w:val="nil"/>
              <w:left w:val="nil"/>
              <w:bottom w:val="nil"/>
              <w:right w:val="nil"/>
            </w:tcBorders>
            <w:shd w:val="clear" w:color="auto" w:fill="auto"/>
            <w:noWrap/>
            <w:vAlign w:val="bottom"/>
            <w:hideMark/>
          </w:tcPr>
          <w:p w14:paraId="04EA81B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-0.017</w:t>
            </w:r>
          </w:p>
        </w:tc>
        <w:tc>
          <w:tcPr>
            <w:tcW w:w="1184" w:type="dxa"/>
            <w:tcBorders>
              <w:top w:val="nil"/>
              <w:left w:val="nil"/>
              <w:bottom w:val="nil"/>
              <w:right w:val="nil"/>
            </w:tcBorders>
            <w:shd w:val="clear" w:color="auto" w:fill="auto"/>
            <w:noWrap/>
            <w:vAlign w:val="bottom"/>
            <w:hideMark/>
          </w:tcPr>
          <w:p w14:paraId="337E9F3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-0.030</w:t>
            </w:r>
          </w:p>
        </w:tc>
        <w:tc>
          <w:tcPr>
            <w:tcW w:w="1184" w:type="dxa"/>
            <w:tcBorders>
              <w:top w:val="nil"/>
              <w:left w:val="nil"/>
              <w:bottom w:val="nil"/>
              <w:right w:val="nil"/>
            </w:tcBorders>
            <w:shd w:val="clear" w:color="auto" w:fill="auto"/>
            <w:noWrap/>
            <w:vAlign w:val="bottom"/>
            <w:hideMark/>
          </w:tcPr>
          <w:p w14:paraId="1BAF167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-0.031</w:t>
            </w:r>
          </w:p>
        </w:tc>
        <w:tc>
          <w:tcPr>
            <w:tcW w:w="1183" w:type="dxa"/>
            <w:tcBorders>
              <w:top w:val="nil"/>
              <w:left w:val="nil"/>
              <w:bottom w:val="nil"/>
              <w:right w:val="nil"/>
            </w:tcBorders>
            <w:shd w:val="clear" w:color="auto" w:fill="auto"/>
            <w:noWrap/>
            <w:vAlign w:val="bottom"/>
            <w:hideMark/>
          </w:tcPr>
          <w:p w14:paraId="26FD950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0.295***</w:t>
            </w:r>
          </w:p>
        </w:tc>
        <w:tc>
          <w:tcPr>
            <w:tcW w:w="1183" w:type="dxa"/>
            <w:tcBorders>
              <w:top w:val="nil"/>
              <w:left w:val="nil"/>
              <w:bottom w:val="nil"/>
              <w:right w:val="nil"/>
            </w:tcBorders>
            <w:shd w:val="clear" w:color="auto" w:fill="auto"/>
            <w:noWrap/>
            <w:vAlign w:val="bottom"/>
            <w:hideMark/>
          </w:tcPr>
          <w:p w14:paraId="694AA6B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-0.018</w:t>
            </w:r>
          </w:p>
        </w:tc>
        <w:tc>
          <w:tcPr>
            <w:tcW w:w="1183" w:type="dxa"/>
            <w:tcBorders>
              <w:top w:val="nil"/>
              <w:left w:val="nil"/>
              <w:bottom w:val="nil"/>
              <w:right w:val="nil"/>
            </w:tcBorders>
            <w:shd w:val="clear" w:color="auto" w:fill="auto"/>
            <w:noWrap/>
            <w:vAlign w:val="bottom"/>
            <w:hideMark/>
          </w:tcPr>
          <w:p w14:paraId="6FEAF31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0.262***</w:t>
            </w:r>
          </w:p>
        </w:tc>
        <w:tc>
          <w:tcPr>
            <w:tcW w:w="1183" w:type="dxa"/>
            <w:tcBorders>
              <w:top w:val="nil"/>
              <w:left w:val="nil"/>
              <w:bottom w:val="nil"/>
              <w:right w:val="nil"/>
            </w:tcBorders>
            <w:shd w:val="clear" w:color="auto" w:fill="auto"/>
            <w:noWrap/>
            <w:vAlign w:val="bottom"/>
            <w:hideMark/>
          </w:tcPr>
          <w:p w14:paraId="237D1BD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0.244***</w:t>
            </w:r>
          </w:p>
        </w:tc>
        <w:tc>
          <w:tcPr>
            <w:tcW w:w="1183" w:type="dxa"/>
            <w:tcBorders>
              <w:top w:val="nil"/>
              <w:left w:val="nil"/>
              <w:bottom w:val="nil"/>
              <w:right w:val="nil"/>
            </w:tcBorders>
            <w:shd w:val="clear" w:color="auto" w:fill="auto"/>
            <w:noWrap/>
            <w:vAlign w:val="bottom"/>
            <w:hideMark/>
          </w:tcPr>
          <w:p w14:paraId="11A2CB0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-0.176***</w:t>
            </w:r>
          </w:p>
        </w:tc>
        <w:tc>
          <w:tcPr>
            <w:tcW w:w="1183" w:type="dxa"/>
            <w:tcBorders>
              <w:top w:val="nil"/>
              <w:left w:val="nil"/>
              <w:bottom w:val="nil"/>
              <w:right w:val="nil"/>
            </w:tcBorders>
            <w:shd w:val="clear" w:color="auto" w:fill="auto"/>
            <w:noWrap/>
            <w:vAlign w:val="bottom"/>
            <w:hideMark/>
          </w:tcPr>
          <w:p w14:paraId="2D53619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-0.183***</w:t>
            </w:r>
          </w:p>
        </w:tc>
        <w:tc>
          <w:tcPr>
            <w:tcW w:w="1183" w:type="dxa"/>
            <w:tcBorders>
              <w:top w:val="nil"/>
              <w:left w:val="nil"/>
              <w:bottom w:val="nil"/>
              <w:right w:val="nil"/>
            </w:tcBorders>
            <w:shd w:val="clear" w:color="auto" w:fill="auto"/>
            <w:noWrap/>
            <w:vAlign w:val="bottom"/>
            <w:hideMark/>
          </w:tcPr>
          <w:p w14:paraId="72D3074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-0.285***</w:t>
            </w:r>
          </w:p>
        </w:tc>
        <w:tc>
          <w:tcPr>
            <w:tcW w:w="1183" w:type="dxa"/>
            <w:tcBorders>
              <w:top w:val="nil"/>
              <w:left w:val="nil"/>
              <w:bottom w:val="nil"/>
              <w:right w:val="nil"/>
            </w:tcBorders>
            <w:shd w:val="clear" w:color="auto" w:fill="auto"/>
            <w:noWrap/>
            <w:vAlign w:val="bottom"/>
            <w:hideMark/>
          </w:tcPr>
          <w:p w14:paraId="24CC69C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-0.031</w:t>
            </w:r>
          </w:p>
        </w:tc>
        <w:tc>
          <w:tcPr>
            <w:tcW w:w="1183" w:type="dxa"/>
            <w:tcBorders>
              <w:top w:val="nil"/>
              <w:left w:val="nil"/>
              <w:bottom w:val="nil"/>
              <w:right w:val="nil"/>
            </w:tcBorders>
            <w:shd w:val="clear" w:color="auto" w:fill="auto"/>
            <w:noWrap/>
            <w:vAlign w:val="bottom"/>
            <w:hideMark/>
          </w:tcPr>
          <w:p w14:paraId="51027F0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0.049</w:t>
            </w:r>
          </w:p>
        </w:tc>
      </w:tr>
      <w:tr w:rsidR="0093472B" w:rsidRPr="00C82EE1" w14:paraId="3B48774E" w14:textId="77777777" w:rsidTr="00485FDA">
        <w:trPr>
          <w:trHeight w:val="113"/>
          <w:jc w:val="center"/>
        </w:trPr>
        <w:tc>
          <w:tcPr>
            <w:tcW w:w="2410" w:type="dxa"/>
            <w:tcBorders>
              <w:top w:val="nil"/>
              <w:left w:val="nil"/>
              <w:bottom w:val="single" w:sz="4" w:space="0" w:color="auto"/>
              <w:right w:val="nil"/>
            </w:tcBorders>
            <w:shd w:val="clear" w:color="auto" w:fill="auto"/>
            <w:noWrap/>
            <w:vAlign w:val="bottom"/>
            <w:hideMark/>
          </w:tcPr>
          <w:p w14:paraId="1A598268"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PriceBit</w:t>
            </w:r>
            <w:proofErr w:type="spellEnd"/>
            <w:r w:rsidRPr="00C82EE1">
              <w:rPr>
                <w:rFonts w:ascii="Times New Roman" w:eastAsia="Times New Roman" w:hAnsi="Times New Roman" w:cs="Times New Roman"/>
                <w:i/>
                <w:color w:val="000000"/>
                <w:sz w:val="20"/>
                <w:szCs w:val="20"/>
              </w:rPr>
              <w:t xml:space="preserve"> (24)</w:t>
            </w:r>
          </w:p>
        </w:tc>
        <w:tc>
          <w:tcPr>
            <w:tcW w:w="683" w:type="dxa"/>
            <w:tcBorders>
              <w:top w:val="nil"/>
              <w:left w:val="nil"/>
              <w:bottom w:val="single" w:sz="4" w:space="0" w:color="auto"/>
              <w:right w:val="nil"/>
            </w:tcBorders>
            <w:shd w:val="clear" w:color="auto" w:fill="auto"/>
            <w:noWrap/>
            <w:vAlign w:val="bottom"/>
            <w:hideMark/>
          </w:tcPr>
          <w:p w14:paraId="76EC830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0.154***</w:t>
            </w:r>
          </w:p>
        </w:tc>
        <w:tc>
          <w:tcPr>
            <w:tcW w:w="1184" w:type="dxa"/>
            <w:tcBorders>
              <w:top w:val="nil"/>
              <w:left w:val="nil"/>
              <w:bottom w:val="single" w:sz="4" w:space="0" w:color="auto"/>
              <w:right w:val="nil"/>
            </w:tcBorders>
            <w:shd w:val="clear" w:color="auto" w:fill="auto"/>
            <w:noWrap/>
            <w:vAlign w:val="bottom"/>
            <w:hideMark/>
          </w:tcPr>
          <w:p w14:paraId="6A6BAD0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0.031</w:t>
            </w:r>
          </w:p>
        </w:tc>
        <w:tc>
          <w:tcPr>
            <w:tcW w:w="1184" w:type="dxa"/>
            <w:tcBorders>
              <w:top w:val="nil"/>
              <w:left w:val="nil"/>
              <w:bottom w:val="single" w:sz="4" w:space="0" w:color="auto"/>
              <w:right w:val="nil"/>
            </w:tcBorders>
            <w:shd w:val="clear" w:color="auto" w:fill="auto"/>
            <w:noWrap/>
            <w:vAlign w:val="bottom"/>
            <w:hideMark/>
          </w:tcPr>
          <w:p w14:paraId="3FDA181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0.094**</w:t>
            </w:r>
          </w:p>
        </w:tc>
        <w:tc>
          <w:tcPr>
            <w:tcW w:w="1183" w:type="dxa"/>
            <w:tcBorders>
              <w:top w:val="nil"/>
              <w:left w:val="nil"/>
              <w:bottom w:val="single" w:sz="4" w:space="0" w:color="auto"/>
              <w:right w:val="nil"/>
            </w:tcBorders>
            <w:shd w:val="clear" w:color="auto" w:fill="auto"/>
            <w:noWrap/>
            <w:vAlign w:val="bottom"/>
            <w:hideMark/>
          </w:tcPr>
          <w:p w14:paraId="2CDB4B2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0.059*</w:t>
            </w:r>
          </w:p>
        </w:tc>
        <w:tc>
          <w:tcPr>
            <w:tcW w:w="1183" w:type="dxa"/>
            <w:tcBorders>
              <w:top w:val="nil"/>
              <w:left w:val="nil"/>
              <w:bottom w:val="single" w:sz="4" w:space="0" w:color="auto"/>
              <w:right w:val="nil"/>
            </w:tcBorders>
            <w:shd w:val="clear" w:color="auto" w:fill="auto"/>
            <w:noWrap/>
            <w:vAlign w:val="bottom"/>
            <w:hideMark/>
          </w:tcPr>
          <w:p w14:paraId="73DEE95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0.013</w:t>
            </w:r>
          </w:p>
        </w:tc>
        <w:tc>
          <w:tcPr>
            <w:tcW w:w="1183" w:type="dxa"/>
            <w:tcBorders>
              <w:top w:val="nil"/>
              <w:left w:val="nil"/>
              <w:bottom w:val="single" w:sz="4" w:space="0" w:color="auto"/>
              <w:right w:val="nil"/>
            </w:tcBorders>
            <w:shd w:val="clear" w:color="auto" w:fill="auto"/>
            <w:noWrap/>
            <w:vAlign w:val="bottom"/>
            <w:hideMark/>
          </w:tcPr>
          <w:p w14:paraId="49AB789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0.066*</w:t>
            </w:r>
          </w:p>
        </w:tc>
        <w:tc>
          <w:tcPr>
            <w:tcW w:w="1183" w:type="dxa"/>
            <w:tcBorders>
              <w:top w:val="nil"/>
              <w:left w:val="nil"/>
              <w:bottom w:val="single" w:sz="4" w:space="0" w:color="auto"/>
              <w:right w:val="nil"/>
            </w:tcBorders>
            <w:shd w:val="clear" w:color="auto" w:fill="auto"/>
            <w:noWrap/>
            <w:vAlign w:val="bottom"/>
            <w:hideMark/>
          </w:tcPr>
          <w:p w14:paraId="523E109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0.012</w:t>
            </w:r>
          </w:p>
        </w:tc>
        <w:tc>
          <w:tcPr>
            <w:tcW w:w="1183" w:type="dxa"/>
            <w:tcBorders>
              <w:top w:val="nil"/>
              <w:left w:val="nil"/>
              <w:bottom w:val="single" w:sz="4" w:space="0" w:color="auto"/>
              <w:right w:val="nil"/>
            </w:tcBorders>
            <w:shd w:val="clear" w:color="auto" w:fill="auto"/>
            <w:noWrap/>
            <w:vAlign w:val="bottom"/>
            <w:hideMark/>
          </w:tcPr>
          <w:p w14:paraId="320F8BF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0.027</w:t>
            </w:r>
          </w:p>
        </w:tc>
        <w:tc>
          <w:tcPr>
            <w:tcW w:w="1183" w:type="dxa"/>
            <w:tcBorders>
              <w:top w:val="nil"/>
              <w:left w:val="nil"/>
              <w:bottom w:val="single" w:sz="4" w:space="0" w:color="auto"/>
              <w:right w:val="nil"/>
            </w:tcBorders>
            <w:shd w:val="clear" w:color="auto" w:fill="auto"/>
            <w:noWrap/>
            <w:vAlign w:val="bottom"/>
            <w:hideMark/>
          </w:tcPr>
          <w:p w14:paraId="19790FB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0.025</w:t>
            </w:r>
          </w:p>
        </w:tc>
        <w:tc>
          <w:tcPr>
            <w:tcW w:w="1183" w:type="dxa"/>
            <w:tcBorders>
              <w:top w:val="nil"/>
              <w:left w:val="nil"/>
              <w:bottom w:val="single" w:sz="4" w:space="0" w:color="auto"/>
              <w:right w:val="nil"/>
            </w:tcBorders>
            <w:shd w:val="clear" w:color="auto" w:fill="auto"/>
            <w:noWrap/>
            <w:vAlign w:val="bottom"/>
            <w:hideMark/>
          </w:tcPr>
          <w:p w14:paraId="545BE36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-0.092**</w:t>
            </w:r>
          </w:p>
        </w:tc>
        <w:tc>
          <w:tcPr>
            <w:tcW w:w="1183" w:type="dxa"/>
            <w:tcBorders>
              <w:top w:val="nil"/>
              <w:left w:val="nil"/>
              <w:bottom w:val="single" w:sz="4" w:space="0" w:color="auto"/>
              <w:right w:val="nil"/>
            </w:tcBorders>
            <w:shd w:val="clear" w:color="auto" w:fill="auto"/>
            <w:noWrap/>
            <w:vAlign w:val="bottom"/>
            <w:hideMark/>
          </w:tcPr>
          <w:p w14:paraId="642FA1A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0.026</w:t>
            </w:r>
          </w:p>
        </w:tc>
        <w:tc>
          <w:tcPr>
            <w:tcW w:w="1183" w:type="dxa"/>
            <w:tcBorders>
              <w:top w:val="nil"/>
              <w:left w:val="nil"/>
              <w:bottom w:val="single" w:sz="4" w:space="0" w:color="auto"/>
              <w:right w:val="nil"/>
            </w:tcBorders>
            <w:shd w:val="clear" w:color="auto" w:fill="auto"/>
            <w:noWrap/>
            <w:vAlign w:val="bottom"/>
            <w:hideMark/>
          </w:tcPr>
          <w:p w14:paraId="125AAA6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-0.055</w:t>
            </w:r>
          </w:p>
        </w:tc>
      </w:tr>
    </w:tbl>
    <w:p w14:paraId="3FE46E80" w14:textId="49C7BF1B" w:rsidR="0093472B" w:rsidRPr="00C82EE1" w:rsidRDefault="0093472B" w:rsidP="00026FCB">
      <w:pPr>
        <w:spacing w:after="0" w:line="360" w:lineRule="auto"/>
        <w:ind w:firstLine="708"/>
        <w:jc w:val="both"/>
        <w:rPr>
          <w:rFonts w:ascii="Times New Roman" w:eastAsia="Times New Roman" w:hAnsi="Times New Roman" w:cs="Times New Roman"/>
          <w:sz w:val="16"/>
          <w:szCs w:val="16"/>
          <w:lang w:eastAsia="fr-BE"/>
        </w:rPr>
      </w:pPr>
    </w:p>
    <w:p w14:paraId="0EFB4C79" w14:textId="59B17361" w:rsidR="00485FDA" w:rsidRPr="00C82EE1" w:rsidRDefault="00485FDA" w:rsidP="00026FCB">
      <w:pPr>
        <w:spacing w:after="0" w:line="360" w:lineRule="auto"/>
        <w:ind w:firstLine="708"/>
        <w:jc w:val="both"/>
        <w:rPr>
          <w:rFonts w:ascii="Times New Roman" w:eastAsia="Times New Roman" w:hAnsi="Times New Roman" w:cs="Times New Roman"/>
          <w:sz w:val="16"/>
          <w:szCs w:val="16"/>
          <w:lang w:eastAsia="fr-BE"/>
        </w:rPr>
      </w:pPr>
    </w:p>
    <w:p w14:paraId="07A43DA3" w14:textId="42DD512F" w:rsidR="00485FDA" w:rsidRPr="00C82EE1" w:rsidRDefault="00485FDA" w:rsidP="00026FCB">
      <w:pPr>
        <w:spacing w:after="0" w:line="360" w:lineRule="auto"/>
        <w:ind w:firstLine="708"/>
        <w:jc w:val="both"/>
        <w:rPr>
          <w:rFonts w:ascii="Times New Roman" w:eastAsia="Times New Roman" w:hAnsi="Times New Roman" w:cs="Times New Roman"/>
          <w:sz w:val="16"/>
          <w:szCs w:val="16"/>
          <w:lang w:eastAsia="fr-BE"/>
        </w:rPr>
      </w:pPr>
    </w:p>
    <w:p w14:paraId="3F80500A" w14:textId="388B72EA" w:rsidR="00485FDA" w:rsidRPr="00C82EE1" w:rsidRDefault="00485FDA" w:rsidP="00026FCB">
      <w:pPr>
        <w:spacing w:after="0" w:line="360" w:lineRule="auto"/>
        <w:ind w:firstLine="708"/>
        <w:jc w:val="both"/>
        <w:rPr>
          <w:rFonts w:ascii="Times New Roman" w:eastAsia="Times New Roman" w:hAnsi="Times New Roman" w:cs="Times New Roman"/>
          <w:sz w:val="16"/>
          <w:szCs w:val="16"/>
          <w:lang w:eastAsia="fr-BE"/>
        </w:rPr>
      </w:pPr>
    </w:p>
    <w:p w14:paraId="58C44855" w14:textId="7BC1FAC8" w:rsidR="00485FDA" w:rsidRPr="00C82EE1" w:rsidRDefault="00485FDA" w:rsidP="00026FCB">
      <w:pPr>
        <w:spacing w:after="0" w:line="360" w:lineRule="auto"/>
        <w:ind w:firstLine="708"/>
        <w:jc w:val="both"/>
        <w:rPr>
          <w:rFonts w:ascii="Times New Roman" w:eastAsia="Times New Roman" w:hAnsi="Times New Roman" w:cs="Times New Roman"/>
          <w:sz w:val="16"/>
          <w:szCs w:val="16"/>
          <w:lang w:eastAsia="fr-BE"/>
        </w:rPr>
      </w:pPr>
    </w:p>
    <w:p w14:paraId="5BBED679" w14:textId="4336B7B3" w:rsidR="00485FDA" w:rsidRPr="00C82EE1" w:rsidRDefault="00485FDA" w:rsidP="00026FCB">
      <w:pPr>
        <w:spacing w:after="0" w:line="360" w:lineRule="auto"/>
        <w:ind w:firstLine="708"/>
        <w:jc w:val="both"/>
        <w:rPr>
          <w:rFonts w:ascii="Times New Roman" w:eastAsia="Times New Roman" w:hAnsi="Times New Roman" w:cs="Times New Roman"/>
          <w:sz w:val="16"/>
          <w:szCs w:val="16"/>
          <w:lang w:eastAsia="fr-BE"/>
        </w:rPr>
      </w:pPr>
    </w:p>
    <w:p w14:paraId="70F0757B" w14:textId="77777777" w:rsidR="00485FDA" w:rsidRPr="00C82EE1" w:rsidRDefault="00485FDA" w:rsidP="00E223E9">
      <w:pPr>
        <w:spacing w:after="0" w:line="360" w:lineRule="auto"/>
        <w:jc w:val="both"/>
        <w:rPr>
          <w:rFonts w:ascii="Times New Roman" w:eastAsia="Times New Roman" w:hAnsi="Times New Roman" w:cs="Times New Roman"/>
          <w:sz w:val="16"/>
          <w:szCs w:val="16"/>
          <w:lang w:eastAsia="fr-BE"/>
        </w:rPr>
      </w:pPr>
    </w:p>
    <w:tbl>
      <w:tblPr>
        <w:tblW w:w="16074" w:type="dxa"/>
        <w:jc w:val="center"/>
        <w:tblLook w:val="04A0" w:firstRow="1" w:lastRow="0" w:firstColumn="1" w:lastColumn="0" w:noHBand="0" w:noVBand="1"/>
      </w:tblPr>
      <w:tblGrid>
        <w:gridCol w:w="2410"/>
        <w:gridCol w:w="179"/>
        <w:gridCol w:w="787"/>
        <w:gridCol w:w="1278"/>
        <w:gridCol w:w="1277"/>
        <w:gridCol w:w="1277"/>
        <w:gridCol w:w="1277"/>
        <w:gridCol w:w="1277"/>
        <w:gridCol w:w="1277"/>
        <w:gridCol w:w="1277"/>
        <w:gridCol w:w="1277"/>
        <w:gridCol w:w="1277"/>
        <w:gridCol w:w="872"/>
        <w:gridCol w:w="332"/>
      </w:tblGrid>
      <w:tr w:rsidR="0093472B" w:rsidRPr="00C82EE1" w14:paraId="0C9F346C" w14:textId="77777777" w:rsidTr="00485FDA">
        <w:trPr>
          <w:trHeight w:val="113"/>
          <w:jc w:val="center"/>
        </w:trPr>
        <w:tc>
          <w:tcPr>
            <w:tcW w:w="2410" w:type="dxa"/>
            <w:tcBorders>
              <w:top w:val="nil"/>
              <w:left w:val="nil"/>
              <w:bottom w:val="single" w:sz="4" w:space="0" w:color="auto"/>
              <w:right w:val="nil"/>
            </w:tcBorders>
            <w:shd w:val="clear" w:color="auto" w:fill="auto"/>
            <w:noWrap/>
            <w:vAlign w:val="bottom"/>
            <w:hideMark/>
          </w:tcPr>
          <w:p w14:paraId="250DD206"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966" w:type="dxa"/>
            <w:gridSpan w:val="2"/>
            <w:tcBorders>
              <w:top w:val="nil"/>
              <w:left w:val="nil"/>
              <w:bottom w:val="single" w:sz="4" w:space="0" w:color="auto"/>
              <w:right w:val="nil"/>
            </w:tcBorders>
            <w:shd w:val="clear" w:color="auto" w:fill="auto"/>
            <w:noWrap/>
            <w:vAlign w:val="bottom"/>
            <w:hideMark/>
          </w:tcPr>
          <w:p w14:paraId="1E3EE588"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8" w:type="dxa"/>
            <w:tcBorders>
              <w:top w:val="nil"/>
              <w:left w:val="nil"/>
              <w:bottom w:val="single" w:sz="4" w:space="0" w:color="auto"/>
              <w:right w:val="nil"/>
            </w:tcBorders>
            <w:shd w:val="clear" w:color="auto" w:fill="auto"/>
            <w:noWrap/>
            <w:vAlign w:val="bottom"/>
            <w:hideMark/>
          </w:tcPr>
          <w:p w14:paraId="6DF85278"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7" w:type="dxa"/>
            <w:tcBorders>
              <w:top w:val="nil"/>
              <w:left w:val="nil"/>
              <w:bottom w:val="single" w:sz="4" w:space="0" w:color="auto"/>
              <w:right w:val="nil"/>
            </w:tcBorders>
            <w:shd w:val="clear" w:color="auto" w:fill="auto"/>
            <w:noWrap/>
            <w:vAlign w:val="bottom"/>
            <w:hideMark/>
          </w:tcPr>
          <w:p w14:paraId="6A80AB0B"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7" w:type="dxa"/>
            <w:tcBorders>
              <w:top w:val="nil"/>
              <w:left w:val="nil"/>
              <w:bottom w:val="single" w:sz="4" w:space="0" w:color="auto"/>
              <w:right w:val="nil"/>
            </w:tcBorders>
            <w:shd w:val="clear" w:color="auto" w:fill="auto"/>
            <w:noWrap/>
            <w:vAlign w:val="bottom"/>
            <w:hideMark/>
          </w:tcPr>
          <w:p w14:paraId="652EC319"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7" w:type="dxa"/>
            <w:tcBorders>
              <w:top w:val="nil"/>
              <w:left w:val="nil"/>
              <w:bottom w:val="single" w:sz="4" w:space="0" w:color="auto"/>
              <w:right w:val="nil"/>
            </w:tcBorders>
            <w:shd w:val="clear" w:color="auto" w:fill="auto"/>
            <w:noWrap/>
            <w:vAlign w:val="bottom"/>
            <w:hideMark/>
          </w:tcPr>
          <w:p w14:paraId="4DFF8AD2"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7" w:type="dxa"/>
            <w:tcBorders>
              <w:top w:val="nil"/>
              <w:left w:val="nil"/>
              <w:bottom w:val="single" w:sz="4" w:space="0" w:color="auto"/>
              <w:right w:val="nil"/>
            </w:tcBorders>
            <w:shd w:val="clear" w:color="auto" w:fill="auto"/>
            <w:noWrap/>
            <w:vAlign w:val="bottom"/>
            <w:hideMark/>
          </w:tcPr>
          <w:p w14:paraId="5F7D73FA"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7" w:type="dxa"/>
            <w:tcBorders>
              <w:top w:val="nil"/>
              <w:left w:val="nil"/>
              <w:bottom w:val="single" w:sz="4" w:space="0" w:color="auto"/>
              <w:right w:val="nil"/>
            </w:tcBorders>
            <w:shd w:val="clear" w:color="auto" w:fill="auto"/>
            <w:noWrap/>
            <w:vAlign w:val="bottom"/>
            <w:hideMark/>
          </w:tcPr>
          <w:p w14:paraId="6AD727EB"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7" w:type="dxa"/>
            <w:tcBorders>
              <w:top w:val="nil"/>
              <w:left w:val="nil"/>
              <w:bottom w:val="single" w:sz="4" w:space="0" w:color="auto"/>
              <w:right w:val="nil"/>
            </w:tcBorders>
            <w:shd w:val="clear" w:color="auto" w:fill="auto"/>
            <w:noWrap/>
            <w:vAlign w:val="bottom"/>
            <w:hideMark/>
          </w:tcPr>
          <w:p w14:paraId="5B234400"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7" w:type="dxa"/>
            <w:tcBorders>
              <w:top w:val="nil"/>
              <w:left w:val="nil"/>
              <w:bottom w:val="single" w:sz="4" w:space="0" w:color="auto"/>
              <w:right w:val="nil"/>
            </w:tcBorders>
            <w:shd w:val="clear" w:color="auto" w:fill="auto"/>
            <w:noWrap/>
            <w:vAlign w:val="bottom"/>
            <w:hideMark/>
          </w:tcPr>
          <w:p w14:paraId="72F4A7E9"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1277" w:type="dxa"/>
            <w:tcBorders>
              <w:top w:val="nil"/>
              <w:left w:val="nil"/>
              <w:bottom w:val="single" w:sz="4" w:space="0" w:color="auto"/>
              <w:right w:val="nil"/>
            </w:tcBorders>
            <w:shd w:val="clear" w:color="auto" w:fill="auto"/>
            <w:noWrap/>
            <w:vAlign w:val="bottom"/>
            <w:hideMark/>
          </w:tcPr>
          <w:p w14:paraId="2EDA95C6"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872" w:type="dxa"/>
            <w:tcBorders>
              <w:top w:val="nil"/>
              <w:left w:val="nil"/>
              <w:bottom w:val="single" w:sz="4" w:space="0" w:color="auto"/>
              <w:right w:val="nil"/>
            </w:tcBorders>
            <w:shd w:val="clear" w:color="auto" w:fill="auto"/>
            <w:noWrap/>
            <w:vAlign w:val="bottom"/>
            <w:hideMark/>
          </w:tcPr>
          <w:p w14:paraId="12B097C9"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c>
          <w:tcPr>
            <w:tcW w:w="332" w:type="dxa"/>
            <w:tcBorders>
              <w:top w:val="nil"/>
              <w:left w:val="nil"/>
              <w:bottom w:val="single" w:sz="4" w:space="0" w:color="auto"/>
              <w:right w:val="nil"/>
            </w:tcBorders>
            <w:shd w:val="clear" w:color="auto" w:fill="auto"/>
            <w:noWrap/>
            <w:vAlign w:val="bottom"/>
            <w:hideMark/>
          </w:tcPr>
          <w:p w14:paraId="1BBBBF1B"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r>
      <w:tr w:rsidR="0093472B" w:rsidRPr="00C82EE1" w14:paraId="4950A969" w14:textId="77777777" w:rsidTr="00485FDA">
        <w:trPr>
          <w:trHeight w:val="113"/>
          <w:jc w:val="center"/>
        </w:trPr>
        <w:tc>
          <w:tcPr>
            <w:tcW w:w="2589" w:type="dxa"/>
            <w:gridSpan w:val="2"/>
            <w:tcBorders>
              <w:top w:val="nil"/>
              <w:left w:val="nil"/>
              <w:bottom w:val="single" w:sz="4" w:space="0" w:color="auto"/>
              <w:right w:val="nil"/>
            </w:tcBorders>
            <w:shd w:val="clear" w:color="auto" w:fill="auto"/>
            <w:noWrap/>
            <w:vAlign w:val="bottom"/>
            <w:hideMark/>
          </w:tcPr>
          <w:p w14:paraId="52AABCE5"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Variables</w:t>
            </w:r>
          </w:p>
        </w:tc>
        <w:tc>
          <w:tcPr>
            <w:tcW w:w="787" w:type="dxa"/>
            <w:tcBorders>
              <w:top w:val="nil"/>
              <w:left w:val="nil"/>
              <w:bottom w:val="single" w:sz="4" w:space="0" w:color="auto"/>
              <w:right w:val="nil"/>
            </w:tcBorders>
            <w:shd w:val="clear" w:color="auto" w:fill="auto"/>
            <w:noWrap/>
            <w:vAlign w:val="bottom"/>
            <w:hideMark/>
          </w:tcPr>
          <w:p w14:paraId="7B1D76BA"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(13)</w:t>
            </w:r>
          </w:p>
        </w:tc>
        <w:tc>
          <w:tcPr>
            <w:tcW w:w="1278" w:type="dxa"/>
            <w:tcBorders>
              <w:top w:val="nil"/>
              <w:left w:val="nil"/>
              <w:bottom w:val="single" w:sz="4" w:space="0" w:color="auto"/>
              <w:right w:val="nil"/>
            </w:tcBorders>
            <w:shd w:val="clear" w:color="auto" w:fill="auto"/>
            <w:noWrap/>
            <w:vAlign w:val="bottom"/>
            <w:hideMark/>
          </w:tcPr>
          <w:p w14:paraId="3460C019"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(14)</w:t>
            </w:r>
          </w:p>
        </w:tc>
        <w:tc>
          <w:tcPr>
            <w:tcW w:w="1277" w:type="dxa"/>
            <w:tcBorders>
              <w:top w:val="nil"/>
              <w:left w:val="nil"/>
              <w:bottom w:val="single" w:sz="4" w:space="0" w:color="auto"/>
              <w:right w:val="nil"/>
            </w:tcBorders>
            <w:shd w:val="clear" w:color="auto" w:fill="auto"/>
            <w:noWrap/>
            <w:vAlign w:val="bottom"/>
            <w:hideMark/>
          </w:tcPr>
          <w:p w14:paraId="7EB642BD"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(15)</w:t>
            </w:r>
          </w:p>
        </w:tc>
        <w:tc>
          <w:tcPr>
            <w:tcW w:w="1277" w:type="dxa"/>
            <w:tcBorders>
              <w:top w:val="nil"/>
              <w:left w:val="nil"/>
              <w:bottom w:val="single" w:sz="4" w:space="0" w:color="auto"/>
              <w:right w:val="nil"/>
            </w:tcBorders>
            <w:shd w:val="clear" w:color="auto" w:fill="auto"/>
            <w:noWrap/>
            <w:vAlign w:val="bottom"/>
            <w:hideMark/>
          </w:tcPr>
          <w:p w14:paraId="312B4DB0"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(16)</w:t>
            </w:r>
          </w:p>
        </w:tc>
        <w:tc>
          <w:tcPr>
            <w:tcW w:w="1277" w:type="dxa"/>
            <w:tcBorders>
              <w:top w:val="nil"/>
              <w:left w:val="nil"/>
              <w:bottom w:val="single" w:sz="4" w:space="0" w:color="auto"/>
              <w:right w:val="nil"/>
            </w:tcBorders>
            <w:shd w:val="clear" w:color="auto" w:fill="auto"/>
            <w:noWrap/>
            <w:vAlign w:val="bottom"/>
            <w:hideMark/>
          </w:tcPr>
          <w:p w14:paraId="65502AAF"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(17)</w:t>
            </w:r>
          </w:p>
        </w:tc>
        <w:tc>
          <w:tcPr>
            <w:tcW w:w="1277" w:type="dxa"/>
            <w:tcBorders>
              <w:top w:val="nil"/>
              <w:left w:val="nil"/>
              <w:bottom w:val="single" w:sz="4" w:space="0" w:color="auto"/>
              <w:right w:val="nil"/>
            </w:tcBorders>
            <w:shd w:val="clear" w:color="auto" w:fill="auto"/>
            <w:noWrap/>
            <w:vAlign w:val="bottom"/>
            <w:hideMark/>
          </w:tcPr>
          <w:p w14:paraId="4F825BEE"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(18)</w:t>
            </w:r>
          </w:p>
        </w:tc>
        <w:tc>
          <w:tcPr>
            <w:tcW w:w="1277" w:type="dxa"/>
            <w:tcBorders>
              <w:top w:val="nil"/>
              <w:left w:val="nil"/>
              <w:bottom w:val="single" w:sz="4" w:space="0" w:color="auto"/>
              <w:right w:val="nil"/>
            </w:tcBorders>
            <w:shd w:val="clear" w:color="auto" w:fill="auto"/>
            <w:noWrap/>
            <w:vAlign w:val="bottom"/>
            <w:hideMark/>
          </w:tcPr>
          <w:p w14:paraId="570DA9ED"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(19)</w:t>
            </w:r>
          </w:p>
        </w:tc>
        <w:tc>
          <w:tcPr>
            <w:tcW w:w="1277" w:type="dxa"/>
            <w:tcBorders>
              <w:top w:val="nil"/>
              <w:left w:val="nil"/>
              <w:bottom w:val="single" w:sz="4" w:space="0" w:color="auto"/>
              <w:right w:val="nil"/>
            </w:tcBorders>
            <w:shd w:val="clear" w:color="auto" w:fill="auto"/>
            <w:noWrap/>
            <w:vAlign w:val="bottom"/>
            <w:hideMark/>
          </w:tcPr>
          <w:p w14:paraId="423CDB97"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(20)</w:t>
            </w:r>
          </w:p>
        </w:tc>
        <w:tc>
          <w:tcPr>
            <w:tcW w:w="1277" w:type="dxa"/>
            <w:tcBorders>
              <w:top w:val="nil"/>
              <w:left w:val="nil"/>
              <w:bottom w:val="single" w:sz="4" w:space="0" w:color="auto"/>
              <w:right w:val="nil"/>
            </w:tcBorders>
            <w:shd w:val="clear" w:color="auto" w:fill="auto"/>
            <w:noWrap/>
            <w:vAlign w:val="bottom"/>
            <w:hideMark/>
          </w:tcPr>
          <w:p w14:paraId="33C0F850"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(21)</w:t>
            </w:r>
          </w:p>
        </w:tc>
        <w:tc>
          <w:tcPr>
            <w:tcW w:w="1277" w:type="dxa"/>
            <w:tcBorders>
              <w:top w:val="nil"/>
              <w:left w:val="nil"/>
              <w:bottom w:val="single" w:sz="4" w:space="0" w:color="auto"/>
              <w:right w:val="nil"/>
            </w:tcBorders>
            <w:shd w:val="clear" w:color="auto" w:fill="auto"/>
            <w:noWrap/>
            <w:vAlign w:val="bottom"/>
            <w:hideMark/>
          </w:tcPr>
          <w:p w14:paraId="0D02E158"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(22)</w:t>
            </w:r>
          </w:p>
        </w:tc>
        <w:tc>
          <w:tcPr>
            <w:tcW w:w="872" w:type="dxa"/>
            <w:tcBorders>
              <w:top w:val="nil"/>
              <w:left w:val="nil"/>
              <w:bottom w:val="single" w:sz="4" w:space="0" w:color="auto"/>
              <w:right w:val="nil"/>
            </w:tcBorders>
            <w:shd w:val="clear" w:color="auto" w:fill="auto"/>
            <w:noWrap/>
            <w:vAlign w:val="bottom"/>
            <w:hideMark/>
          </w:tcPr>
          <w:p w14:paraId="428B9CFF" w14:textId="77777777" w:rsidR="0093472B" w:rsidRPr="00C82EE1" w:rsidRDefault="0093472B" w:rsidP="00A10973">
            <w:pPr>
              <w:spacing w:after="0" w:line="240" w:lineRule="auto"/>
              <w:jc w:val="both"/>
              <w:rPr>
                <w:rFonts w:ascii="Times New Roman" w:eastAsia="Times New Roman" w:hAnsi="Times New Roman" w:cs="Times New Roman"/>
                <w:b/>
                <w:color w:val="000000"/>
                <w:sz w:val="20"/>
                <w:szCs w:val="20"/>
              </w:rPr>
            </w:pPr>
            <w:r w:rsidRPr="00C82EE1">
              <w:rPr>
                <w:rFonts w:ascii="Times New Roman" w:eastAsia="Times New Roman" w:hAnsi="Times New Roman" w:cs="Times New Roman"/>
                <w:b/>
                <w:color w:val="000000"/>
                <w:sz w:val="20"/>
                <w:szCs w:val="20"/>
              </w:rPr>
              <w:t>(23)</w:t>
            </w:r>
          </w:p>
        </w:tc>
        <w:tc>
          <w:tcPr>
            <w:tcW w:w="332" w:type="dxa"/>
            <w:tcBorders>
              <w:top w:val="nil"/>
              <w:left w:val="nil"/>
              <w:bottom w:val="single" w:sz="4" w:space="0" w:color="auto"/>
              <w:right w:val="nil"/>
            </w:tcBorders>
            <w:shd w:val="clear" w:color="auto" w:fill="auto"/>
            <w:noWrap/>
            <w:vAlign w:val="bottom"/>
            <w:hideMark/>
          </w:tcPr>
          <w:p w14:paraId="0112CD0A"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r>
      <w:tr w:rsidR="0093472B" w:rsidRPr="00C82EE1" w14:paraId="254A815E"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36800480"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Social media (14)</w:t>
            </w:r>
          </w:p>
        </w:tc>
        <w:tc>
          <w:tcPr>
            <w:tcW w:w="966" w:type="dxa"/>
            <w:gridSpan w:val="2"/>
            <w:tcBorders>
              <w:top w:val="nil"/>
              <w:left w:val="nil"/>
              <w:bottom w:val="nil"/>
              <w:right w:val="nil"/>
            </w:tcBorders>
            <w:shd w:val="clear" w:color="auto" w:fill="auto"/>
            <w:noWrap/>
            <w:vAlign w:val="bottom"/>
            <w:hideMark/>
          </w:tcPr>
          <w:p w14:paraId="6839824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0.251***</w:t>
            </w:r>
          </w:p>
        </w:tc>
        <w:tc>
          <w:tcPr>
            <w:tcW w:w="1278" w:type="dxa"/>
            <w:tcBorders>
              <w:top w:val="nil"/>
              <w:left w:val="nil"/>
              <w:bottom w:val="nil"/>
              <w:right w:val="nil"/>
            </w:tcBorders>
            <w:shd w:val="clear" w:color="auto" w:fill="auto"/>
            <w:noWrap/>
            <w:vAlign w:val="bottom"/>
            <w:hideMark/>
          </w:tcPr>
          <w:p w14:paraId="0146FD1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277" w:type="dxa"/>
            <w:tcBorders>
              <w:top w:val="nil"/>
              <w:left w:val="nil"/>
              <w:bottom w:val="nil"/>
              <w:right w:val="nil"/>
            </w:tcBorders>
            <w:shd w:val="clear" w:color="auto" w:fill="auto"/>
            <w:noWrap/>
            <w:vAlign w:val="bottom"/>
            <w:hideMark/>
          </w:tcPr>
          <w:p w14:paraId="1B67158C"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5CB2615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424C546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054DD745"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1648373A"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6B7B78A5"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7AD04434"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22D57F3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872" w:type="dxa"/>
            <w:tcBorders>
              <w:top w:val="nil"/>
              <w:left w:val="nil"/>
              <w:bottom w:val="nil"/>
              <w:right w:val="nil"/>
            </w:tcBorders>
            <w:shd w:val="clear" w:color="auto" w:fill="auto"/>
            <w:noWrap/>
            <w:vAlign w:val="bottom"/>
            <w:hideMark/>
          </w:tcPr>
          <w:p w14:paraId="737F4D34"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5C1C25E"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7865C48A"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3651B84F"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Eth (15)</w:t>
            </w:r>
          </w:p>
        </w:tc>
        <w:tc>
          <w:tcPr>
            <w:tcW w:w="966" w:type="dxa"/>
            <w:gridSpan w:val="2"/>
            <w:tcBorders>
              <w:top w:val="nil"/>
              <w:left w:val="nil"/>
              <w:bottom w:val="nil"/>
              <w:right w:val="nil"/>
            </w:tcBorders>
            <w:shd w:val="clear" w:color="auto" w:fill="auto"/>
            <w:noWrap/>
            <w:vAlign w:val="bottom"/>
            <w:hideMark/>
          </w:tcPr>
          <w:p w14:paraId="78187B4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0.050</w:t>
            </w:r>
          </w:p>
        </w:tc>
        <w:tc>
          <w:tcPr>
            <w:tcW w:w="1278" w:type="dxa"/>
            <w:tcBorders>
              <w:top w:val="nil"/>
              <w:left w:val="nil"/>
              <w:bottom w:val="nil"/>
              <w:right w:val="nil"/>
            </w:tcBorders>
            <w:shd w:val="clear" w:color="auto" w:fill="auto"/>
            <w:noWrap/>
            <w:vAlign w:val="bottom"/>
            <w:hideMark/>
          </w:tcPr>
          <w:p w14:paraId="5E3E1EB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0.113***</w:t>
            </w:r>
          </w:p>
        </w:tc>
        <w:tc>
          <w:tcPr>
            <w:tcW w:w="1277" w:type="dxa"/>
            <w:tcBorders>
              <w:top w:val="nil"/>
              <w:left w:val="nil"/>
              <w:bottom w:val="nil"/>
              <w:right w:val="nil"/>
            </w:tcBorders>
            <w:shd w:val="clear" w:color="auto" w:fill="auto"/>
            <w:noWrap/>
            <w:vAlign w:val="bottom"/>
            <w:hideMark/>
          </w:tcPr>
          <w:p w14:paraId="102C6CA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277" w:type="dxa"/>
            <w:tcBorders>
              <w:top w:val="nil"/>
              <w:left w:val="nil"/>
              <w:bottom w:val="nil"/>
              <w:right w:val="nil"/>
            </w:tcBorders>
            <w:shd w:val="clear" w:color="auto" w:fill="auto"/>
            <w:noWrap/>
            <w:vAlign w:val="bottom"/>
            <w:hideMark/>
          </w:tcPr>
          <w:p w14:paraId="13512248"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2A9CCEF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5CBBC286"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2A2279C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07A5AA3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7980F126"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62B03CD5"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872" w:type="dxa"/>
            <w:tcBorders>
              <w:top w:val="nil"/>
              <w:left w:val="nil"/>
              <w:bottom w:val="nil"/>
              <w:right w:val="nil"/>
            </w:tcBorders>
            <w:shd w:val="clear" w:color="auto" w:fill="auto"/>
            <w:noWrap/>
            <w:vAlign w:val="bottom"/>
            <w:hideMark/>
          </w:tcPr>
          <w:p w14:paraId="1E1AA54D"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F44405A"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06CD13AF"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7331C81C"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Video (16)</w:t>
            </w:r>
          </w:p>
        </w:tc>
        <w:tc>
          <w:tcPr>
            <w:tcW w:w="966" w:type="dxa"/>
            <w:gridSpan w:val="2"/>
            <w:tcBorders>
              <w:top w:val="nil"/>
              <w:left w:val="nil"/>
              <w:bottom w:val="nil"/>
              <w:right w:val="nil"/>
            </w:tcBorders>
            <w:shd w:val="clear" w:color="auto" w:fill="auto"/>
            <w:noWrap/>
            <w:vAlign w:val="bottom"/>
            <w:hideMark/>
          </w:tcPr>
          <w:p w14:paraId="57D6BC4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0.133***</w:t>
            </w:r>
          </w:p>
        </w:tc>
        <w:tc>
          <w:tcPr>
            <w:tcW w:w="1278" w:type="dxa"/>
            <w:tcBorders>
              <w:top w:val="nil"/>
              <w:left w:val="nil"/>
              <w:bottom w:val="nil"/>
              <w:right w:val="nil"/>
            </w:tcBorders>
            <w:shd w:val="clear" w:color="auto" w:fill="auto"/>
            <w:noWrap/>
            <w:vAlign w:val="bottom"/>
            <w:hideMark/>
          </w:tcPr>
          <w:p w14:paraId="6400DA9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0.305***</w:t>
            </w:r>
          </w:p>
        </w:tc>
        <w:tc>
          <w:tcPr>
            <w:tcW w:w="1277" w:type="dxa"/>
            <w:tcBorders>
              <w:top w:val="nil"/>
              <w:left w:val="nil"/>
              <w:bottom w:val="nil"/>
              <w:right w:val="nil"/>
            </w:tcBorders>
            <w:shd w:val="clear" w:color="auto" w:fill="auto"/>
            <w:noWrap/>
            <w:vAlign w:val="bottom"/>
            <w:hideMark/>
          </w:tcPr>
          <w:p w14:paraId="0FCF7A1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0.006</w:t>
            </w:r>
          </w:p>
        </w:tc>
        <w:tc>
          <w:tcPr>
            <w:tcW w:w="1277" w:type="dxa"/>
            <w:tcBorders>
              <w:top w:val="nil"/>
              <w:left w:val="nil"/>
              <w:bottom w:val="nil"/>
              <w:right w:val="nil"/>
            </w:tcBorders>
            <w:shd w:val="clear" w:color="auto" w:fill="auto"/>
            <w:noWrap/>
            <w:vAlign w:val="bottom"/>
            <w:hideMark/>
          </w:tcPr>
          <w:p w14:paraId="258AF7D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277" w:type="dxa"/>
            <w:tcBorders>
              <w:top w:val="nil"/>
              <w:left w:val="nil"/>
              <w:bottom w:val="nil"/>
              <w:right w:val="nil"/>
            </w:tcBorders>
            <w:shd w:val="clear" w:color="auto" w:fill="auto"/>
            <w:noWrap/>
            <w:vAlign w:val="bottom"/>
            <w:hideMark/>
          </w:tcPr>
          <w:p w14:paraId="5F5354F0"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1AEE66DD"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46ECE06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086AEC5A"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08F9ED00"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7705C43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872" w:type="dxa"/>
            <w:tcBorders>
              <w:top w:val="nil"/>
              <w:left w:val="nil"/>
              <w:bottom w:val="nil"/>
              <w:right w:val="nil"/>
            </w:tcBorders>
            <w:shd w:val="clear" w:color="auto" w:fill="auto"/>
            <w:noWrap/>
            <w:vAlign w:val="bottom"/>
            <w:hideMark/>
          </w:tcPr>
          <w:p w14:paraId="33460438"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201CAAB1"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3D60500A"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0478C9B7"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Token distribution (17)</w:t>
            </w:r>
          </w:p>
        </w:tc>
        <w:tc>
          <w:tcPr>
            <w:tcW w:w="966" w:type="dxa"/>
            <w:gridSpan w:val="2"/>
            <w:tcBorders>
              <w:top w:val="nil"/>
              <w:left w:val="nil"/>
              <w:bottom w:val="nil"/>
              <w:right w:val="nil"/>
            </w:tcBorders>
            <w:shd w:val="clear" w:color="auto" w:fill="auto"/>
            <w:noWrap/>
            <w:vAlign w:val="bottom"/>
            <w:hideMark/>
          </w:tcPr>
          <w:p w14:paraId="28DF1A3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0.108***</w:t>
            </w:r>
          </w:p>
        </w:tc>
        <w:tc>
          <w:tcPr>
            <w:tcW w:w="1278" w:type="dxa"/>
            <w:tcBorders>
              <w:top w:val="nil"/>
              <w:left w:val="nil"/>
              <w:bottom w:val="nil"/>
              <w:right w:val="nil"/>
            </w:tcBorders>
            <w:shd w:val="clear" w:color="auto" w:fill="auto"/>
            <w:noWrap/>
            <w:vAlign w:val="bottom"/>
            <w:hideMark/>
          </w:tcPr>
          <w:p w14:paraId="11FE8F2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0.157***</w:t>
            </w:r>
          </w:p>
        </w:tc>
        <w:tc>
          <w:tcPr>
            <w:tcW w:w="1277" w:type="dxa"/>
            <w:tcBorders>
              <w:top w:val="nil"/>
              <w:left w:val="nil"/>
              <w:bottom w:val="nil"/>
              <w:right w:val="nil"/>
            </w:tcBorders>
            <w:shd w:val="clear" w:color="auto" w:fill="auto"/>
            <w:noWrap/>
            <w:vAlign w:val="bottom"/>
            <w:hideMark/>
          </w:tcPr>
          <w:p w14:paraId="6DC74BD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0.016</w:t>
            </w:r>
          </w:p>
        </w:tc>
        <w:tc>
          <w:tcPr>
            <w:tcW w:w="1277" w:type="dxa"/>
            <w:tcBorders>
              <w:top w:val="nil"/>
              <w:left w:val="nil"/>
              <w:bottom w:val="nil"/>
              <w:right w:val="nil"/>
            </w:tcBorders>
            <w:shd w:val="clear" w:color="auto" w:fill="auto"/>
            <w:noWrap/>
            <w:vAlign w:val="bottom"/>
            <w:hideMark/>
          </w:tcPr>
          <w:p w14:paraId="11B68F6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0.079**</w:t>
            </w:r>
          </w:p>
        </w:tc>
        <w:tc>
          <w:tcPr>
            <w:tcW w:w="1277" w:type="dxa"/>
            <w:tcBorders>
              <w:top w:val="nil"/>
              <w:left w:val="nil"/>
              <w:bottom w:val="nil"/>
              <w:right w:val="nil"/>
            </w:tcBorders>
            <w:shd w:val="clear" w:color="auto" w:fill="auto"/>
            <w:noWrap/>
            <w:vAlign w:val="bottom"/>
            <w:hideMark/>
          </w:tcPr>
          <w:p w14:paraId="23A7C00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277" w:type="dxa"/>
            <w:tcBorders>
              <w:top w:val="nil"/>
              <w:left w:val="nil"/>
              <w:bottom w:val="nil"/>
              <w:right w:val="nil"/>
            </w:tcBorders>
            <w:shd w:val="clear" w:color="auto" w:fill="auto"/>
            <w:noWrap/>
            <w:vAlign w:val="bottom"/>
            <w:hideMark/>
          </w:tcPr>
          <w:p w14:paraId="757E981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149CC7FA"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5DB088C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587C14A8"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2B314D1F"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872" w:type="dxa"/>
            <w:tcBorders>
              <w:top w:val="nil"/>
              <w:left w:val="nil"/>
              <w:bottom w:val="nil"/>
              <w:right w:val="nil"/>
            </w:tcBorders>
            <w:shd w:val="clear" w:color="auto" w:fill="auto"/>
            <w:noWrap/>
            <w:vAlign w:val="bottom"/>
            <w:hideMark/>
          </w:tcPr>
          <w:p w14:paraId="1D685ACE"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77061AF"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577E758A"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32EB64D4"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Minimum investment (18)</w:t>
            </w:r>
          </w:p>
        </w:tc>
        <w:tc>
          <w:tcPr>
            <w:tcW w:w="966" w:type="dxa"/>
            <w:gridSpan w:val="2"/>
            <w:tcBorders>
              <w:top w:val="nil"/>
              <w:left w:val="nil"/>
              <w:bottom w:val="nil"/>
              <w:right w:val="nil"/>
            </w:tcBorders>
            <w:shd w:val="clear" w:color="auto" w:fill="auto"/>
            <w:noWrap/>
            <w:vAlign w:val="bottom"/>
            <w:hideMark/>
          </w:tcPr>
          <w:p w14:paraId="0B87E0A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0.223***</w:t>
            </w:r>
          </w:p>
        </w:tc>
        <w:tc>
          <w:tcPr>
            <w:tcW w:w="1278" w:type="dxa"/>
            <w:tcBorders>
              <w:top w:val="nil"/>
              <w:left w:val="nil"/>
              <w:bottom w:val="nil"/>
              <w:right w:val="nil"/>
            </w:tcBorders>
            <w:shd w:val="clear" w:color="auto" w:fill="auto"/>
            <w:noWrap/>
            <w:vAlign w:val="bottom"/>
            <w:hideMark/>
          </w:tcPr>
          <w:p w14:paraId="76C20CA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0.208***</w:t>
            </w:r>
          </w:p>
        </w:tc>
        <w:tc>
          <w:tcPr>
            <w:tcW w:w="1277" w:type="dxa"/>
            <w:tcBorders>
              <w:top w:val="nil"/>
              <w:left w:val="nil"/>
              <w:bottom w:val="nil"/>
              <w:right w:val="nil"/>
            </w:tcBorders>
            <w:shd w:val="clear" w:color="auto" w:fill="auto"/>
            <w:noWrap/>
            <w:vAlign w:val="bottom"/>
            <w:hideMark/>
          </w:tcPr>
          <w:p w14:paraId="0D6C666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0.100***</w:t>
            </w:r>
          </w:p>
        </w:tc>
        <w:tc>
          <w:tcPr>
            <w:tcW w:w="1277" w:type="dxa"/>
            <w:tcBorders>
              <w:top w:val="nil"/>
              <w:left w:val="nil"/>
              <w:bottom w:val="nil"/>
              <w:right w:val="nil"/>
            </w:tcBorders>
            <w:shd w:val="clear" w:color="auto" w:fill="auto"/>
            <w:noWrap/>
            <w:vAlign w:val="bottom"/>
            <w:hideMark/>
          </w:tcPr>
          <w:p w14:paraId="12A0F0C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0.061*</w:t>
            </w:r>
          </w:p>
        </w:tc>
        <w:tc>
          <w:tcPr>
            <w:tcW w:w="1277" w:type="dxa"/>
            <w:tcBorders>
              <w:top w:val="nil"/>
              <w:left w:val="nil"/>
              <w:bottom w:val="nil"/>
              <w:right w:val="nil"/>
            </w:tcBorders>
            <w:shd w:val="clear" w:color="auto" w:fill="auto"/>
            <w:noWrap/>
            <w:vAlign w:val="bottom"/>
            <w:hideMark/>
          </w:tcPr>
          <w:p w14:paraId="4341019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0.102***</w:t>
            </w:r>
          </w:p>
        </w:tc>
        <w:tc>
          <w:tcPr>
            <w:tcW w:w="1277" w:type="dxa"/>
            <w:tcBorders>
              <w:top w:val="nil"/>
              <w:left w:val="nil"/>
              <w:bottom w:val="nil"/>
              <w:right w:val="nil"/>
            </w:tcBorders>
            <w:shd w:val="clear" w:color="auto" w:fill="auto"/>
            <w:noWrap/>
            <w:vAlign w:val="bottom"/>
            <w:hideMark/>
          </w:tcPr>
          <w:p w14:paraId="2FE5EF4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277" w:type="dxa"/>
            <w:tcBorders>
              <w:top w:val="nil"/>
              <w:left w:val="nil"/>
              <w:bottom w:val="nil"/>
              <w:right w:val="nil"/>
            </w:tcBorders>
            <w:shd w:val="clear" w:color="auto" w:fill="auto"/>
            <w:noWrap/>
            <w:vAlign w:val="bottom"/>
            <w:hideMark/>
          </w:tcPr>
          <w:p w14:paraId="2318EA82"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0DE938CC"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4734AD18"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4AE15A65"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872" w:type="dxa"/>
            <w:tcBorders>
              <w:top w:val="nil"/>
              <w:left w:val="nil"/>
              <w:bottom w:val="nil"/>
              <w:right w:val="nil"/>
            </w:tcBorders>
            <w:shd w:val="clear" w:color="auto" w:fill="auto"/>
            <w:noWrap/>
            <w:vAlign w:val="bottom"/>
            <w:hideMark/>
          </w:tcPr>
          <w:p w14:paraId="4255A504"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AA85980"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0373D04C"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29701A82"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Fiat (19)</w:t>
            </w:r>
          </w:p>
        </w:tc>
        <w:tc>
          <w:tcPr>
            <w:tcW w:w="966" w:type="dxa"/>
            <w:gridSpan w:val="2"/>
            <w:tcBorders>
              <w:top w:val="nil"/>
              <w:left w:val="nil"/>
              <w:bottom w:val="nil"/>
              <w:right w:val="nil"/>
            </w:tcBorders>
            <w:shd w:val="clear" w:color="auto" w:fill="auto"/>
            <w:noWrap/>
            <w:vAlign w:val="bottom"/>
            <w:hideMark/>
          </w:tcPr>
          <w:p w14:paraId="4CB5ABD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0.022</w:t>
            </w:r>
          </w:p>
        </w:tc>
        <w:tc>
          <w:tcPr>
            <w:tcW w:w="1278" w:type="dxa"/>
            <w:tcBorders>
              <w:top w:val="nil"/>
              <w:left w:val="nil"/>
              <w:bottom w:val="nil"/>
              <w:right w:val="nil"/>
            </w:tcBorders>
            <w:shd w:val="clear" w:color="auto" w:fill="auto"/>
            <w:noWrap/>
            <w:vAlign w:val="bottom"/>
            <w:hideMark/>
          </w:tcPr>
          <w:p w14:paraId="708F37C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0.090**</w:t>
            </w:r>
          </w:p>
        </w:tc>
        <w:tc>
          <w:tcPr>
            <w:tcW w:w="1277" w:type="dxa"/>
            <w:tcBorders>
              <w:top w:val="nil"/>
              <w:left w:val="nil"/>
              <w:bottom w:val="nil"/>
              <w:right w:val="nil"/>
            </w:tcBorders>
            <w:shd w:val="clear" w:color="auto" w:fill="auto"/>
            <w:noWrap/>
            <w:vAlign w:val="bottom"/>
            <w:hideMark/>
          </w:tcPr>
          <w:p w14:paraId="415C3FE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-0.006</w:t>
            </w:r>
          </w:p>
        </w:tc>
        <w:tc>
          <w:tcPr>
            <w:tcW w:w="1277" w:type="dxa"/>
            <w:tcBorders>
              <w:top w:val="nil"/>
              <w:left w:val="nil"/>
              <w:bottom w:val="nil"/>
              <w:right w:val="nil"/>
            </w:tcBorders>
            <w:shd w:val="clear" w:color="auto" w:fill="auto"/>
            <w:noWrap/>
            <w:vAlign w:val="bottom"/>
            <w:hideMark/>
          </w:tcPr>
          <w:p w14:paraId="0B0CAD7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0.089**</w:t>
            </w:r>
          </w:p>
        </w:tc>
        <w:tc>
          <w:tcPr>
            <w:tcW w:w="1277" w:type="dxa"/>
            <w:tcBorders>
              <w:top w:val="nil"/>
              <w:left w:val="nil"/>
              <w:bottom w:val="nil"/>
              <w:right w:val="nil"/>
            </w:tcBorders>
            <w:shd w:val="clear" w:color="auto" w:fill="auto"/>
            <w:noWrap/>
            <w:vAlign w:val="bottom"/>
            <w:hideMark/>
          </w:tcPr>
          <w:p w14:paraId="0068076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0.012</w:t>
            </w:r>
          </w:p>
        </w:tc>
        <w:tc>
          <w:tcPr>
            <w:tcW w:w="1277" w:type="dxa"/>
            <w:tcBorders>
              <w:top w:val="nil"/>
              <w:left w:val="nil"/>
              <w:bottom w:val="nil"/>
              <w:right w:val="nil"/>
            </w:tcBorders>
            <w:shd w:val="clear" w:color="auto" w:fill="auto"/>
            <w:noWrap/>
            <w:vAlign w:val="bottom"/>
            <w:hideMark/>
          </w:tcPr>
          <w:p w14:paraId="31EFB07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0.061*</w:t>
            </w:r>
          </w:p>
        </w:tc>
        <w:tc>
          <w:tcPr>
            <w:tcW w:w="1277" w:type="dxa"/>
            <w:tcBorders>
              <w:top w:val="nil"/>
              <w:left w:val="nil"/>
              <w:bottom w:val="nil"/>
              <w:right w:val="nil"/>
            </w:tcBorders>
            <w:shd w:val="clear" w:color="auto" w:fill="auto"/>
            <w:noWrap/>
            <w:vAlign w:val="bottom"/>
            <w:hideMark/>
          </w:tcPr>
          <w:p w14:paraId="5352713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277" w:type="dxa"/>
            <w:tcBorders>
              <w:top w:val="nil"/>
              <w:left w:val="nil"/>
              <w:bottom w:val="nil"/>
              <w:right w:val="nil"/>
            </w:tcBorders>
            <w:shd w:val="clear" w:color="auto" w:fill="auto"/>
            <w:noWrap/>
            <w:vAlign w:val="bottom"/>
            <w:hideMark/>
          </w:tcPr>
          <w:p w14:paraId="1CCF4AD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5776E27C"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06DB9AB9"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872" w:type="dxa"/>
            <w:tcBorders>
              <w:top w:val="nil"/>
              <w:left w:val="nil"/>
              <w:bottom w:val="nil"/>
              <w:right w:val="nil"/>
            </w:tcBorders>
            <w:shd w:val="clear" w:color="auto" w:fill="auto"/>
            <w:noWrap/>
            <w:vAlign w:val="bottom"/>
            <w:hideMark/>
          </w:tcPr>
          <w:p w14:paraId="31CB5F5C"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2161015"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70CB4C58"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0D0A9ED9"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Hardcap</w:t>
            </w:r>
            <w:proofErr w:type="spellEnd"/>
            <w:r w:rsidRPr="00C82EE1">
              <w:rPr>
                <w:rFonts w:ascii="Times New Roman" w:eastAsia="Times New Roman" w:hAnsi="Times New Roman" w:cs="Times New Roman"/>
                <w:i/>
                <w:color w:val="000000"/>
                <w:sz w:val="20"/>
                <w:szCs w:val="20"/>
              </w:rPr>
              <w:t xml:space="preserve"> (20)</w:t>
            </w:r>
          </w:p>
        </w:tc>
        <w:tc>
          <w:tcPr>
            <w:tcW w:w="966" w:type="dxa"/>
            <w:gridSpan w:val="2"/>
            <w:tcBorders>
              <w:top w:val="nil"/>
              <w:left w:val="nil"/>
              <w:bottom w:val="nil"/>
              <w:right w:val="nil"/>
            </w:tcBorders>
            <w:shd w:val="clear" w:color="auto" w:fill="auto"/>
            <w:noWrap/>
            <w:vAlign w:val="bottom"/>
            <w:hideMark/>
          </w:tcPr>
          <w:p w14:paraId="6B7C96E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0.151***</w:t>
            </w:r>
          </w:p>
        </w:tc>
        <w:tc>
          <w:tcPr>
            <w:tcW w:w="1278" w:type="dxa"/>
            <w:tcBorders>
              <w:top w:val="nil"/>
              <w:left w:val="nil"/>
              <w:bottom w:val="nil"/>
              <w:right w:val="nil"/>
            </w:tcBorders>
            <w:shd w:val="clear" w:color="auto" w:fill="auto"/>
            <w:noWrap/>
            <w:vAlign w:val="bottom"/>
            <w:hideMark/>
          </w:tcPr>
          <w:p w14:paraId="25B57B2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0.131***</w:t>
            </w:r>
          </w:p>
        </w:tc>
        <w:tc>
          <w:tcPr>
            <w:tcW w:w="1277" w:type="dxa"/>
            <w:tcBorders>
              <w:top w:val="nil"/>
              <w:left w:val="nil"/>
              <w:bottom w:val="nil"/>
              <w:right w:val="nil"/>
            </w:tcBorders>
            <w:shd w:val="clear" w:color="auto" w:fill="auto"/>
            <w:noWrap/>
            <w:vAlign w:val="bottom"/>
            <w:hideMark/>
          </w:tcPr>
          <w:p w14:paraId="3E4338C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0.054</w:t>
            </w:r>
          </w:p>
        </w:tc>
        <w:tc>
          <w:tcPr>
            <w:tcW w:w="1277" w:type="dxa"/>
            <w:tcBorders>
              <w:top w:val="nil"/>
              <w:left w:val="nil"/>
              <w:bottom w:val="nil"/>
              <w:right w:val="nil"/>
            </w:tcBorders>
            <w:shd w:val="clear" w:color="auto" w:fill="auto"/>
            <w:noWrap/>
            <w:vAlign w:val="bottom"/>
            <w:hideMark/>
          </w:tcPr>
          <w:p w14:paraId="33E6E6F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0.035</w:t>
            </w:r>
          </w:p>
        </w:tc>
        <w:tc>
          <w:tcPr>
            <w:tcW w:w="1277" w:type="dxa"/>
            <w:tcBorders>
              <w:top w:val="nil"/>
              <w:left w:val="nil"/>
              <w:bottom w:val="nil"/>
              <w:right w:val="nil"/>
            </w:tcBorders>
            <w:shd w:val="clear" w:color="auto" w:fill="auto"/>
            <w:noWrap/>
            <w:vAlign w:val="bottom"/>
            <w:hideMark/>
          </w:tcPr>
          <w:p w14:paraId="3C36768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0.209***</w:t>
            </w:r>
          </w:p>
        </w:tc>
        <w:tc>
          <w:tcPr>
            <w:tcW w:w="1277" w:type="dxa"/>
            <w:tcBorders>
              <w:top w:val="nil"/>
              <w:left w:val="nil"/>
              <w:bottom w:val="nil"/>
              <w:right w:val="nil"/>
            </w:tcBorders>
            <w:shd w:val="clear" w:color="auto" w:fill="auto"/>
            <w:noWrap/>
            <w:vAlign w:val="bottom"/>
            <w:hideMark/>
          </w:tcPr>
          <w:p w14:paraId="106EF89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0.178***</w:t>
            </w:r>
          </w:p>
        </w:tc>
        <w:tc>
          <w:tcPr>
            <w:tcW w:w="1277" w:type="dxa"/>
            <w:tcBorders>
              <w:top w:val="nil"/>
              <w:left w:val="nil"/>
              <w:bottom w:val="nil"/>
              <w:right w:val="nil"/>
            </w:tcBorders>
            <w:shd w:val="clear" w:color="auto" w:fill="auto"/>
            <w:noWrap/>
            <w:vAlign w:val="bottom"/>
            <w:hideMark/>
          </w:tcPr>
          <w:p w14:paraId="0C44360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0.028</w:t>
            </w:r>
          </w:p>
        </w:tc>
        <w:tc>
          <w:tcPr>
            <w:tcW w:w="1277" w:type="dxa"/>
            <w:tcBorders>
              <w:top w:val="nil"/>
              <w:left w:val="nil"/>
              <w:bottom w:val="nil"/>
              <w:right w:val="nil"/>
            </w:tcBorders>
            <w:shd w:val="clear" w:color="auto" w:fill="auto"/>
            <w:noWrap/>
            <w:vAlign w:val="bottom"/>
            <w:hideMark/>
          </w:tcPr>
          <w:p w14:paraId="2FD9EE6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277" w:type="dxa"/>
            <w:tcBorders>
              <w:top w:val="nil"/>
              <w:left w:val="nil"/>
              <w:bottom w:val="nil"/>
              <w:right w:val="nil"/>
            </w:tcBorders>
            <w:shd w:val="clear" w:color="auto" w:fill="auto"/>
            <w:noWrap/>
            <w:vAlign w:val="bottom"/>
            <w:hideMark/>
          </w:tcPr>
          <w:p w14:paraId="569BDE47"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1277" w:type="dxa"/>
            <w:tcBorders>
              <w:top w:val="nil"/>
              <w:left w:val="nil"/>
              <w:bottom w:val="nil"/>
              <w:right w:val="nil"/>
            </w:tcBorders>
            <w:shd w:val="clear" w:color="auto" w:fill="auto"/>
            <w:noWrap/>
            <w:vAlign w:val="bottom"/>
            <w:hideMark/>
          </w:tcPr>
          <w:p w14:paraId="34AB231C"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872" w:type="dxa"/>
            <w:tcBorders>
              <w:top w:val="nil"/>
              <w:left w:val="nil"/>
              <w:bottom w:val="nil"/>
              <w:right w:val="nil"/>
            </w:tcBorders>
            <w:shd w:val="clear" w:color="auto" w:fill="auto"/>
            <w:noWrap/>
            <w:vAlign w:val="bottom"/>
            <w:hideMark/>
          </w:tcPr>
          <w:p w14:paraId="246EB06E"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5733BD6"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36FE8CAD"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423CB05F"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Softcap</w:t>
            </w:r>
            <w:proofErr w:type="spellEnd"/>
            <w:r w:rsidRPr="00C82EE1">
              <w:rPr>
                <w:rFonts w:ascii="Times New Roman" w:eastAsia="Times New Roman" w:hAnsi="Times New Roman" w:cs="Times New Roman"/>
                <w:i/>
                <w:color w:val="000000"/>
                <w:sz w:val="20"/>
                <w:szCs w:val="20"/>
              </w:rPr>
              <w:t xml:space="preserve"> (21)</w:t>
            </w:r>
          </w:p>
        </w:tc>
        <w:tc>
          <w:tcPr>
            <w:tcW w:w="966" w:type="dxa"/>
            <w:gridSpan w:val="2"/>
            <w:tcBorders>
              <w:top w:val="nil"/>
              <w:left w:val="nil"/>
              <w:bottom w:val="nil"/>
              <w:right w:val="nil"/>
            </w:tcBorders>
            <w:shd w:val="clear" w:color="auto" w:fill="auto"/>
            <w:noWrap/>
            <w:vAlign w:val="bottom"/>
            <w:hideMark/>
          </w:tcPr>
          <w:p w14:paraId="2D4715A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0.177***</w:t>
            </w:r>
          </w:p>
        </w:tc>
        <w:tc>
          <w:tcPr>
            <w:tcW w:w="1278" w:type="dxa"/>
            <w:tcBorders>
              <w:top w:val="nil"/>
              <w:left w:val="nil"/>
              <w:bottom w:val="nil"/>
              <w:right w:val="nil"/>
            </w:tcBorders>
            <w:shd w:val="clear" w:color="auto" w:fill="auto"/>
            <w:noWrap/>
            <w:vAlign w:val="bottom"/>
            <w:hideMark/>
          </w:tcPr>
          <w:p w14:paraId="1B15E1F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0.193***</w:t>
            </w:r>
          </w:p>
        </w:tc>
        <w:tc>
          <w:tcPr>
            <w:tcW w:w="1277" w:type="dxa"/>
            <w:tcBorders>
              <w:top w:val="nil"/>
              <w:left w:val="nil"/>
              <w:bottom w:val="nil"/>
              <w:right w:val="nil"/>
            </w:tcBorders>
            <w:shd w:val="clear" w:color="auto" w:fill="auto"/>
            <w:noWrap/>
            <w:vAlign w:val="bottom"/>
            <w:hideMark/>
          </w:tcPr>
          <w:p w14:paraId="318B5D3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0.103***</w:t>
            </w:r>
          </w:p>
        </w:tc>
        <w:tc>
          <w:tcPr>
            <w:tcW w:w="1277" w:type="dxa"/>
            <w:tcBorders>
              <w:top w:val="nil"/>
              <w:left w:val="nil"/>
              <w:bottom w:val="nil"/>
              <w:right w:val="nil"/>
            </w:tcBorders>
            <w:shd w:val="clear" w:color="auto" w:fill="auto"/>
            <w:noWrap/>
            <w:vAlign w:val="bottom"/>
            <w:hideMark/>
          </w:tcPr>
          <w:p w14:paraId="4A8494B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0.077**</w:t>
            </w:r>
          </w:p>
        </w:tc>
        <w:tc>
          <w:tcPr>
            <w:tcW w:w="1277" w:type="dxa"/>
            <w:tcBorders>
              <w:top w:val="nil"/>
              <w:left w:val="nil"/>
              <w:bottom w:val="nil"/>
              <w:right w:val="nil"/>
            </w:tcBorders>
            <w:shd w:val="clear" w:color="auto" w:fill="auto"/>
            <w:noWrap/>
            <w:vAlign w:val="bottom"/>
            <w:hideMark/>
          </w:tcPr>
          <w:p w14:paraId="5B4A537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0.158***</w:t>
            </w:r>
          </w:p>
        </w:tc>
        <w:tc>
          <w:tcPr>
            <w:tcW w:w="1277" w:type="dxa"/>
            <w:tcBorders>
              <w:top w:val="nil"/>
              <w:left w:val="nil"/>
              <w:bottom w:val="nil"/>
              <w:right w:val="nil"/>
            </w:tcBorders>
            <w:shd w:val="clear" w:color="auto" w:fill="auto"/>
            <w:noWrap/>
            <w:vAlign w:val="bottom"/>
            <w:hideMark/>
          </w:tcPr>
          <w:p w14:paraId="4D703F3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0.173***</w:t>
            </w:r>
          </w:p>
        </w:tc>
        <w:tc>
          <w:tcPr>
            <w:tcW w:w="1277" w:type="dxa"/>
            <w:tcBorders>
              <w:top w:val="nil"/>
              <w:left w:val="nil"/>
              <w:bottom w:val="nil"/>
              <w:right w:val="nil"/>
            </w:tcBorders>
            <w:shd w:val="clear" w:color="auto" w:fill="auto"/>
            <w:noWrap/>
            <w:vAlign w:val="bottom"/>
            <w:hideMark/>
          </w:tcPr>
          <w:p w14:paraId="6636E68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0.050</w:t>
            </w:r>
          </w:p>
        </w:tc>
        <w:tc>
          <w:tcPr>
            <w:tcW w:w="1277" w:type="dxa"/>
            <w:tcBorders>
              <w:top w:val="nil"/>
              <w:left w:val="nil"/>
              <w:bottom w:val="nil"/>
              <w:right w:val="nil"/>
            </w:tcBorders>
            <w:shd w:val="clear" w:color="auto" w:fill="auto"/>
            <w:noWrap/>
            <w:vAlign w:val="bottom"/>
            <w:hideMark/>
          </w:tcPr>
          <w:p w14:paraId="6337451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0.324***</w:t>
            </w:r>
          </w:p>
        </w:tc>
        <w:tc>
          <w:tcPr>
            <w:tcW w:w="1277" w:type="dxa"/>
            <w:tcBorders>
              <w:top w:val="nil"/>
              <w:left w:val="nil"/>
              <w:bottom w:val="nil"/>
              <w:right w:val="nil"/>
            </w:tcBorders>
            <w:shd w:val="clear" w:color="auto" w:fill="auto"/>
            <w:noWrap/>
            <w:vAlign w:val="bottom"/>
            <w:hideMark/>
          </w:tcPr>
          <w:p w14:paraId="5A62D1C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277" w:type="dxa"/>
            <w:tcBorders>
              <w:top w:val="nil"/>
              <w:left w:val="nil"/>
              <w:bottom w:val="nil"/>
              <w:right w:val="nil"/>
            </w:tcBorders>
            <w:shd w:val="clear" w:color="auto" w:fill="auto"/>
            <w:noWrap/>
            <w:vAlign w:val="bottom"/>
            <w:hideMark/>
          </w:tcPr>
          <w:p w14:paraId="1C16CF9B"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872" w:type="dxa"/>
            <w:tcBorders>
              <w:top w:val="nil"/>
              <w:left w:val="nil"/>
              <w:bottom w:val="nil"/>
              <w:right w:val="nil"/>
            </w:tcBorders>
            <w:shd w:val="clear" w:color="auto" w:fill="auto"/>
            <w:noWrap/>
            <w:vAlign w:val="bottom"/>
            <w:hideMark/>
          </w:tcPr>
          <w:p w14:paraId="32274101"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26F59915"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29762EB7"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5E679EB7"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r w:rsidRPr="00C82EE1">
              <w:rPr>
                <w:rFonts w:ascii="Times New Roman" w:eastAsia="Times New Roman" w:hAnsi="Times New Roman" w:cs="Times New Roman"/>
                <w:i/>
                <w:color w:val="000000"/>
                <w:sz w:val="20"/>
                <w:szCs w:val="20"/>
              </w:rPr>
              <w:t>Bonus (22)</w:t>
            </w:r>
          </w:p>
        </w:tc>
        <w:tc>
          <w:tcPr>
            <w:tcW w:w="966" w:type="dxa"/>
            <w:gridSpan w:val="2"/>
            <w:tcBorders>
              <w:top w:val="nil"/>
              <w:left w:val="nil"/>
              <w:bottom w:val="nil"/>
              <w:right w:val="nil"/>
            </w:tcBorders>
            <w:shd w:val="clear" w:color="auto" w:fill="auto"/>
            <w:noWrap/>
            <w:vAlign w:val="bottom"/>
            <w:hideMark/>
          </w:tcPr>
          <w:p w14:paraId="4840B27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0.136***</w:t>
            </w:r>
          </w:p>
        </w:tc>
        <w:tc>
          <w:tcPr>
            <w:tcW w:w="1278" w:type="dxa"/>
            <w:tcBorders>
              <w:top w:val="nil"/>
              <w:left w:val="nil"/>
              <w:bottom w:val="nil"/>
              <w:right w:val="nil"/>
            </w:tcBorders>
            <w:shd w:val="clear" w:color="auto" w:fill="auto"/>
            <w:noWrap/>
            <w:vAlign w:val="bottom"/>
            <w:hideMark/>
          </w:tcPr>
          <w:p w14:paraId="750B4CD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0.201***</w:t>
            </w:r>
          </w:p>
        </w:tc>
        <w:tc>
          <w:tcPr>
            <w:tcW w:w="1277" w:type="dxa"/>
            <w:tcBorders>
              <w:top w:val="nil"/>
              <w:left w:val="nil"/>
              <w:bottom w:val="nil"/>
              <w:right w:val="nil"/>
            </w:tcBorders>
            <w:shd w:val="clear" w:color="auto" w:fill="auto"/>
            <w:noWrap/>
            <w:vAlign w:val="bottom"/>
            <w:hideMark/>
          </w:tcPr>
          <w:p w14:paraId="4D904E4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0.065*</w:t>
            </w:r>
          </w:p>
        </w:tc>
        <w:tc>
          <w:tcPr>
            <w:tcW w:w="1277" w:type="dxa"/>
            <w:tcBorders>
              <w:top w:val="nil"/>
              <w:left w:val="nil"/>
              <w:bottom w:val="nil"/>
              <w:right w:val="nil"/>
            </w:tcBorders>
            <w:shd w:val="clear" w:color="auto" w:fill="auto"/>
            <w:noWrap/>
            <w:vAlign w:val="bottom"/>
            <w:hideMark/>
          </w:tcPr>
          <w:p w14:paraId="341859E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0.149***</w:t>
            </w:r>
          </w:p>
        </w:tc>
        <w:tc>
          <w:tcPr>
            <w:tcW w:w="1277" w:type="dxa"/>
            <w:tcBorders>
              <w:top w:val="nil"/>
              <w:left w:val="nil"/>
              <w:bottom w:val="nil"/>
              <w:right w:val="nil"/>
            </w:tcBorders>
            <w:shd w:val="clear" w:color="auto" w:fill="auto"/>
            <w:noWrap/>
            <w:vAlign w:val="bottom"/>
            <w:hideMark/>
          </w:tcPr>
          <w:p w14:paraId="253DD7C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0.146***</w:t>
            </w:r>
          </w:p>
        </w:tc>
        <w:tc>
          <w:tcPr>
            <w:tcW w:w="1277" w:type="dxa"/>
            <w:tcBorders>
              <w:top w:val="nil"/>
              <w:left w:val="nil"/>
              <w:bottom w:val="nil"/>
              <w:right w:val="nil"/>
            </w:tcBorders>
            <w:shd w:val="clear" w:color="auto" w:fill="auto"/>
            <w:noWrap/>
            <w:vAlign w:val="bottom"/>
            <w:hideMark/>
          </w:tcPr>
          <w:p w14:paraId="508B8D2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0.112***</w:t>
            </w:r>
          </w:p>
        </w:tc>
        <w:tc>
          <w:tcPr>
            <w:tcW w:w="1277" w:type="dxa"/>
            <w:tcBorders>
              <w:top w:val="nil"/>
              <w:left w:val="nil"/>
              <w:bottom w:val="nil"/>
              <w:right w:val="nil"/>
            </w:tcBorders>
            <w:shd w:val="clear" w:color="auto" w:fill="auto"/>
            <w:noWrap/>
            <w:vAlign w:val="bottom"/>
            <w:hideMark/>
          </w:tcPr>
          <w:p w14:paraId="14B2592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0.040</w:t>
            </w:r>
          </w:p>
        </w:tc>
        <w:tc>
          <w:tcPr>
            <w:tcW w:w="1277" w:type="dxa"/>
            <w:tcBorders>
              <w:top w:val="nil"/>
              <w:left w:val="nil"/>
              <w:bottom w:val="nil"/>
              <w:right w:val="nil"/>
            </w:tcBorders>
            <w:shd w:val="clear" w:color="auto" w:fill="auto"/>
            <w:noWrap/>
            <w:vAlign w:val="bottom"/>
            <w:hideMark/>
          </w:tcPr>
          <w:p w14:paraId="1911D93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0.146***</w:t>
            </w:r>
          </w:p>
        </w:tc>
        <w:tc>
          <w:tcPr>
            <w:tcW w:w="1277" w:type="dxa"/>
            <w:tcBorders>
              <w:top w:val="nil"/>
              <w:left w:val="nil"/>
              <w:bottom w:val="nil"/>
              <w:right w:val="nil"/>
            </w:tcBorders>
            <w:shd w:val="clear" w:color="auto" w:fill="auto"/>
            <w:noWrap/>
            <w:vAlign w:val="bottom"/>
            <w:hideMark/>
          </w:tcPr>
          <w:p w14:paraId="5CC6325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0.162***</w:t>
            </w:r>
          </w:p>
        </w:tc>
        <w:tc>
          <w:tcPr>
            <w:tcW w:w="1277" w:type="dxa"/>
            <w:tcBorders>
              <w:top w:val="nil"/>
              <w:left w:val="nil"/>
              <w:bottom w:val="nil"/>
              <w:right w:val="nil"/>
            </w:tcBorders>
            <w:shd w:val="clear" w:color="auto" w:fill="auto"/>
            <w:noWrap/>
            <w:vAlign w:val="bottom"/>
            <w:hideMark/>
          </w:tcPr>
          <w:p w14:paraId="3A8567D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872" w:type="dxa"/>
            <w:tcBorders>
              <w:top w:val="nil"/>
              <w:left w:val="nil"/>
              <w:bottom w:val="nil"/>
              <w:right w:val="nil"/>
            </w:tcBorders>
            <w:shd w:val="clear" w:color="auto" w:fill="auto"/>
            <w:noWrap/>
            <w:vAlign w:val="bottom"/>
            <w:hideMark/>
          </w:tcPr>
          <w:p w14:paraId="2AEDFDE6" w14:textId="77777777" w:rsidR="0093472B" w:rsidRPr="00C82EE1" w:rsidRDefault="0093472B" w:rsidP="00026FCB">
            <w:pPr>
              <w:spacing w:after="0" w:line="240" w:lineRule="auto"/>
              <w:jc w:val="both"/>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07322305"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3F02A495" w14:textId="77777777" w:rsidTr="00485FDA">
        <w:trPr>
          <w:trHeight w:val="113"/>
          <w:jc w:val="center"/>
        </w:trPr>
        <w:tc>
          <w:tcPr>
            <w:tcW w:w="2410" w:type="dxa"/>
            <w:tcBorders>
              <w:top w:val="nil"/>
              <w:left w:val="nil"/>
              <w:bottom w:val="nil"/>
              <w:right w:val="nil"/>
            </w:tcBorders>
            <w:shd w:val="clear" w:color="auto" w:fill="auto"/>
            <w:noWrap/>
            <w:vAlign w:val="bottom"/>
            <w:hideMark/>
          </w:tcPr>
          <w:p w14:paraId="35EAE94A"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TopicDiversity</w:t>
            </w:r>
            <w:proofErr w:type="spellEnd"/>
            <w:r w:rsidRPr="00C82EE1">
              <w:rPr>
                <w:rFonts w:ascii="Times New Roman" w:eastAsia="Times New Roman" w:hAnsi="Times New Roman" w:cs="Times New Roman"/>
                <w:i/>
                <w:color w:val="000000"/>
                <w:sz w:val="20"/>
                <w:szCs w:val="20"/>
              </w:rPr>
              <w:t xml:space="preserve"> (23)</w:t>
            </w:r>
          </w:p>
        </w:tc>
        <w:tc>
          <w:tcPr>
            <w:tcW w:w="966" w:type="dxa"/>
            <w:gridSpan w:val="2"/>
            <w:tcBorders>
              <w:top w:val="nil"/>
              <w:left w:val="nil"/>
              <w:bottom w:val="nil"/>
              <w:right w:val="nil"/>
            </w:tcBorders>
            <w:shd w:val="clear" w:color="auto" w:fill="auto"/>
            <w:noWrap/>
            <w:vAlign w:val="bottom"/>
            <w:hideMark/>
          </w:tcPr>
          <w:p w14:paraId="1004885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0.055</w:t>
            </w:r>
          </w:p>
        </w:tc>
        <w:tc>
          <w:tcPr>
            <w:tcW w:w="1278" w:type="dxa"/>
            <w:tcBorders>
              <w:top w:val="nil"/>
              <w:left w:val="nil"/>
              <w:bottom w:val="nil"/>
              <w:right w:val="nil"/>
            </w:tcBorders>
            <w:shd w:val="clear" w:color="auto" w:fill="auto"/>
            <w:noWrap/>
            <w:vAlign w:val="bottom"/>
            <w:hideMark/>
          </w:tcPr>
          <w:p w14:paraId="18EE230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0.055</w:t>
            </w:r>
          </w:p>
        </w:tc>
        <w:tc>
          <w:tcPr>
            <w:tcW w:w="1277" w:type="dxa"/>
            <w:tcBorders>
              <w:top w:val="nil"/>
              <w:left w:val="nil"/>
              <w:bottom w:val="nil"/>
              <w:right w:val="nil"/>
            </w:tcBorders>
            <w:shd w:val="clear" w:color="auto" w:fill="auto"/>
            <w:noWrap/>
            <w:vAlign w:val="bottom"/>
            <w:hideMark/>
          </w:tcPr>
          <w:p w14:paraId="02C2A5B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0.029</w:t>
            </w:r>
          </w:p>
        </w:tc>
        <w:tc>
          <w:tcPr>
            <w:tcW w:w="1277" w:type="dxa"/>
            <w:tcBorders>
              <w:top w:val="nil"/>
              <w:left w:val="nil"/>
              <w:bottom w:val="nil"/>
              <w:right w:val="nil"/>
            </w:tcBorders>
            <w:shd w:val="clear" w:color="auto" w:fill="auto"/>
            <w:noWrap/>
            <w:vAlign w:val="bottom"/>
            <w:hideMark/>
          </w:tcPr>
          <w:p w14:paraId="005B9BE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0.047</w:t>
            </w:r>
          </w:p>
        </w:tc>
        <w:tc>
          <w:tcPr>
            <w:tcW w:w="1277" w:type="dxa"/>
            <w:tcBorders>
              <w:top w:val="nil"/>
              <w:left w:val="nil"/>
              <w:bottom w:val="nil"/>
              <w:right w:val="nil"/>
            </w:tcBorders>
            <w:shd w:val="clear" w:color="auto" w:fill="auto"/>
            <w:noWrap/>
            <w:vAlign w:val="bottom"/>
            <w:hideMark/>
          </w:tcPr>
          <w:p w14:paraId="557962A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0.128***</w:t>
            </w:r>
          </w:p>
        </w:tc>
        <w:tc>
          <w:tcPr>
            <w:tcW w:w="1277" w:type="dxa"/>
            <w:tcBorders>
              <w:top w:val="nil"/>
              <w:left w:val="nil"/>
              <w:bottom w:val="nil"/>
              <w:right w:val="nil"/>
            </w:tcBorders>
            <w:shd w:val="clear" w:color="auto" w:fill="auto"/>
            <w:noWrap/>
            <w:vAlign w:val="bottom"/>
            <w:hideMark/>
          </w:tcPr>
          <w:p w14:paraId="2CCBBC0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0.078**</w:t>
            </w:r>
          </w:p>
        </w:tc>
        <w:tc>
          <w:tcPr>
            <w:tcW w:w="1277" w:type="dxa"/>
            <w:tcBorders>
              <w:top w:val="nil"/>
              <w:left w:val="nil"/>
              <w:bottom w:val="nil"/>
              <w:right w:val="nil"/>
            </w:tcBorders>
            <w:shd w:val="clear" w:color="auto" w:fill="auto"/>
            <w:noWrap/>
            <w:vAlign w:val="bottom"/>
            <w:hideMark/>
          </w:tcPr>
          <w:p w14:paraId="1EF8DD5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0.100***</w:t>
            </w:r>
          </w:p>
        </w:tc>
        <w:tc>
          <w:tcPr>
            <w:tcW w:w="1277" w:type="dxa"/>
            <w:tcBorders>
              <w:top w:val="nil"/>
              <w:left w:val="nil"/>
              <w:bottom w:val="nil"/>
              <w:right w:val="nil"/>
            </w:tcBorders>
            <w:shd w:val="clear" w:color="auto" w:fill="auto"/>
            <w:noWrap/>
            <w:vAlign w:val="bottom"/>
            <w:hideMark/>
          </w:tcPr>
          <w:p w14:paraId="4C501E0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0.103***</w:t>
            </w:r>
          </w:p>
        </w:tc>
        <w:tc>
          <w:tcPr>
            <w:tcW w:w="1277" w:type="dxa"/>
            <w:tcBorders>
              <w:top w:val="nil"/>
              <w:left w:val="nil"/>
              <w:bottom w:val="nil"/>
              <w:right w:val="nil"/>
            </w:tcBorders>
            <w:shd w:val="clear" w:color="auto" w:fill="auto"/>
            <w:noWrap/>
            <w:vAlign w:val="bottom"/>
            <w:hideMark/>
          </w:tcPr>
          <w:p w14:paraId="389DFBE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0.059*</w:t>
            </w:r>
          </w:p>
        </w:tc>
        <w:tc>
          <w:tcPr>
            <w:tcW w:w="1277" w:type="dxa"/>
            <w:tcBorders>
              <w:top w:val="nil"/>
              <w:left w:val="nil"/>
              <w:bottom w:val="nil"/>
              <w:right w:val="nil"/>
            </w:tcBorders>
            <w:shd w:val="clear" w:color="auto" w:fill="auto"/>
            <w:noWrap/>
            <w:vAlign w:val="bottom"/>
            <w:hideMark/>
          </w:tcPr>
          <w:p w14:paraId="1FD6316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0.124***</w:t>
            </w:r>
          </w:p>
        </w:tc>
        <w:tc>
          <w:tcPr>
            <w:tcW w:w="872" w:type="dxa"/>
            <w:tcBorders>
              <w:top w:val="nil"/>
              <w:left w:val="nil"/>
              <w:bottom w:val="nil"/>
              <w:right w:val="nil"/>
            </w:tcBorders>
            <w:shd w:val="clear" w:color="auto" w:fill="auto"/>
            <w:noWrap/>
            <w:vAlign w:val="bottom"/>
            <w:hideMark/>
          </w:tcPr>
          <w:p w14:paraId="773102E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332" w:type="dxa"/>
            <w:tcBorders>
              <w:top w:val="nil"/>
              <w:left w:val="nil"/>
              <w:bottom w:val="nil"/>
              <w:right w:val="nil"/>
            </w:tcBorders>
            <w:shd w:val="clear" w:color="auto" w:fill="auto"/>
            <w:noWrap/>
            <w:vAlign w:val="bottom"/>
            <w:hideMark/>
          </w:tcPr>
          <w:p w14:paraId="2E48EEEC" w14:textId="77777777" w:rsidR="0093472B" w:rsidRPr="00C82EE1" w:rsidRDefault="0093472B" w:rsidP="00026FCB">
            <w:pPr>
              <w:spacing w:after="0" w:line="240" w:lineRule="auto"/>
              <w:jc w:val="both"/>
              <w:rPr>
                <w:rFonts w:ascii="Times New Roman" w:eastAsia="Times New Roman" w:hAnsi="Times New Roman" w:cs="Times New Roman"/>
                <w:sz w:val="18"/>
                <w:szCs w:val="18"/>
              </w:rPr>
            </w:pPr>
          </w:p>
        </w:tc>
      </w:tr>
      <w:tr w:rsidR="0093472B" w:rsidRPr="00C82EE1" w14:paraId="0F811307" w14:textId="77777777" w:rsidTr="00485FDA">
        <w:trPr>
          <w:trHeight w:val="113"/>
          <w:jc w:val="center"/>
        </w:trPr>
        <w:tc>
          <w:tcPr>
            <w:tcW w:w="2410" w:type="dxa"/>
            <w:tcBorders>
              <w:top w:val="nil"/>
              <w:left w:val="nil"/>
              <w:bottom w:val="single" w:sz="4" w:space="0" w:color="auto"/>
              <w:right w:val="nil"/>
            </w:tcBorders>
            <w:shd w:val="clear" w:color="auto" w:fill="auto"/>
            <w:noWrap/>
            <w:vAlign w:val="bottom"/>
            <w:hideMark/>
          </w:tcPr>
          <w:p w14:paraId="6370C197" w14:textId="77777777" w:rsidR="0093472B" w:rsidRPr="00C82EE1" w:rsidRDefault="0093472B" w:rsidP="00026FCB">
            <w:pPr>
              <w:spacing w:after="0" w:line="240" w:lineRule="auto"/>
              <w:jc w:val="both"/>
              <w:rPr>
                <w:rFonts w:ascii="Times New Roman" w:eastAsia="Times New Roman" w:hAnsi="Times New Roman" w:cs="Times New Roman"/>
                <w:i/>
                <w:color w:val="000000"/>
                <w:sz w:val="20"/>
                <w:szCs w:val="20"/>
              </w:rPr>
            </w:pPr>
            <w:proofErr w:type="spellStart"/>
            <w:r w:rsidRPr="00C82EE1">
              <w:rPr>
                <w:rFonts w:ascii="Times New Roman" w:eastAsia="Times New Roman" w:hAnsi="Times New Roman" w:cs="Times New Roman"/>
                <w:i/>
                <w:color w:val="000000"/>
                <w:sz w:val="20"/>
                <w:szCs w:val="20"/>
              </w:rPr>
              <w:t>PriceBit</w:t>
            </w:r>
            <w:proofErr w:type="spellEnd"/>
            <w:r w:rsidRPr="00C82EE1">
              <w:rPr>
                <w:rFonts w:ascii="Times New Roman" w:eastAsia="Times New Roman" w:hAnsi="Times New Roman" w:cs="Times New Roman"/>
                <w:i/>
                <w:color w:val="000000"/>
                <w:sz w:val="20"/>
                <w:szCs w:val="20"/>
              </w:rPr>
              <w:t xml:space="preserve"> (24)</w:t>
            </w:r>
          </w:p>
        </w:tc>
        <w:tc>
          <w:tcPr>
            <w:tcW w:w="966" w:type="dxa"/>
            <w:gridSpan w:val="2"/>
            <w:tcBorders>
              <w:top w:val="nil"/>
              <w:left w:val="nil"/>
              <w:bottom w:val="single" w:sz="4" w:space="0" w:color="auto"/>
              <w:right w:val="nil"/>
            </w:tcBorders>
            <w:shd w:val="clear" w:color="auto" w:fill="auto"/>
            <w:noWrap/>
            <w:vAlign w:val="bottom"/>
            <w:hideMark/>
          </w:tcPr>
          <w:p w14:paraId="77BFB96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-0.085**</w:t>
            </w:r>
          </w:p>
        </w:tc>
        <w:tc>
          <w:tcPr>
            <w:tcW w:w="1278" w:type="dxa"/>
            <w:tcBorders>
              <w:top w:val="nil"/>
              <w:left w:val="nil"/>
              <w:bottom w:val="single" w:sz="4" w:space="0" w:color="auto"/>
              <w:right w:val="nil"/>
            </w:tcBorders>
            <w:shd w:val="clear" w:color="auto" w:fill="auto"/>
            <w:noWrap/>
            <w:vAlign w:val="bottom"/>
            <w:hideMark/>
          </w:tcPr>
          <w:p w14:paraId="1138DF2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-0.093**</w:t>
            </w:r>
          </w:p>
        </w:tc>
        <w:tc>
          <w:tcPr>
            <w:tcW w:w="1277" w:type="dxa"/>
            <w:tcBorders>
              <w:top w:val="nil"/>
              <w:left w:val="nil"/>
              <w:bottom w:val="single" w:sz="4" w:space="0" w:color="auto"/>
              <w:right w:val="nil"/>
            </w:tcBorders>
            <w:shd w:val="clear" w:color="auto" w:fill="auto"/>
            <w:noWrap/>
            <w:vAlign w:val="bottom"/>
            <w:hideMark/>
          </w:tcPr>
          <w:p w14:paraId="4DD5346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0.030</w:t>
            </w:r>
          </w:p>
        </w:tc>
        <w:tc>
          <w:tcPr>
            <w:tcW w:w="1277" w:type="dxa"/>
            <w:tcBorders>
              <w:top w:val="nil"/>
              <w:left w:val="nil"/>
              <w:bottom w:val="single" w:sz="4" w:space="0" w:color="auto"/>
              <w:right w:val="nil"/>
            </w:tcBorders>
            <w:shd w:val="clear" w:color="auto" w:fill="auto"/>
            <w:noWrap/>
            <w:vAlign w:val="bottom"/>
            <w:hideMark/>
          </w:tcPr>
          <w:p w14:paraId="07493D5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0.034</w:t>
            </w:r>
          </w:p>
        </w:tc>
        <w:tc>
          <w:tcPr>
            <w:tcW w:w="1277" w:type="dxa"/>
            <w:tcBorders>
              <w:top w:val="nil"/>
              <w:left w:val="nil"/>
              <w:bottom w:val="single" w:sz="4" w:space="0" w:color="auto"/>
              <w:right w:val="nil"/>
            </w:tcBorders>
            <w:shd w:val="clear" w:color="auto" w:fill="auto"/>
            <w:noWrap/>
            <w:vAlign w:val="bottom"/>
            <w:hideMark/>
          </w:tcPr>
          <w:p w14:paraId="1FC2591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-0.030</w:t>
            </w:r>
          </w:p>
        </w:tc>
        <w:tc>
          <w:tcPr>
            <w:tcW w:w="1277" w:type="dxa"/>
            <w:tcBorders>
              <w:top w:val="nil"/>
              <w:left w:val="nil"/>
              <w:bottom w:val="single" w:sz="4" w:space="0" w:color="auto"/>
              <w:right w:val="nil"/>
            </w:tcBorders>
            <w:shd w:val="clear" w:color="auto" w:fill="auto"/>
            <w:noWrap/>
            <w:vAlign w:val="bottom"/>
            <w:hideMark/>
          </w:tcPr>
          <w:p w14:paraId="7DDFB8B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-0.042</w:t>
            </w:r>
          </w:p>
        </w:tc>
        <w:tc>
          <w:tcPr>
            <w:tcW w:w="1277" w:type="dxa"/>
            <w:tcBorders>
              <w:top w:val="nil"/>
              <w:left w:val="nil"/>
              <w:bottom w:val="single" w:sz="4" w:space="0" w:color="auto"/>
              <w:right w:val="nil"/>
            </w:tcBorders>
            <w:shd w:val="clear" w:color="auto" w:fill="auto"/>
            <w:noWrap/>
            <w:vAlign w:val="bottom"/>
            <w:hideMark/>
          </w:tcPr>
          <w:p w14:paraId="0ABD3E2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-0.057*</w:t>
            </w:r>
          </w:p>
        </w:tc>
        <w:tc>
          <w:tcPr>
            <w:tcW w:w="1277" w:type="dxa"/>
            <w:tcBorders>
              <w:top w:val="nil"/>
              <w:left w:val="nil"/>
              <w:bottom w:val="single" w:sz="4" w:space="0" w:color="auto"/>
              <w:right w:val="nil"/>
            </w:tcBorders>
            <w:shd w:val="clear" w:color="auto" w:fill="auto"/>
            <w:noWrap/>
            <w:vAlign w:val="bottom"/>
            <w:hideMark/>
          </w:tcPr>
          <w:p w14:paraId="1905847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-0.032</w:t>
            </w:r>
          </w:p>
        </w:tc>
        <w:tc>
          <w:tcPr>
            <w:tcW w:w="1277" w:type="dxa"/>
            <w:tcBorders>
              <w:top w:val="nil"/>
              <w:left w:val="nil"/>
              <w:bottom w:val="single" w:sz="4" w:space="0" w:color="auto"/>
              <w:right w:val="nil"/>
            </w:tcBorders>
            <w:shd w:val="clear" w:color="auto" w:fill="auto"/>
            <w:noWrap/>
            <w:vAlign w:val="bottom"/>
            <w:hideMark/>
          </w:tcPr>
          <w:p w14:paraId="03B82C4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-0.062*</w:t>
            </w:r>
          </w:p>
        </w:tc>
        <w:tc>
          <w:tcPr>
            <w:tcW w:w="1277" w:type="dxa"/>
            <w:tcBorders>
              <w:top w:val="nil"/>
              <w:left w:val="nil"/>
              <w:bottom w:val="single" w:sz="4" w:space="0" w:color="auto"/>
              <w:right w:val="nil"/>
            </w:tcBorders>
            <w:shd w:val="clear" w:color="auto" w:fill="auto"/>
            <w:noWrap/>
            <w:vAlign w:val="bottom"/>
            <w:hideMark/>
          </w:tcPr>
          <w:p w14:paraId="4B86EE6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0.048</w:t>
            </w:r>
          </w:p>
        </w:tc>
        <w:tc>
          <w:tcPr>
            <w:tcW w:w="872" w:type="dxa"/>
            <w:tcBorders>
              <w:top w:val="nil"/>
              <w:left w:val="nil"/>
              <w:bottom w:val="single" w:sz="4" w:space="0" w:color="auto"/>
              <w:right w:val="nil"/>
            </w:tcBorders>
            <w:shd w:val="clear" w:color="auto" w:fill="auto"/>
            <w:noWrap/>
            <w:vAlign w:val="bottom"/>
            <w:hideMark/>
          </w:tcPr>
          <w:p w14:paraId="12753DD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0.040</w:t>
            </w:r>
          </w:p>
        </w:tc>
        <w:tc>
          <w:tcPr>
            <w:tcW w:w="332" w:type="dxa"/>
            <w:tcBorders>
              <w:top w:val="nil"/>
              <w:left w:val="nil"/>
              <w:bottom w:val="single" w:sz="4" w:space="0" w:color="auto"/>
              <w:right w:val="nil"/>
            </w:tcBorders>
            <w:shd w:val="clear" w:color="auto" w:fill="auto"/>
            <w:noWrap/>
            <w:vAlign w:val="bottom"/>
            <w:hideMark/>
          </w:tcPr>
          <w:p w14:paraId="36D11E38"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w:t>
            </w:r>
          </w:p>
        </w:tc>
      </w:tr>
      <w:tr w:rsidR="0093472B" w:rsidRPr="00C82EE1" w14:paraId="1F04EFD1" w14:textId="77777777" w:rsidTr="00485FDA">
        <w:trPr>
          <w:trHeight w:val="113"/>
          <w:jc w:val="center"/>
        </w:trPr>
        <w:tc>
          <w:tcPr>
            <w:tcW w:w="16074" w:type="dxa"/>
            <w:gridSpan w:val="14"/>
            <w:tcBorders>
              <w:top w:val="single" w:sz="4" w:space="0" w:color="auto"/>
              <w:left w:val="nil"/>
              <w:bottom w:val="nil"/>
              <w:right w:val="nil"/>
            </w:tcBorders>
            <w:shd w:val="clear" w:color="auto" w:fill="auto"/>
            <w:vAlign w:val="bottom"/>
            <w:hideMark/>
          </w:tcPr>
          <w:p w14:paraId="65C3AE5C" w14:textId="404EAF2E"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Notes. This table presents Pearson correlations between variables in our sample. Variables are defined in Table 1. Significance levels: * indicates p&lt;0.1, ** indicates p&lt;0.05, *** indicates p&lt;0.01.</w:t>
            </w:r>
          </w:p>
        </w:tc>
      </w:tr>
    </w:tbl>
    <w:p w14:paraId="19773607" w14:textId="0D6076AC" w:rsidR="0093472B" w:rsidRPr="00C82EE1" w:rsidRDefault="0093472B" w:rsidP="00026FCB">
      <w:pPr>
        <w:spacing w:after="0" w:line="360" w:lineRule="auto"/>
        <w:ind w:firstLine="708"/>
        <w:jc w:val="both"/>
        <w:rPr>
          <w:rFonts w:ascii="Times New Roman" w:eastAsia="Times New Roman" w:hAnsi="Times New Roman" w:cs="Times New Roman"/>
          <w:sz w:val="16"/>
          <w:szCs w:val="16"/>
          <w:lang w:eastAsia="fr-BE"/>
        </w:rPr>
      </w:pPr>
    </w:p>
    <w:p w14:paraId="48B56CF1" w14:textId="732125D3" w:rsidR="0093472B" w:rsidRPr="00C82EE1" w:rsidRDefault="0093472B" w:rsidP="00026FCB">
      <w:pPr>
        <w:spacing w:after="0" w:line="360" w:lineRule="auto"/>
        <w:ind w:firstLine="708"/>
        <w:jc w:val="both"/>
        <w:rPr>
          <w:rFonts w:ascii="Times New Roman" w:eastAsia="Times New Roman" w:hAnsi="Times New Roman" w:cs="Times New Roman"/>
          <w:sz w:val="16"/>
          <w:szCs w:val="16"/>
          <w:lang w:eastAsia="fr-BE"/>
        </w:rPr>
      </w:pPr>
    </w:p>
    <w:p w14:paraId="59B50C68" w14:textId="11A9DC42" w:rsidR="0093472B" w:rsidRPr="00C82EE1" w:rsidRDefault="0093472B" w:rsidP="00026FCB">
      <w:pPr>
        <w:spacing w:after="0" w:line="360" w:lineRule="auto"/>
        <w:ind w:firstLine="708"/>
        <w:jc w:val="both"/>
        <w:rPr>
          <w:rFonts w:ascii="Times New Roman" w:eastAsia="Times New Roman" w:hAnsi="Times New Roman" w:cs="Times New Roman"/>
          <w:sz w:val="24"/>
          <w:szCs w:val="24"/>
          <w:lang w:eastAsia="fr-BE"/>
        </w:rPr>
      </w:pPr>
    </w:p>
    <w:p w14:paraId="1AF7186B" w14:textId="77777777" w:rsidR="0093472B" w:rsidRPr="00C82EE1" w:rsidRDefault="0093472B" w:rsidP="0055278B">
      <w:pPr>
        <w:spacing w:after="0" w:line="360" w:lineRule="auto"/>
        <w:jc w:val="both"/>
        <w:rPr>
          <w:rFonts w:ascii="Times New Roman" w:eastAsia="Times New Roman" w:hAnsi="Times New Roman" w:cs="Times New Roman"/>
          <w:sz w:val="24"/>
          <w:szCs w:val="24"/>
          <w:lang w:eastAsia="fr-BE"/>
        </w:rPr>
        <w:sectPr w:rsidR="0093472B" w:rsidRPr="00C82EE1" w:rsidSect="0093472B">
          <w:pgSz w:w="16838" w:h="11906" w:orient="landscape"/>
          <w:pgMar w:top="1417" w:right="1417" w:bottom="1417" w:left="1417" w:header="708" w:footer="708" w:gutter="0"/>
          <w:cols w:space="708"/>
          <w:docGrid w:linePitch="360"/>
        </w:sectPr>
      </w:pPr>
    </w:p>
    <w:p w14:paraId="1360A21C" w14:textId="5B8627AE" w:rsidR="00CF22D9" w:rsidRPr="00C82EE1" w:rsidRDefault="00481D5B" w:rsidP="00E223E9">
      <w:pPr>
        <w:spacing w:after="240" w:line="360" w:lineRule="auto"/>
        <w:jc w:val="both"/>
        <w:rPr>
          <w:rFonts w:ascii="Times New Roman" w:hAnsi="Times New Roman" w:cs="Times New Roman"/>
          <w:b/>
          <w:sz w:val="32"/>
          <w:szCs w:val="24"/>
        </w:rPr>
      </w:pPr>
      <w:r w:rsidRPr="00C82EE1">
        <w:rPr>
          <w:rFonts w:ascii="Times New Roman" w:hAnsi="Times New Roman" w:cs="Times New Roman"/>
          <w:b/>
          <w:sz w:val="32"/>
          <w:szCs w:val="24"/>
        </w:rPr>
        <w:lastRenderedPageBreak/>
        <w:t xml:space="preserve">References </w:t>
      </w:r>
    </w:p>
    <w:p w14:paraId="1D507888" w14:textId="610BBC34" w:rsidR="00CF22D9" w:rsidRPr="00C82EE1" w:rsidRDefault="00CF22D9" w:rsidP="00D72D15">
      <w:pPr>
        <w:pStyle w:val="Bibliographie"/>
        <w:spacing w:line="360" w:lineRule="auto"/>
        <w:rPr>
          <w:rFonts w:ascii="Times New Roman" w:hAnsi="Times New Roman" w:cs="Times New Roman"/>
          <w:sz w:val="20"/>
          <w:szCs w:val="20"/>
          <w:lang w:val="en-US"/>
        </w:rPr>
      </w:pPr>
      <w:r w:rsidRPr="0047162D">
        <w:rPr>
          <w:rFonts w:ascii="Times New Roman" w:hAnsi="Times New Roman" w:cs="Times New Roman"/>
          <w:sz w:val="20"/>
          <w:szCs w:val="20"/>
          <w:lang w:val="en-US"/>
        </w:rPr>
        <w:t xml:space="preserve">Abdi Tabari, M., Lu, X., &amp; Wang, Y. (2023). </w:t>
      </w:r>
      <w:r w:rsidRPr="00C82EE1">
        <w:rPr>
          <w:rFonts w:ascii="Times New Roman" w:hAnsi="Times New Roman" w:cs="Times New Roman"/>
          <w:sz w:val="20"/>
          <w:szCs w:val="20"/>
          <w:lang w:val="en-US"/>
        </w:rPr>
        <w:t xml:space="preserve">The effects of task complexity on lexical complexity in L2 writing: An exploratory study. </w:t>
      </w:r>
      <w:r w:rsidRPr="00C82EE1">
        <w:rPr>
          <w:rFonts w:ascii="Times New Roman" w:hAnsi="Times New Roman" w:cs="Times New Roman"/>
          <w:i/>
          <w:iCs/>
          <w:sz w:val="20"/>
          <w:szCs w:val="20"/>
          <w:lang w:val="en-US"/>
        </w:rPr>
        <w:t>System</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114</w:t>
      </w:r>
      <w:r w:rsidRPr="00C82EE1">
        <w:rPr>
          <w:rFonts w:ascii="Times New Roman" w:hAnsi="Times New Roman" w:cs="Times New Roman"/>
          <w:sz w:val="20"/>
          <w:szCs w:val="20"/>
          <w:lang w:val="en-US"/>
        </w:rPr>
        <w:t>, 103021.</w:t>
      </w:r>
    </w:p>
    <w:p w14:paraId="332CC682" w14:textId="77777777"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Ahmad, M. F., </w:t>
      </w:r>
      <w:proofErr w:type="spellStart"/>
      <w:r w:rsidRPr="00C82EE1">
        <w:rPr>
          <w:rFonts w:ascii="Times New Roman" w:hAnsi="Times New Roman" w:cs="Times New Roman"/>
          <w:sz w:val="20"/>
          <w:szCs w:val="20"/>
          <w:lang w:val="en-US"/>
        </w:rPr>
        <w:t>Kowalewski</w:t>
      </w:r>
      <w:proofErr w:type="spellEnd"/>
      <w:r w:rsidRPr="00C82EE1">
        <w:rPr>
          <w:rFonts w:ascii="Times New Roman" w:hAnsi="Times New Roman" w:cs="Times New Roman"/>
          <w:sz w:val="20"/>
          <w:szCs w:val="20"/>
          <w:lang w:val="en-US"/>
        </w:rPr>
        <w:t xml:space="preserve">, O., &amp; </w:t>
      </w:r>
      <w:proofErr w:type="spellStart"/>
      <w:r w:rsidRPr="00C82EE1">
        <w:rPr>
          <w:rFonts w:ascii="Times New Roman" w:hAnsi="Times New Roman" w:cs="Times New Roman"/>
          <w:sz w:val="20"/>
          <w:szCs w:val="20"/>
          <w:lang w:val="en-US"/>
        </w:rPr>
        <w:t>Pisany</w:t>
      </w:r>
      <w:proofErr w:type="spellEnd"/>
      <w:r w:rsidRPr="00C82EE1">
        <w:rPr>
          <w:rFonts w:ascii="Times New Roman" w:hAnsi="Times New Roman" w:cs="Times New Roman"/>
          <w:sz w:val="20"/>
          <w:szCs w:val="20"/>
          <w:lang w:val="en-US"/>
        </w:rPr>
        <w:t xml:space="preserve">, P. (2023). What determines initial coin offering success: A cross-country study. </w:t>
      </w:r>
      <w:r w:rsidRPr="00C82EE1">
        <w:rPr>
          <w:rFonts w:ascii="Times New Roman" w:hAnsi="Times New Roman" w:cs="Times New Roman"/>
          <w:i/>
          <w:iCs/>
          <w:sz w:val="20"/>
          <w:szCs w:val="20"/>
          <w:lang w:val="en-US"/>
        </w:rPr>
        <w:t>Economics of Innovation and New Technology</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32</w:t>
      </w:r>
      <w:r w:rsidRPr="00C82EE1">
        <w:rPr>
          <w:rFonts w:ascii="Times New Roman" w:hAnsi="Times New Roman" w:cs="Times New Roman"/>
          <w:sz w:val="20"/>
          <w:szCs w:val="20"/>
          <w:lang w:val="en-US"/>
        </w:rPr>
        <w:t>(5), 622–645.</w:t>
      </w:r>
    </w:p>
    <w:p w14:paraId="57C83F8B" w14:textId="05CDBA19"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Ahn</w:t>
      </w:r>
      <w:proofErr w:type="spellEnd"/>
      <w:r w:rsidRPr="00C82EE1">
        <w:rPr>
          <w:rFonts w:ascii="Times New Roman" w:hAnsi="Times New Roman" w:cs="Times New Roman"/>
          <w:sz w:val="20"/>
          <w:szCs w:val="20"/>
          <w:lang w:val="en-US"/>
        </w:rPr>
        <w:t xml:space="preserve">, Y., &amp; Kim, D. (2020). Sentiment disagreement and bitcoin price fluctuations: A psycholinguistic approach. </w:t>
      </w:r>
      <w:r w:rsidRPr="00C82EE1">
        <w:rPr>
          <w:rFonts w:ascii="Times New Roman" w:hAnsi="Times New Roman" w:cs="Times New Roman"/>
          <w:i/>
          <w:iCs/>
          <w:sz w:val="20"/>
          <w:szCs w:val="20"/>
          <w:lang w:val="en-US"/>
        </w:rPr>
        <w:t>Applied Economics Letters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27</w:t>
      </w:r>
      <w:r w:rsidRPr="00C82EE1">
        <w:rPr>
          <w:rFonts w:ascii="Times New Roman" w:hAnsi="Times New Roman" w:cs="Times New Roman"/>
          <w:sz w:val="20"/>
          <w:szCs w:val="20"/>
          <w:lang w:val="en-US"/>
        </w:rPr>
        <w:t xml:space="preserve">(5), 412–416. </w:t>
      </w:r>
    </w:p>
    <w:p w14:paraId="383A9AED" w14:textId="77777777"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2C79E6">
        <w:rPr>
          <w:rFonts w:ascii="Times New Roman" w:hAnsi="Times New Roman" w:cs="Times New Roman"/>
          <w:sz w:val="20"/>
          <w:szCs w:val="20"/>
          <w:lang w:val="fr-FR"/>
        </w:rPr>
        <w:t>Akyildirim</w:t>
      </w:r>
      <w:proofErr w:type="spellEnd"/>
      <w:r w:rsidRPr="002C79E6">
        <w:rPr>
          <w:rFonts w:ascii="Times New Roman" w:hAnsi="Times New Roman" w:cs="Times New Roman"/>
          <w:sz w:val="20"/>
          <w:szCs w:val="20"/>
          <w:lang w:val="fr-FR"/>
        </w:rPr>
        <w:t xml:space="preserve">, E., </w:t>
      </w:r>
      <w:proofErr w:type="spellStart"/>
      <w:r w:rsidRPr="002C79E6">
        <w:rPr>
          <w:rFonts w:ascii="Times New Roman" w:hAnsi="Times New Roman" w:cs="Times New Roman"/>
          <w:sz w:val="20"/>
          <w:szCs w:val="20"/>
          <w:lang w:val="fr-FR"/>
        </w:rPr>
        <w:t>Aysan</w:t>
      </w:r>
      <w:proofErr w:type="spellEnd"/>
      <w:r w:rsidRPr="002C79E6">
        <w:rPr>
          <w:rFonts w:ascii="Times New Roman" w:hAnsi="Times New Roman" w:cs="Times New Roman"/>
          <w:sz w:val="20"/>
          <w:szCs w:val="20"/>
          <w:lang w:val="fr-FR"/>
        </w:rPr>
        <w:t xml:space="preserve">, A. F., </w:t>
      </w:r>
      <w:proofErr w:type="spellStart"/>
      <w:r w:rsidRPr="002C79E6">
        <w:rPr>
          <w:rFonts w:ascii="Times New Roman" w:hAnsi="Times New Roman" w:cs="Times New Roman"/>
          <w:sz w:val="20"/>
          <w:szCs w:val="20"/>
          <w:lang w:val="fr-FR"/>
        </w:rPr>
        <w:t>Cepni</w:t>
      </w:r>
      <w:proofErr w:type="spellEnd"/>
      <w:r w:rsidRPr="002C79E6">
        <w:rPr>
          <w:rFonts w:ascii="Times New Roman" w:hAnsi="Times New Roman" w:cs="Times New Roman"/>
          <w:sz w:val="20"/>
          <w:szCs w:val="20"/>
          <w:lang w:val="fr-FR"/>
        </w:rPr>
        <w:t xml:space="preserve">, O., &amp; </w:t>
      </w:r>
      <w:proofErr w:type="spellStart"/>
      <w:r w:rsidRPr="002C79E6">
        <w:rPr>
          <w:rFonts w:ascii="Times New Roman" w:hAnsi="Times New Roman" w:cs="Times New Roman"/>
          <w:sz w:val="20"/>
          <w:szCs w:val="20"/>
          <w:lang w:val="fr-FR"/>
        </w:rPr>
        <w:t>Serbest</w:t>
      </w:r>
      <w:proofErr w:type="spellEnd"/>
      <w:r w:rsidRPr="002C79E6">
        <w:rPr>
          <w:rFonts w:ascii="Times New Roman" w:hAnsi="Times New Roman" w:cs="Times New Roman"/>
          <w:sz w:val="20"/>
          <w:szCs w:val="20"/>
          <w:lang w:val="fr-FR"/>
        </w:rPr>
        <w:t xml:space="preserve">, Ö. (2024). </w:t>
      </w:r>
      <w:r w:rsidRPr="00C82EE1">
        <w:rPr>
          <w:rFonts w:ascii="Times New Roman" w:hAnsi="Times New Roman" w:cs="Times New Roman"/>
          <w:sz w:val="20"/>
          <w:szCs w:val="20"/>
          <w:lang w:val="en-US"/>
        </w:rPr>
        <w:t xml:space="preserve">Sentiment matters: The effect of news-media on spillovers among cryptocurrency returns. </w:t>
      </w:r>
      <w:r w:rsidRPr="00C82EE1">
        <w:rPr>
          <w:rFonts w:ascii="Times New Roman" w:hAnsi="Times New Roman" w:cs="Times New Roman"/>
          <w:i/>
          <w:iCs/>
          <w:sz w:val="20"/>
          <w:szCs w:val="20"/>
          <w:lang w:val="en-US"/>
        </w:rPr>
        <w:t>The European Journal of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30</w:t>
      </w:r>
      <w:r w:rsidRPr="00C82EE1">
        <w:rPr>
          <w:rFonts w:ascii="Times New Roman" w:hAnsi="Times New Roman" w:cs="Times New Roman"/>
          <w:sz w:val="20"/>
          <w:szCs w:val="20"/>
          <w:lang w:val="en-US"/>
        </w:rPr>
        <w:t>(14), 1577–1613.</w:t>
      </w:r>
    </w:p>
    <w:p w14:paraId="3B56515C" w14:textId="77777777"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Amore, M. D., </w:t>
      </w:r>
      <w:proofErr w:type="spellStart"/>
      <w:r w:rsidRPr="00C82EE1">
        <w:rPr>
          <w:rFonts w:ascii="Times New Roman" w:hAnsi="Times New Roman" w:cs="Times New Roman"/>
          <w:sz w:val="20"/>
          <w:szCs w:val="20"/>
          <w:lang w:val="en-US"/>
        </w:rPr>
        <w:t>Bennedsen</w:t>
      </w:r>
      <w:proofErr w:type="spellEnd"/>
      <w:r w:rsidRPr="00C82EE1">
        <w:rPr>
          <w:rFonts w:ascii="Times New Roman" w:hAnsi="Times New Roman" w:cs="Times New Roman"/>
          <w:sz w:val="20"/>
          <w:szCs w:val="20"/>
          <w:lang w:val="en-US"/>
        </w:rPr>
        <w:t xml:space="preserve">, M., Larsen, B., &amp; Rosenbaum, P. (2019). CEO education and corporate environmental footprint. </w:t>
      </w:r>
      <w:r w:rsidRPr="00C82EE1">
        <w:rPr>
          <w:rFonts w:ascii="Times New Roman" w:hAnsi="Times New Roman" w:cs="Times New Roman"/>
          <w:i/>
          <w:iCs/>
          <w:sz w:val="20"/>
          <w:szCs w:val="20"/>
          <w:lang w:val="en-US"/>
        </w:rPr>
        <w:t>Journal of Environmental Economics and Management</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94</w:t>
      </w:r>
      <w:r w:rsidRPr="00C82EE1">
        <w:rPr>
          <w:rFonts w:ascii="Times New Roman" w:hAnsi="Times New Roman" w:cs="Times New Roman"/>
          <w:sz w:val="20"/>
          <w:szCs w:val="20"/>
          <w:lang w:val="en-US"/>
        </w:rPr>
        <w:t>, 254–273.</w:t>
      </w:r>
    </w:p>
    <w:p w14:paraId="797C1966" w14:textId="77777777"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Amsden</w:t>
      </w:r>
      <w:proofErr w:type="spellEnd"/>
      <w:r w:rsidRPr="00C82EE1">
        <w:rPr>
          <w:rFonts w:ascii="Times New Roman" w:hAnsi="Times New Roman" w:cs="Times New Roman"/>
          <w:sz w:val="20"/>
          <w:szCs w:val="20"/>
          <w:lang w:val="en-US"/>
        </w:rPr>
        <w:t xml:space="preserve">, R., &amp; Schweizer, D. (2018). </w:t>
      </w:r>
      <w:r w:rsidRPr="00D72D15">
        <w:rPr>
          <w:rFonts w:ascii="Times New Roman" w:hAnsi="Times New Roman" w:cs="Times New Roman"/>
          <w:iCs/>
          <w:sz w:val="20"/>
          <w:szCs w:val="20"/>
          <w:lang w:val="en-US"/>
        </w:rPr>
        <w:t xml:space="preserve">Are Blockchain </w:t>
      </w:r>
      <w:proofErr w:type="spellStart"/>
      <w:r w:rsidRPr="00D72D15">
        <w:rPr>
          <w:rFonts w:ascii="Times New Roman" w:hAnsi="Times New Roman" w:cs="Times New Roman"/>
          <w:iCs/>
          <w:sz w:val="20"/>
          <w:szCs w:val="20"/>
          <w:lang w:val="en-US"/>
        </w:rPr>
        <w:t>Crowdsales</w:t>
      </w:r>
      <w:proofErr w:type="spellEnd"/>
      <w:r w:rsidRPr="00D72D15">
        <w:rPr>
          <w:rFonts w:ascii="Times New Roman" w:hAnsi="Times New Roman" w:cs="Times New Roman"/>
          <w:iCs/>
          <w:sz w:val="20"/>
          <w:szCs w:val="20"/>
          <w:lang w:val="en-US"/>
        </w:rPr>
        <w:t xml:space="preserve"> the New “Gold Rush”? Success Determinants of Initial Coin Offerings</w:t>
      </w:r>
      <w:r w:rsidRPr="00C82EE1">
        <w:rPr>
          <w:rFonts w:ascii="Times New Roman" w:hAnsi="Times New Roman" w:cs="Times New Roman"/>
          <w:sz w:val="20"/>
          <w:szCs w:val="20"/>
          <w:lang w:val="en-US"/>
        </w:rPr>
        <w:t xml:space="preserve">. </w:t>
      </w:r>
      <w:r w:rsidRPr="00BC68D7">
        <w:rPr>
          <w:rFonts w:ascii="Times New Roman" w:hAnsi="Times New Roman" w:cs="Times New Roman"/>
          <w:i/>
          <w:sz w:val="20"/>
          <w:szCs w:val="20"/>
          <w:lang w:val="en-US"/>
        </w:rPr>
        <w:t>SSRN Electronic Journal</w:t>
      </w:r>
      <w:r w:rsidRPr="00C82EE1">
        <w:rPr>
          <w:rFonts w:ascii="Times New Roman" w:hAnsi="Times New Roman" w:cs="Times New Roman"/>
          <w:sz w:val="20"/>
          <w:szCs w:val="20"/>
          <w:lang w:val="en-US"/>
        </w:rPr>
        <w:t>.</w:t>
      </w:r>
    </w:p>
    <w:p w14:paraId="28E75C3C" w14:textId="4068F4C0"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Andersen, T. G., </w:t>
      </w:r>
      <w:proofErr w:type="spellStart"/>
      <w:r w:rsidRPr="00C82EE1">
        <w:rPr>
          <w:rFonts w:ascii="Times New Roman" w:hAnsi="Times New Roman" w:cs="Times New Roman"/>
          <w:sz w:val="20"/>
          <w:szCs w:val="20"/>
          <w:lang w:val="en-US"/>
        </w:rPr>
        <w:t>Bollerslev</w:t>
      </w:r>
      <w:proofErr w:type="spellEnd"/>
      <w:r w:rsidRPr="00C82EE1">
        <w:rPr>
          <w:rFonts w:ascii="Times New Roman" w:hAnsi="Times New Roman" w:cs="Times New Roman"/>
          <w:sz w:val="20"/>
          <w:szCs w:val="20"/>
          <w:lang w:val="en-US"/>
        </w:rPr>
        <w:t xml:space="preserve">, T., Diebold, F. X., &amp; </w:t>
      </w:r>
      <w:proofErr w:type="spellStart"/>
      <w:r w:rsidRPr="00C82EE1">
        <w:rPr>
          <w:rFonts w:ascii="Times New Roman" w:hAnsi="Times New Roman" w:cs="Times New Roman"/>
          <w:sz w:val="20"/>
          <w:szCs w:val="20"/>
          <w:lang w:val="en-US"/>
        </w:rPr>
        <w:t>Labys</w:t>
      </w:r>
      <w:proofErr w:type="spellEnd"/>
      <w:r w:rsidRPr="00C82EE1">
        <w:rPr>
          <w:rFonts w:ascii="Times New Roman" w:hAnsi="Times New Roman" w:cs="Times New Roman"/>
          <w:sz w:val="20"/>
          <w:szCs w:val="20"/>
          <w:lang w:val="en-US"/>
        </w:rPr>
        <w:t xml:space="preserve">, P. (2003). Modeling and Forecasting Realized Volatility. </w:t>
      </w:r>
      <w:proofErr w:type="spellStart"/>
      <w:r w:rsidRPr="00C82EE1">
        <w:rPr>
          <w:rFonts w:ascii="Times New Roman" w:hAnsi="Times New Roman" w:cs="Times New Roman"/>
          <w:i/>
          <w:iCs/>
          <w:sz w:val="20"/>
          <w:szCs w:val="20"/>
          <w:lang w:val="en-US"/>
        </w:rPr>
        <w:t>Econometrica</w:t>
      </w:r>
      <w:proofErr w:type="spellEnd"/>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71</w:t>
      </w:r>
      <w:r w:rsidRPr="00C82EE1">
        <w:rPr>
          <w:rFonts w:ascii="Times New Roman" w:hAnsi="Times New Roman" w:cs="Times New Roman"/>
          <w:sz w:val="20"/>
          <w:szCs w:val="20"/>
          <w:lang w:val="en-US"/>
        </w:rPr>
        <w:t xml:space="preserve">(2), 579–625. </w:t>
      </w:r>
    </w:p>
    <w:p w14:paraId="4ECA3F24" w14:textId="458B63CA"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Andrieu</w:t>
      </w:r>
      <w:proofErr w:type="spellEnd"/>
      <w:r w:rsidRPr="00C82EE1">
        <w:rPr>
          <w:rFonts w:ascii="Times New Roman" w:hAnsi="Times New Roman" w:cs="Times New Roman"/>
          <w:sz w:val="20"/>
          <w:szCs w:val="20"/>
          <w:lang w:val="en-US"/>
        </w:rPr>
        <w:t xml:space="preserve">, G., &amp; </w:t>
      </w:r>
      <w:proofErr w:type="spellStart"/>
      <w:r w:rsidRPr="00C82EE1">
        <w:rPr>
          <w:rFonts w:ascii="Times New Roman" w:hAnsi="Times New Roman" w:cs="Times New Roman"/>
          <w:sz w:val="20"/>
          <w:szCs w:val="20"/>
          <w:lang w:val="en-US"/>
        </w:rPr>
        <w:t>Sannajust</w:t>
      </w:r>
      <w:proofErr w:type="spellEnd"/>
      <w:r w:rsidRPr="00C82EE1">
        <w:rPr>
          <w:rFonts w:ascii="Times New Roman" w:hAnsi="Times New Roman" w:cs="Times New Roman"/>
          <w:sz w:val="20"/>
          <w:szCs w:val="20"/>
          <w:lang w:val="en-US"/>
        </w:rPr>
        <w:t xml:space="preserve">, A. (2023). ICOs after the decline: A literature review and recommendations for a sustainable development. </w:t>
      </w:r>
      <w:r w:rsidRPr="00C82EE1">
        <w:rPr>
          <w:rFonts w:ascii="Times New Roman" w:hAnsi="Times New Roman" w:cs="Times New Roman"/>
          <w:i/>
          <w:iCs/>
          <w:sz w:val="20"/>
          <w:szCs w:val="20"/>
          <w:lang w:val="en-US"/>
        </w:rPr>
        <w:t>Venture Capital</w:t>
      </w:r>
      <w:r w:rsidRPr="00C82EE1">
        <w:rPr>
          <w:rFonts w:ascii="Times New Roman" w:hAnsi="Times New Roman" w:cs="Times New Roman"/>
          <w:sz w:val="20"/>
          <w:szCs w:val="20"/>
          <w:lang w:val="en-US"/>
        </w:rPr>
        <w:t>, 1–19.</w:t>
      </w:r>
    </w:p>
    <w:p w14:paraId="3FE51DA6" w14:textId="2416E1E8" w:rsidR="00CF22D9"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Antoncic</w:t>
      </w:r>
      <w:proofErr w:type="spellEnd"/>
      <w:r w:rsidRPr="00C82EE1">
        <w:rPr>
          <w:rFonts w:ascii="Times New Roman" w:hAnsi="Times New Roman" w:cs="Times New Roman"/>
          <w:sz w:val="20"/>
          <w:szCs w:val="20"/>
          <w:lang w:val="en-US"/>
        </w:rPr>
        <w:t xml:space="preserve">, B., </w:t>
      </w:r>
      <w:proofErr w:type="spellStart"/>
      <w:r w:rsidRPr="00C82EE1">
        <w:rPr>
          <w:rFonts w:ascii="Times New Roman" w:hAnsi="Times New Roman" w:cs="Times New Roman"/>
          <w:sz w:val="20"/>
          <w:szCs w:val="20"/>
          <w:lang w:val="en-US"/>
        </w:rPr>
        <w:t>Bratkovic</w:t>
      </w:r>
      <w:proofErr w:type="spellEnd"/>
      <w:r w:rsidRPr="00C82EE1">
        <w:rPr>
          <w:rFonts w:ascii="Times New Roman" w:hAnsi="Times New Roman" w:cs="Times New Roman"/>
          <w:sz w:val="20"/>
          <w:szCs w:val="20"/>
          <w:lang w:val="en-US"/>
        </w:rPr>
        <w:t xml:space="preserve"> </w:t>
      </w:r>
      <w:proofErr w:type="spellStart"/>
      <w:r w:rsidR="00A62D2B">
        <w:rPr>
          <w:rFonts w:ascii="Times New Roman" w:hAnsi="Times New Roman" w:cs="Times New Roman"/>
          <w:sz w:val="20"/>
          <w:szCs w:val="20"/>
          <w:lang w:val="en-US"/>
        </w:rPr>
        <w:t>K</w:t>
      </w:r>
      <w:r w:rsidRPr="00C82EE1">
        <w:rPr>
          <w:rFonts w:ascii="Times New Roman" w:hAnsi="Times New Roman" w:cs="Times New Roman"/>
          <w:sz w:val="20"/>
          <w:szCs w:val="20"/>
          <w:lang w:val="en-US"/>
        </w:rPr>
        <w:t>regar</w:t>
      </w:r>
      <w:proofErr w:type="spellEnd"/>
      <w:r w:rsidRPr="00C82EE1">
        <w:rPr>
          <w:rFonts w:ascii="Times New Roman" w:hAnsi="Times New Roman" w:cs="Times New Roman"/>
          <w:sz w:val="20"/>
          <w:szCs w:val="20"/>
          <w:lang w:val="en-US"/>
        </w:rPr>
        <w:t xml:space="preserve">, T., Singh, G., &amp; </w:t>
      </w:r>
      <w:proofErr w:type="spellStart"/>
      <w:r w:rsidRPr="00C82EE1">
        <w:rPr>
          <w:rFonts w:ascii="Times New Roman" w:hAnsi="Times New Roman" w:cs="Times New Roman"/>
          <w:sz w:val="20"/>
          <w:szCs w:val="20"/>
          <w:lang w:val="en-US"/>
        </w:rPr>
        <w:t>Denoble</w:t>
      </w:r>
      <w:proofErr w:type="spellEnd"/>
      <w:r w:rsidRPr="00C82EE1">
        <w:rPr>
          <w:rFonts w:ascii="Times New Roman" w:hAnsi="Times New Roman" w:cs="Times New Roman"/>
          <w:sz w:val="20"/>
          <w:szCs w:val="20"/>
          <w:lang w:val="en-US"/>
        </w:rPr>
        <w:t xml:space="preserve">, A. F. (2015). The Big Five Personality–Entrepreneurship Relationship: Evidence from Slovenia. </w:t>
      </w:r>
      <w:r w:rsidRPr="00C82EE1">
        <w:rPr>
          <w:rFonts w:ascii="Times New Roman" w:hAnsi="Times New Roman" w:cs="Times New Roman"/>
          <w:i/>
          <w:iCs/>
          <w:sz w:val="20"/>
          <w:szCs w:val="20"/>
          <w:lang w:val="en-US"/>
        </w:rPr>
        <w:t>Journal of Small Business Management</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53</w:t>
      </w:r>
      <w:r w:rsidRPr="00C82EE1">
        <w:rPr>
          <w:rFonts w:ascii="Times New Roman" w:hAnsi="Times New Roman" w:cs="Times New Roman"/>
          <w:sz w:val="20"/>
          <w:szCs w:val="20"/>
          <w:lang w:val="en-US"/>
        </w:rPr>
        <w:t>(3), 819–841.</w:t>
      </w:r>
    </w:p>
    <w:p w14:paraId="1CE552CE" w14:textId="020431CA" w:rsidR="002C79E6" w:rsidRPr="002C79E6" w:rsidRDefault="002C79E6" w:rsidP="002C79E6">
      <w:pPr>
        <w:spacing w:after="0" w:line="360" w:lineRule="auto"/>
        <w:ind w:left="720" w:hanging="720"/>
        <w:jc w:val="both"/>
        <w:rPr>
          <w:rFonts w:ascii="Times New Roman" w:hAnsi="Times New Roman" w:cs="Times New Roman"/>
          <w:sz w:val="20"/>
          <w:szCs w:val="20"/>
        </w:rPr>
      </w:pPr>
      <w:r w:rsidRPr="002C79E6">
        <w:rPr>
          <w:rFonts w:ascii="Times New Roman" w:hAnsi="Times New Roman" w:cs="Times New Roman"/>
          <w:sz w:val="20"/>
          <w:szCs w:val="20"/>
        </w:rPr>
        <w:t xml:space="preserve">Arslan-Ayaydin, Ö., </w:t>
      </w:r>
      <w:proofErr w:type="spellStart"/>
      <w:r w:rsidRPr="002C79E6">
        <w:rPr>
          <w:rFonts w:ascii="Times New Roman" w:hAnsi="Times New Roman" w:cs="Times New Roman"/>
          <w:sz w:val="20"/>
          <w:szCs w:val="20"/>
        </w:rPr>
        <w:t>Bishara</w:t>
      </w:r>
      <w:proofErr w:type="spellEnd"/>
      <w:r w:rsidRPr="002C79E6">
        <w:rPr>
          <w:rFonts w:ascii="Times New Roman" w:hAnsi="Times New Roman" w:cs="Times New Roman"/>
          <w:sz w:val="20"/>
          <w:szCs w:val="20"/>
        </w:rPr>
        <w:t xml:space="preserve">, N., Thewissen, J., &amp; </w:t>
      </w:r>
      <w:proofErr w:type="spellStart"/>
      <w:r w:rsidRPr="002C79E6">
        <w:rPr>
          <w:rFonts w:ascii="Times New Roman" w:hAnsi="Times New Roman" w:cs="Times New Roman"/>
          <w:sz w:val="20"/>
          <w:szCs w:val="20"/>
        </w:rPr>
        <w:t>Torsin</w:t>
      </w:r>
      <w:proofErr w:type="spellEnd"/>
      <w:r w:rsidRPr="002C79E6">
        <w:rPr>
          <w:rFonts w:ascii="Times New Roman" w:hAnsi="Times New Roman" w:cs="Times New Roman"/>
          <w:sz w:val="20"/>
          <w:szCs w:val="20"/>
        </w:rPr>
        <w:t>, W. (2020). Managerial career concerns and the content of corporate disclosures: An analysis of the tone of earnings press releases. International Review of Financial Analysis, 72, 101598.</w:t>
      </w:r>
    </w:p>
    <w:p w14:paraId="53AF2D6A" w14:textId="7027AB24" w:rsidR="00CF22D9"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Arslan-Ayaydin, Ö., </w:t>
      </w:r>
      <w:proofErr w:type="spellStart"/>
      <w:r w:rsidRPr="00C82EE1">
        <w:rPr>
          <w:rFonts w:ascii="Times New Roman" w:hAnsi="Times New Roman" w:cs="Times New Roman"/>
          <w:sz w:val="20"/>
          <w:szCs w:val="20"/>
          <w:lang w:val="en-US"/>
        </w:rPr>
        <w:t>Boudt</w:t>
      </w:r>
      <w:proofErr w:type="spellEnd"/>
      <w:r w:rsidRPr="00C82EE1">
        <w:rPr>
          <w:rFonts w:ascii="Times New Roman" w:hAnsi="Times New Roman" w:cs="Times New Roman"/>
          <w:sz w:val="20"/>
          <w:szCs w:val="20"/>
          <w:lang w:val="en-US"/>
        </w:rPr>
        <w:t xml:space="preserve">, K., &amp; Thewissen, J. (2016). Managers set the tone: Equity incentives and the tone of earnings press releases. </w:t>
      </w:r>
      <w:r w:rsidRPr="00C82EE1">
        <w:rPr>
          <w:rFonts w:ascii="Times New Roman" w:hAnsi="Times New Roman" w:cs="Times New Roman"/>
          <w:i/>
          <w:iCs/>
          <w:sz w:val="20"/>
          <w:szCs w:val="20"/>
          <w:lang w:val="en-US"/>
        </w:rPr>
        <w:t>Journal of Banking &amp;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72</w:t>
      </w:r>
      <w:r w:rsidRPr="00C82EE1">
        <w:rPr>
          <w:rFonts w:ascii="Times New Roman" w:hAnsi="Times New Roman" w:cs="Times New Roman"/>
          <w:sz w:val="20"/>
          <w:szCs w:val="20"/>
          <w:lang w:val="en-US"/>
        </w:rPr>
        <w:t>, 132–147.</w:t>
      </w:r>
    </w:p>
    <w:p w14:paraId="026E199F" w14:textId="77777777"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Arslan-Ayaydin, Ö., Thewissen, J., &amp; </w:t>
      </w:r>
      <w:proofErr w:type="spellStart"/>
      <w:r w:rsidRPr="00C82EE1">
        <w:rPr>
          <w:rFonts w:ascii="Times New Roman" w:hAnsi="Times New Roman" w:cs="Times New Roman"/>
          <w:sz w:val="20"/>
          <w:szCs w:val="20"/>
          <w:lang w:val="en-US"/>
        </w:rPr>
        <w:t>Torsin</w:t>
      </w:r>
      <w:proofErr w:type="spellEnd"/>
      <w:r w:rsidRPr="00C82EE1">
        <w:rPr>
          <w:rFonts w:ascii="Times New Roman" w:hAnsi="Times New Roman" w:cs="Times New Roman"/>
          <w:sz w:val="20"/>
          <w:szCs w:val="20"/>
          <w:lang w:val="en-US"/>
        </w:rPr>
        <w:t xml:space="preserve">, W. (2021). Disclosure tone management and labor unions. </w:t>
      </w:r>
      <w:r w:rsidRPr="00C82EE1">
        <w:rPr>
          <w:rFonts w:ascii="Times New Roman" w:hAnsi="Times New Roman" w:cs="Times New Roman"/>
          <w:i/>
          <w:iCs/>
          <w:sz w:val="20"/>
          <w:szCs w:val="20"/>
          <w:lang w:val="en-US"/>
        </w:rPr>
        <w:t>Journal of Business Finance &amp; Accounting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48</w:t>
      </w:r>
      <w:r w:rsidRPr="00C82EE1">
        <w:rPr>
          <w:rFonts w:ascii="Times New Roman" w:hAnsi="Times New Roman" w:cs="Times New Roman"/>
          <w:sz w:val="20"/>
          <w:szCs w:val="20"/>
          <w:lang w:val="en-US"/>
        </w:rPr>
        <w:t>(1–2), 102–147.</w:t>
      </w:r>
    </w:p>
    <w:p w14:paraId="54D9A1A2" w14:textId="15822EE9"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Baginski</w:t>
      </w:r>
      <w:proofErr w:type="spellEnd"/>
      <w:r w:rsidRPr="00C82EE1">
        <w:rPr>
          <w:rFonts w:ascii="Times New Roman" w:hAnsi="Times New Roman" w:cs="Times New Roman"/>
          <w:sz w:val="20"/>
          <w:szCs w:val="20"/>
          <w:lang w:val="en-US"/>
        </w:rPr>
        <w:t xml:space="preserve">, S. P., Campbell, J. L., Hinson, L. A., &amp; Koo, D. S. (2018). Do Career Concerns Affect the Delay of Bad News Disclosure? </w:t>
      </w:r>
      <w:r w:rsidRPr="00C82EE1">
        <w:rPr>
          <w:rFonts w:ascii="Times New Roman" w:hAnsi="Times New Roman" w:cs="Times New Roman"/>
          <w:i/>
          <w:iCs/>
          <w:sz w:val="20"/>
          <w:szCs w:val="20"/>
          <w:lang w:val="en-US"/>
        </w:rPr>
        <w:t>The Accounting Review</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93</w:t>
      </w:r>
      <w:r w:rsidRPr="00C82EE1">
        <w:rPr>
          <w:rFonts w:ascii="Times New Roman" w:hAnsi="Times New Roman" w:cs="Times New Roman"/>
          <w:sz w:val="20"/>
          <w:szCs w:val="20"/>
          <w:lang w:val="en-US"/>
        </w:rPr>
        <w:t xml:space="preserve">(2), 61–95. </w:t>
      </w:r>
    </w:p>
    <w:p w14:paraId="3C1A9886" w14:textId="77777777"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Baron, R. M., &amp; Kenny, D. A. (1986). The moderator–mediator variable distinction in social psychological research: Conceptual, strategic, and statistical considerations. </w:t>
      </w:r>
      <w:r w:rsidRPr="00C82EE1">
        <w:rPr>
          <w:rFonts w:ascii="Times New Roman" w:hAnsi="Times New Roman" w:cs="Times New Roman"/>
          <w:i/>
          <w:iCs/>
          <w:sz w:val="20"/>
          <w:szCs w:val="20"/>
          <w:lang w:val="en-US"/>
        </w:rPr>
        <w:t>Journal of Personality and Social Psychology</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51</w:t>
      </w:r>
      <w:r w:rsidRPr="00C82EE1">
        <w:rPr>
          <w:rFonts w:ascii="Times New Roman" w:hAnsi="Times New Roman" w:cs="Times New Roman"/>
          <w:sz w:val="20"/>
          <w:szCs w:val="20"/>
          <w:lang w:val="en-US"/>
        </w:rPr>
        <w:t>(6), 1173–1182.</w:t>
      </w:r>
    </w:p>
    <w:p w14:paraId="635A20E6" w14:textId="3E4E6D39"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Barraza, B. (2019). The Worth of Words: How Technical White Papers Influence ICO Blockchain Funding. </w:t>
      </w:r>
      <w:r w:rsidRPr="00C82EE1">
        <w:rPr>
          <w:rFonts w:ascii="Times New Roman" w:hAnsi="Times New Roman" w:cs="Times New Roman"/>
          <w:i/>
          <w:iCs/>
          <w:sz w:val="20"/>
          <w:szCs w:val="20"/>
          <w:lang w:val="en-US"/>
        </w:rPr>
        <w:t>MIS Quarterly Executive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18</w:t>
      </w:r>
      <w:r w:rsidRPr="00C82EE1">
        <w:rPr>
          <w:rFonts w:ascii="Times New Roman" w:hAnsi="Times New Roman" w:cs="Times New Roman"/>
          <w:sz w:val="20"/>
          <w:szCs w:val="20"/>
          <w:lang w:val="en-US"/>
        </w:rPr>
        <w:t xml:space="preserve">(4), 281–286. </w:t>
      </w:r>
    </w:p>
    <w:p w14:paraId="13ACF7B1" w14:textId="61C0EF9C"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Belitski</w:t>
      </w:r>
      <w:proofErr w:type="spellEnd"/>
      <w:r w:rsidRPr="00C82EE1">
        <w:rPr>
          <w:rFonts w:ascii="Times New Roman" w:hAnsi="Times New Roman" w:cs="Times New Roman"/>
          <w:sz w:val="20"/>
          <w:szCs w:val="20"/>
          <w:lang w:val="en-US"/>
        </w:rPr>
        <w:t xml:space="preserve">, M., &amp; </w:t>
      </w:r>
      <w:proofErr w:type="spellStart"/>
      <w:r w:rsidRPr="00C82EE1">
        <w:rPr>
          <w:rFonts w:ascii="Times New Roman" w:hAnsi="Times New Roman" w:cs="Times New Roman"/>
          <w:sz w:val="20"/>
          <w:szCs w:val="20"/>
          <w:lang w:val="en-US"/>
        </w:rPr>
        <w:t>Boreiko</w:t>
      </w:r>
      <w:proofErr w:type="spellEnd"/>
      <w:r w:rsidRPr="00C82EE1">
        <w:rPr>
          <w:rFonts w:ascii="Times New Roman" w:hAnsi="Times New Roman" w:cs="Times New Roman"/>
          <w:sz w:val="20"/>
          <w:szCs w:val="20"/>
          <w:lang w:val="en-US"/>
        </w:rPr>
        <w:t xml:space="preserve">, D. (2022). Success factors of initial coin offerings. </w:t>
      </w:r>
      <w:r w:rsidRPr="00C82EE1">
        <w:rPr>
          <w:rFonts w:ascii="Times New Roman" w:hAnsi="Times New Roman" w:cs="Times New Roman"/>
          <w:i/>
          <w:iCs/>
          <w:sz w:val="20"/>
          <w:szCs w:val="20"/>
          <w:lang w:val="en-US"/>
        </w:rPr>
        <w:t>The Journal of Technology Transfer</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47</w:t>
      </w:r>
      <w:r w:rsidRPr="00C82EE1">
        <w:rPr>
          <w:rFonts w:ascii="Times New Roman" w:hAnsi="Times New Roman" w:cs="Times New Roman"/>
          <w:sz w:val="20"/>
          <w:szCs w:val="20"/>
          <w:lang w:val="en-US"/>
        </w:rPr>
        <w:t xml:space="preserve">(6), 1690–1706. </w:t>
      </w:r>
    </w:p>
    <w:p w14:paraId="6DA6F67F" w14:textId="77777777"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Bellavitis</w:t>
      </w:r>
      <w:proofErr w:type="spellEnd"/>
      <w:r w:rsidRPr="00C82EE1">
        <w:rPr>
          <w:rFonts w:ascii="Times New Roman" w:hAnsi="Times New Roman" w:cs="Times New Roman"/>
          <w:sz w:val="20"/>
          <w:szCs w:val="20"/>
          <w:lang w:val="en-US"/>
        </w:rPr>
        <w:t xml:space="preserve">, C., Fisch, C., &amp; </w:t>
      </w:r>
      <w:proofErr w:type="spellStart"/>
      <w:r w:rsidRPr="00C82EE1">
        <w:rPr>
          <w:rFonts w:ascii="Times New Roman" w:hAnsi="Times New Roman" w:cs="Times New Roman"/>
          <w:sz w:val="20"/>
          <w:szCs w:val="20"/>
          <w:lang w:val="en-US"/>
        </w:rPr>
        <w:t>Wiklund</w:t>
      </w:r>
      <w:proofErr w:type="spellEnd"/>
      <w:r w:rsidRPr="00C82EE1">
        <w:rPr>
          <w:rFonts w:ascii="Times New Roman" w:hAnsi="Times New Roman" w:cs="Times New Roman"/>
          <w:sz w:val="20"/>
          <w:szCs w:val="20"/>
          <w:lang w:val="en-US"/>
        </w:rPr>
        <w:t xml:space="preserve">, J. (2021). A comprehensive review of the global development of initial coin offerings (ICOs) and their regulation. </w:t>
      </w:r>
      <w:r w:rsidRPr="00C82EE1">
        <w:rPr>
          <w:rFonts w:ascii="Times New Roman" w:hAnsi="Times New Roman" w:cs="Times New Roman"/>
          <w:i/>
          <w:iCs/>
          <w:sz w:val="20"/>
          <w:szCs w:val="20"/>
          <w:lang w:val="en-US"/>
        </w:rPr>
        <w:t>Journal of Business Venturing Insights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15</w:t>
      </w:r>
      <w:r w:rsidRPr="00C82EE1">
        <w:rPr>
          <w:rFonts w:ascii="Times New Roman" w:hAnsi="Times New Roman" w:cs="Times New Roman"/>
          <w:sz w:val="20"/>
          <w:szCs w:val="20"/>
          <w:lang w:val="en-US"/>
        </w:rPr>
        <w:t>, e00213.</w:t>
      </w:r>
    </w:p>
    <w:p w14:paraId="1C6E2BAF" w14:textId="35405E1A"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lastRenderedPageBreak/>
        <w:t>Bennedsen</w:t>
      </w:r>
      <w:proofErr w:type="spellEnd"/>
      <w:r w:rsidRPr="00C82EE1">
        <w:rPr>
          <w:rFonts w:ascii="Times New Roman" w:hAnsi="Times New Roman" w:cs="Times New Roman"/>
          <w:sz w:val="20"/>
          <w:szCs w:val="20"/>
          <w:lang w:val="en-US"/>
        </w:rPr>
        <w:t xml:space="preserve">, M., &amp; Nielsen, K. (2004). </w:t>
      </w:r>
      <w:r w:rsidRPr="00C82EE1">
        <w:rPr>
          <w:rFonts w:ascii="Times New Roman" w:hAnsi="Times New Roman" w:cs="Times New Roman"/>
          <w:i/>
          <w:iCs/>
          <w:sz w:val="20"/>
          <w:szCs w:val="20"/>
          <w:lang w:val="en-US"/>
        </w:rPr>
        <w:t>The Family behind the Family Firm: Evidence from CEO Transitions</w:t>
      </w:r>
      <w:r w:rsidRPr="00C82EE1">
        <w:rPr>
          <w:rFonts w:ascii="Times New Roman" w:hAnsi="Times New Roman" w:cs="Times New Roman"/>
          <w:sz w:val="20"/>
          <w:szCs w:val="20"/>
          <w:lang w:val="en-US"/>
        </w:rPr>
        <w:t xml:space="preserve"> (No</w:t>
      </w:r>
      <w:r w:rsidR="00C26CCA">
        <w:rPr>
          <w:rFonts w:ascii="Times New Roman" w:hAnsi="Times New Roman" w:cs="Times New Roman"/>
          <w:sz w:val="20"/>
          <w:szCs w:val="20"/>
          <w:lang w:val="en-US"/>
        </w:rPr>
        <w:t>s</w:t>
      </w:r>
      <w:r w:rsidRPr="00C82EE1">
        <w:rPr>
          <w:rFonts w:ascii="Times New Roman" w:hAnsi="Times New Roman" w:cs="Times New Roman"/>
          <w:sz w:val="20"/>
          <w:szCs w:val="20"/>
          <w:lang w:val="en-US"/>
        </w:rPr>
        <w:t>. 3–2004). Working paper.</w:t>
      </w:r>
    </w:p>
    <w:p w14:paraId="498E9005" w14:textId="77777777"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Bennedsen</w:t>
      </w:r>
      <w:proofErr w:type="spellEnd"/>
      <w:r w:rsidRPr="00C82EE1">
        <w:rPr>
          <w:rFonts w:ascii="Times New Roman" w:hAnsi="Times New Roman" w:cs="Times New Roman"/>
          <w:sz w:val="20"/>
          <w:szCs w:val="20"/>
          <w:lang w:val="en-US"/>
        </w:rPr>
        <w:t xml:space="preserve">, M., Perez-Gonzalez, F., &amp; </w:t>
      </w:r>
      <w:proofErr w:type="spellStart"/>
      <w:r w:rsidRPr="00C82EE1">
        <w:rPr>
          <w:rFonts w:ascii="Times New Roman" w:hAnsi="Times New Roman" w:cs="Times New Roman"/>
          <w:sz w:val="20"/>
          <w:szCs w:val="20"/>
          <w:lang w:val="en-US"/>
        </w:rPr>
        <w:t>Wolfenzon</w:t>
      </w:r>
      <w:proofErr w:type="spellEnd"/>
      <w:r w:rsidRPr="00C82EE1">
        <w:rPr>
          <w:rFonts w:ascii="Times New Roman" w:hAnsi="Times New Roman" w:cs="Times New Roman"/>
          <w:sz w:val="20"/>
          <w:szCs w:val="20"/>
          <w:lang w:val="en-US"/>
        </w:rPr>
        <w:t xml:space="preserve">, D. (2007). </w:t>
      </w:r>
      <w:r w:rsidRPr="00C82EE1">
        <w:rPr>
          <w:rFonts w:ascii="Times New Roman" w:hAnsi="Times New Roman" w:cs="Times New Roman"/>
          <w:i/>
          <w:iCs/>
          <w:sz w:val="20"/>
          <w:szCs w:val="20"/>
          <w:lang w:val="en-US"/>
        </w:rPr>
        <w:t>Do CEOs Matter?</w:t>
      </w:r>
      <w:r w:rsidRPr="00C82EE1">
        <w:rPr>
          <w:rFonts w:ascii="Times New Roman" w:hAnsi="Times New Roman" w:cs="Times New Roman"/>
          <w:sz w:val="20"/>
          <w:szCs w:val="20"/>
          <w:lang w:val="en-US"/>
        </w:rPr>
        <w:t xml:space="preserve"> (Nos. 13–2007). Working paper.</w:t>
      </w:r>
    </w:p>
    <w:p w14:paraId="7D37F989" w14:textId="7749BF8F" w:rsidR="00CF22D9"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Bennedsen</w:t>
      </w:r>
      <w:proofErr w:type="spellEnd"/>
      <w:r w:rsidRPr="00C82EE1">
        <w:rPr>
          <w:rFonts w:ascii="Times New Roman" w:hAnsi="Times New Roman" w:cs="Times New Roman"/>
          <w:sz w:val="20"/>
          <w:szCs w:val="20"/>
          <w:lang w:val="en-US"/>
        </w:rPr>
        <w:t xml:space="preserve">, M., Pérez‐González, F., &amp; </w:t>
      </w:r>
      <w:proofErr w:type="spellStart"/>
      <w:r w:rsidRPr="00C82EE1">
        <w:rPr>
          <w:rFonts w:ascii="Times New Roman" w:hAnsi="Times New Roman" w:cs="Times New Roman"/>
          <w:sz w:val="20"/>
          <w:szCs w:val="20"/>
          <w:lang w:val="en-US"/>
        </w:rPr>
        <w:t>Wolfenzon</w:t>
      </w:r>
      <w:proofErr w:type="spellEnd"/>
      <w:r w:rsidRPr="00C82EE1">
        <w:rPr>
          <w:rFonts w:ascii="Times New Roman" w:hAnsi="Times New Roman" w:cs="Times New Roman"/>
          <w:sz w:val="20"/>
          <w:szCs w:val="20"/>
          <w:lang w:val="en-US"/>
        </w:rPr>
        <w:t xml:space="preserve">, D. (2020). Do CEOs Matter? Evidence from Hospitalization Events. </w:t>
      </w:r>
      <w:r w:rsidRPr="00C82EE1">
        <w:rPr>
          <w:rFonts w:ascii="Times New Roman" w:hAnsi="Times New Roman" w:cs="Times New Roman"/>
          <w:i/>
          <w:iCs/>
          <w:sz w:val="20"/>
          <w:szCs w:val="20"/>
          <w:lang w:val="en-US"/>
        </w:rPr>
        <w:t>The Journal of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75</w:t>
      </w:r>
      <w:r w:rsidRPr="00C82EE1">
        <w:rPr>
          <w:rFonts w:ascii="Times New Roman" w:hAnsi="Times New Roman" w:cs="Times New Roman"/>
          <w:sz w:val="20"/>
          <w:szCs w:val="20"/>
          <w:lang w:val="en-US"/>
        </w:rPr>
        <w:t xml:space="preserve">(4), 1877–1911. </w:t>
      </w:r>
    </w:p>
    <w:p w14:paraId="6346D93E" w14:textId="0166C957" w:rsidR="00046922" w:rsidRPr="00046922" w:rsidRDefault="00046922" w:rsidP="00D72D15">
      <w:pPr>
        <w:pStyle w:val="Bibliographie"/>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BNC </w:t>
      </w:r>
      <w:r w:rsidRPr="00C82EE1">
        <w:rPr>
          <w:rFonts w:ascii="Times New Roman" w:hAnsi="Times New Roman" w:cs="Times New Roman"/>
          <w:sz w:val="20"/>
          <w:szCs w:val="20"/>
          <w:lang w:val="en-US"/>
        </w:rPr>
        <w:t xml:space="preserve">Consortium (2007). </w:t>
      </w:r>
      <w:r w:rsidRPr="00C82EE1">
        <w:rPr>
          <w:rFonts w:ascii="Times New Roman" w:hAnsi="Times New Roman" w:cs="Times New Roman"/>
          <w:i/>
          <w:iCs/>
          <w:sz w:val="20"/>
          <w:szCs w:val="20"/>
          <w:lang w:val="en-US"/>
        </w:rPr>
        <w:t>British National Corpus</w:t>
      </w:r>
      <w:r w:rsidRPr="00C82EE1">
        <w:rPr>
          <w:rFonts w:ascii="Times New Roman" w:hAnsi="Times New Roman" w:cs="Times New Roman"/>
          <w:sz w:val="20"/>
          <w:szCs w:val="20"/>
          <w:lang w:val="en-US"/>
        </w:rPr>
        <w:t xml:space="preserve">. </w:t>
      </w:r>
    </w:p>
    <w:p w14:paraId="676D0849" w14:textId="77777777"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Boreiko</w:t>
      </w:r>
      <w:proofErr w:type="spellEnd"/>
      <w:r w:rsidRPr="00C82EE1">
        <w:rPr>
          <w:rFonts w:ascii="Times New Roman" w:hAnsi="Times New Roman" w:cs="Times New Roman"/>
          <w:sz w:val="20"/>
          <w:szCs w:val="20"/>
          <w:lang w:val="en-US"/>
        </w:rPr>
        <w:t xml:space="preserve">, D., &amp; </w:t>
      </w:r>
      <w:proofErr w:type="spellStart"/>
      <w:r w:rsidRPr="00C82EE1">
        <w:rPr>
          <w:rFonts w:ascii="Times New Roman" w:hAnsi="Times New Roman" w:cs="Times New Roman"/>
          <w:sz w:val="20"/>
          <w:szCs w:val="20"/>
          <w:lang w:val="en-US"/>
        </w:rPr>
        <w:t>Vidusso</w:t>
      </w:r>
      <w:proofErr w:type="spellEnd"/>
      <w:r w:rsidRPr="00C82EE1">
        <w:rPr>
          <w:rFonts w:ascii="Times New Roman" w:hAnsi="Times New Roman" w:cs="Times New Roman"/>
          <w:sz w:val="20"/>
          <w:szCs w:val="20"/>
          <w:lang w:val="en-US"/>
        </w:rPr>
        <w:t xml:space="preserve">, G. (2019). New Blockchain Intermediaries: Do ICO Rating Websites Do Their Job Well? </w:t>
      </w:r>
      <w:r w:rsidRPr="00C82EE1">
        <w:rPr>
          <w:rFonts w:ascii="Times New Roman" w:hAnsi="Times New Roman" w:cs="Times New Roman"/>
          <w:i/>
          <w:iCs/>
          <w:sz w:val="20"/>
          <w:szCs w:val="20"/>
          <w:lang w:val="en-US"/>
        </w:rPr>
        <w:t>The Journal of Alternative Investments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21</w:t>
      </w:r>
      <w:r w:rsidRPr="00C82EE1">
        <w:rPr>
          <w:rFonts w:ascii="Times New Roman" w:hAnsi="Times New Roman" w:cs="Times New Roman"/>
          <w:sz w:val="20"/>
          <w:szCs w:val="20"/>
          <w:lang w:val="en-US"/>
        </w:rPr>
        <w:t>(4), 67–79.</w:t>
      </w:r>
    </w:p>
    <w:p w14:paraId="5CE3BAC0" w14:textId="4894218A" w:rsidR="00CF22D9"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Bormuth</w:t>
      </w:r>
      <w:proofErr w:type="spellEnd"/>
      <w:r w:rsidRPr="00C82EE1">
        <w:rPr>
          <w:rFonts w:ascii="Times New Roman" w:hAnsi="Times New Roman" w:cs="Times New Roman"/>
          <w:sz w:val="20"/>
          <w:szCs w:val="20"/>
          <w:lang w:val="en-US"/>
        </w:rPr>
        <w:t xml:space="preserve">, J. R. (1966). Readability: A New Approach. </w:t>
      </w:r>
      <w:r w:rsidRPr="00C82EE1">
        <w:rPr>
          <w:rFonts w:ascii="Times New Roman" w:hAnsi="Times New Roman" w:cs="Times New Roman"/>
          <w:i/>
          <w:iCs/>
          <w:sz w:val="20"/>
          <w:szCs w:val="20"/>
          <w:lang w:val="en-US"/>
        </w:rPr>
        <w:t>Reading Research Quarterly</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w:t>
      </w:r>
      <w:r w:rsidRPr="00C82EE1">
        <w:rPr>
          <w:rFonts w:ascii="Times New Roman" w:hAnsi="Times New Roman" w:cs="Times New Roman"/>
          <w:sz w:val="20"/>
          <w:szCs w:val="20"/>
          <w:lang w:val="en-US"/>
        </w:rPr>
        <w:t>(3), 79–132.</w:t>
      </w:r>
    </w:p>
    <w:p w14:paraId="75D78BCA" w14:textId="496611A2" w:rsidR="00876173" w:rsidRPr="00876173" w:rsidRDefault="00876173" w:rsidP="00876173">
      <w:pPr>
        <w:spacing w:after="0" w:line="360" w:lineRule="auto"/>
        <w:ind w:left="720" w:hanging="720"/>
        <w:jc w:val="both"/>
        <w:rPr>
          <w:rFonts w:ascii="Times New Roman" w:hAnsi="Times New Roman" w:cs="Times New Roman"/>
        </w:rPr>
      </w:pPr>
      <w:proofErr w:type="spellStart"/>
      <w:r w:rsidRPr="00876173">
        <w:rPr>
          <w:rFonts w:ascii="Times New Roman" w:hAnsi="Times New Roman" w:cs="Times New Roman"/>
          <w:color w:val="222222"/>
          <w:sz w:val="20"/>
          <w:szCs w:val="20"/>
          <w:shd w:val="clear" w:color="auto" w:fill="FFFFFF"/>
        </w:rPr>
        <w:t>Boudt</w:t>
      </w:r>
      <w:proofErr w:type="spellEnd"/>
      <w:r w:rsidRPr="00876173">
        <w:rPr>
          <w:rFonts w:ascii="Times New Roman" w:hAnsi="Times New Roman" w:cs="Times New Roman"/>
          <w:color w:val="222222"/>
          <w:sz w:val="20"/>
          <w:szCs w:val="20"/>
          <w:shd w:val="clear" w:color="auto" w:fill="FFFFFF"/>
        </w:rPr>
        <w:t>, K., &amp; Thewissen, J. (2019). Jockeying for position in CEO letters: Impression management and sentiment analytics. </w:t>
      </w:r>
      <w:r w:rsidRPr="00876173">
        <w:rPr>
          <w:rFonts w:ascii="Times New Roman" w:hAnsi="Times New Roman" w:cs="Times New Roman"/>
          <w:i/>
          <w:iCs/>
          <w:color w:val="222222"/>
          <w:sz w:val="20"/>
          <w:szCs w:val="20"/>
          <w:shd w:val="clear" w:color="auto" w:fill="FFFFFF"/>
        </w:rPr>
        <w:t>Financial Management</w:t>
      </w:r>
      <w:r w:rsidRPr="00876173">
        <w:rPr>
          <w:rFonts w:ascii="Times New Roman" w:hAnsi="Times New Roman" w:cs="Times New Roman"/>
          <w:color w:val="222222"/>
          <w:sz w:val="20"/>
          <w:szCs w:val="20"/>
          <w:shd w:val="clear" w:color="auto" w:fill="FFFFFF"/>
        </w:rPr>
        <w:t>, </w:t>
      </w:r>
      <w:r w:rsidRPr="00876173">
        <w:rPr>
          <w:rFonts w:ascii="Times New Roman" w:hAnsi="Times New Roman" w:cs="Times New Roman"/>
          <w:i/>
          <w:iCs/>
          <w:color w:val="222222"/>
          <w:sz w:val="20"/>
          <w:szCs w:val="20"/>
          <w:shd w:val="clear" w:color="auto" w:fill="FFFFFF"/>
        </w:rPr>
        <w:t>48</w:t>
      </w:r>
      <w:r w:rsidRPr="00876173">
        <w:rPr>
          <w:rFonts w:ascii="Times New Roman" w:hAnsi="Times New Roman" w:cs="Times New Roman"/>
          <w:color w:val="222222"/>
          <w:sz w:val="20"/>
          <w:szCs w:val="20"/>
          <w:shd w:val="clear" w:color="auto" w:fill="FFFFFF"/>
        </w:rPr>
        <w:t>(1), 77-115.</w:t>
      </w:r>
    </w:p>
    <w:p w14:paraId="2780369C" w14:textId="1A737BA1"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Braun, A. M. (2015). </w:t>
      </w:r>
      <w:r w:rsidRPr="00C82EE1">
        <w:rPr>
          <w:rFonts w:ascii="Times New Roman" w:hAnsi="Times New Roman" w:cs="Times New Roman"/>
          <w:i/>
          <w:iCs/>
          <w:sz w:val="20"/>
          <w:szCs w:val="20"/>
          <w:lang w:val="en-US"/>
        </w:rPr>
        <w:t>The Influence of Design Complexity on Perceived Quality: The Moderating Role of Price and Brand Familiarity</w:t>
      </w:r>
      <w:r w:rsidRPr="00C82EE1">
        <w:rPr>
          <w:rFonts w:ascii="Times New Roman" w:hAnsi="Times New Roman" w:cs="Times New Roman"/>
          <w:sz w:val="20"/>
          <w:szCs w:val="20"/>
          <w:lang w:val="en-US"/>
        </w:rPr>
        <w:t xml:space="preserve"> [Master’s thesis, Auburn University]. </w:t>
      </w:r>
    </w:p>
    <w:p w14:paraId="7CBBD6DC" w14:textId="59D70C22"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772C6F">
        <w:rPr>
          <w:rFonts w:ascii="Times New Roman" w:hAnsi="Times New Roman" w:cs="Times New Roman"/>
          <w:sz w:val="20"/>
          <w:szCs w:val="20"/>
          <w:lang w:val="nl-NL"/>
        </w:rPr>
        <w:t>Bruton</w:t>
      </w:r>
      <w:proofErr w:type="spellEnd"/>
      <w:r w:rsidRPr="00772C6F">
        <w:rPr>
          <w:rFonts w:ascii="Times New Roman" w:hAnsi="Times New Roman" w:cs="Times New Roman"/>
          <w:sz w:val="20"/>
          <w:szCs w:val="20"/>
          <w:lang w:val="nl-NL"/>
        </w:rPr>
        <w:t xml:space="preserve">, G. D., &amp; </w:t>
      </w:r>
      <w:proofErr w:type="spellStart"/>
      <w:r w:rsidRPr="00772C6F">
        <w:rPr>
          <w:rFonts w:ascii="Times New Roman" w:hAnsi="Times New Roman" w:cs="Times New Roman"/>
          <w:sz w:val="20"/>
          <w:szCs w:val="20"/>
          <w:lang w:val="nl-NL"/>
        </w:rPr>
        <w:t>Ahlstrom</w:t>
      </w:r>
      <w:proofErr w:type="spellEnd"/>
      <w:r w:rsidRPr="00772C6F">
        <w:rPr>
          <w:rFonts w:ascii="Times New Roman" w:hAnsi="Times New Roman" w:cs="Times New Roman"/>
          <w:sz w:val="20"/>
          <w:szCs w:val="20"/>
          <w:lang w:val="nl-NL"/>
        </w:rPr>
        <w:t xml:space="preserve">, D. (2003). </w:t>
      </w:r>
      <w:r w:rsidRPr="00C82EE1">
        <w:rPr>
          <w:rFonts w:ascii="Times New Roman" w:hAnsi="Times New Roman" w:cs="Times New Roman"/>
          <w:sz w:val="20"/>
          <w:szCs w:val="20"/>
          <w:lang w:val="en-US"/>
        </w:rPr>
        <w:t xml:space="preserve">An institutional view of China’s venture capital industry: Explaining the differences between China and the West. </w:t>
      </w:r>
      <w:r w:rsidRPr="00C82EE1">
        <w:rPr>
          <w:rFonts w:ascii="Times New Roman" w:hAnsi="Times New Roman" w:cs="Times New Roman"/>
          <w:i/>
          <w:iCs/>
          <w:sz w:val="20"/>
          <w:szCs w:val="20"/>
          <w:lang w:val="en-US"/>
        </w:rPr>
        <w:t>Journal of Business Venturing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18</w:t>
      </w:r>
      <w:r w:rsidRPr="00C82EE1">
        <w:rPr>
          <w:rFonts w:ascii="Times New Roman" w:hAnsi="Times New Roman" w:cs="Times New Roman"/>
          <w:sz w:val="20"/>
          <w:szCs w:val="20"/>
          <w:lang w:val="en-US"/>
        </w:rPr>
        <w:t xml:space="preserve">(2), 233–259. </w:t>
      </w:r>
    </w:p>
    <w:p w14:paraId="4D2EAE1B" w14:textId="29F9499F"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Bui, G. (2021). Influence of learners’ prior knowledge, L2 proficiency and pre-task planning on L2 lexical complexity. </w:t>
      </w:r>
      <w:r w:rsidRPr="00C82EE1">
        <w:rPr>
          <w:rFonts w:ascii="Times New Roman" w:hAnsi="Times New Roman" w:cs="Times New Roman"/>
          <w:i/>
          <w:iCs/>
          <w:sz w:val="20"/>
          <w:szCs w:val="20"/>
          <w:lang w:val="en-US"/>
        </w:rPr>
        <w:t>International Review of Applied Linguistics in Language Teaching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59</w:t>
      </w:r>
      <w:r w:rsidRPr="00C82EE1">
        <w:rPr>
          <w:rFonts w:ascii="Times New Roman" w:hAnsi="Times New Roman" w:cs="Times New Roman"/>
          <w:sz w:val="20"/>
          <w:szCs w:val="20"/>
          <w:lang w:val="en-US"/>
        </w:rPr>
        <w:t xml:space="preserve">(4), 543–567. </w:t>
      </w:r>
    </w:p>
    <w:p w14:paraId="12DA2923" w14:textId="77777777"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Bulte</w:t>
      </w:r>
      <w:proofErr w:type="spellEnd"/>
      <w:r w:rsidRPr="00C82EE1">
        <w:rPr>
          <w:rFonts w:ascii="Times New Roman" w:hAnsi="Times New Roman" w:cs="Times New Roman"/>
          <w:sz w:val="20"/>
          <w:szCs w:val="20"/>
          <w:lang w:val="en-US"/>
        </w:rPr>
        <w:t xml:space="preserve">, B., &amp; </w:t>
      </w:r>
      <w:proofErr w:type="spellStart"/>
      <w:r w:rsidRPr="00C82EE1">
        <w:rPr>
          <w:rFonts w:ascii="Times New Roman" w:hAnsi="Times New Roman" w:cs="Times New Roman"/>
          <w:sz w:val="20"/>
          <w:szCs w:val="20"/>
          <w:lang w:val="en-US"/>
        </w:rPr>
        <w:t>Housen</w:t>
      </w:r>
      <w:proofErr w:type="spellEnd"/>
      <w:r w:rsidRPr="00C82EE1">
        <w:rPr>
          <w:rFonts w:ascii="Times New Roman" w:hAnsi="Times New Roman" w:cs="Times New Roman"/>
          <w:sz w:val="20"/>
          <w:szCs w:val="20"/>
          <w:lang w:val="en-US"/>
        </w:rPr>
        <w:t xml:space="preserve">, A. (2012). </w:t>
      </w:r>
      <w:r w:rsidRPr="00C82EE1">
        <w:rPr>
          <w:rFonts w:ascii="Times New Roman" w:hAnsi="Times New Roman" w:cs="Times New Roman"/>
          <w:i/>
          <w:iCs/>
          <w:sz w:val="20"/>
          <w:szCs w:val="20"/>
          <w:lang w:val="en-US"/>
        </w:rPr>
        <w:t xml:space="preserve">Defining and </w:t>
      </w:r>
      <w:proofErr w:type="spellStart"/>
      <w:r w:rsidRPr="00C82EE1">
        <w:rPr>
          <w:rFonts w:ascii="Times New Roman" w:hAnsi="Times New Roman" w:cs="Times New Roman"/>
          <w:i/>
          <w:iCs/>
          <w:sz w:val="20"/>
          <w:szCs w:val="20"/>
          <w:lang w:val="en-US"/>
        </w:rPr>
        <w:t>operationalising</w:t>
      </w:r>
      <w:proofErr w:type="spellEnd"/>
      <w:r w:rsidRPr="00C82EE1">
        <w:rPr>
          <w:rFonts w:ascii="Times New Roman" w:hAnsi="Times New Roman" w:cs="Times New Roman"/>
          <w:i/>
          <w:iCs/>
          <w:sz w:val="20"/>
          <w:szCs w:val="20"/>
          <w:lang w:val="en-US"/>
        </w:rPr>
        <w:t xml:space="preserve"> L2 complexity</w:t>
      </w:r>
      <w:r w:rsidRPr="00C82EE1">
        <w:rPr>
          <w:rFonts w:ascii="Times New Roman" w:hAnsi="Times New Roman" w:cs="Times New Roman"/>
          <w:sz w:val="20"/>
          <w:szCs w:val="20"/>
          <w:lang w:val="en-US"/>
        </w:rPr>
        <w:t>. 1–317.</w:t>
      </w:r>
    </w:p>
    <w:p w14:paraId="5668E9B2" w14:textId="7CC59609"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Burke, Q., Li, B., Wan, C., &amp; Wang, Y. (2022). </w:t>
      </w:r>
      <w:r w:rsidRPr="00C82EE1">
        <w:rPr>
          <w:rFonts w:ascii="Times New Roman" w:hAnsi="Times New Roman" w:cs="Times New Roman"/>
          <w:i/>
          <w:iCs/>
          <w:sz w:val="20"/>
          <w:szCs w:val="20"/>
          <w:lang w:val="en-US"/>
        </w:rPr>
        <w:t>Disclosure Readability in Unregulated Capital Markets: Evidence from Initial Coin Offerings</w:t>
      </w:r>
      <w:r w:rsidR="00C26CCA">
        <w:rPr>
          <w:rFonts w:ascii="Times New Roman" w:hAnsi="Times New Roman" w:cs="Times New Roman"/>
          <w:sz w:val="20"/>
          <w:szCs w:val="20"/>
          <w:lang w:val="en-US"/>
        </w:rPr>
        <w:t xml:space="preserve">. </w:t>
      </w:r>
      <w:r w:rsidR="00C26CCA" w:rsidRPr="00BC68D7">
        <w:rPr>
          <w:rFonts w:ascii="Times New Roman" w:hAnsi="Times New Roman" w:cs="Times New Roman"/>
          <w:i/>
          <w:sz w:val="20"/>
          <w:szCs w:val="20"/>
          <w:lang w:val="en-US"/>
        </w:rPr>
        <w:t>SSRN Electronic Journal.</w:t>
      </w:r>
    </w:p>
    <w:p w14:paraId="11DA4488" w14:textId="3FAB7159" w:rsidR="00CF22D9" w:rsidRPr="00C26CCA"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Canbaz</w:t>
      </w:r>
      <w:proofErr w:type="spellEnd"/>
      <w:r w:rsidRPr="00C82EE1">
        <w:rPr>
          <w:rFonts w:ascii="Times New Roman" w:hAnsi="Times New Roman" w:cs="Times New Roman"/>
          <w:sz w:val="20"/>
          <w:szCs w:val="20"/>
          <w:lang w:val="en-US"/>
        </w:rPr>
        <w:t xml:space="preserve">, A. G. (2020). </w:t>
      </w:r>
      <w:r w:rsidRPr="00C82EE1">
        <w:rPr>
          <w:rFonts w:ascii="Times New Roman" w:hAnsi="Times New Roman" w:cs="Times New Roman"/>
          <w:i/>
          <w:iCs/>
          <w:sz w:val="20"/>
          <w:szCs w:val="20"/>
          <w:lang w:val="en-US"/>
        </w:rPr>
        <w:t>Can investor’s sentiment from forum posts predict bitcoin return?</w:t>
      </w:r>
      <w:r w:rsidR="00C26CCA" w:rsidRPr="00C26CCA">
        <w:rPr>
          <w:rFonts w:ascii="Times New Roman" w:hAnsi="Times New Roman" w:cs="Times New Roman"/>
          <w:sz w:val="20"/>
          <w:szCs w:val="20"/>
          <w:lang w:val="en-US"/>
        </w:rPr>
        <w:t xml:space="preserve"> </w:t>
      </w:r>
      <w:r w:rsidR="00C26CCA" w:rsidRPr="00C82EE1">
        <w:rPr>
          <w:rFonts w:ascii="Times New Roman" w:hAnsi="Times New Roman" w:cs="Times New Roman"/>
          <w:sz w:val="20"/>
          <w:szCs w:val="20"/>
          <w:lang w:val="en-US"/>
        </w:rPr>
        <w:t xml:space="preserve">[Master’s thesis, </w:t>
      </w:r>
      <w:proofErr w:type="spellStart"/>
      <w:r w:rsidR="00C26CCA" w:rsidRPr="00C26CCA">
        <w:rPr>
          <w:rFonts w:ascii="Times New Roman" w:hAnsi="Times New Roman" w:cs="Times New Roman"/>
          <w:sz w:val="20"/>
          <w:szCs w:val="20"/>
          <w:lang w:val="en-US"/>
        </w:rPr>
        <w:t>Sabancı</w:t>
      </w:r>
      <w:proofErr w:type="spellEnd"/>
      <w:r w:rsidR="00C26CCA" w:rsidRPr="00C26CCA">
        <w:rPr>
          <w:rFonts w:ascii="Times New Roman" w:hAnsi="Times New Roman" w:cs="Times New Roman"/>
          <w:sz w:val="20"/>
          <w:szCs w:val="20"/>
          <w:lang w:val="en-US"/>
        </w:rPr>
        <w:t xml:space="preserve"> University</w:t>
      </w:r>
      <w:r w:rsidR="00C26CCA" w:rsidRPr="00C82EE1">
        <w:rPr>
          <w:rFonts w:ascii="Times New Roman" w:hAnsi="Times New Roman" w:cs="Times New Roman"/>
          <w:sz w:val="20"/>
          <w:szCs w:val="20"/>
          <w:lang w:val="en-US"/>
        </w:rPr>
        <w:t>].</w:t>
      </w:r>
    </w:p>
    <w:p w14:paraId="7D83DA56" w14:textId="5E14E304"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Chan, C. S. R., &amp; </w:t>
      </w:r>
      <w:proofErr w:type="spellStart"/>
      <w:r w:rsidRPr="00C82EE1">
        <w:rPr>
          <w:rFonts w:ascii="Times New Roman" w:hAnsi="Times New Roman" w:cs="Times New Roman"/>
          <w:sz w:val="20"/>
          <w:szCs w:val="20"/>
          <w:lang w:val="en-US"/>
        </w:rPr>
        <w:t>Parhankangas</w:t>
      </w:r>
      <w:proofErr w:type="spellEnd"/>
      <w:r w:rsidRPr="00C82EE1">
        <w:rPr>
          <w:rFonts w:ascii="Times New Roman" w:hAnsi="Times New Roman" w:cs="Times New Roman"/>
          <w:sz w:val="20"/>
          <w:szCs w:val="20"/>
          <w:lang w:val="en-US"/>
        </w:rPr>
        <w:t xml:space="preserve">, A. (2017). Crowdfunding Innovative Ideas: How Incremental and Radical Innovativeness Influence Funding Outcomes. </w:t>
      </w:r>
      <w:r w:rsidRPr="00C82EE1">
        <w:rPr>
          <w:rFonts w:ascii="Times New Roman" w:hAnsi="Times New Roman" w:cs="Times New Roman"/>
          <w:i/>
          <w:iCs/>
          <w:sz w:val="20"/>
          <w:szCs w:val="20"/>
          <w:lang w:val="en-US"/>
        </w:rPr>
        <w:t>Entrepreneurship Theory and Practice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41</w:t>
      </w:r>
      <w:r w:rsidRPr="00C82EE1">
        <w:rPr>
          <w:rFonts w:ascii="Times New Roman" w:hAnsi="Times New Roman" w:cs="Times New Roman"/>
          <w:sz w:val="20"/>
          <w:szCs w:val="20"/>
          <w:lang w:val="en-US"/>
        </w:rPr>
        <w:t xml:space="preserve">(2), 237–263. </w:t>
      </w:r>
    </w:p>
    <w:p w14:paraId="465C19A4" w14:textId="6255EE30"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Cheng, Y., Zeng, Y., &amp; Zou, J. (2024). Harnessing </w:t>
      </w:r>
      <w:proofErr w:type="spellStart"/>
      <w:r w:rsidRPr="00C82EE1">
        <w:rPr>
          <w:rFonts w:ascii="Times New Roman" w:hAnsi="Times New Roman" w:cs="Times New Roman"/>
          <w:sz w:val="20"/>
          <w:szCs w:val="20"/>
          <w:lang w:val="en-US"/>
        </w:rPr>
        <w:t>ChatGPT</w:t>
      </w:r>
      <w:proofErr w:type="spellEnd"/>
      <w:r w:rsidRPr="00C82EE1">
        <w:rPr>
          <w:rFonts w:ascii="Times New Roman" w:hAnsi="Times New Roman" w:cs="Times New Roman"/>
          <w:sz w:val="20"/>
          <w:szCs w:val="20"/>
          <w:lang w:val="en-US"/>
        </w:rPr>
        <w:t xml:space="preserve"> for predictive financial factor generation: A new frontier in financial analysis and forecasting. </w:t>
      </w:r>
      <w:r w:rsidRPr="00C82EE1">
        <w:rPr>
          <w:rFonts w:ascii="Times New Roman" w:hAnsi="Times New Roman" w:cs="Times New Roman"/>
          <w:i/>
          <w:iCs/>
          <w:sz w:val="20"/>
          <w:szCs w:val="20"/>
          <w:lang w:val="en-US"/>
        </w:rPr>
        <w:t>The British Accounting Review</w:t>
      </w:r>
      <w:r w:rsidRPr="00C82EE1">
        <w:rPr>
          <w:rFonts w:ascii="Times New Roman" w:hAnsi="Times New Roman" w:cs="Times New Roman"/>
          <w:sz w:val="20"/>
          <w:szCs w:val="20"/>
          <w:lang w:val="en-US"/>
        </w:rPr>
        <w:t xml:space="preserve">, 101507. </w:t>
      </w:r>
    </w:p>
    <w:p w14:paraId="565080EB" w14:textId="159F8A32"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Clogg</w:t>
      </w:r>
      <w:proofErr w:type="spellEnd"/>
      <w:r w:rsidRPr="00C82EE1">
        <w:rPr>
          <w:rFonts w:ascii="Times New Roman" w:hAnsi="Times New Roman" w:cs="Times New Roman"/>
          <w:sz w:val="20"/>
          <w:szCs w:val="20"/>
          <w:lang w:val="en-US"/>
        </w:rPr>
        <w:t xml:space="preserve">, C. C., </w:t>
      </w:r>
      <w:proofErr w:type="spellStart"/>
      <w:r w:rsidRPr="00C82EE1">
        <w:rPr>
          <w:rFonts w:ascii="Times New Roman" w:hAnsi="Times New Roman" w:cs="Times New Roman"/>
          <w:sz w:val="20"/>
          <w:szCs w:val="20"/>
          <w:lang w:val="en-US"/>
        </w:rPr>
        <w:t>Petkova</w:t>
      </w:r>
      <w:proofErr w:type="spellEnd"/>
      <w:r w:rsidRPr="00C82EE1">
        <w:rPr>
          <w:rFonts w:ascii="Times New Roman" w:hAnsi="Times New Roman" w:cs="Times New Roman"/>
          <w:sz w:val="20"/>
          <w:szCs w:val="20"/>
          <w:lang w:val="en-US"/>
        </w:rPr>
        <w:t xml:space="preserve">, E., &amp; </w:t>
      </w:r>
      <w:proofErr w:type="spellStart"/>
      <w:r w:rsidRPr="00C82EE1">
        <w:rPr>
          <w:rFonts w:ascii="Times New Roman" w:hAnsi="Times New Roman" w:cs="Times New Roman"/>
          <w:sz w:val="20"/>
          <w:szCs w:val="20"/>
          <w:lang w:val="en-US"/>
        </w:rPr>
        <w:t>Haritou</w:t>
      </w:r>
      <w:proofErr w:type="spellEnd"/>
      <w:r w:rsidRPr="00C82EE1">
        <w:rPr>
          <w:rFonts w:ascii="Times New Roman" w:hAnsi="Times New Roman" w:cs="Times New Roman"/>
          <w:sz w:val="20"/>
          <w:szCs w:val="20"/>
          <w:lang w:val="en-US"/>
        </w:rPr>
        <w:t xml:space="preserve">, A. (1995). Statistical Methods for Comparing Regression Coefficients Between Models. </w:t>
      </w:r>
      <w:r w:rsidRPr="00C82EE1">
        <w:rPr>
          <w:rFonts w:ascii="Times New Roman" w:hAnsi="Times New Roman" w:cs="Times New Roman"/>
          <w:i/>
          <w:iCs/>
          <w:sz w:val="20"/>
          <w:szCs w:val="20"/>
          <w:lang w:val="en-US"/>
        </w:rPr>
        <w:t>American Journal of Sociology</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100</w:t>
      </w:r>
      <w:r w:rsidRPr="00C82EE1">
        <w:rPr>
          <w:rFonts w:ascii="Times New Roman" w:hAnsi="Times New Roman" w:cs="Times New Roman"/>
          <w:sz w:val="20"/>
          <w:szCs w:val="20"/>
          <w:lang w:val="en-US"/>
        </w:rPr>
        <w:t xml:space="preserve">(5), 1261–1293. </w:t>
      </w:r>
    </w:p>
    <w:p w14:paraId="696E9721" w14:textId="24856314"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Colombo, M. G., Fisch, C., </w:t>
      </w: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&amp; Vismara, S. (2022). The </w:t>
      </w:r>
      <w:r w:rsidRPr="00C82EE1">
        <w:rPr>
          <w:rFonts w:ascii="Times New Roman" w:hAnsi="Times New Roman" w:cs="Times New Roman"/>
          <w:smallCaps/>
          <w:sz w:val="20"/>
          <w:szCs w:val="20"/>
          <w:lang w:val="en-US"/>
        </w:rPr>
        <w:t>CEO</w:t>
      </w:r>
      <w:r w:rsidRPr="00C82EE1">
        <w:rPr>
          <w:rFonts w:ascii="Times New Roman" w:hAnsi="Times New Roman" w:cs="Times New Roman"/>
          <w:sz w:val="20"/>
          <w:szCs w:val="20"/>
          <w:lang w:val="en-US"/>
        </w:rPr>
        <w:t xml:space="preserve"> beauty premium: Founder </w:t>
      </w:r>
      <w:r w:rsidRPr="00C82EE1">
        <w:rPr>
          <w:rFonts w:ascii="Times New Roman" w:hAnsi="Times New Roman" w:cs="Times New Roman"/>
          <w:smallCaps/>
          <w:sz w:val="20"/>
          <w:szCs w:val="20"/>
          <w:lang w:val="en-US"/>
        </w:rPr>
        <w:t>CEO</w:t>
      </w:r>
      <w:r w:rsidRPr="00C82EE1">
        <w:rPr>
          <w:rFonts w:ascii="Times New Roman" w:hAnsi="Times New Roman" w:cs="Times New Roman"/>
          <w:sz w:val="20"/>
          <w:szCs w:val="20"/>
          <w:lang w:val="en-US"/>
        </w:rPr>
        <w:t xml:space="preserve"> attractiveness and firm valuation in initial coin offerings. </w:t>
      </w:r>
      <w:r w:rsidRPr="00C82EE1">
        <w:rPr>
          <w:rFonts w:ascii="Times New Roman" w:hAnsi="Times New Roman" w:cs="Times New Roman"/>
          <w:i/>
          <w:iCs/>
          <w:sz w:val="20"/>
          <w:szCs w:val="20"/>
          <w:lang w:val="en-US"/>
        </w:rPr>
        <w:t>Strategic Entrepreneurship Journal</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16</w:t>
      </w:r>
      <w:r w:rsidRPr="00C82EE1">
        <w:rPr>
          <w:rFonts w:ascii="Times New Roman" w:hAnsi="Times New Roman" w:cs="Times New Roman"/>
          <w:sz w:val="20"/>
          <w:szCs w:val="20"/>
          <w:lang w:val="en-US"/>
        </w:rPr>
        <w:t xml:space="preserve">(3), 491–521. </w:t>
      </w:r>
    </w:p>
    <w:p w14:paraId="52A8AC12" w14:textId="2C36B19C"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Colombo, M. G., &amp; </w:t>
      </w:r>
      <w:proofErr w:type="spellStart"/>
      <w:r w:rsidRPr="00C82EE1">
        <w:rPr>
          <w:rFonts w:ascii="Times New Roman" w:hAnsi="Times New Roman" w:cs="Times New Roman"/>
          <w:sz w:val="20"/>
          <w:szCs w:val="20"/>
          <w:lang w:val="en-US"/>
        </w:rPr>
        <w:t>Grilli</w:t>
      </w:r>
      <w:proofErr w:type="spellEnd"/>
      <w:r w:rsidRPr="00C82EE1">
        <w:rPr>
          <w:rFonts w:ascii="Times New Roman" w:hAnsi="Times New Roman" w:cs="Times New Roman"/>
          <w:sz w:val="20"/>
          <w:szCs w:val="20"/>
          <w:lang w:val="en-US"/>
        </w:rPr>
        <w:t xml:space="preserve">, L. (2010). On growth drivers of high-tech start-ups: Exploring the role of founders’ human capital and venture capital. </w:t>
      </w:r>
      <w:r w:rsidRPr="00C82EE1">
        <w:rPr>
          <w:rFonts w:ascii="Times New Roman" w:hAnsi="Times New Roman" w:cs="Times New Roman"/>
          <w:i/>
          <w:iCs/>
          <w:sz w:val="20"/>
          <w:szCs w:val="20"/>
          <w:lang w:val="en-US"/>
        </w:rPr>
        <w:t>Journal of Business Venturing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25</w:t>
      </w:r>
      <w:r w:rsidRPr="00C82EE1">
        <w:rPr>
          <w:rFonts w:ascii="Times New Roman" w:hAnsi="Times New Roman" w:cs="Times New Roman"/>
          <w:sz w:val="20"/>
          <w:szCs w:val="20"/>
          <w:lang w:val="en-US"/>
        </w:rPr>
        <w:t xml:space="preserve">(6), 610–626. </w:t>
      </w:r>
    </w:p>
    <w:p w14:paraId="2BDE1BA3" w14:textId="695CDEA2"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Colombo, O. (2020). The Use of Signals in New-Venture Financing: A Review and Research Agenda. </w:t>
      </w:r>
      <w:r w:rsidRPr="00C82EE1">
        <w:rPr>
          <w:rFonts w:ascii="Times New Roman" w:hAnsi="Times New Roman" w:cs="Times New Roman"/>
          <w:i/>
          <w:iCs/>
          <w:sz w:val="20"/>
          <w:szCs w:val="20"/>
          <w:lang w:val="en-US"/>
        </w:rPr>
        <w:t>Journal of Management</w:t>
      </w:r>
      <w:r w:rsidRPr="00C82EE1">
        <w:rPr>
          <w:rFonts w:ascii="Times New Roman" w:hAnsi="Times New Roman" w:cs="Times New Roman"/>
          <w:sz w:val="20"/>
          <w:szCs w:val="20"/>
          <w:lang w:val="en-US"/>
        </w:rPr>
        <w:t xml:space="preserve">, </w:t>
      </w:r>
      <w:r w:rsidR="00C26CCA" w:rsidRPr="00C26CCA">
        <w:rPr>
          <w:rFonts w:ascii="Times New Roman" w:hAnsi="Times New Roman" w:cs="Times New Roman"/>
          <w:i/>
          <w:sz w:val="20"/>
          <w:szCs w:val="20"/>
          <w:lang w:val="en-US"/>
        </w:rPr>
        <w:t>47</w:t>
      </w:r>
      <w:r w:rsidR="00C26CCA" w:rsidRPr="00C26CCA">
        <w:rPr>
          <w:rFonts w:ascii="Times New Roman" w:hAnsi="Times New Roman" w:cs="Times New Roman"/>
          <w:sz w:val="20"/>
          <w:szCs w:val="20"/>
          <w:lang w:val="en-US"/>
        </w:rPr>
        <w:t>(1)</w:t>
      </w:r>
      <w:r w:rsidR="00C26CCA">
        <w:rPr>
          <w:rFonts w:ascii="Times New Roman" w:hAnsi="Times New Roman" w:cs="Times New Roman"/>
          <w:sz w:val="20"/>
          <w:szCs w:val="20"/>
          <w:lang w:val="en-US"/>
        </w:rPr>
        <w:t xml:space="preserve">, </w:t>
      </w:r>
      <w:r w:rsidRPr="00C82EE1">
        <w:rPr>
          <w:rFonts w:ascii="Times New Roman" w:hAnsi="Times New Roman" w:cs="Times New Roman"/>
          <w:sz w:val="20"/>
          <w:szCs w:val="20"/>
          <w:lang w:val="en-US"/>
        </w:rPr>
        <w:t>237–259.</w:t>
      </w:r>
    </w:p>
    <w:p w14:paraId="02D701AD" w14:textId="4948821E"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Connelly, B. L., </w:t>
      </w:r>
      <w:proofErr w:type="spellStart"/>
      <w:r w:rsidRPr="00C82EE1">
        <w:rPr>
          <w:rFonts w:ascii="Times New Roman" w:hAnsi="Times New Roman" w:cs="Times New Roman"/>
          <w:sz w:val="20"/>
          <w:szCs w:val="20"/>
          <w:lang w:val="en-US"/>
        </w:rPr>
        <w:t>Certo</w:t>
      </w:r>
      <w:proofErr w:type="spellEnd"/>
      <w:r w:rsidRPr="00C82EE1">
        <w:rPr>
          <w:rFonts w:ascii="Times New Roman" w:hAnsi="Times New Roman" w:cs="Times New Roman"/>
          <w:sz w:val="20"/>
          <w:szCs w:val="20"/>
          <w:lang w:val="en-US"/>
        </w:rPr>
        <w:t xml:space="preserve">, S. T., Ireland, R. D., &amp; </w:t>
      </w:r>
      <w:proofErr w:type="spellStart"/>
      <w:r w:rsidRPr="00C82EE1">
        <w:rPr>
          <w:rFonts w:ascii="Times New Roman" w:hAnsi="Times New Roman" w:cs="Times New Roman"/>
          <w:sz w:val="20"/>
          <w:szCs w:val="20"/>
          <w:lang w:val="en-US"/>
        </w:rPr>
        <w:t>Reutzel</w:t>
      </w:r>
      <w:proofErr w:type="spellEnd"/>
      <w:r w:rsidRPr="00C82EE1">
        <w:rPr>
          <w:rFonts w:ascii="Times New Roman" w:hAnsi="Times New Roman" w:cs="Times New Roman"/>
          <w:sz w:val="20"/>
          <w:szCs w:val="20"/>
          <w:lang w:val="en-US"/>
        </w:rPr>
        <w:t xml:space="preserve">, C. R. (2011). Signaling Theory: A Review and Assessment. </w:t>
      </w:r>
      <w:r w:rsidRPr="00C82EE1">
        <w:rPr>
          <w:rFonts w:ascii="Times New Roman" w:hAnsi="Times New Roman" w:cs="Times New Roman"/>
          <w:i/>
          <w:iCs/>
          <w:sz w:val="20"/>
          <w:szCs w:val="20"/>
          <w:lang w:val="en-US"/>
        </w:rPr>
        <w:t>Journal of Management</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37</w:t>
      </w:r>
      <w:r w:rsidRPr="00C82EE1">
        <w:rPr>
          <w:rFonts w:ascii="Times New Roman" w:hAnsi="Times New Roman" w:cs="Times New Roman"/>
          <w:sz w:val="20"/>
          <w:szCs w:val="20"/>
          <w:lang w:val="en-US"/>
        </w:rPr>
        <w:t xml:space="preserve">(1), 39–67. </w:t>
      </w:r>
    </w:p>
    <w:p w14:paraId="6B9EB19B" w14:textId="11C1E19B"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Cumming, D., </w:t>
      </w:r>
      <w:proofErr w:type="spellStart"/>
      <w:r w:rsidRPr="00C82EE1">
        <w:rPr>
          <w:rFonts w:ascii="Times New Roman" w:hAnsi="Times New Roman" w:cs="Times New Roman"/>
          <w:sz w:val="20"/>
          <w:szCs w:val="20"/>
          <w:lang w:val="en-US"/>
        </w:rPr>
        <w:t>Hornuf</w:t>
      </w:r>
      <w:proofErr w:type="spellEnd"/>
      <w:r w:rsidRPr="00C82EE1">
        <w:rPr>
          <w:rFonts w:ascii="Times New Roman" w:hAnsi="Times New Roman" w:cs="Times New Roman"/>
          <w:sz w:val="20"/>
          <w:szCs w:val="20"/>
          <w:lang w:val="en-US"/>
        </w:rPr>
        <w:t xml:space="preserve">, L., </w:t>
      </w:r>
      <w:proofErr w:type="spellStart"/>
      <w:r w:rsidRPr="00C82EE1">
        <w:rPr>
          <w:rFonts w:ascii="Times New Roman" w:hAnsi="Times New Roman" w:cs="Times New Roman"/>
          <w:sz w:val="20"/>
          <w:szCs w:val="20"/>
          <w:lang w:val="en-US"/>
        </w:rPr>
        <w:t>Karami</w:t>
      </w:r>
      <w:proofErr w:type="spellEnd"/>
      <w:r w:rsidRPr="00C82EE1">
        <w:rPr>
          <w:rFonts w:ascii="Times New Roman" w:hAnsi="Times New Roman" w:cs="Times New Roman"/>
          <w:sz w:val="20"/>
          <w:szCs w:val="20"/>
          <w:lang w:val="en-US"/>
        </w:rPr>
        <w:t xml:space="preserve">, M., &amp; Schweizer, D. (2023). Disentangling Crowdfunding from </w:t>
      </w:r>
      <w:proofErr w:type="spellStart"/>
      <w:r w:rsidRPr="00C82EE1">
        <w:rPr>
          <w:rFonts w:ascii="Times New Roman" w:hAnsi="Times New Roman" w:cs="Times New Roman"/>
          <w:sz w:val="20"/>
          <w:szCs w:val="20"/>
          <w:lang w:val="en-US"/>
        </w:rPr>
        <w:t>Fraudfunding</w:t>
      </w:r>
      <w:proofErr w:type="spellEnd"/>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Journal of Business Ethics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182</w:t>
      </w:r>
      <w:r w:rsidRPr="00C82EE1">
        <w:rPr>
          <w:rFonts w:ascii="Times New Roman" w:hAnsi="Times New Roman" w:cs="Times New Roman"/>
          <w:sz w:val="20"/>
          <w:szCs w:val="20"/>
          <w:lang w:val="en-US"/>
        </w:rPr>
        <w:t xml:space="preserve">(4), 1103–1128. </w:t>
      </w:r>
    </w:p>
    <w:p w14:paraId="421079B9" w14:textId="3FB6F2F3"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lastRenderedPageBreak/>
        <w:t xml:space="preserve">Cumming, D., &amp; Johan, S. (2008). Information asymmetries, agency costs and venture capital exit outcomes. </w:t>
      </w:r>
      <w:r w:rsidRPr="00C82EE1">
        <w:rPr>
          <w:rFonts w:ascii="Times New Roman" w:hAnsi="Times New Roman" w:cs="Times New Roman"/>
          <w:i/>
          <w:iCs/>
          <w:sz w:val="20"/>
          <w:szCs w:val="20"/>
          <w:lang w:val="en-US"/>
        </w:rPr>
        <w:t>Venture Capital</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10</w:t>
      </w:r>
      <w:r w:rsidRPr="00C82EE1">
        <w:rPr>
          <w:rFonts w:ascii="Times New Roman" w:hAnsi="Times New Roman" w:cs="Times New Roman"/>
          <w:sz w:val="20"/>
          <w:szCs w:val="20"/>
          <w:lang w:val="en-US"/>
        </w:rPr>
        <w:t xml:space="preserve">(3), 197–231. </w:t>
      </w:r>
    </w:p>
    <w:p w14:paraId="4FFE6DB8" w14:textId="7287F91E"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Dougherty, D., &amp; Hardy, C. (1996). Sustained Product Innovation in Large, Mature Organizations: Overcoming Innovation-to-Organization Problems. </w:t>
      </w:r>
      <w:r w:rsidRPr="00C82EE1">
        <w:rPr>
          <w:rFonts w:ascii="Times New Roman" w:hAnsi="Times New Roman" w:cs="Times New Roman"/>
          <w:i/>
          <w:iCs/>
          <w:sz w:val="20"/>
          <w:szCs w:val="20"/>
          <w:lang w:val="en-US"/>
        </w:rPr>
        <w:t>Academy of Management Journal</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39</w:t>
      </w:r>
      <w:r w:rsidRPr="00C82EE1">
        <w:rPr>
          <w:rFonts w:ascii="Times New Roman" w:hAnsi="Times New Roman" w:cs="Times New Roman"/>
          <w:sz w:val="20"/>
          <w:szCs w:val="20"/>
          <w:lang w:val="en-US"/>
        </w:rPr>
        <w:t xml:space="preserve">(5), 1120–1153. </w:t>
      </w:r>
    </w:p>
    <w:p w14:paraId="6EC3FDBD" w14:textId="656CED0E"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Drobetz</w:t>
      </w:r>
      <w:proofErr w:type="spellEnd"/>
      <w:r w:rsidRPr="00C82EE1">
        <w:rPr>
          <w:rFonts w:ascii="Times New Roman" w:hAnsi="Times New Roman" w:cs="Times New Roman"/>
          <w:sz w:val="20"/>
          <w:szCs w:val="20"/>
          <w:lang w:val="en-US"/>
        </w:rPr>
        <w:t xml:space="preserve">, W., </w:t>
      </w:r>
      <w:proofErr w:type="spellStart"/>
      <w:r w:rsidRPr="00C82EE1">
        <w:rPr>
          <w:rFonts w:ascii="Times New Roman" w:hAnsi="Times New Roman" w:cs="Times New Roman"/>
          <w:sz w:val="20"/>
          <w:szCs w:val="20"/>
          <w:lang w:val="en-US"/>
        </w:rPr>
        <w:t>Hornuf</w:t>
      </w:r>
      <w:proofErr w:type="spellEnd"/>
      <w:r w:rsidRPr="00C82EE1">
        <w:rPr>
          <w:rFonts w:ascii="Times New Roman" w:hAnsi="Times New Roman" w:cs="Times New Roman"/>
          <w:sz w:val="20"/>
          <w:szCs w:val="20"/>
          <w:lang w:val="en-US"/>
        </w:rPr>
        <w:t xml:space="preserve">, L., </w:t>
      </w: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&amp; </w:t>
      </w:r>
      <w:proofErr w:type="spellStart"/>
      <w:r w:rsidRPr="00C82EE1">
        <w:rPr>
          <w:rFonts w:ascii="Times New Roman" w:hAnsi="Times New Roman" w:cs="Times New Roman"/>
          <w:sz w:val="20"/>
          <w:szCs w:val="20"/>
          <w:lang w:val="en-US"/>
        </w:rPr>
        <w:t>Schermann</w:t>
      </w:r>
      <w:proofErr w:type="spellEnd"/>
      <w:r w:rsidRPr="00C82EE1">
        <w:rPr>
          <w:rFonts w:ascii="Times New Roman" w:hAnsi="Times New Roman" w:cs="Times New Roman"/>
          <w:sz w:val="20"/>
          <w:szCs w:val="20"/>
          <w:lang w:val="en-US"/>
        </w:rPr>
        <w:t xml:space="preserve">, N. (2025). Token-Based Crowdfunding: Investor Choice and the Optimal Timing of Initial Coin Offerings. </w:t>
      </w:r>
      <w:r w:rsidRPr="00C82EE1">
        <w:rPr>
          <w:rFonts w:ascii="Times New Roman" w:hAnsi="Times New Roman" w:cs="Times New Roman"/>
          <w:i/>
          <w:iCs/>
          <w:sz w:val="20"/>
          <w:szCs w:val="20"/>
          <w:lang w:val="en-US"/>
        </w:rPr>
        <w:t>Entrepreneurship Theory and Practice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49</w:t>
      </w:r>
      <w:r w:rsidRPr="00C82EE1">
        <w:rPr>
          <w:rFonts w:ascii="Times New Roman" w:hAnsi="Times New Roman" w:cs="Times New Roman"/>
          <w:sz w:val="20"/>
          <w:szCs w:val="20"/>
          <w:lang w:val="en-US"/>
        </w:rPr>
        <w:t xml:space="preserve">(1), 232–282. </w:t>
      </w:r>
    </w:p>
    <w:p w14:paraId="6FEA29F4" w14:textId="1ECF275A"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Drobetz</w:t>
      </w:r>
      <w:proofErr w:type="spellEnd"/>
      <w:r w:rsidRPr="00C82EE1">
        <w:rPr>
          <w:rFonts w:ascii="Times New Roman" w:hAnsi="Times New Roman" w:cs="Times New Roman"/>
          <w:sz w:val="20"/>
          <w:szCs w:val="20"/>
          <w:lang w:val="en-US"/>
        </w:rPr>
        <w:t xml:space="preserve">, W., </w:t>
      </w: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&amp; </w:t>
      </w:r>
      <w:proofErr w:type="spellStart"/>
      <w:r w:rsidRPr="00C82EE1">
        <w:rPr>
          <w:rFonts w:ascii="Times New Roman" w:hAnsi="Times New Roman" w:cs="Times New Roman"/>
          <w:sz w:val="20"/>
          <w:szCs w:val="20"/>
          <w:lang w:val="en-US"/>
        </w:rPr>
        <w:t>Schröder</w:t>
      </w:r>
      <w:proofErr w:type="spellEnd"/>
      <w:r w:rsidRPr="00C82EE1">
        <w:rPr>
          <w:rFonts w:ascii="Times New Roman" w:hAnsi="Times New Roman" w:cs="Times New Roman"/>
          <w:sz w:val="20"/>
          <w:szCs w:val="20"/>
          <w:lang w:val="en-US"/>
        </w:rPr>
        <w:t xml:space="preserve">, H. (2019). Investor Sentiment and Initial Coin Offerings. </w:t>
      </w:r>
      <w:r w:rsidRPr="00C82EE1">
        <w:rPr>
          <w:rFonts w:ascii="Times New Roman" w:hAnsi="Times New Roman" w:cs="Times New Roman"/>
          <w:i/>
          <w:iCs/>
          <w:sz w:val="20"/>
          <w:szCs w:val="20"/>
          <w:lang w:val="en-US"/>
        </w:rPr>
        <w:t>The Journal of Alternative Investments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21</w:t>
      </w:r>
      <w:r w:rsidRPr="00C82EE1">
        <w:rPr>
          <w:rFonts w:ascii="Times New Roman" w:hAnsi="Times New Roman" w:cs="Times New Roman"/>
          <w:sz w:val="20"/>
          <w:szCs w:val="20"/>
          <w:lang w:val="en-US"/>
        </w:rPr>
        <w:t xml:space="preserve">(4), 41–55. </w:t>
      </w:r>
    </w:p>
    <w:p w14:paraId="05585DDF" w14:textId="0C256571"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El-Haj, M., </w:t>
      </w:r>
      <w:proofErr w:type="spellStart"/>
      <w:r w:rsidRPr="00C82EE1">
        <w:rPr>
          <w:rFonts w:ascii="Times New Roman" w:hAnsi="Times New Roman" w:cs="Times New Roman"/>
          <w:sz w:val="20"/>
          <w:szCs w:val="20"/>
          <w:lang w:val="en-US"/>
        </w:rPr>
        <w:t>Rayson</w:t>
      </w:r>
      <w:proofErr w:type="spellEnd"/>
      <w:r w:rsidRPr="00C82EE1">
        <w:rPr>
          <w:rFonts w:ascii="Times New Roman" w:hAnsi="Times New Roman" w:cs="Times New Roman"/>
          <w:sz w:val="20"/>
          <w:szCs w:val="20"/>
          <w:lang w:val="en-US"/>
        </w:rPr>
        <w:t xml:space="preserve">, P., Walker, M., Young, S., &amp; </w:t>
      </w:r>
      <w:proofErr w:type="spellStart"/>
      <w:r w:rsidRPr="00C82EE1">
        <w:rPr>
          <w:rFonts w:ascii="Times New Roman" w:hAnsi="Times New Roman" w:cs="Times New Roman"/>
          <w:sz w:val="20"/>
          <w:szCs w:val="20"/>
          <w:lang w:val="en-US"/>
        </w:rPr>
        <w:t>Simaki</w:t>
      </w:r>
      <w:proofErr w:type="spellEnd"/>
      <w:r w:rsidRPr="00C82EE1">
        <w:rPr>
          <w:rFonts w:ascii="Times New Roman" w:hAnsi="Times New Roman" w:cs="Times New Roman"/>
          <w:sz w:val="20"/>
          <w:szCs w:val="20"/>
          <w:lang w:val="en-US"/>
        </w:rPr>
        <w:t xml:space="preserve">, V. (2019). In search of meaning: Lessons, resources and next steps for computational analysis of financial discourse. </w:t>
      </w:r>
      <w:r w:rsidRPr="00C82EE1">
        <w:rPr>
          <w:rFonts w:ascii="Times New Roman" w:hAnsi="Times New Roman" w:cs="Times New Roman"/>
          <w:i/>
          <w:iCs/>
          <w:sz w:val="20"/>
          <w:szCs w:val="20"/>
          <w:lang w:val="en-US"/>
        </w:rPr>
        <w:t>Journal of Business Finance &amp; Accounting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46</w:t>
      </w:r>
      <w:r w:rsidRPr="00C82EE1">
        <w:rPr>
          <w:rFonts w:ascii="Times New Roman" w:hAnsi="Times New Roman" w:cs="Times New Roman"/>
          <w:sz w:val="20"/>
          <w:szCs w:val="20"/>
          <w:lang w:val="en-US"/>
        </w:rPr>
        <w:t xml:space="preserve">(3–4), 265–306. </w:t>
      </w:r>
    </w:p>
    <w:p w14:paraId="2CB94688" w14:textId="33D22B3D" w:rsidR="004B7749" w:rsidRPr="00C82EE1" w:rsidRDefault="004B7749" w:rsidP="00D72D15">
      <w:pPr>
        <w:spacing w:after="0" w:line="360" w:lineRule="auto"/>
        <w:jc w:val="both"/>
        <w:rPr>
          <w:rFonts w:ascii="Times New Roman" w:hAnsi="Times New Roman" w:cs="Times New Roman"/>
          <w:sz w:val="20"/>
        </w:rPr>
      </w:pPr>
      <w:r w:rsidRPr="00C82EE1">
        <w:rPr>
          <w:rFonts w:ascii="Times New Roman" w:hAnsi="Times New Roman" w:cs="Times New Roman"/>
          <w:sz w:val="20"/>
        </w:rPr>
        <w:t xml:space="preserve">EAP Foundation (2024). </w:t>
      </w:r>
      <w:r w:rsidRPr="00C82EE1">
        <w:rPr>
          <w:rFonts w:ascii="Times New Roman" w:hAnsi="Times New Roman" w:cs="Times New Roman"/>
          <w:i/>
          <w:sz w:val="20"/>
        </w:rPr>
        <w:t>Vocabulary profiler</w:t>
      </w:r>
      <w:r w:rsidRPr="00C82EE1">
        <w:rPr>
          <w:rFonts w:ascii="Times New Roman" w:hAnsi="Times New Roman" w:cs="Times New Roman"/>
          <w:sz w:val="20"/>
        </w:rPr>
        <w:t>. EAP Foundation.com.</w:t>
      </w:r>
    </w:p>
    <w:p w14:paraId="2A15DA9A" w14:textId="11B146F1"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Fisch, C. (2019). Initial coin offerings (ICOs) to finance new ventures. </w:t>
      </w:r>
      <w:r w:rsidRPr="00C82EE1">
        <w:rPr>
          <w:rFonts w:ascii="Times New Roman" w:hAnsi="Times New Roman" w:cs="Times New Roman"/>
          <w:i/>
          <w:iCs/>
          <w:sz w:val="20"/>
          <w:szCs w:val="20"/>
          <w:lang w:val="en-US"/>
        </w:rPr>
        <w:t>Journal of Business Venturing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34</w:t>
      </w:r>
      <w:r w:rsidRPr="00C82EE1">
        <w:rPr>
          <w:rFonts w:ascii="Times New Roman" w:hAnsi="Times New Roman" w:cs="Times New Roman"/>
          <w:sz w:val="20"/>
          <w:szCs w:val="20"/>
          <w:lang w:val="en-US"/>
        </w:rPr>
        <w:t>(1), 1–22.</w:t>
      </w:r>
    </w:p>
    <w:p w14:paraId="23700E54" w14:textId="58FB4971"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Fisch, C., </w:t>
      </w:r>
      <w:proofErr w:type="spellStart"/>
      <w:r w:rsidRPr="00C82EE1">
        <w:rPr>
          <w:rFonts w:ascii="Times New Roman" w:hAnsi="Times New Roman" w:cs="Times New Roman"/>
          <w:sz w:val="20"/>
          <w:szCs w:val="20"/>
          <w:lang w:val="en-US"/>
        </w:rPr>
        <w:t>Masiak</w:t>
      </w:r>
      <w:proofErr w:type="spellEnd"/>
      <w:r w:rsidRPr="00C82EE1">
        <w:rPr>
          <w:rFonts w:ascii="Times New Roman" w:hAnsi="Times New Roman" w:cs="Times New Roman"/>
          <w:sz w:val="20"/>
          <w:szCs w:val="20"/>
          <w:lang w:val="en-US"/>
        </w:rPr>
        <w:t xml:space="preserve">, C., Vismara, S., &amp; Block, J. (2021). Motives and profiles of ICO investors. </w:t>
      </w:r>
      <w:r w:rsidRPr="00C82EE1">
        <w:rPr>
          <w:rFonts w:ascii="Times New Roman" w:hAnsi="Times New Roman" w:cs="Times New Roman"/>
          <w:i/>
          <w:iCs/>
          <w:sz w:val="20"/>
          <w:szCs w:val="20"/>
          <w:lang w:val="en-US"/>
        </w:rPr>
        <w:t>Journal of Business Research</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125</w:t>
      </w:r>
      <w:r w:rsidRPr="00C82EE1">
        <w:rPr>
          <w:rFonts w:ascii="Times New Roman" w:hAnsi="Times New Roman" w:cs="Times New Roman"/>
          <w:sz w:val="20"/>
          <w:szCs w:val="20"/>
          <w:lang w:val="en-US"/>
        </w:rPr>
        <w:t xml:space="preserve">, 564–576. </w:t>
      </w:r>
    </w:p>
    <w:p w14:paraId="1CE271D4" w14:textId="3B3D4F3D"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Fisch, C., &amp; </w:t>
      </w: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(2020). Institutional investors and post-ICO performance: An empirical analysis of investor returns in initial coin offerings (ICOs). </w:t>
      </w:r>
      <w:r w:rsidRPr="00C82EE1">
        <w:rPr>
          <w:rFonts w:ascii="Times New Roman" w:hAnsi="Times New Roman" w:cs="Times New Roman"/>
          <w:i/>
          <w:iCs/>
          <w:sz w:val="20"/>
          <w:szCs w:val="20"/>
          <w:lang w:val="en-US"/>
        </w:rPr>
        <w:t>Journal of Corporate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64</w:t>
      </w:r>
      <w:r w:rsidRPr="00C82EE1">
        <w:rPr>
          <w:rFonts w:ascii="Times New Roman" w:hAnsi="Times New Roman" w:cs="Times New Roman"/>
          <w:sz w:val="20"/>
          <w:szCs w:val="20"/>
          <w:lang w:val="en-US"/>
        </w:rPr>
        <w:t xml:space="preserve">, 101679. </w:t>
      </w:r>
    </w:p>
    <w:p w14:paraId="3635862B" w14:textId="3A15B32C"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Flesch, R. (1948). A new readability yardstick. </w:t>
      </w:r>
      <w:r w:rsidRPr="00C82EE1">
        <w:rPr>
          <w:rFonts w:ascii="Times New Roman" w:hAnsi="Times New Roman" w:cs="Times New Roman"/>
          <w:i/>
          <w:iCs/>
          <w:sz w:val="20"/>
          <w:szCs w:val="20"/>
          <w:lang w:val="en-US"/>
        </w:rPr>
        <w:t>Journal of Applied Psychology</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32</w:t>
      </w:r>
      <w:r w:rsidRPr="00C82EE1">
        <w:rPr>
          <w:rFonts w:ascii="Times New Roman" w:hAnsi="Times New Roman" w:cs="Times New Roman"/>
          <w:sz w:val="20"/>
          <w:szCs w:val="20"/>
          <w:lang w:val="en-US"/>
        </w:rPr>
        <w:t xml:space="preserve">(3), 221–233. </w:t>
      </w:r>
    </w:p>
    <w:p w14:paraId="3E68E348" w14:textId="6D877AEB"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Florysiak</w:t>
      </w:r>
      <w:proofErr w:type="spellEnd"/>
      <w:r w:rsidRPr="00C82EE1">
        <w:rPr>
          <w:rFonts w:ascii="Times New Roman" w:hAnsi="Times New Roman" w:cs="Times New Roman"/>
          <w:sz w:val="20"/>
          <w:szCs w:val="20"/>
          <w:lang w:val="en-US"/>
        </w:rPr>
        <w:t xml:space="preserve">, D., &amp; </w:t>
      </w:r>
      <w:proofErr w:type="spellStart"/>
      <w:r w:rsidRPr="00C82EE1">
        <w:rPr>
          <w:rFonts w:ascii="Times New Roman" w:hAnsi="Times New Roman" w:cs="Times New Roman"/>
          <w:sz w:val="20"/>
          <w:szCs w:val="20"/>
          <w:lang w:val="en-US"/>
        </w:rPr>
        <w:t>Schandlbauer</w:t>
      </w:r>
      <w:proofErr w:type="spellEnd"/>
      <w:r w:rsidRPr="00C82EE1">
        <w:rPr>
          <w:rFonts w:ascii="Times New Roman" w:hAnsi="Times New Roman" w:cs="Times New Roman"/>
          <w:sz w:val="20"/>
          <w:szCs w:val="20"/>
          <w:lang w:val="en-US"/>
        </w:rPr>
        <w:t xml:space="preserve">, A. (2022). Experts or charlatans? ICO analysts and white paper informativeness. </w:t>
      </w:r>
      <w:r w:rsidRPr="00C82EE1">
        <w:rPr>
          <w:rFonts w:ascii="Times New Roman" w:hAnsi="Times New Roman" w:cs="Times New Roman"/>
          <w:i/>
          <w:iCs/>
          <w:sz w:val="20"/>
          <w:szCs w:val="20"/>
          <w:lang w:val="en-US"/>
        </w:rPr>
        <w:t>Journal of Banking &amp;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139</w:t>
      </w:r>
      <w:r w:rsidRPr="00C82EE1">
        <w:rPr>
          <w:rFonts w:ascii="Times New Roman" w:hAnsi="Times New Roman" w:cs="Times New Roman"/>
          <w:sz w:val="20"/>
          <w:szCs w:val="20"/>
          <w:lang w:val="en-US"/>
        </w:rPr>
        <w:t xml:space="preserve">, 106476. </w:t>
      </w:r>
    </w:p>
    <w:p w14:paraId="58E41BD1" w14:textId="018384B5"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Fuchs, J., &amp; </w:t>
      </w: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(2025). Token governance in initial coin offerings: Implications of token retention and resale restrictions for ICO success. </w:t>
      </w:r>
      <w:r w:rsidRPr="00C82EE1">
        <w:rPr>
          <w:rFonts w:ascii="Times New Roman" w:hAnsi="Times New Roman" w:cs="Times New Roman"/>
          <w:i/>
          <w:iCs/>
          <w:sz w:val="20"/>
          <w:szCs w:val="20"/>
          <w:lang w:val="en-US"/>
        </w:rPr>
        <w:t>Small Business Economics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64</w:t>
      </w:r>
      <w:r w:rsidRPr="00C82EE1">
        <w:rPr>
          <w:rFonts w:ascii="Times New Roman" w:hAnsi="Times New Roman" w:cs="Times New Roman"/>
          <w:sz w:val="20"/>
          <w:szCs w:val="20"/>
          <w:lang w:val="en-US"/>
        </w:rPr>
        <w:t xml:space="preserve">(3), 1321–1359. </w:t>
      </w:r>
    </w:p>
    <w:p w14:paraId="420C18E3" w14:textId="2D86C6A2"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Fürst</w:t>
      </w:r>
      <w:proofErr w:type="spellEnd"/>
      <w:r w:rsidRPr="00C82EE1">
        <w:rPr>
          <w:rFonts w:ascii="Times New Roman" w:hAnsi="Times New Roman" w:cs="Times New Roman"/>
          <w:sz w:val="20"/>
          <w:szCs w:val="20"/>
          <w:lang w:val="en-US"/>
        </w:rPr>
        <w:t xml:space="preserve">, A., </w:t>
      </w:r>
      <w:proofErr w:type="spellStart"/>
      <w:r w:rsidRPr="00C82EE1">
        <w:rPr>
          <w:rFonts w:ascii="Times New Roman" w:hAnsi="Times New Roman" w:cs="Times New Roman"/>
          <w:sz w:val="20"/>
          <w:szCs w:val="20"/>
          <w:lang w:val="en-US"/>
        </w:rPr>
        <w:t>Pecornik</w:t>
      </w:r>
      <w:proofErr w:type="spellEnd"/>
      <w:r w:rsidRPr="00C82EE1">
        <w:rPr>
          <w:rFonts w:ascii="Times New Roman" w:hAnsi="Times New Roman" w:cs="Times New Roman"/>
          <w:sz w:val="20"/>
          <w:szCs w:val="20"/>
          <w:lang w:val="en-US"/>
        </w:rPr>
        <w:t xml:space="preserve">, N., &amp; Hoyer, W. D. (2024). How product complexity affects consumer adoption of new products: The role of feature heterogeneity and interrelatedness. </w:t>
      </w:r>
      <w:r w:rsidRPr="00C82EE1">
        <w:rPr>
          <w:rFonts w:ascii="Times New Roman" w:hAnsi="Times New Roman" w:cs="Times New Roman"/>
          <w:i/>
          <w:iCs/>
          <w:sz w:val="20"/>
          <w:szCs w:val="20"/>
          <w:lang w:val="en-US"/>
        </w:rPr>
        <w:t>Journal of the Academy of Marketing Science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52</w:t>
      </w:r>
      <w:r w:rsidRPr="00C82EE1">
        <w:rPr>
          <w:rFonts w:ascii="Times New Roman" w:hAnsi="Times New Roman" w:cs="Times New Roman"/>
          <w:sz w:val="20"/>
          <w:szCs w:val="20"/>
          <w:lang w:val="en-US"/>
        </w:rPr>
        <w:t>(2), 329–348.</w:t>
      </w:r>
    </w:p>
    <w:p w14:paraId="65238EE2" w14:textId="267EF525"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Ginting</w:t>
      </w:r>
      <w:proofErr w:type="spellEnd"/>
      <w:r w:rsidRPr="00C82EE1">
        <w:rPr>
          <w:rFonts w:ascii="Times New Roman" w:hAnsi="Times New Roman" w:cs="Times New Roman"/>
          <w:sz w:val="20"/>
          <w:szCs w:val="20"/>
          <w:lang w:val="en-US"/>
        </w:rPr>
        <w:t xml:space="preserve">, S. A. (2018). Lexical Complexity on Descriptive Writing of Indonesian Male and Female EFL Learners. </w:t>
      </w:r>
      <w:r w:rsidRPr="00C82EE1">
        <w:rPr>
          <w:rFonts w:ascii="Times New Roman" w:hAnsi="Times New Roman" w:cs="Times New Roman"/>
          <w:i/>
          <w:iCs/>
          <w:sz w:val="20"/>
          <w:szCs w:val="20"/>
          <w:lang w:val="en-US"/>
        </w:rPr>
        <w:t>International Journal of English Linguistics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8</w:t>
      </w:r>
      <w:r w:rsidRPr="00C82EE1">
        <w:rPr>
          <w:rFonts w:ascii="Times New Roman" w:hAnsi="Times New Roman" w:cs="Times New Roman"/>
          <w:sz w:val="20"/>
          <w:szCs w:val="20"/>
          <w:lang w:val="en-US"/>
        </w:rPr>
        <w:t xml:space="preserve">(3), 297. </w:t>
      </w:r>
    </w:p>
    <w:p w14:paraId="202D6CD0" w14:textId="4A7D0950" w:rsidR="00CF22D9" w:rsidRPr="0055278B" w:rsidRDefault="00CF22D9" w:rsidP="00D72D15">
      <w:pPr>
        <w:pStyle w:val="Bibliographie"/>
        <w:spacing w:line="360" w:lineRule="auto"/>
        <w:rPr>
          <w:rFonts w:ascii="Times New Roman" w:hAnsi="Times New Roman" w:cs="Times New Roman"/>
          <w:sz w:val="20"/>
          <w:szCs w:val="20"/>
          <w:lang w:val="fr-FR"/>
        </w:rPr>
      </w:pPr>
      <w:r w:rsidRPr="00C82EE1">
        <w:rPr>
          <w:rFonts w:ascii="Times New Roman" w:hAnsi="Times New Roman" w:cs="Times New Roman"/>
          <w:sz w:val="20"/>
          <w:szCs w:val="20"/>
          <w:lang w:val="en-US"/>
        </w:rPr>
        <w:t xml:space="preserve">Gong, X., &amp; Jiang, X. (2023). Understanding consumer impulse buying in livestreaming commerce: The product involvement perspective. </w:t>
      </w:r>
      <w:proofErr w:type="spellStart"/>
      <w:r w:rsidRPr="0055278B">
        <w:rPr>
          <w:rFonts w:ascii="Times New Roman" w:hAnsi="Times New Roman" w:cs="Times New Roman"/>
          <w:i/>
          <w:iCs/>
          <w:sz w:val="20"/>
          <w:szCs w:val="20"/>
          <w:lang w:val="fr-FR"/>
        </w:rPr>
        <w:t>Frontiers</w:t>
      </w:r>
      <w:proofErr w:type="spellEnd"/>
      <w:r w:rsidRPr="0055278B">
        <w:rPr>
          <w:rFonts w:ascii="Times New Roman" w:hAnsi="Times New Roman" w:cs="Times New Roman"/>
          <w:i/>
          <w:iCs/>
          <w:sz w:val="20"/>
          <w:szCs w:val="20"/>
          <w:lang w:val="fr-FR"/>
        </w:rPr>
        <w:t xml:space="preserve"> in Psychology</w:t>
      </w:r>
      <w:r w:rsidRPr="0055278B">
        <w:rPr>
          <w:rFonts w:ascii="Times New Roman" w:hAnsi="Times New Roman" w:cs="Times New Roman"/>
          <w:sz w:val="20"/>
          <w:szCs w:val="20"/>
          <w:lang w:val="fr-FR"/>
        </w:rPr>
        <w:t xml:space="preserve">, </w:t>
      </w:r>
      <w:r w:rsidRPr="0055278B">
        <w:rPr>
          <w:rFonts w:ascii="Times New Roman" w:hAnsi="Times New Roman" w:cs="Times New Roman"/>
          <w:i/>
          <w:iCs/>
          <w:sz w:val="20"/>
          <w:szCs w:val="20"/>
          <w:lang w:val="fr-FR"/>
        </w:rPr>
        <w:t>14</w:t>
      </w:r>
      <w:r w:rsidR="00B053C2">
        <w:rPr>
          <w:rFonts w:ascii="Times New Roman" w:hAnsi="Times New Roman" w:cs="Times New Roman"/>
          <w:iCs/>
          <w:sz w:val="20"/>
          <w:szCs w:val="20"/>
          <w:lang w:val="fr-FR"/>
        </w:rPr>
        <w:t>, 1104349</w:t>
      </w:r>
      <w:r w:rsidRPr="0055278B">
        <w:rPr>
          <w:rFonts w:ascii="Times New Roman" w:hAnsi="Times New Roman" w:cs="Times New Roman"/>
          <w:sz w:val="20"/>
          <w:szCs w:val="20"/>
          <w:lang w:val="fr-FR"/>
        </w:rPr>
        <w:t xml:space="preserve">. </w:t>
      </w:r>
    </w:p>
    <w:p w14:paraId="09B432F2" w14:textId="666CF247"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fr-FR"/>
        </w:rPr>
        <w:t>Gourieroux</w:t>
      </w:r>
      <w:proofErr w:type="spellEnd"/>
      <w:r w:rsidRPr="00C82EE1">
        <w:rPr>
          <w:rFonts w:ascii="Times New Roman" w:hAnsi="Times New Roman" w:cs="Times New Roman"/>
          <w:sz w:val="20"/>
          <w:szCs w:val="20"/>
          <w:lang w:val="fr-FR"/>
        </w:rPr>
        <w:t xml:space="preserve">, C., Monfort, A., Renault, E., &amp; Trognon, A. (1987). </w:t>
      </w:r>
      <w:proofErr w:type="spellStart"/>
      <w:r w:rsidRPr="00C82EE1">
        <w:rPr>
          <w:rFonts w:ascii="Times New Roman" w:hAnsi="Times New Roman" w:cs="Times New Roman"/>
          <w:sz w:val="20"/>
          <w:szCs w:val="20"/>
          <w:lang w:val="en-US"/>
        </w:rPr>
        <w:t>Generalised</w:t>
      </w:r>
      <w:proofErr w:type="spellEnd"/>
      <w:r w:rsidRPr="00C82EE1">
        <w:rPr>
          <w:rFonts w:ascii="Times New Roman" w:hAnsi="Times New Roman" w:cs="Times New Roman"/>
          <w:sz w:val="20"/>
          <w:szCs w:val="20"/>
          <w:lang w:val="en-US"/>
        </w:rPr>
        <w:t xml:space="preserve"> residuals. </w:t>
      </w:r>
      <w:r w:rsidRPr="00C82EE1">
        <w:rPr>
          <w:rFonts w:ascii="Times New Roman" w:hAnsi="Times New Roman" w:cs="Times New Roman"/>
          <w:i/>
          <w:iCs/>
          <w:sz w:val="20"/>
          <w:szCs w:val="20"/>
          <w:lang w:val="en-US"/>
        </w:rPr>
        <w:t>Journal of Econometrics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34</w:t>
      </w:r>
      <w:r w:rsidRPr="00C82EE1">
        <w:rPr>
          <w:rFonts w:ascii="Times New Roman" w:hAnsi="Times New Roman" w:cs="Times New Roman"/>
          <w:sz w:val="20"/>
          <w:szCs w:val="20"/>
          <w:lang w:val="en-US"/>
        </w:rPr>
        <w:t xml:space="preserve">(1), 5–32. </w:t>
      </w:r>
    </w:p>
    <w:p w14:paraId="6113170C" w14:textId="23DB76F6"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Gunning, R. (1952). </w:t>
      </w:r>
      <w:r w:rsidRPr="00C82EE1">
        <w:rPr>
          <w:rFonts w:ascii="Times New Roman" w:hAnsi="Times New Roman" w:cs="Times New Roman"/>
          <w:i/>
          <w:iCs/>
          <w:sz w:val="20"/>
          <w:szCs w:val="20"/>
          <w:lang w:val="en-US"/>
        </w:rPr>
        <w:t>The technique of clear writing</w:t>
      </w:r>
      <w:r w:rsidR="00B053C2">
        <w:rPr>
          <w:rFonts w:ascii="Times New Roman" w:hAnsi="Times New Roman" w:cs="Times New Roman"/>
          <w:sz w:val="20"/>
          <w:szCs w:val="20"/>
          <w:lang w:val="en-US"/>
        </w:rPr>
        <w:t>.</w:t>
      </w:r>
    </w:p>
    <w:p w14:paraId="1927837B" w14:textId="0D1E21C3"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Hamby, T., &amp; Ickes, W. (2015). </w:t>
      </w:r>
      <w:r w:rsidRPr="00B053C2">
        <w:rPr>
          <w:rFonts w:ascii="Times New Roman" w:hAnsi="Times New Roman" w:cs="Times New Roman"/>
          <w:iCs/>
          <w:sz w:val="20"/>
          <w:szCs w:val="20"/>
          <w:lang w:val="en-US"/>
        </w:rPr>
        <w:t>Do the Readability and Average Item Length of Personality Scales Affect Their Reliability? Some Meta-Analytic Answers</w:t>
      </w:r>
      <w:r w:rsidR="00B053C2">
        <w:rPr>
          <w:rFonts w:ascii="Times New Roman" w:hAnsi="Times New Roman" w:cs="Times New Roman"/>
          <w:iCs/>
          <w:sz w:val="20"/>
          <w:szCs w:val="20"/>
          <w:lang w:val="en-US"/>
        </w:rPr>
        <w:t>.</w:t>
      </w:r>
      <w:r w:rsidRPr="00C82EE1">
        <w:rPr>
          <w:rFonts w:ascii="Times New Roman" w:hAnsi="Times New Roman" w:cs="Times New Roman"/>
          <w:i/>
          <w:iCs/>
          <w:sz w:val="20"/>
          <w:szCs w:val="20"/>
          <w:lang w:val="en-US"/>
        </w:rPr>
        <w:t xml:space="preserve"> Journal of Individual Differences</w:t>
      </w:r>
      <w:r w:rsidR="00B053C2">
        <w:rPr>
          <w:rFonts w:ascii="Times New Roman" w:hAnsi="Times New Roman" w:cs="Times New Roman"/>
          <w:i/>
          <w:iCs/>
          <w:sz w:val="20"/>
          <w:szCs w:val="20"/>
          <w:lang w:val="en-US"/>
        </w:rPr>
        <w:t>, 36</w:t>
      </w:r>
      <w:r w:rsidR="00B053C2" w:rsidRPr="00B053C2">
        <w:rPr>
          <w:rFonts w:ascii="Times New Roman" w:hAnsi="Times New Roman" w:cs="Times New Roman"/>
          <w:iCs/>
          <w:sz w:val="20"/>
          <w:szCs w:val="20"/>
          <w:lang w:val="en-US"/>
        </w:rPr>
        <w:t>(1)</w:t>
      </w:r>
      <w:r w:rsidR="00B053C2">
        <w:rPr>
          <w:rFonts w:ascii="Times New Roman" w:hAnsi="Times New Roman" w:cs="Times New Roman"/>
          <w:iCs/>
          <w:sz w:val="20"/>
          <w:szCs w:val="20"/>
          <w:lang w:val="en-US"/>
        </w:rPr>
        <w:t>, 54</w:t>
      </w:r>
      <w:r w:rsidR="00B053C2" w:rsidRPr="00C82EE1">
        <w:rPr>
          <w:rFonts w:ascii="Times New Roman" w:hAnsi="Times New Roman" w:cs="Times New Roman"/>
          <w:sz w:val="20"/>
          <w:szCs w:val="20"/>
          <w:lang w:val="en-US"/>
        </w:rPr>
        <w:t>–</w:t>
      </w:r>
      <w:r w:rsidR="00B053C2">
        <w:rPr>
          <w:rFonts w:ascii="Times New Roman" w:hAnsi="Times New Roman" w:cs="Times New Roman"/>
          <w:sz w:val="20"/>
          <w:szCs w:val="20"/>
          <w:lang w:val="en-US"/>
        </w:rPr>
        <w:t>63</w:t>
      </w:r>
      <w:r w:rsidR="00B053C2">
        <w:rPr>
          <w:rFonts w:ascii="Times New Roman" w:hAnsi="Times New Roman" w:cs="Times New Roman"/>
          <w:iCs/>
          <w:sz w:val="20"/>
          <w:szCs w:val="20"/>
          <w:lang w:val="en-US"/>
        </w:rPr>
        <w:t>.</w:t>
      </w:r>
    </w:p>
    <w:p w14:paraId="1BEBC693" w14:textId="7D71C3DB"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Hayes-Roth, B. (1977). Evolution of cognitive structures and processes. </w:t>
      </w:r>
      <w:r w:rsidRPr="00C82EE1">
        <w:rPr>
          <w:rFonts w:ascii="Times New Roman" w:hAnsi="Times New Roman" w:cs="Times New Roman"/>
          <w:i/>
          <w:iCs/>
          <w:sz w:val="20"/>
          <w:szCs w:val="20"/>
          <w:lang w:val="en-US"/>
        </w:rPr>
        <w:t>Psychological Review</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84</w:t>
      </w:r>
      <w:r w:rsidRPr="00C82EE1">
        <w:rPr>
          <w:rFonts w:ascii="Times New Roman" w:hAnsi="Times New Roman" w:cs="Times New Roman"/>
          <w:sz w:val="20"/>
          <w:szCs w:val="20"/>
          <w:lang w:val="en-US"/>
        </w:rPr>
        <w:t xml:space="preserve">(3), 260–278. </w:t>
      </w:r>
    </w:p>
    <w:p w14:paraId="3F2DB46B" w14:textId="5A471248" w:rsidR="00CF22D9" w:rsidRPr="0055278B"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Heckman, J. J. (1978). Simple Statistical Models for Discrete Panel Data Developed and Applied to Test the Hypothesis of True State Dependence against the Hypothesis of Spurious State Dependence. </w:t>
      </w:r>
      <w:r w:rsidR="00B053C2" w:rsidRPr="0055278B">
        <w:rPr>
          <w:rFonts w:ascii="Times New Roman" w:hAnsi="Times New Roman" w:cs="Times New Roman"/>
          <w:i/>
          <w:iCs/>
          <w:sz w:val="20"/>
          <w:szCs w:val="20"/>
          <w:lang w:val="en-US"/>
        </w:rPr>
        <w:t>ANNALES DE L’INSÉÉ</w:t>
      </w:r>
      <w:r w:rsidRPr="0055278B">
        <w:rPr>
          <w:rFonts w:ascii="Times New Roman" w:hAnsi="Times New Roman" w:cs="Times New Roman"/>
          <w:sz w:val="20"/>
          <w:szCs w:val="20"/>
          <w:lang w:val="en-US"/>
        </w:rPr>
        <w:t xml:space="preserve">, </w:t>
      </w:r>
      <w:r w:rsidRPr="0055278B">
        <w:rPr>
          <w:rFonts w:ascii="Times New Roman" w:hAnsi="Times New Roman" w:cs="Times New Roman"/>
          <w:i/>
          <w:iCs/>
          <w:sz w:val="20"/>
          <w:szCs w:val="20"/>
          <w:lang w:val="en-US"/>
        </w:rPr>
        <w:t>30/31</w:t>
      </w:r>
      <w:r w:rsidRPr="0055278B">
        <w:rPr>
          <w:rFonts w:ascii="Times New Roman" w:hAnsi="Times New Roman" w:cs="Times New Roman"/>
          <w:sz w:val="20"/>
          <w:szCs w:val="20"/>
          <w:lang w:val="en-US"/>
        </w:rPr>
        <w:t xml:space="preserve">, 227–269. </w:t>
      </w:r>
    </w:p>
    <w:p w14:paraId="139A95CE" w14:textId="77777777" w:rsidR="00B053C2" w:rsidRDefault="00B053C2" w:rsidP="00D72D15">
      <w:pPr>
        <w:pStyle w:val="Bibliographie"/>
        <w:spacing w:line="360" w:lineRule="auto"/>
        <w:rPr>
          <w:rFonts w:ascii="Times New Roman" w:hAnsi="Times New Roman" w:cs="Times New Roman"/>
          <w:sz w:val="20"/>
          <w:szCs w:val="20"/>
          <w:lang w:val="en-US"/>
        </w:rPr>
      </w:pPr>
      <w:r w:rsidRPr="00B053C2">
        <w:rPr>
          <w:rFonts w:ascii="Times New Roman" w:hAnsi="Times New Roman" w:cs="Times New Roman"/>
          <w:sz w:val="20"/>
          <w:szCs w:val="20"/>
          <w:lang w:val="en-US"/>
        </w:rPr>
        <w:lastRenderedPageBreak/>
        <w:t xml:space="preserve">Heckman, J., &amp; Navarro-Lozano, S. (2004). Using matching, instrumental variables, and control functions to estimate economic choice models. </w:t>
      </w:r>
      <w:r w:rsidRPr="00B053C2">
        <w:rPr>
          <w:rFonts w:ascii="Times New Roman" w:hAnsi="Times New Roman" w:cs="Times New Roman"/>
          <w:i/>
          <w:sz w:val="20"/>
          <w:szCs w:val="20"/>
          <w:lang w:val="en-US"/>
        </w:rPr>
        <w:t>Review of Economics and statistics</w:t>
      </w:r>
      <w:r w:rsidRPr="00B053C2">
        <w:rPr>
          <w:rFonts w:ascii="Times New Roman" w:hAnsi="Times New Roman" w:cs="Times New Roman"/>
          <w:sz w:val="20"/>
          <w:szCs w:val="20"/>
          <w:lang w:val="en-US"/>
        </w:rPr>
        <w:t xml:space="preserve">, </w:t>
      </w:r>
      <w:r w:rsidRPr="00B053C2">
        <w:rPr>
          <w:rFonts w:ascii="Times New Roman" w:hAnsi="Times New Roman" w:cs="Times New Roman"/>
          <w:i/>
          <w:sz w:val="20"/>
          <w:szCs w:val="20"/>
          <w:lang w:val="en-US"/>
        </w:rPr>
        <w:t>86</w:t>
      </w:r>
      <w:r w:rsidRPr="00B053C2">
        <w:rPr>
          <w:rFonts w:ascii="Times New Roman" w:hAnsi="Times New Roman" w:cs="Times New Roman"/>
          <w:sz w:val="20"/>
          <w:szCs w:val="20"/>
          <w:lang w:val="en-US"/>
        </w:rPr>
        <w:t>(1), 30-57.</w:t>
      </w:r>
    </w:p>
    <w:p w14:paraId="6196F5B2" w14:textId="19274BFB"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Hegde, S. P., &amp; Mishra, D. R. (2019). Married CEOs and corporate social responsibility. </w:t>
      </w:r>
      <w:r w:rsidRPr="00C82EE1">
        <w:rPr>
          <w:rFonts w:ascii="Times New Roman" w:hAnsi="Times New Roman" w:cs="Times New Roman"/>
          <w:i/>
          <w:iCs/>
          <w:sz w:val="20"/>
          <w:szCs w:val="20"/>
          <w:lang w:val="en-US"/>
        </w:rPr>
        <w:t>Journal of Corporate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58</w:t>
      </w:r>
      <w:r w:rsidRPr="00C82EE1">
        <w:rPr>
          <w:rFonts w:ascii="Times New Roman" w:hAnsi="Times New Roman" w:cs="Times New Roman"/>
          <w:sz w:val="20"/>
          <w:szCs w:val="20"/>
          <w:lang w:val="en-US"/>
        </w:rPr>
        <w:t xml:space="preserve">, 226–246. </w:t>
      </w:r>
    </w:p>
    <w:p w14:paraId="34EF4437" w14:textId="473024A8"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Holliman, A. ′Freddie′. (2023). DIMENSIONS OF PRODUCT COMPLEXITY FROM DESIGNERS’ PERSPECTIVES. </w:t>
      </w:r>
      <w:r w:rsidRPr="00C82EE1">
        <w:rPr>
          <w:rFonts w:ascii="Times New Roman" w:hAnsi="Times New Roman" w:cs="Times New Roman"/>
          <w:i/>
          <w:iCs/>
          <w:sz w:val="20"/>
          <w:szCs w:val="20"/>
          <w:lang w:val="en-US"/>
        </w:rPr>
        <w:t>Proceedings of the Design Society</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w:t>
      </w:r>
      <w:r w:rsidRPr="00C82EE1">
        <w:rPr>
          <w:rFonts w:ascii="Times New Roman" w:hAnsi="Times New Roman" w:cs="Times New Roman"/>
          <w:sz w:val="20"/>
          <w:szCs w:val="20"/>
          <w:lang w:val="en-US"/>
        </w:rPr>
        <w:t xml:space="preserve">, 1495–1504. </w:t>
      </w:r>
    </w:p>
    <w:p w14:paraId="5A18C8F9" w14:textId="0AABD226"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Holzhacker</w:t>
      </w:r>
      <w:proofErr w:type="spellEnd"/>
      <w:r w:rsidRPr="00C82EE1">
        <w:rPr>
          <w:rFonts w:ascii="Times New Roman" w:hAnsi="Times New Roman" w:cs="Times New Roman"/>
          <w:sz w:val="20"/>
          <w:szCs w:val="20"/>
          <w:lang w:val="en-US"/>
        </w:rPr>
        <w:t xml:space="preserve">, M., Krishnan, R., &amp; </w:t>
      </w:r>
      <w:proofErr w:type="spellStart"/>
      <w:r w:rsidRPr="00C82EE1">
        <w:rPr>
          <w:rFonts w:ascii="Times New Roman" w:hAnsi="Times New Roman" w:cs="Times New Roman"/>
          <w:sz w:val="20"/>
          <w:szCs w:val="20"/>
          <w:lang w:val="en-US"/>
        </w:rPr>
        <w:t>Mahlendorf</w:t>
      </w:r>
      <w:proofErr w:type="spellEnd"/>
      <w:r w:rsidRPr="00C82EE1">
        <w:rPr>
          <w:rFonts w:ascii="Times New Roman" w:hAnsi="Times New Roman" w:cs="Times New Roman"/>
          <w:sz w:val="20"/>
          <w:szCs w:val="20"/>
          <w:lang w:val="en-US"/>
        </w:rPr>
        <w:t xml:space="preserve">, M. D. (2015). The Impact of Changes in Regulation on Cost Behavior. </w:t>
      </w:r>
      <w:r w:rsidRPr="00C82EE1">
        <w:rPr>
          <w:rFonts w:ascii="Times New Roman" w:hAnsi="Times New Roman" w:cs="Times New Roman"/>
          <w:i/>
          <w:iCs/>
          <w:sz w:val="20"/>
          <w:szCs w:val="20"/>
          <w:lang w:val="en-US"/>
        </w:rPr>
        <w:t>Contemporary Accounting Research</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32</w:t>
      </w:r>
      <w:r w:rsidRPr="00C82EE1">
        <w:rPr>
          <w:rFonts w:ascii="Times New Roman" w:hAnsi="Times New Roman" w:cs="Times New Roman"/>
          <w:sz w:val="20"/>
          <w:szCs w:val="20"/>
          <w:lang w:val="en-US"/>
        </w:rPr>
        <w:t xml:space="preserve">(2), 534–566. </w:t>
      </w:r>
    </w:p>
    <w:p w14:paraId="2DEE6AB3" w14:textId="77777777" w:rsidR="00B053C2" w:rsidRPr="003C5FF9" w:rsidRDefault="00B053C2" w:rsidP="00D72D15">
      <w:pPr>
        <w:pStyle w:val="Bibliographie"/>
        <w:spacing w:line="360" w:lineRule="auto"/>
        <w:ind w:left="284" w:hanging="284"/>
        <w:rPr>
          <w:rFonts w:ascii="Times New Roman" w:hAnsi="Times New Roman" w:cs="Times New Roman"/>
          <w:color w:val="000000" w:themeColor="text1"/>
          <w:sz w:val="20"/>
          <w:szCs w:val="20"/>
          <w:shd w:val="clear" w:color="auto" w:fill="FFFFFF"/>
          <w:lang w:val="en-US"/>
        </w:rPr>
      </w:pPr>
      <w:r w:rsidRPr="003C5FF9">
        <w:rPr>
          <w:rFonts w:ascii="Times New Roman" w:hAnsi="Times New Roman" w:cs="Times New Roman"/>
          <w:color w:val="000000" w:themeColor="text1"/>
          <w:sz w:val="20"/>
          <w:szCs w:val="20"/>
          <w:shd w:val="clear" w:color="auto" w:fill="FFFFFF"/>
          <w:lang w:val="en-US"/>
        </w:rPr>
        <w:t>Horn, K. (2017). Consumer values and product perception. </w:t>
      </w:r>
      <w:r w:rsidRPr="003C5FF9">
        <w:rPr>
          <w:rFonts w:ascii="Times New Roman" w:hAnsi="Times New Roman" w:cs="Times New Roman"/>
          <w:i/>
          <w:iCs/>
          <w:color w:val="000000" w:themeColor="text1"/>
          <w:sz w:val="20"/>
          <w:szCs w:val="20"/>
          <w:shd w:val="clear" w:color="auto" w:fill="FFFFFF"/>
          <w:lang w:val="en-US"/>
        </w:rPr>
        <w:t>Consumer Perception of Product Risks and Benefits</w:t>
      </w:r>
      <w:r w:rsidRPr="003C5FF9">
        <w:rPr>
          <w:rFonts w:ascii="Times New Roman" w:hAnsi="Times New Roman" w:cs="Times New Roman"/>
          <w:color w:val="000000" w:themeColor="text1"/>
          <w:sz w:val="20"/>
          <w:szCs w:val="20"/>
          <w:shd w:val="clear" w:color="auto" w:fill="FFFFFF"/>
          <w:lang w:val="en-US"/>
        </w:rPr>
        <w:t>, 283-299.</w:t>
      </w:r>
    </w:p>
    <w:p w14:paraId="2F00E6EA" w14:textId="13CA7970"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Hornuf</w:t>
      </w:r>
      <w:proofErr w:type="spellEnd"/>
      <w:r w:rsidRPr="00C82EE1">
        <w:rPr>
          <w:rFonts w:ascii="Times New Roman" w:hAnsi="Times New Roman" w:cs="Times New Roman"/>
          <w:sz w:val="20"/>
          <w:szCs w:val="20"/>
          <w:lang w:val="en-US"/>
        </w:rPr>
        <w:t xml:space="preserve">, L., </w:t>
      </w:r>
      <w:proofErr w:type="spellStart"/>
      <w:r w:rsidRPr="00C82EE1">
        <w:rPr>
          <w:rFonts w:ascii="Times New Roman" w:hAnsi="Times New Roman" w:cs="Times New Roman"/>
          <w:sz w:val="20"/>
          <w:szCs w:val="20"/>
          <w:lang w:val="en-US"/>
        </w:rPr>
        <w:t>Kück</w:t>
      </w:r>
      <w:proofErr w:type="spellEnd"/>
      <w:r w:rsidRPr="00C82EE1">
        <w:rPr>
          <w:rFonts w:ascii="Times New Roman" w:hAnsi="Times New Roman" w:cs="Times New Roman"/>
          <w:sz w:val="20"/>
          <w:szCs w:val="20"/>
          <w:lang w:val="en-US"/>
        </w:rPr>
        <w:t xml:space="preserve">, T., &amp; </w:t>
      </w:r>
      <w:proofErr w:type="spellStart"/>
      <w:r w:rsidRPr="00C82EE1">
        <w:rPr>
          <w:rFonts w:ascii="Times New Roman" w:hAnsi="Times New Roman" w:cs="Times New Roman"/>
          <w:sz w:val="20"/>
          <w:szCs w:val="20"/>
          <w:lang w:val="en-US"/>
        </w:rPr>
        <w:t>Schwienbacher</w:t>
      </w:r>
      <w:proofErr w:type="spellEnd"/>
      <w:r w:rsidRPr="00C82EE1">
        <w:rPr>
          <w:rFonts w:ascii="Times New Roman" w:hAnsi="Times New Roman" w:cs="Times New Roman"/>
          <w:sz w:val="20"/>
          <w:szCs w:val="20"/>
          <w:lang w:val="en-US"/>
        </w:rPr>
        <w:t xml:space="preserve">, A. (2022). Initial coin offerings, information disclosure, and fraud. </w:t>
      </w:r>
      <w:r w:rsidRPr="00C82EE1">
        <w:rPr>
          <w:rFonts w:ascii="Times New Roman" w:hAnsi="Times New Roman" w:cs="Times New Roman"/>
          <w:i/>
          <w:iCs/>
          <w:sz w:val="20"/>
          <w:szCs w:val="20"/>
          <w:lang w:val="en-US"/>
        </w:rPr>
        <w:t>Small Business Economics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58</w:t>
      </w:r>
      <w:r w:rsidRPr="00C82EE1">
        <w:rPr>
          <w:rFonts w:ascii="Times New Roman" w:hAnsi="Times New Roman" w:cs="Times New Roman"/>
          <w:sz w:val="20"/>
          <w:szCs w:val="20"/>
          <w:lang w:val="en-US"/>
        </w:rPr>
        <w:t xml:space="preserve">(4), 1741–1759. </w:t>
      </w:r>
    </w:p>
    <w:p w14:paraId="50A75EFF" w14:textId="59A1695F"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Howell, S. T., </w:t>
      </w:r>
      <w:proofErr w:type="spellStart"/>
      <w:r w:rsidRPr="00C82EE1">
        <w:rPr>
          <w:rFonts w:ascii="Times New Roman" w:hAnsi="Times New Roman" w:cs="Times New Roman"/>
          <w:sz w:val="20"/>
          <w:szCs w:val="20"/>
          <w:lang w:val="en-US"/>
        </w:rPr>
        <w:t>Niessner</w:t>
      </w:r>
      <w:proofErr w:type="spellEnd"/>
      <w:r w:rsidRPr="00C82EE1">
        <w:rPr>
          <w:rFonts w:ascii="Times New Roman" w:hAnsi="Times New Roman" w:cs="Times New Roman"/>
          <w:sz w:val="20"/>
          <w:szCs w:val="20"/>
          <w:lang w:val="en-US"/>
        </w:rPr>
        <w:t xml:space="preserve">, M., &amp; Yermack, D. (2020). Initial Coin Offerings: Financing Growth with Cryptocurrency Token Sales. </w:t>
      </w:r>
      <w:r w:rsidRPr="00C82EE1">
        <w:rPr>
          <w:rFonts w:ascii="Times New Roman" w:hAnsi="Times New Roman" w:cs="Times New Roman"/>
          <w:i/>
          <w:iCs/>
          <w:sz w:val="20"/>
          <w:szCs w:val="20"/>
          <w:lang w:val="en-US"/>
        </w:rPr>
        <w:t>The Review of Financial Studies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33</w:t>
      </w:r>
      <w:r w:rsidRPr="00C82EE1">
        <w:rPr>
          <w:rFonts w:ascii="Times New Roman" w:hAnsi="Times New Roman" w:cs="Times New Roman"/>
          <w:sz w:val="20"/>
          <w:szCs w:val="20"/>
          <w:lang w:val="en-US"/>
        </w:rPr>
        <w:t xml:space="preserve">(9), 3925–3974. </w:t>
      </w:r>
    </w:p>
    <w:p w14:paraId="3FF43B1F" w14:textId="20543762"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Hsu, D. H. (2007). Experienced entrepreneurial founders, organizational capital, and venture capital funding. </w:t>
      </w:r>
      <w:r w:rsidRPr="00C82EE1">
        <w:rPr>
          <w:rFonts w:ascii="Times New Roman" w:hAnsi="Times New Roman" w:cs="Times New Roman"/>
          <w:i/>
          <w:iCs/>
          <w:sz w:val="20"/>
          <w:szCs w:val="20"/>
          <w:lang w:val="en-US"/>
        </w:rPr>
        <w:t>Research Policy</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36</w:t>
      </w:r>
      <w:r w:rsidRPr="00C82EE1">
        <w:rPr>
          <w:rFonts w:ascii="Times New Roman" w:hAnsi="Times New Roman" w:cs="Times New Roman"/>
          <w:sz w:val="20"/>
          <w:szCs w:val="20"/>
          <w:lang w:val="en-US"/>
        </w:rPr>
        <w:t xml:space="preserve">(5), 722–741. </w:t>
      </w:r>
    </w:p>
    <w:p w14:paraId="6E9DFDDE" w14:textId="77777777" w:rsidR="00B053C2" w:rsidRPr="00B053C2" w:rsidRDefault="00B053C2" w:rsidP="00D72D15">
      <w:pPr>
        <w:spacing w:after="0" w:line="360" w:lineRule="auto"/>
        <w:ind w:left="284" w:hanging="284"/>
        <w:jc w:val="both"/>
        <w:rPr>
          <w:rFonts w:ascii="Times New Roman" w:eastAsia="Calibri" w:hAnsi="Times New Roman" w:cs="Times New Roman"/>
          <w:color w:val="000000"/>
          <w:sz w:val="20"/>
          <w:szCs w:val="20"/>
        </w:rPr>
      </w:pPr>
      <w:r w:rsidRPr="00E24555">
        <w:rPr>
          <w:rFonts w:ascii="Times New Roman" w:eastAsia="Calibri" w:hAnsi="Times New Roman" w:cs="Times New Roman"/>
          <w:color w:val="000000"/>
          <w:sz w:val="20"/>
          <w:szCs w:val="20"/>
          <w:shd w:val="clear" w:color="auto" w:fill="FFFFFF"/>
        </w:rPr>
        <w:t xml:space="preserve">Huang, W., </w:t>
      </w:r>
      <w:proofErr w:type="spellStart"/>
      <w:r w:rsidRPr="00E24555">
        <w:rPr>
          <w:rFonts w:ascii="Times New Roman" w:eastAsia="Calibri" w:hAnsi="Times New Roman" w:cs="Times New Roman"/>
          <w:color w:val="000000"/>
          <w:sz w:val="20"/>
          <w:szCs w:val="20"/>
          <w:shd w:val="clear" w:color="auto" w:fill="FFFFFF"/>
        </w:rPr>
        <w:t>Meoli</w:t>
      </w:r>
      <w:proofErr w:type="spellEnd"/>
      <w:r w:rsidRPr="00E24555">
        <w:rPr>
          <w:rFonts w:ascii="Times New Roman" w:eastAsia="Calibri" w:hAnsi="Times New Roman" w:cs="Times New Roman"/>
          <w:color w:val="000000"/>
          <w:sz w:val="20"/>
          <w:szCs w:val="20"/>
          <w:shd w:val="clear" w:color="auto" w:fill="FFFFFF"/>
        </w:rPr>
        <w:t xml:space="preserve">, M., &amp; Vismara, S. (2020). </w:t>
      </w:r>
      <w:r w:rsidRPr="00B053C2">
        <w:rPr>
          <w:rFonts w:ascii="Times New Roman" w:eastAsia="Calibri" w:hAnsi="Times New Roman" w:cs="Times New Roman"/>
          <w:color w:val="000000"/>
          <w:sz w:val="20"/>
          <w:szCs w:val="20"/>
          <w:shd w:val="clear" w:color="auto" w:fill="FFFFFF"/>
        </w:rPr>
        <w:t>The geography of initial coin offerings. </w:t>
      </w:r>
      <w:r w:rsidRPr="00B053C2">
        <w:rPr>
          <w:rFonts w:ascii="Times New Roman" w:eastAsia="Calibri" w:hAnsi="Times New Roman" w:cs="Times New Roman"/>
          <w:i/>
          <w:iCs/>
          <w:color w:val="000000"/>
          <w:sz w:val="20"/>
          <w:szCs w:val="20"/>
          <w:shd w:val="clear" w:color="auto" w:fill="FFFFFF"/>
        </w:rPr>
        <w:t>Small Business Economics</w:t>
      </w:r>
      <w:r w:rsidRPr="00B053C2">
        <w:rPr>
          <w:rFonts w:ascii="Times New Roman" w:eastAsia="Calibri" w:hAnsi="Times New Roman" w:cs="Times New Roman"/>
          <w:color w:val="000000"/>
          <w:sz w:val="20"/>
          <w:szCs w:val="20"/>
          <w:shd w:val="clear" w:color="auto" w:fill="FFFFFF"/>
        </w:rPr>
        <w:t>, </w:t>
      </w:r>
      <w:r w:rsidRPr="00B053C2">
        <w:rPr>
          <w:rFonts w:ascii="Times New Roman" w:eastAsia="Calibri" w:hAnsi="Times New Roman" w:cs="Times New Roman"/>
          <w:i/>
          <w:iCs/>
          <w:color w:val="000000"/>
          <w:sz w:val="20"/>
          <w:szCs w:val="20"/>
          <w:shd w:val="clear" w:color="auto" w:fill="FFFFFF"/>
        </w:rPr>
        <w:t>55</w:t>
      </w:r>
      <w:r w:rsidRPr="00B053C2">
        <w:rPr>
          <w:rFonts w:ascii="Times New Roman" w:eastAsia="Calibri" w:hAnsi="Times New Roman" w:cs="Times New Roman"/>
          <w:color w:val="000000"/>
          <w:sz w:val="20"/>
          <w:szCs w:val="20"/>
          <w:shd w:val="clear" w:color="auto" w:fill="FFFFFF"/>
        </w:rPr>
        <w:t>(1), 77-102</w:t>
      </w:r>
    </w:p>
    <w:p w14:paraId="14DF09E3" w14:textId="59DD6438"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Huang, W., Vismara, S., &amp; Wei, X. (2022). Confidence and capital raising. </w:t>
      </w:r>
      <w:r w:rsidRPr="00C82EE1">
        <w:rPr>
          <w:rFonts w:ascii="Times New Roman" w:hAnsi="Times New Roman" w:cs="Times New Roman"/>
          <w:i/>
          <w:iCs/>
          <w:sz w:val="20"/>
          <w:szCs w:val="20"/>
          <w:lang w:val="en-US"/>
        </w:rPr>
        <w:t>Journal of Corporate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77</w:t>
      </w:r>
      <w:r w:rsidRPr="00C82EE1">
        <w:rPr>
          <w:rFonts w:ascii="Times New Roman" w:hAnsi="Times New Roman" w:cs="Times New Roman"/>
          <w:sz w:val="20"/>
          <w:szCs w:val="20"/>
          <w:lang w:val="en-US"/>
        </w:rPr>
        <w:t xml:space="preserve">, 101900. </w:t>
      </w:r>
    </w:p>
    <w:p w14:paraId="4B8B088E" w14:textId="1D5AAC56" w:rsidR="00CF22D9" w:rsidRPr="00C82EE1" w:rsidRDefault="00CF22D9" w:rsidP="00D72D15">
      <w:pPr>
        <w:pStyle w:val="Bibliographie"/>
        <w:spacing w:line="360" w:lineRule="auto"/>
        <w:rPr>
          <w:rFonts w:ascii="Times New Roman" w:hAnsi="Times New Roman" w:cs="Times New Roman"/>
          <w:sz w:val="20"/>
          <w:szCs w:val="20"/>
          <w:lang w:val="en-US"/>
        </w:rPr>
      </w:pPr>
      <w:r w:rsidRPr="0055278B">
        <w:rPr>
          <w:rFonts w:ascii="Times New Roman" w:hAnsi="Times New Roman" w:cs="Times New Roman"/>
          <w:sz w:val="20"/>
          <w:szCs w:val="20"/>
          <w:lang w:val="en-US"/>
        </w:rPr>
        <w:t xml:space="preserve">Jiménez-Jiménez, D., &amp; Sanz-Valle, R. (2011). </w:t>
      </w:r>
      <w:r w:rsidRPr="00C82EE1">
        <w:rPr>
          <w:rFonts w:ascii="Times New Roman" w:hAnsi="Times New Roman" w:cs="Times New Roman"/>
          <w:sz w:val="20"/>
          <w:szCs w:val="20"/>
          <w:lang w:val="en-US"/>
        </w:rPr>
        <w:t xml:space="preserve">Innovation, organizational learning, and performance. </w:t>
      </w:r>
      <w:r w:rsidRPr="00C82EE1">
        <w:rPr>
          <w:rFonts w:ascii="Times New Roman" w:hAnsi="Times New Roman" w:cs="Times New Roman"/>
          <w:i/>
          <w:iCs/>
          <w:sz w:val="20"/>
          <w:szCs w:val="20"/>
          <w:lang w:val="en-US"/>
        </w:rPr>
        <w:t>Journal of Business Research</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64</w:t>
      </w:r>
      <w:r w:rsidRPr="00C82EE1">
        <w:rPr>
          <w:rFonts w:ascii="Times New Roman" w:hAnsi="Times New Roman" w:cs="Times New Roman"/>
          <w:sz w:val="20"/>
          <w:szCs w:val="20"/>
          <w:lang w:val="en-US"/>
        </w:rPr>
        <w:t xml:space="preserve">(4), 408–417. </w:t>
      </w:r>
    </w:p>
    <w:p w14:paraId="7C6263FB" w14:textId="77777777" w:rsidR="00B053C2" w:rsidRPr="003C5FF9" w:rsidRDefault="00B053C2" w:rsidP="00D72D15">
      <w:pPr>
        <w:pStyle w:val="Bibliographie"/>
        <w:spacing w:line="360" w:lineRule="auto"/>
        <w:rPr>
          <w:rFonts w:ascii="Times New Roman" w:hAnsi="Times New Roman" w:cs="Times New Roman"/>
          <w:color w:val="000000" w:themeColor="text1"/>
          <w:sz w:val="20"/>
          <w:szCs w:val="20"/>
          <w:lang w:val="en-US"/>
        </w:rPr>
      </w:pPr>
      <w:proofErr w:type="spellStart"/>
      <w:r w:rsidRPr="003C5FF9">
        <w:rPr>
          <w:rFonts w:ascii="Times New Roman" w:hAnsi="Times New Roman" w:cs="Times New Roman"/>
          <w:color w:val="000000" w:themeColor="text1"/>
          <w:sz w:val="20"/>
          <w:szCs w:val="20"/>
          <w:lang w:val="en-US"/>
        </w:rPr>
        <w:t>Joenväärä</w:t>
      </w:r>
      <w:proofErr w:type="spellEnd"/>
      <w:r w:rsidRPr="003C5FF9">
        <w:rPr>
          <w:rFonts w:ascii="Times New Roman" w:hAnsi="Times New Roman" w:cs="Times New Roman"/>
          <w:color w:val="000000" w:themeColor="text1"/>
          <w:sz w:val="20"/>
          <w:szCs w:val="20"/>
          <w:lang w:val="en-US"/>
        </w:rPr>
        <w:t xml:space="preserve">, J., </w:t>
      </w:r>
      <w:proofErr w:type="spellStart"/>
      <w:r w:rsidRPr="003C5FF9">
        <w:rPr>
          <w:rFonts w:ascii="Times New Roman" w:hAnsi="Times New Roman" w:cs="Times New Roman"/>
          <w:color w:val="000000" w:themeColor="text1"/>
          <w:sz w:val="20"/>
          <w:szCs w:val="20"/>
          <w:lang w:val="en-US"/>
        </w:rPr>
        <w:t>Karppinen</w:t>
      </w:r>
      <w:proofErr w:type="spellEnd"/>
      <w:r w:rsidRPr="003C5FF9">
        <w:rPr>
          <w:rFonts w:ascii="Times New Roman" w:hAnsi="Times New Roman" w:cs="Times New Roman"/>
          <w:color w:val="000000" w:themeColor="text1"/>
          <w:sz w:val="20"/>
          <w:szCs w:val="20"/>
          <w:lang w:val="en-US"/>
        </w:rPr>
        <w:t xml:space="preserve">, J., Teo, M., &amp; Tiu, C. I. (2019). </w:t>
      </w:r>
      <w:r w:rsidRPr="003C5FF9">
        <w:rPr>
          <w:rFonts w:ascii="Times New Roman" w:hAnsi="Times New Roman" w:cs="Times New Roman"/>
          <w:iCs/>
          <w:color w:val="000000" w:themeColor="text1"/>
          <w:sz w:val="20"/>
          <w:szCs w:val="20"/>
          <w:lang w:val="en-US"/>
        </w:rPr>
        <w:t>The Vocabulary of Hedge Funds</w:t>
      </w:r>
      <w:r w:rsidRPr="003C5FF9">
        <w:rPr>
          <w:rFonts w:ascii="Times New Roman" w:hAnsi="Times New Roman" w:cs="Times New Roman"/>
          <w:color w:val="000000" w:themeColor="text1"/>
          <w:sz w:val="20"/>
          <w:szCs w:val="20"/>
          <w:lang w:val="en-US"/>
        </w:rPr>
        <w:t xml:space="preserve">. </w:t>
      </w:r>
      <w:r w:rsidRPr="003C5FF9">
        <w:rPr>
          <w:rFonts w:ascii="Times New Roman" w:hAnsi="Times New Roman" w:cs="Times New Roman"/>
          <w:i/>
          <w:color w:val="000000" w:themeColor="text1"/>
          <w:sz w:val="20"/>
          <w:szCs w:val="20"/>
          <w:lang w:val="en-US"/>
        </w:rPr>
        <w:t>SSRN Electronic Journal.</w:t>
      </w:r>
    </w:p>
    <w:p w14:paraId="74243025" w14:textId="5AED2548"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Johan, S., &amp; Pant, A. (2018). Regulation of the Crypto-Economy: Securitization of the Digital Security. </w:t>
      </w:r>
      <w:r w:rsidRPr="00C82EE1">
        <w:rPr>
          <w:rFonts w:ascii="Times New Roman" w:hAnsi="Times New Roman" w:cs="Times New Roman"/>
          <w:i/>
          <w:iCs/>
          <w:sz w:val="20"/>
          <w:szCs w:val="20"/>
          <w:lang w:val="en-US"/>
        </w:rPr>
        <w:t>SSRN Electronic Journal</w:t>
      </w:r>
      <w:r w:rsidRPr="00C82EE1">
        <w:rPr>
          <w:rFonts w:ascii="Times New Roman" w:hAnsi="Times New Roman" w:cs="Times New Roman"/>
          <w:sz w:val="20"/>
          <w:szCs w:val="20"/>
          <w:lang w:val="en-US"/>
        </w:rPr>
        <w:t xml:space="preserve">. </w:t>
      </w:r>
    </w:p>
    <w:p w14:paraId="4210F131" w14:textId="77777777" w:rsidR="00B053C2" w:rsidRPr="003C5FF9" w:rsidRDefault="00B053C2" w:rsidP="00D72D15">
      <w:pPr>
        <w:pStyle w:val="Bibliographie"/>
        <w:spacing w:line="360" w:lineRule="auto"/>
        <w:ind w:left="284" w:hanging="284"/>
        <w:rPr>
          <w:rFonts w:ascii="Times New Roman" w:hAnsi="Times New Roman" w:cs="Times New Roman"/>
          <w:color w:val="000000" w:themeColor="text1"/>
          <w:sz w:val="20"/>
          <w:szCs w:val="20"/>
          <w:lang w:val="en-US"/>
        </w:rPr>
      </w:pPr>
      <w:r w:rsidRPr="00E24555">
        <w:rPr>
          <w:rFonts w:ascii="Times New Roman" w:hAnsi="Times New Roman" w:cs="Times New Roman"/>
          <w:color w:val="000000" w:themeColor="text1"/>
          <w:sz w:val="20"/>
          <w:szCs w:val="20"/>
          <w:shd w:val="clear" w:color="auto" w:fill="FFFFFF"/>
          <w:lang w:val="en-US"/>
        </w:rPr>
        <w:t xml:space="preserve">Karimi, S., Biemans, H. J., </w:t>
      </w:r>
      <w:proofErr w:type="spellStart"/>
      <w:r w:rsidRPr="00E24555">
        <w:rPr>
          <w:rFonts w:ascii="Times New Roman" w:hAnsi="Times New Roman" w:cs="Times New Roman"/>
          <w:color w:val="000000" w:themeColor="text1"/>
          <w:sz w:val="20"/>
          <w:szCs w:val="20"/>
          <w:shd w:val="clear" w:color="auto" w:fill="FFFFFF"/>
          <w:lang w:val="en-US"/>
        </w:rPr>
        <w:t>Naderi</w:t>
      </w:r>
      <w:proofErr w:type="spellEnd"/>
      <w:r w:rsidRPr="00E24555">
        <w:rPr>
          <w:rFonts w:ascii="Times New Roman" w:hAnsi="Times New Roman" w:cs="Times New Roman"/>
          <w:color w:val="000000" w:themeColor="text1"/>
          <w:sz w:val="20"/>
          <w:szCs w:val="20"/>
          <w:shd w:val="clear" w:color="auto" w:fill="FFFFFF"/>
          <w:lang w:val="en-US"/>
        </w:rPr>
        <w:t xml:space="preserve"> </w:t>
      </w:r>
      <w:proofErr w:type="spellStart"/>
      <w:r w:rsidRPr="00E24555">
        <w:rPr>
          <w:rFonts w:ascii="Times New Roman" w:hAnsi="Times New Roman" w:cs="Times New Roman"/>
          <w:color w:val="000000" w:themeColor="text1"/>
          <w:sz w:val="20"/>
          <w:szCs w:val="20"/>
          <w:shd w:val="clear" w:color="auto" w:fill="FFFFFF"/>
          <w:lang w:val="en-US"/>
        </w:rPr>
        <w:t>Mahdei</w:t>
      </w:r>
      <w:proofErr w:type="spellEnd"/>
      <w:r w:rsidRPr="00E24555">
        <w:rPr>
          <w:rFonts w:ascii="Times New Roman" w:hAnsi="Times New Roman" w:cs="Times New Roman"/>
          <w:color w:val="000000" w:themeColor="text1"/>
          <w:sz w:val="20"/>
          <w:szCs w:val="20"/>
          <w:shd w:val="clear" w:color="auto" w:fill="FFFFFF"/>
          <w:lang w:val="en-US"/>
        </w:rPr>
        <w:t xml:space="preserve">, K., </w:t>
      </w:r>
      <w:proofErr w:type="spellStart"/>
      <w:r w:rsidRPr="00E24555">
        <w:rPr>
          <w:rFonts w:ascii="Times New Roman" w:hAnsi="Times New Roman" w:cs="Times New Roman"/>
          <w:color w:val="000000" w:themeColor="text1"/>
          <w:sz w:val="20"/>
          <w:szCs w:val="20"/>
          <w:shd w:val="clear" w:color="auto" w:fill="FFFFFF"/>
          <w:lang w:val="en-US"/>
        </w:rPr>
        <w:t>Lans</w:t>
      </w:r>
      <w:proofErr w:type="spellEnd"/>
      <w:r w:rsidRPr="00E24555">
        <w:rPr>
          <w:rFonts w:ascii="Times New Roman" w:hAnsi="Times New Roman" w:cs="Times New Roman"/>
          <w:color w:val="000000" w:themeColor="text1"/>
          <w:sz w:val="20"/>
          <w:szCs w:val="20"/>
          <w:shd w:val="clear" w:color="auto" w:fill="FFFFFF"/>
          <w:lang w:val="en-US"/>
        </w:rPr>
        <w:t xml:space="preserve">, T., </w:t>
      </w:r>
      <w:proofErr w:type="spellStart"/>
      <w:r w:rsidRPr="00E24555">
        <w:rPr>
          <w:rFonts w:ascii="Times New Roman" w:hAnsi="Times New Roman" w:cs="Times New Roman"/>
          <w:color w:val="000000" w:themeColor="text1"/>
          <w:sz w:val="20"/>
          <w:szCs w:val="20"/>
          <w:shd w:val="clear" w:color="auto" w:fill="FFFFFF"/>
          <w:lang w:val="en-US"/>
        </w:rPr>
        <w:t>Chizari</w:t>
      </w:r>
      <w:proofErr w:type="spellEnd"/>
      <w:r w:rsidRPr="00E24555">
        <w:rPr>
          <w:rFonts w:ascii="Times New Roman" w:hAnsi="Times New Roman" w:cs="Times New Roman"/>
          <w:color w:val="000000" w:themeColor="text1"/>
          <w:sz w:val="20"/>
          <w:szCs w:val="20"/>
          <w:shd w:val="clear" w:color="auto" w:fill="FFFFFF"/>
          <w:lang w:val="en-US"/>
        </w:rPr>
        <w:t xml:space="preserve">, M., &amp; Mulder, M. (2017). </w:t>
      </w:r>
      <w:r w:rsidRPr="003C5FF9">
        <w:rPr>
          <w:rFonts w:ascii="Times New Roman" w:hAnsi="Times New Roman" w:cs="Times New Roman"/>
          <w:color w:val="000000" w:themeColor="text1"/>
          <w:sz w:val="20"/>
          <w:szCs w:val="20"/>
          <w:shd w:val="clear" w:color="auto" w:fill="FFFFFF"/>
          <w:lang w:val="en-US"/>
        </w:rPr>
        <w:t>Testing the relationship between personality characteristics, contextual factors and entrepreneurial intentions in a developing country. </w:t>
      </w:r>
      <w:r w:rsidRPr="003C5FF9">
        <w:rPr>
          <w:rFonts w:ascii="Times New Roman" w:hAnsi="Times New Roman" w:cs="Times New Roman"/>
          <w:i/>
          <w:iCs/>
          <w:color w:val="000000" w:themeColor="text1"/>
          <w:sz w:val="20"/>
          <w:szCs w:val="20"/>
          <w:shd w:val="clear" w:color="auto" w:fill="FFFFFF"/>
          <w:lang w:val="en-US"/>
        </w:rPr>
        <w:t>International Journal of Psychology</w:t>
      </w:r>
      <w:r w:rsidRPr="003C5FF9">
        <w:rPr>
          <w:rFonts w:ascii="Times New Roman" w:hAnsi="Times New Roman" w:cs="Times New Roman"/>
          <w:color w:val="000000" w:themeColor="text1"/>
          <w:sz w:val="20"/>
          <w:szCs w:val="20"/>
          <w:shd w:val="clear" w:color="auto" w:fill="FFFFFF"/>
          <w:lang w:val="en-US"/>
        </w:rPr>
        <w:t>, </w:t>
      </w:r>
      <w:r w:rsidRPr="003C5FF9">
        <w:rPr>
          <w:rFonts w:ascii="Times New Roman" w:hAnsi="Times New Roman" w:cs="Times New Roman"/>
          <w:i/>
          <w:iCs/>
          <w:color w:val="000000" w:themeColor="text1"/>
          <w:sz w:val="20"/>
          <w:szCs w:val="20"/>
          <w:shd w:val="clear" w:color="auto" w:fill="FFFFFF"/>
          <w:lang w:val="en-US"/>
        </w:rPr>
        <w:t>52</w:t>
      </w:r>
      <w:r w:rsidRPr="003C5FF9">
        <w:rPr>
          <w:rFonts w:ascii="Times New Roman" w:hAnsi="Times New Roman" w:cs="Times New Roman"/>
          <w:color w:val="000000" w:themeColor="text1"/>
          <w:sz w:val="20"/>
          <w:szCs w:val="20"/>
          <w:shd w:val="clear" w:color="auto" w:fill="FFFFFF"/>
          <w:lang w:val="en-US"/>
        </w:rPr>
        <w:t>(3), 227-240.</w:t>
      </w:r>
    </w:p>
    <w:p w14:paraId="6A942CB8" w14:textId="0BEB04DE"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Kaufmann, D., </w:t>
      </w:r>
      <w:proofErr w:type="spellStart"/>
      <w:r w:rsidRPr="00C82EE1">
        <w:rPr>
          <w:rFonts w:ascii="Times New Roman" w:hAnsi="Times New Roman" w:cs="Times New Roman"/>
          <w:sz w:val="20"/>
          <w:szCs w:val="20"/>
          <w:lang w:val="en-US"/>
        </w:rPr>
        <w:t>Kraay</w:t>
      </w:r>
      <w:proofErr w:type="spellEnd"/>
      <w:r w:rsidRPr="00C82EE1">
        <w:rPr>
          <w:rFonts w:ascii="Times New Roman" w:hAnsi="Times New Roman" w:cs="Times New Roman"/>
          <w:sz w:val="20"/>
          <w:szCs w:val="20"/>
          <w:lang w:val="en-US"/>
        </w:rPr>
        <w:t xml:space="preserve">, A., &amp; </w:t>
      </w:r>
      <w:proofErr w:type="spellStart"/>
      <w:r w:rsidRPr="00C82EE1">
        <w:rPr>
          <w:rFonts w:ascii="Times New Roman" w:hAnsi="Times New Roman" w:cs="Times New Roman"/>
          <w:sz w:val="20"/>
          <w:szCs w:val="20"/>
          <w:lang w:val="en-US"/>
        </w:rPr>
        <w:t>Mastruzzi</w:t>
      </w:r>
      <w:proofErr w:type="spellEnd"/>
      <w:r w:rsidRPr="00C82EE1">
        <w:rPr>
          <w:rFonts w:ascii="Times New Roman" w:hAnsi="Times New Roman" w:cs="Times New Roman"/>
          <w:sz w:val="20"/>
          <w:szCs w:val="20"/>
          <w:lang w:val="en-US"/>
        </w:rPr>
        <w:t xml:space="preserve">, M. (2010). Response to ‘What do the Worldwide Governance Indicators Measure?’ </w:t>
      </w:r>
      <w:r w:rsidRPr="00C82EE1">
        <w:rPr>
          <w:rFonts w:ascii="Times New Roman" w:hAnsi="Times New Roman" w:cs="Times New Roman"/>
          <w:i/>
          <w:iCs/>
          <w:sz w:val="20"/>
          <w:szCs w:val="20"/>
          <w:lang w:val="en-US"/>
        </w:rPr>
        <w:t>The European Journal of Development Research</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22</w:t>
      </w:r>
      <w:r w:rsidRPr="00C82EE1">
        <w:rPr>
          <w:rFonts w:ascii="Times New Roman" w:hAnsi="Times New Roman" w:cs="Times New Roman"/>
          <w:sz w:val="20"/>
          <w:szCs w:val="20"/>
          <w:lang w:val="en-US"/>
        </w:rPr>
        <w:t xml:space="preserve">(1), 55–58. </w:t>
      </w:r>
    </w:p>
    <w:p w14:paraId="51847E7C" w14:textId="6D999438"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Kincaid, J., Fishburne, R., Rogers, R., &amp; </w:t>
      </w:r>
      <w:proofErr w:type="spellStart"/>
      <w:r w:rsidRPr="00C82EE1">
        <w:rPr>
          <w:rFonts w:ascii="Times New Roman" w:hAnsi="Times New Roman" w:cs="Times New Roman"/>
          <w:sz w:val="20"/>
          <w:szCs w:val="20"/>
          <w:lang w:val="en-US"/>
        </w:rPr>
        <w:t>Chissom</w:t>
      </w:r>
      <w:proofErr w:type="spellEnd"/>
      <w:r w:rsidRPr="00C82EE1">
        <w:rPr>
          <w:rFonts w:ascii="Times New Roman" w:hAnsi="Times New Roman" w:cs="Times New Roman"/>
          <w:sz w:val="20"/>
          <w:szCs w:val="20"/>
          <w:lang w:val="en-US"/>
        </w:rPr>
        <w:t xml:space="preserve">, B. (1975). Derivation </w:t>
      </w:r>
      <w:proofErr w:type="gramStart"/>
      <w:r w:rsidR="00B053C2">
        <w:rPr>
          <w:rFonts w:ascii="Times New Roman" w:hAnsi="Times New Roman" w:cs="Times New Roman"/>
          <w:sz w:val="20"/>
          <w:szCs w:val="20"/>
          <w:lang w:val="en-US"/>
        </w:rPr>
        <w:t xml:space="preserve">of  </w:t>
      </w:r>
      <w:r w:rsidRPr="00C82EE1">
        <w:rPr>
          <w:rFonts w:ascii="Times New Roman" w:hAnsi="Times New Roman" w:cs="Times New Roman"/>
          <w:sz w:val="20"/>
          <w:szCs w:val="20"/>
          <w:lang w:val="en-US"/>
        </w:rPr>
        <w:t>New</w:t>
      </w:r>
      <w:proofErr w:type="gramEnd"/>
      <w:r w:rsidRPr="00C82EE1">
        <w:rPr>
          <w:rFonts w:ascii="Times New Roman" w:hAnsi="Times New Roman" w:cs="Times New Roman"/>
          <w:sz w:val="20"/>
          <w:szCs w:val="20"/>
          <w:lang w:val="en-US"/>
        </w:rPr>
        <w:t xml:space="preserve"> Readability Formulas (Automated Readability Index, Fog Count And Flesch Reading Ease Formula) For Navy Enlisted Personnel. </w:t>
      </w:r>
      <w:r w:rsidRPr="00C82EE1">
        <w:rPr>
          <w:rFonts w:ascii="Times New Roman" w:hAnsi="Times New Roman" w:cs="Times New Roman"/>
          <w:i/>
          <w:iCs/>
          <w:sz w:val="20"/>
          <w:szCs w:val="20"/>
          <w:lang w:val="en-US"/>
        </w:rPr>
        <w:t>Institute for Simulation and Training</w:t>
      </w:r>
      <w:r w:rsidRPr="00C82EE1">
        <w:rPr>
          <w:rFonts w:ascii="Times New Roman" w:hAnsi="Times New Roman" w:cs="Times New Roman"/>
          <w:sz w:val="20"/>
          <w:szCs w:val="20"/>
          <w:lang w:val="en-US"/>
        </w:rPr>
        <w:t xml:space="preserve">. </w:t>
      </w:r>
    </w:p>
    <w:p w14:paraId="77AF4F75" w14:textId="0954A36E"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Kyle, K., Crossley, S. A., &amp; Jarvis, S. (2021). Assessing the Validity of Lexical Diversity Indices Using Direct Judgements. </w:t>
      </w:r>
      <w:r w:rsidRPr="00C82EE1">
        <w:rPr>
          <w:rFonts w:ascii="Times New Roman" w:hAnsi="Times New Roman" w:cs="Times New Roman"/>
          <w:i/>
          <w:iCs/>
          <w:sz w:val="20"/>
          <w:szCs w:val="20"/>
          <w:lang w:val="en-US"/>
        </w:rPr>
        <w:t>Language Assessment Quarterly</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18</w:t>
      </w:r>
      <w:r w:rsidRPr="00C82EE1">
        <w:rPr>
          <w:rFonts w:ascii="Times New Roman" w:hAnsi="Times New Roman" w:cs="Times New Roman"/>
          <w:sz w:val="20"/>
          <w:szCs w:val="20"/>
          <w:lang w:val="en-US"/>
        </w:rPr>
        <w:t xml:space="preserve">(2), 154–170. </w:t>
      </w:r>
    </w:p>
    <w:p w14:paraId="55634B6F" w14:textId="77777777" w:rsidR="00B053C2" w:rsidRPr="003C5FF9" w:rsidRDefault="00B053C2" w:rsidP="00D72D15">
      <w:pPr>
        <w:pStyle w:val="Bibliographie"/>
        <w:spacing w:line="360" w:lineRule="auto"/>
        <w:ind w:left="284" w:hanging="284"/>
        <w:rPr>
          <w:rFonts w:ascii="Times New Roman" w:hAnsi="Times New Roman" w:cs="Times New Roman"/>
          <w:color w:val="000000" w:themeColor="text1"/>
          <w:sz w:val="20"/>
          <w:szCs w:val="20"/>
          <w:lang w:val="en-US"/>
        </w:rPr>
      </w:pPr>
      <w:proofErr w:type="spellStart"/>
      <w:r w:rsidRPr="003C5FF9">
        <w:rPr>
          <w:rFonts w:ascii="Times New Roman" w:hAnsi="Times New Roman" w:cs="Times New Roman"/>
          <w:color w:val="000000" w:themeColor="text1"/>
          <w:sz w:val="20"/>
          <w:szCs w:val="20"/>
          <w:shd w:val="clear" w:color="auto" w:fill="FFFFFF"/>
          <w:lang w:val="en-US"/>
        </w:rPr>
        <w:t>Lafhaj</w:t>
      </w:r>
      <w:proofErr w:type="spellEnd"/>
      <w:r w:rsidRPr="003C5FF9">
        <w:rPr>
          <w:rFonts w:ascii="Times New Roman" w:hAnsi="Times New Roman" w:cs="Times New Roman"/>
          <w:color w:val="000000" w:themeColor="text1"/>
          <w:sz w:val="20"/>
          <w:szCs w:val="20"/>
          <w:shd w:val="clear" w:color="auto" w:fill="FFFFFF"/>
          <w:lang w:val="en-US"/>
        </w:rPr>
        <w:t xml:space="preserve">, Z., </w:t>
      </w:r>
      <w:proofErr w:type="spellStart"/>
      <w:r w:rsidRPr="003C5FF9">
        <w:rPr>
          <w:rFonts w:ascii="Times New Roman" w:hAnsi="Times New Roman" w:cs="Times New Roman"/>
          <w:color w:val="000000" w:themeColor="text1"/>
          <w:sz w:val="20"/>
          <w:szCs w:val="20"/>
          <w:shd w:val="clear" w:color="auto" w:fill="FFFFFF"/>
          <w:lang w:val="en-US"/>
        </w:rPr>
        <w:t>Rebai</w:t>
      </w:r>
      <w:proofErr w:type="spellEnd"/>
      <w:r w:rsidRPr="003C5FF9">
        <w:rPr>
          <w:rFonts w:ascii="Times New Roman" w:hAnsi="Times New Roman" w:cs="Times New Roman"/>
          <w:color w:val="000000" w:themeColor="text1"/>
          <w:sz w:val="20"/>
          <w:szCs w:val="20"/>
          <w:shd w:val="clear" w:color="auto" w:fill="FFFFFF"/>
          <w:lang w:val="en-US"/>
        </w:rPr>
        <w:t xml:space="preserve">, S., </w:t>
      </w:r>
      <w:proofErr w:type="spellStart"/>
      <w:r w:rsidRPr="003C5FF9">
        <w:rPr>
          <w:rFonts w:ascii="Times New Roman" w:hAnsi="Times New Roman" w:cs="Times New Roman"/>
          <w:color w:val="000000" w:themeColor="text1"/>
          <w:sz w:val="20"/>
          <w:szCs w:val="20"/>
          <w:shd w:val="clear" w:color="auto" w:fill="FFFFFF"/>
          <w:lang w:val="en-US"/>
        </w:rPr>
        <w:t>AlBalkhy</w:t>
      </w:r>
      <w:proofErr w:type="spellEnd"/>
      <w:r w:rsidRPr="003C5FF9">
        <w:rPr>
          <w:rFonts w:ascii="Times New Roman" w:hAnsi="Times New Roman" w:cs="Times New Roman"/>
          <w:color w:val="000000" w:themeColor="text1"/>
          <w:sz w:val="20"/>
          <w:szCs w:val="20"/>
          <w:shd w:val="clear" w:color="auto" w:fill="FFFFFF"/>
          <w:lang w:val="en-US"/>
        </w:rPr>
        <w:t>, W., Hamdi, O., Mossman, A., &amp; Alves Da Costa, A. (2024). Complexity in Construction Projects: A Literature Review. </w:t>
      </w:r>
      <w:r w:rsidRPr="003C5FF9">
        <w:rPr>
          <w:rFonts w:ascii="Times New Roman" w:hAnsi="Times New Roman" w:cs="Times New Roman"/>
          <w:i/>
          <w:iCs/>
          <w:color w:val="000000" w:themeColor="text1"/>
          <w:sz w:val="20"/>
          <w:szCs w:val="20"/>
          <w:shd w:val="clear" w:color="auto" w:fill="FFFFFF"/>
          <w:lang w:val="en-US"/>
        </w:rPr>
        <w:t>Buildings</w:t>
      </w:r>
      <w:r w:rsidRPr="003C5FF9">
        <w:rPr>
          <w:rFonts w:ascii="Times New Roman" w:hAnsi="Times New Roman" w:cs="Times New Roman"/>
          <w:color w:val="000000" w:themeColor="text1"/>
          <w:sz w:val="20"/>
          <w:szCs w:val="20"/>
          <w:shd w:val="clear" w:color="auto" w:fill="FFFFFF"/>
          <w:lang w:val="en-US"/>
        </w:rPr>
        <w:t>, </w:t>
      </w:r>
      <w:r w:rsidRPr="003C5FF9">
        <w:rPr>
          <w:rFonts w:ascii="Times New Roman" w:hAnsi="Times New Roman" w:cs="Times New Roman"/>
          <w:i/>
          <w:iCs/>
          <w:color w:val="000000" w:themeColor="text1"/>
          <w:sz w:val="20"/>
          <w:szCs w:val="20"/>
          <w:shd w:val="clear" w:color="auto" w:fill="FFFFFF"/>
          <w:lang w:val="en-US"/>
        </w:rPr>
        <w:t>14</w:t>
      </w:r>
      <w:r w:rsidRPr="003C5FF9">
        <w:rPr>
          <w:rFonts w:ascii="Times New Roman" w:hAnsi="Times New Roman" w:cs="Times New Roman"/>
          <w:color w:val="000000" w:themeColor="text1"/>
          <w:sz w:val="20"/>
          <w:szCs w:val="20"/>
          <w:shd w:val="clear" w:color="auto" w:fill="FFFFFF"/>
          <w:lang w:val="en-US"/>
        </w:rPr>
        <w:t>(3), 680.</w:t>
      </w:r>
    </w:p>
    <w:p w14:paraId="51C0FF05" w14:textId="35743442"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Lahmar</w:t>
      </w:r>
      <w:proofErr w:type="spellEnd"/>
      <w:r w:rsidRPr="00C82EE1">
        <w:rPr>
          <w:rFonts w:ascii="Times New Roman" w:hAnsi="Times New Roman" w:cs="Times New Roman"/>
          <w:sz w:val="20"/>
          <w:szCs w:val="20"/>
          <w:lang w:val="en-US"/>
        </w:rPr>
        <w:t xml:space="preserve">, O., &amp; </w:t>
      </w:r>
      <w:proofErr w:type="spellStart"/>
      <w:r w:rsidRPr="00C82EE1">
        <w:rPr>
          <w:rFonts w:ascii="Times New Roman" w:hAnsi="Times New Roman" w:cs="Times New Roman"/>
          <w:sz w:val="20"/>
          <w:szCs w:val="20"/>
          <w:lang w:val="en-US"/>
        </w:rPr>
        <w:t>Piras</w:t>
      </w:r>
      <w:proofErr w:type="spellEnd"/>
      <w:r w:rsidRPr="00C82EE1">
        <w:rPr>
          <w:rFonts w:ascii="Times New Roman" w:hAnsi="Times New Roman" w:cs="Times New Roman"/>
          <w:sz w:val="20"/>
          <w:szCs w:val="20"/>
          <w:lang w:val="en-US"/>
        </w:rPr>
        <w:t xml:space="preserve">, L. (2023). Making sense and transparency in finance literature: Evidence from trends in readability. </w:t>
      </w:r>
      <w:r w:rsidRPr="00C82EE1">
        <w:rPr>
          <w:rFonts w:ascii="Times New Roman" w:hAnsi="Times New Roman" w:cs="Times New Roman"/>
          <w:i/>
          <w:iCs/>
          <w:sz w:val="20"/>
          <w:szCs w:val="20"/>
          <w:lang w:val="en-US"/>
        </w:rPr>
        <w:t>Research in International Business and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64</w:t>
      </w:r>
      <w:r w:rsidRPr="00C82EE1">
        <w:rPr>
          <w:rFonts w:ascii="Times New Roman" w:hAnsi="Times New Roman" w:cs="Times New Roman"/>
          <w:sz w:val="20"/>
          <w:szCs w:val="20"/>
          <w:lang w:val="en-US"/>
        </w:rPr>
        <w:t xml:space="preserve">, 101900. </w:t>
      </w:r>
    </w:p>
    <w:p w14:paraId="5D28A38B" w14:textId="77777777" w:rsidR="00B053C2" w:rsidRPr="003C5FF9" w:rsidRDefault="00B053C2" w:rsidP="00D72D15">
      <w:pPr>
        <w:pStyle w:val="Bibliographie"/>
        <w:spacing w:line="360" w:lineRule="auto"/>
        <w:rPr>
          <w:rFonts w:ascii="Times New Roman" w:hAnsi="Times New Roman" w:cs="Times New Roman"/>
          <w:color w:val="000000" w:themeColor="text1"/>
          <w:sz w:val="20"/>
          <w:szCs w:val="20"/>
          <w:lang w:val="en-US"/>
        </w:rPr>
      </w:pPr>
      <w:r w:rsidRPr="003C5FF9">
        <w:rPr>
          <w:rFonts w:ascii="Times New Roman" w:hAnsi="Times New Roman" w:cs="Times New Roman"/>
          <w:color w:val="000000" w:themeColor="text1"/>
          <w:sz w:val="20"/>
          <w:szCs w:val="20"/>
          <w:shd w:val="clear" w:color="auto" w:fill="FFFFFF"/>
          <w:lang w:val="en-US"/>
        </w:rPr>
        <w:lastRenderedPageBreak/>
        <w:t>Laufer, B. (1995). Beyond 2000. </w:t>
      </w:r>
      <w:r w:rsidRPr="003C5FF9">
        <w:rPr>
          <w:rFonts w:ascii="Times New Roman" w:hAnsi="Times New Roman" w:cs="Times New Roman"/>
          <w:i/>
          <w:iCs/>
          <w:color w:val="000000" w:themeColor="text1"/>
          <w:sz w:val="20"/>
          <w:szCs w:val="20"/>
          <w:shd w:val="clear" w:color="auto" w:fill="FFFFFF"/>
          <w:lang w:val="en-US"/>
        </w:rPr>
        <w:t>The current state of interlanguage: Studies in honor of William E. Rutherford</w:t>
      </w:r>
      <w:r w:rsidRPr="003C5FF9">
        <w:rPr>
          <w:rFonts w:ascii="Times New Roman" w:hAnsi="Times New Roman" w:cs="Times New Roman"/>
          <w:color w:val="000000" w:themeColor="text1"/>
          <w:sz w:val="20"/>
          <w:szCs w:val="20"/>
          <w:shd w:val="clear" w:color="auto" w:fill="FFFFFF"/>
          <w:lang w:val="en-US"/>
        </w:rPr>
        <w:t>, 265.</w:t>
      </w:r>
    </w:p>
    <w:p w14:paraId="6497482C" w14:textId="46059CDF"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Lawrence, A. (2013). Individual investors and financial disclosure. </w:t>
      </w:r>
      <w:r w:rsidRPr="00C82EE1">
        <w:rPr>
          <w:rFonts w:ascii="Times New Roman" w:hAnsi="Times New Roman" w:cs="Times New Roman"/>
          <w:i/>
          <w:iCs/>
          <w:sz w:val="20"/>
          <w:szCs w:val="20"/>
          <w:lang w:val="en-US"/>
        </w:rPr>
        <w:t>Journal of Accounting and Economics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56</w:t>
      </w:r>
      <w:r w:rsidRPr="00C82EE1">
        <w:rPr>
          <w:rFonts w:ascii="Times New Roman" w:hAnsi="Times New Roman" w:cs="Times New Roman"/>
          <w:sz w:val="20"/>
          <w:szCs w:val="20"/>
          <w:lang w:val="en-US"/>
        </w:rPr>
        <w:t>(1), 130–147.</w:t>
      </w:r>
    </w:p>
    <w:p w14:paraId="401D2F18"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shd w:val="clear" w:color="auto" w:fill="FFFFFF"/>
          <w:lang w:val="en-US"/>
        </w:rPr>
      </w:pPr>
      <w:r w:rsidRPr="003C5FF9">
        <w:rPr>
          <w:rFonts w:ascii="Times New Roman" w:hAnsi="Times New Roman" w:cs="Times New Roman"/>
          <w:color w:val="000000" w:themeColor="text1"/>
          <w:sz w:val="20"/>
          <w:szCs w:val="20"/>
          <w:shd w:val="clear" w:color="auto" w:fill="FFFFFF"/>
          <w:lang w:val="en-US"/>
        </w:rPr>
        <w:t>Lee, H., Cha, S., &amp; Park, H. (2016). The effect of technology-exploration on product innovation: an analysis based on Korean manufacturing SMEs. </w:t>
      </w:r>
      <w:r w:rsidRPr="003C5FF9">
        <w:rPr>
          <w:rFonts w:ascii="Times New Roman" w:hAnsi="Times New Roman" w:cs="Times New Roman"/>
          <w:i/>
          <w:iCs/>
          <w:color w:val="000000" w:themeColor="text1"/>
          <w:sz w:val="20"/>
          <w:szCs w:val="20"/>
          <w:shd w:val="clear" w:color="auto" w:fill="FFFFFF"/>
          <w:lang w:val="en-US"/>
        </w:rPr>
        <w:t>International Journal of Quality Innovation</w:t>
      </w:r>
      <w:r w:rsidRPr="003C5FF9">
        <w:rPr>
          <w:rFonts w:ascii="Times New Roman" w:hAnsi="Times New Roman" w:cs="Times New Roman"/>
          <w:color w:val="000000" w:themeColor="text1"/>
          <w:sz w:val="20"/>
          <w:szCs w:val="20"/>
          <w:shd w:val="clear" w:color="auto" w:fill="FFFFFF"/>
          <w:lang w:val="en-US"/>
        </w:rPr>
        <w:t>, </w:t>
      </w:r>
      <w:r w:rsidRPr="003C5FF9">
        <w:rPr>
          <w:rFonts w:ascii="Times New Roman" w:hAnsi="Times New Roman" w:cs="Times New Roman"/>
          <w:i/>
          <w:iCs/>
          <w:color w:val="000000" w:themeColor="text1"/>
          <w:sz w:val="20"/>
          <w:szCs w:val="20"/>
          <w:shd w:val="clear" w:color="auto" w:fill="FFFFFF"/>
          <w:lang w:val="en-US"/>
        </w:rPr>
        <w:t>2</w:t>
      </w:r>
      <w:r w:rsidRPr="003C5FF9">
        <w:rPr>
          <w:rFonts w:ascii="Times New Roman" w:hAnsi="Times New Roman" w:cs="Times New Roman"/>
          <w:color w:val="000000" w:themeColor="text1"/>
          <w:sz w:val="20"/>
          <w:szCs w:val="20"/>
          <w:shd w:val="clear" w:color="auto" w:fill="FFFFFF"/>
          <w:lang w:val="en-US"/>
        </w:rPr>
        <w:t>, 1-15.</w:t>
      </w:r>
    </w:p>
    <w:p w14:paraId="6245D670"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shd w:val="clear" w:color="auto" w:fill="FFFFFF"/>
          <w:lang w:val="en-US"/>
        </w:rPr>
      </w:pPr>
      <w:r w:rsidRPr="003C5FF9">
        <w:rPr>
          <w:rFonts w:ascii="Times New Roman" w:hAnsi="Times New Roman" w:cs="Times New Roman"/>
          <w:color w:val="000000" w:themeColor="text1"/>
          <w:sz w:val="20"/>
          <w:szCs w:val="20"/>
          <w:shd w:val="clear" w:color="auto" w:fill="FFFFFF"/>
          <w:lang w:val="en-US"/>
        </w:rPr>
        <w:t>Lee, J., Li, T., &amp; Shin, D. (2022). The wisdom of crowds in fintech: Evidence from initial coin offerings. </w:t>
      </w:r>
      <w:r w:rsidRPr="003C5FF9">
        <w:rPr>
          <w:rFonts w:ascii="Times New Roman" w:hAnsi="Times New Roman" w:cs="Times New Roman"/>
          <w:i/>
          <w:iCs/>
          <w:color w:val="000000" w:themeColor="text1"/>
          <w:sz w:val="20"/>
          <w:szCs w:val="20"/>
          <w:shd w:val="clear" w:color="auto" w:fill="FFFFFF"/>
          <w:lang w:val="en-US"/>
        </w:rPr>
        <w:t>The Review of Corporate Finance Studies</w:t>
      </w:r>
      <w:r w:rsidRPr="003C5FF9">
        <w:rPr>
          <w:rFonts w:ascii="Times New Roman" w:hAnsi="Times New Roman" w:cs="Times New Roman"/>
          <w:color w:val="000000" w:themeColor="text1"/>
          <w:sz w:val="20"/>
          <w:szCs w:val="20"/>
          <w:shd w:val="clear" w:color="auto" w:fill="FFFFFF"/>
          <w:lang w:val="en-US"/>
        </w:rPr>
        <w:t>, </w:t>
      </w:r>
      <w:r w:rsidRPr="003C5FF9">
        <w:rPr>
          <w:rFonts w:ascii="Times New Roman" w:hAnsi="Times New Roman" w:cs="Times New Roman"/>
          <w:i/>
          <w:iCs/>
          <w:color w:val="000000" w:themeColor="text1"/>
          <w:sz w:val="20"/>
          <w:szCs w:val="20"/>
          <w:shd w:val="clear" w:color="auto" w:fill="FFFFFF"/>
          <w:lang w:val="en-US"/>
        </w:rPr>
        <w:t>11</w:t>
      </w:r>
      <w:r w:rsidRPr="003C5FF9">
        <w:rPr>
          <w:rFonts w:ascii="Times New Roman" w:hAnsi="Times New Roman" w:cs="Times New Roman"/>
          <w:color w:val="000000" w:themeColor="text1"/>
          <w:sz w:val="20"/>
          <w:szCs w:val="20"/>
          <w:shd w:val="clear" w:color="auto" w:fill="FFFFFF"/>
          <w:lang w:val="en-US"/>
        </w:rPr>
        <w:t>(1), 1-46.</w:t>
      </w:r>
    </w:p>
    <w:p w14:paraId="0D387545" w14:textId="5B96383E"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Leech, G., </w:t>
      </w:r>
      <w:proofErr w:type="spellStart"/>
      <w:r w:rsidRPr="00C82EE1">
        <w:rPr>
          <w:rFonts w:ascii="Times New Roman" w:hAnsi="Times New Roman" w:cs="Times New Roman"/>
          <w:sz w:val="20"/>
          <w:szCs w:val="20"/>
          <w:lang w:val="en-US"/>
        </w:rPr>
        <w:t>Rayson</w:t>
      </w:r>
      <w:proofErr w:type="spellEnd"/>
      <w:r w:rsidRPr="00C82EE1">
        <w:rPr>
          <w:rFonts w:ascii="Times New Roman" w:hAnsi="Times New Roman" w:cs="Times New Roman"/>
          <w:sz w:val="20"/>
          <w:szCs w:val="20"/>
          <w:lang w:val="en-US"/>
        </w:rPr>
        <w:t xml:space="preserve">, P., &amp; Wilson, A. (2001). </w:t>
      </w:r>
      <w:r w:rsidRPr="00C82EE1">
        <w:rPr>
          <w:rFonts w:ascii="Times New Roman" w:hAnsi="Times New Roman" w:cs="Times New Roman"/>
          <w:i/>
          <w:iCs/>
          <w:sz w:val="20"/>
          <w:szCs w:val="20"/>
          <w:lang w:val="en-US"/>
        </w:rPr>
        <w:t>Word Frequencies in Written and Spoken English: Based on the British National Corpus</w:t>
      </w:r>
      <w:r w:rsidRPr="00C82EE1">
        <w:rPr>
          <w:rFonts w:ascii="Times New Roman" w:hAnsi="Times New Roman" w:cs="Times New Roman"/>
          <w:sz w:val="20"/>
          <w:szCs w:val="20"/>
          <w:lang w:val="en-US"/>
        </w:rPr>
        <w:t xml:space="preserve">. </w:t>
      </w:r>
    </w:p>
    <w:p w14:paraId="49F794C2" w14:textId="605FE922"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Li, F. (2008). Annual report readability, current earnings, and earnings persistence. </w:t>
      </w:r>
      <w:r w:rsidRPr="00C82EE1">
        <w:rPr>
          <w:rFonts w:ascii="Times New Roman" w:hAnsi="Times New Roman" w:cs="Times New Roman"/>
          <w:i/>
          <w:iCs/>
          <w:sz w:val="20"/>
          <w:szCs w:val="20"/>
          <w:lang w:val="en-US"/>
        </w:rPr>
        <w:t>Journal of Accounting and Economics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45</w:t>
      </w:r>
      <w:r w:rsidRPr="00C82EE1">
        <w:rPr>
          <w:rFonts w:ascii="Times New Roman" w:hAnsi="Times New Roman" w:cs="Times New Roman"/>
          <w:sz w:val="20"/>
          <w:szCs w:val="20"/>
          <w:lang w:val="en-US"/>
        </w:rPr>
        <w:t xml:space="preserve">(2), 221–247. </w:t>
      </w:r>
    </w:p>
    <w:p w14:paraId="5360521D"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lang w:val="en-US"/>
        </w:rPr>
      </w:pPr>
      <w:r w:rsidRPr="003C5FF9">
        <w:rPr>
          <w:rFonts w:ascii="Times New Roman" w:hAnsi="Times New Roman" w:cs="Times New Roman"/>
          <w:color w:val="000000" w:themeColor="text1"/>
          <w:sz w:val="20"/>
          <w:szCs w:val="20"/>
          <w:lang w:val="en-US"/>
        </w:rPr>
        <w:t>Liu, Y., Sheng, J., &amp; Wang, W. (2024</w:t>
      </w:r>
      <w:r w:rsidRPr="003C5FF9">
        <w:rPr>
          <w:rFonts w:ascii="Times New Roman" w:hAnsi="Times New Roman" w:cs="Times New Roman"/>
          <w:i/>
          <w:color w:val="000000" w:themeColor="text1"/>
          <w:sz w:val="20"/>
          <w:szCs w:val="20"/>
          <w:lang w:val="en-US"/>
        </w:rPr>
        <w:t xml:space="preserve">). </w:t>
      </w:r>
      <w:r w:rsidRPr="003C5FF9">
        <w:rPr>
          <w:rFonts w:ascii="Times New Roman" w:hAnsi="Times New Roman" w:cs="Times New Roman"/>
          <w:iCs/>
          <w:color w:val="000000" w:themeColor="text1"/>
          <w:sz w:val="20"/>
          <w:szCs w:val="20"/>
          <w:lang w:val="en-US"/>
        </w:rPr>
        <w:t>How Do Investors Value Technology in Cryptocurrency? Evidence from Textual Analysis</w:t>
      </w:r>
      <w:r w:rsidRPr="003C5FF9">
        <w:rPr>
          <w:rFonts w:ascii="Times New Roman" w:hAnsi="Times New Roman" w:cs="Times New Roman"/>
          <w:color w:val="000000" w:themeColor="text1"/>
          <w:sz w:val="20"/>
          <w:szCs w:val="20"/>
          <w:lang w:val="en-US"/>
        </w:rPr>
        <w:t xml:space="preserve">. </w:t>
      </w:r>
      <w:r w:rsidRPr="003C5FF9">
        <w:rPr>
          <w:rFonts w:ascii="Times New Roman" w:hAnsi="Times New Roman" w:cs="Times New Roman"/>
          <w:i/>
          <w:color w:val="000000" w:themeColor="text1"/>
          <w:sz w:val="20"/>
          <w:szCs w:val="20"/>
          <w:lang w:val="en-US"/>
        </w:rPr>
        <w:t>SSRN Electronic Journal</w:t>
      </w:r>
      <w:r w:rsidRPr="003C5FF9">
        <w:rPr>
          <w:rFonts w:ascii="Times New Roman" w:hAnsi="Times New Roman" w:cs="Times New Roman"/>
          <w:color w:val="000000" w:themeColor="text1"/>
          <w:sz w:val="20"/>
          <w:szCs w:val="20"/>
          <w:lang w:val="en-US"/>
        </w:rPr>
        <w:t>.</w:t>
      </w:r>
    </w:p>
    <w:p w14:paraId="7AC09C8F" w14:textId="6C4AFF4C"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Loughran, T., &amp; McDonald, B. (2011). When Is a Liability Not a Liability? Textual Analysis, Dictionaries, and 10-Ks. </w:t>
      </w:r>
      <w:r w:rsidRPr="00C82EE1">
        <w:rPr>
          <w:rFonts w:ascii="Times New Roman" w:hAnsi="Times New Roman" w:cs="Times New Roman"/>
          <w:i/>
          <w:iCs/>
          <w:sz w:val="20"/>
          <w:szCs w:val="20"/>
          <w:lang w:val="en-US"/>
        </w:rPr>
        <w:t>The Journal of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66</w:t>
      </w:r>
      <w:r w:rsidRPr="00C82EE1">
        <w:rPr>
          <w:rFonts w:ascii="Times New Roman" w:hAnsi="Times New Roman" w:cs="Times New Roman"/>
          <w:sz w:val="20"/>
          <w:szCs w:val="20"/>
          <w:lang w:val="en-US"/>
        </w:rPr>
        <w:t xml:space="preserve">(1), 35–65. </w:t>
      </w:r>
    </w:p>
    <w:p w14:paraId="4A431641" w14:textId="1430FAFA"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Loughran, T., &amp; McDonald, B. (2014a). Measuring Readability in Financial Disclosures. </w:t>
      </w:r>
      <w:r w:rsidRPr="00C82EE1">
        <w:rPr>
          <w:rFonts w:ascii="Times New Roman" w:hAnsi="Times New Roman" w:cs="Times New Roman"/>
          <w:i/>
          <w:iCs/>
          <w:sz w:val="20"/>
          <w:szCs w:val="20"/>
          <w:lang w:val="en-US"/>
        </w:rPr>
        <w:t>The Journal of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69</w:t>
      </w:r>
      <w:r w:rsidRPr="00C82EE1">
        <w:rPr>
          <w:rFonts w:ascii="Times New Roman" w:hAnsi="Times New Roman" w:cs="Times New Roman"/>
          <w:sz w:val="20"/>
          <w:szCs w:val="20"/>
          <w:lang w:val="en-US"/>
        </w:rPr>
        <w:t xml:space="preserve">(4), 1643–1671. </w:t>
      </w:r>
    </w:p>
    <w:p w14:paraId="66FF2B9C"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shd w:val="clear" w:color="auto" w:fill="FFFFFF"/>
          <w:lang w:val="en-US"/>
        </w:rPr>
      </w:pPr>
      <w:r w:rsidRPr="003C5FF9">
        <w:rPr>
          <w:rFonts w:ascii="Times New Roman" w:hAnsi="Times New Roman" w:cs="Times New Roman"/>
          <w:color w:val="000000" w:themeColor="text1"/>
          <w:sz w:val="20"/>
          <w:szCs w:val="20"/>
          <w:shd w:val="clear" w:color="auto" w:fill="FFFFFF"/>
          <w:lang w:val="en-US"/>
        </w:rPr>
        <w:t>Loughran, T., &amp; McDonald, B. (2014b). Regulation and financial disclosure: The impact of plain English. </w:t>
      </w:r>
      <w:r w:rsidRPr="003C5FF9">
        <w:rPr>
          <w:rFonts w:ascii="Times New Roman" w:hAnsi="Times New Roman" w:cs="Times New Roman"/>
          <w:i/>
          <w:iCs/>
          <w:color w:val="000000" w:themeColor="text1"/>
          <w:sz w:val="20"/>
          <w:szCs w:val="20"/>
          <w:shd w:val="clear" w:color="auto" w:fill="FFFFFF"/>
          <w:lang w:val="en-US"/>
        </w:rPr>
        <w:t>Journal of Regulatory Economics</w:t>
      </w:r>
      <w:r w:rsidRPr="003C5FF9">
        <w:rPr>
          <w:rFonts w:ascii="Times New Roman" w:hAnsi="Times New Roman" w:cs="Times New Roman"/>
          <w:color w:val="000000" w:themeColor="text1"/>
          <w:sz w:val="20"/>
          <w:szCs w:val="20"/>
          <w:shd w:val="clear" w:color="auto" w:fill="FFFFFF"/>
          <w:lang w:val="en-US"/>
        </w:rPr>
        <w:t>, </w:t>
      </w:r>
      <w:r w:rsidRPr="003C5FF9">
        <w:rPr>
          <w:rFonts w:ascii="Times New Roman" w:hAnsi="Times New Roman" w:cs="Times New Roman"/>
          <w:i/>
          <w:iCs/>
          <w:color w:val="000000" w:themeColor="text1"/>
          <w:sz w:val="20"/>
          <w:szCs w:val="20"/>
          <w:shd w:val="clear" w:color="auto" w:fill="FFFFFF"/>
          <w:lang w:val="en-US"/>
        </w:rPr>
        <w:t>45</w:t>
      </w:r>
      <w:r w:rsidRPr="003C5FF9">
        <w:rPr>
          <w:rFonts w:ascii="Times New Roman" w:hAnsi="Times New Roman" w:cs="Times New Roman"/>
          <w:color w:val="000000" w:themeColor="text1"/>
          <w:sz w:val="20"/>
          <w:szCs w:val="20"/>
          <w:shd w:val="clear" w:color="auto" w:fill="FFFFFF"/>
          <w:lang w:val="en-US"/>
        </w:rPr>
        <w:t>, 94-113.</w:t>
      </w:r>
    </w:p>
    <w:p w14:paraId="0EA13E0E" w14:textId="7817FB54"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Loureiro, G. B., Ferreira, J. C. E., &amp; Messerschmidt, P. H. Z. (2020). Design structure network (DSN): A method to make explicit the product design specification process for mass customization. </w:t>
      </w:r>
      <w:r w:rsidRPr="00C82EE1">
        <w:rPr>
          <w:rFonts w:ascii="Times New Roman" w:hAnsi="Times New Roman" w:cs="Times New Roman"/>
          <w:i/>
          <w:iCs/>
          <w:sz w:val="20"/>
          <w:szCs w:val="20"/>
          <w:lang w:val="en-US"/>
        </w:rPr>
        <w:t>Research in Engineering Design</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31</w:t>
      </w:r>
      <w:r w:rsidRPr="00C82EE1">
        <w:rPr>
          <w:rFonts w:ascii="Times New Roman" w:hAnsi="Times New Roman" w:cs="Times New Roman"/>
          <w:sz w:val="20"/>
          <w:szCs w:val="20"/>
          <w:lang w:val="en-US"/>
        </w:rPr>
        <w:t xml:space="preserve">(2), 197–220. </w:t>
      </w:r>
    </w:p>
    <w:p w14:paraId="5AD655B5" w14:textId="4B11C784"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Lu, X. (2012). The Relationship of Lexical Richness to the Quality of ESL Learners’ Oral Narratives. </w:t>
      </w:r>
      <w:r w:rsidRPr="00C82EE1">
        <w:rPr>
          <w:rFonts w:ascii="Times New Roman" w:hAnsi="Times New Roman" w:cs="Times New Roman"/>
          <w:i/>
          <w:iCs/>
          <w:sz w:val="20"/>
          <w:szCs w:val="20"/>
          <w:lang w:val="en-US"/>
        </w:rPr>
        <w:t>The Modern Language Journal</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96</w:t>
      </w:r>
      <w:r w:rsidRPr="00C82EE1">
        <w:rPr>
          <w:rFonts w:ascii="Times New Roman" w:hAnsi="Times New Roman" w:cs="Times New Roman"/>
          <w:sz w:val="20"/>
          <w:szCs w:val="20"/>
          <w:lang w:val="en-US"/>
        </w:rPr>
        <w:t xml:space="preserve">(2), 190–208. </w:t>
      </w:r>
    </w:p>
    <w:p w14:paraId="2BA771C0"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lang w:val="en-US"/>
        </w:rPr>
      </w:pPr>
      <w:proofErr w:type="spellStart"/>
      <w:r w:rsidRPr="003C5FF9">
        <w:rPr>
          <w:rFonts w:ascii="Times New Roman" w:hAnsi="Times New Roman" w:cs="Times New Roman"/>
          <w:color w:val="000000" w:themeColor="text1"/>
          <w:sz w:val="20"/>
          <w:szCs w:val="20"/>
          <w:shd w:val="clear" w:color="auto" w:fill="FFFFFF"/>
          <w:lang w:val="en-US"/>
        </w:rPr>
        <w:t>Lyandres</w:t>
      </w:r>
      <w:proofErr w:type="spellEnd"/>
      <w:r w:rsidRPr="003C5FF9">
        <w:rPr>
          <w:rFonts w:ascii="Times New Roman" w:hAnsi="Times New Roman" w:cs="Times New Roman"/>
          <w:color w:val="000000" w:themeColor="text1"/>
          <w:sz w:val="20"/>
          <w:szCs w:val="20"/>
          <w:shd w:val="clear" w:color="auto" w:fill="FFFFFF"/>
          <w:lang w:val="en-US"/>
        </w:rPr>
        <w:t xml:space="preserve">, E., Palazzo, B., &amp; </w:t>
      </w:r>
      <w:proofErr w:type="spellStart"/>
      <w:r w:rsidRPr="003C5FF9">
        <w:rPr>
          <w:rFonts w:ascii="Times New Roman" w:hAnsi="Times New Roman" w:cs="Times New Roman"/>
          <w:color w:val="000000" w:themeColor="text1"/>
          <w:sz w:val="20"/>
          <w:szCs w:val="20"/>
          <w:shd w:val="clear" w:color="auto" w:fill="FFFFFF"/>
          <w:lang w:val="en-US"/>
        </w:rPr>
        <w:t>Rabetti</w:t>
      </w:r>
      <w:proofErr w:type="spellEnd"/>
      <w:r w:rsidRPr="003C5FF9">
        <w:rPr>
          <w:rFonts w:ascii="Times New Roman" w:hAnsi="Times New Roman" w:cs="Times New Roman"/>
          <w:color w:val="000000" w:themeColor="text1"/>
          <w:sz w:val="20"/>
          <w:szCs w:val="20"/>
          <w:shd w:val="clear" w:color="auto" w:fill="FFFFFF"/>
          <w:lang w:val="en-US"/>
        </w:rPr>
        <w:t>, D. (2022). Initial coin offering (ICO) success and post-ICO performance. </w:t>
      </w:r>
      <w:r w:rsidRPr="003C5FF9">
        <w:rPr>
          <w:rFonts w:ascii="Times New Roman" w:hAnsi="Times New Roman" w:cs="Times New Roman"/>
          <w:i/>
          <w:iCs/>
          <w:color w:val="000000" w:themeColor="text1"/>
          <w:sz w:val="20"/>
          <w:szCs w:val="20"/>
          <w:shd w:val="clear" w:color="auto" w:fill="FFFFFF"/>
          <w:lang w:val="en-US"/>
        </w:rPr>
        <w:t>Management Science</w:t>
      </w:r>
      <w:r w:rsidRPr="003C5FF9">
        <w:rPr>
          <w:rFonts w:ascii="Times New Roman" w:hAnsi="Times New Roman" w:cs="Times New Roman"/>
          <w:color w:val="000000" w:themeColor="text1"/>
          <w:sz w:val="20"/>
          <w:szCs w:val="20"/>
          <w:shd w:val="clear" w:color="auto" w:fill="FFFFFF"/>
          <w:lang w:val="en-US"/>
        </w:rPr>
        <w:t>, </w:t>
      </w:r>
      <w:r w:rsidRPr="003C5FF9">
        <w:rPr>
          <w:rFonts w:ascii="Times New Roman" w:hAnsi="Times New Roman" w:cs="Times New Roman"/>
          <w:i/>
          <w:iCs/>
          <w:color w:val="000000" w:themeColor="text1"/>
          <w:sz w:val="20"/>
          <w:szCs w:val="20"/>
          <w:shd w:val="clear" w:color="auto" w:fill="FFFFFF"/>
          <w:lang w:val="en-US"/>
        </w:rPr>
        <w:t>68</w:t>
      </w:r>
      <w:r w:rsidRPr="003C5FF9">
        <w:rPr>
          <w:rFonts w:ascii="Times New Roman" w:hAnsi="Times New Roman" w:cs="Times New Roman"/>
          <w:color w:val="000000" w:themeColor="text1"/>
          <w:sz w:val="20"/>
          <w:szCs w:val="20"/>
          <w:shd w:val="clear" w:color="auto" w:fill="FFFFFF"/>
          <w:lang w:val="en-US"/>
        </w:rPr>
        <w:t>(12), 8658-8679.</w:t>
      </w:r>
    </w:p>
    <w:p w14:paraId="640D0F58" w14:textId="58A66F97"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Mahmood, A., </w:t>
      </w:r>
      <w:proofErr w:type="spellStart"/>
      <w:r w:rsidRPr="00C82EE1">
        <w:rPr>
          <w:rFonts w:ascii="Times New Roman" w:hAnsi="Times New Roman" w:cs="Times New Roman"/>
          <w:sz w:val="20"/>
          <w:szCs w:val="20"/>
          <w:lang w:val="en-US"/>
        </w:rPr>
        <w:t>Luffarelli</w:t>
      </w:r>
      <w:proofErr w:type="spellEnd"/>
      <w:r w:rsidRPr="00C82EE1">
        <w:rPr>
          <w:rFonts w:ascii="Times New Roman" w:hAnsi="Times New Roman" w:cs="Times New Roman"/>
          <w:sz w:val="20"/>
          <w:szCs w:val="20"/>
          <w:lang w:val="en-US"/>
        </w:rPr>
        <w:t xml:space="preserve">, J., &amp; Mukesh, M. (2019). What’s in a logo? The impact of complex visual cues in equity crowdfunding. </w:t>
      </w:r>
      <w:r w:rsidRPr="00C82EE1">
        <w:rPr>
          <w:rFonts w:ascii="Times New Roman" w:hAnsi="Times New Roman" w:cs="Times New Roman"/>
          <w:i/>
          <w:iCs/>
          <w:sz w:val="20"/>
          <w:szCs w:val="20"/>
          <w:lang w:val="en-US"/>
        </w:rPr>
        <w:t>Journal of Business Venturing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34</w:t>
      </w:r>
      <w:r w:rsidRPr="00C82EE1">
        <w:rPr>
          <w:rFonts w:ascii="Times New Roman" w:hAnsi="Times New Roman" w:cs="Times New Roman"/>
          <w:sz w:val="20"/>
          <w:szCs w:val="20"/>
          <w:lang w:val="en-US"/>
        </w:rPr>
        <w:t xml:space="preserve">(1), 41–62. </w:t>
      </w:r>
    </w:p>
    <w:p w14:paraId="554A9CD3"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lang w:val="en-US"/>
        </w:rPr>
      </w:pPr>
      <w:r w:rsidRPr="003C5FF9">
        <w:rPr>
          <w:rFonts w:ascii="Times New Roman" w:hAnsi="Times New Roman" w:cs="Times New Roman"/>
          <w:color w:val="000000" w:themeColor="text1"/>
          <w:sz w:val="20"/>
          <w:szCs w:val="20"/>
          <w:shd w:val="clear" w:color="auto" w:fill="FFFFFF"/>
          <w:lang w:val="en-US"/>
        </w:rPr>
        <w:t xml:space="preserve">Malvern, D., Richards, B., </w:t>
      </w:r>
      <w:proofErr w:type="spellStart"/>
      <w:r w:rsidRPr="003C5FF9">
        <w:rPr>
          <w:rFonts w:ascii="Times New Roman" w:hAnsi="Times New Roman" w:cs="Times New Roman"/>
          <w:color w:val="000000" w:themeColor="text1"/>
          <w:sz w:val="20"/>
          <w:szCs w:val="20"/>
          <w:shd w:val="clear" w:color="auto" w:fill="FFFFFF"/>
          <w:lang w:val="en-US"/>
        </w:rPr>
        <w:t>Chipere</w:t>
      </w:r>
      <w:proofErr w:type="spellEnd"/>
      <w:r w:rsidRPr="003C5FF9">
        <w:rPr>
          <w:rFonts w:ascii="Times New Roman" w:hAnsi="Times New Roman" w:cs="Times New Roman"/>
          <w:color w:val="000000" w:themeColor="text1"/>
          <w:sz w:val="20"/>
          <w:szCs w:val="20"/>
          <w:shd w:val="clear" w:color="auto" w:fill="FFFFFF"/>
          <w:lang w:val="en-US"/>
        </w:rPr>
        <w:t>, N., &amp; Durán, P. (2004). </w:t>
      </w:r>
      <w:r w:rsidRPr="003C5FF9">
        <w:rPr>
          <w:rFonts w:ascii="Times New Roman" w:hAnsi="Times New Roman" w:cs="Times New Roman"/>
          <w:i/>
          <w:iCs/>
          <w:color w:val="000000" w:themeColor="text1"/>
          <w:sz w:val="20"/>
          <w:szCs w:val="20"/>
          <w:shd w:val="clear" w:color="auto" w:fill="FFFFFF"/>
          <w:lang w:val="en-US"/>
        </w:rPr>
        <w:t>Lexical diversity and language development</w:t>
      </w:r>
      <w:r w:rsidRPr="003C5FF9">
        <w:rPr>
          <w:rFonts w:ascii="Times New Roman" w:hAnsi="Times New Roman" w:cs="Times New Roman"/>
          <w:color w:val="000000" w:themeColor="text1"/>
          <w:sz w:val="20"/>
          <w:szCs w:val="20"/>
          <w:shd w:val="clear" w:color="auto" w:fill="FFFFFF"/>
          <w:lang w:val="en-US"/>
        </w:rPr>
        <w:t xml:space="preserve"> (pp. 16-30). </w:t>
      </w:r>
    </w:p>
    <w:p w14:paraId="34EBDBA1" w14:textId="05C442FB"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rPr>
        <w:t xml:space="preserve">Mansouri, S., &amp; </w:t>
      </w:r>
      <w:proofErr w:type="spellStart"/>
      <w:r w:rsidRPr="00C82EE1">
        <w:rPr>
          <w:rFonts w:ascii="Times New Roman" w:hAnsi="Times New Roman" w:cs="Times New Roman"/>
          <w:sz w:val="20"/>
          <w:szCs w:val="20"/>
        </w:rPr>
        <w:t>Momtaz</w:t>
      </w:r>
      <w:proofErr w:type="spellEnd"/>
      <w:r w:rsidRPr="00C82EE1">
        <w:rPr>
          <w:rFonts w:ascii="Times New Roman" w:hAnsi="Times New Roman" w:cs="Times New Roman"/>
          <w:sz w:val="20"/>
          <w:szCs w:val="20"/>
        </w:rPr>
        <w:t xml:space="preserve">, P. P. (2022). </w:t>
      </w:r>
      <w:r w:rsidRPr="00C82EE1">
        <w:rPr>
          <w:rFonts w:ascii="Times New Roman" w:hAnsi="Times New Roman" w:cs="Times New Roman"/>
          <w:sz w:val="20"/>
          <w:szCs w:val="20"/>
          <w:lang w:val="en-US"/>
        </w:rPr>
        <w:t xml:space="preserve">Financing sustainable entrepreneurship: ESG measurement, valuation, and performance. </w:t>
      </w:r>
      <w:r w:rsidRPr="00C82EE1">
        <w:rPr>
          <w:rFonts w:ascii="Times New Roman" w:hAnsi="Times New Roman" w:cs="Times New Roman"/>
          <w:i/>
          <w:iCs/>
          <w:sz w:val="20"/>
          <w:szCs w:val="20"/>
          <w:lang w:val="en-US"/>
        </w:rPr>
        <w:t>Journal of Business Venturing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37</w:t>
      </w:r>
      <w:r w:rsidRPr="00C82EE1">
        <w:rPr>
          <w:rFonts w:ascii="Times New Roman" w:hAnsi="Times New Roman" w:cs="Times New Roman"/>
          <w:sz w:val="20"/>
          <w:szCs w:val="20"/>
          <w:lang w:val="en-US"/>
        </w:rPr>
        <w:t xml:space="preserve">(6), 106258. </w:t>
      </w:r>
    </w:p>
    <w:p w14:paraId="57558847" w14:textId="554A3D79"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Miller, B. P. (2010). The Effects of Reporting Complexity on Small and Large Investor Trading. </w:t>
      </w:r>
      <w:r w:rsidRPr="00C82EE1">
        <w:rPr>
          <w:rFonts w:ascii="Times New Roman" w:hAnsi="Times New Roman" w:cs="Times New Roman"/>
          <w:i/>
          <w:iCs/>
          <w:sz w:val="20"/>
          <w:szCs w:val="20"/>
          <w:lang w:val="en-US"/>
        </w:rPr>
        <w:t>The Accounting Review</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85</w:t>
      </w:r>
      <w:r w:rsidRPr="00C82EE1">
        <w:rPr>
          <w:rFonts w:ascii="Times New Roman" w:hAnsi="Times New Roman" w:cs="Times New Roman"/>
          <w:sz w:val="20"/>
          <w:szCs w:val="20"/>
          <w:lang w:val="en-US"/>
        </w:rPr>
        <w:t xml:space="preserve">(6), 2107–2143. </w:t>
      </w:r>
    </w:p>
    <w:p w14:paraId="0759EF00" w14:textId="1C251DD5"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(2020). Initial Coin Offerings. </w:t>
      </w:r>
      <w:r w:rsidRPr="00C82EE1">
        <w:rPr>
          <w:rFonts w:ascii="Times New Roman" w:hAnsi="Times New Roman" w:cs="Times New Roman"/>
          <w:i/>
          <w:iCs/>
          <w:sz w:val="20"/>
          <w:szCs w:val="20"/>
          <w:lang w:val="en-US"/>
        </w:rPr>
        <w:t>PLOS ONE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15</w:t>
      </w:r>
      <w:r w:rsidRPr="00C82EE1">
        <w:rPr>
          <w:rFonts w:ascii="Times New Roman" w:hAnsi="Times New Roman" w:cs="Times New Roman"/>
          <w:sz w:val="20"/>
          <w:szCs w:val="20"/>
          <w:lang w:val="en-US"/>
        </w:rPr>
        <w:t xml:space="preserve">(5), e0233018. </w:t>
      </w:r>
    </w:p>
    <w:p w14:paraId="50322767" w14:textId="62C973B3"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(2021a). CEO emotions and firm valuation in initial coin offerings: An artificial emotional intelligence approach. </w:t>
      </w:r>
      <w:r w:rsidRPr="00C82EE1">
        <w:rPr>
          <w:rFonts w:ascii="Times New Roman" w:hAnsi="Times New Roman" w:cs="Times New Roman"/>
          <w:i/>
          <w:iCs/>
          <w:sz w:val="20"/>
          <w:szCs w:val="20"/>
          <w:lang w:val="en-US"/>
        </w:rPr>
        <w:t>Strategic Management Journal</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42</w:t>
      </w:r>
      <w:r w:rsidRPr="00C82EE1">
        <w:rPr>
          <w:rFonts w:ascii="Times New Roman" w:hAnsi="Times New Roman" w:cs="Times New Roman"/>
          <w:sz w:val="20"/>
          <w:szCs w:val="20"/>
          <w:lang w:val="en-US"/>
        </w:rPr>
        <w:t xml:space="preserve">(3), 558–578. </w:t>
      </w:r>
    </w:p>
    <w:p w14:paraId="2F1E711D" w14:textId="6568731D"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(2021b). Entrepreneurial Finance and Moral Hazard: Evidence from Token Offerings. </w:t>
      </w:r>
      <w:r w:rsidRPr="00C82EE1">
        <w:rPr>
          <w:rFonts w:ascii="Times New Roman" w:hAnsi="Times New Roman" w:cs="Times New Roman"/>
          <w:i/>
          <w:iCs/>
          <w:sz w:val="20"/>
          <w:szCs w:val="20"/>
          <w:lang w:val="en-US"/>
        </w:rPr>
        <w:t>Journal of Business Venturing</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36</w:t>
      </w:r>
      <w:r w:rsidRPr="00C82EE1">
        <w:rPr>
          <w:rFonts w:ascii="Times New Roman" w:hAnsi="Times New Roman" w:cs="Times New Roman"/>
          <w:sz w:val="20"/>
          <w:szCs w:val="20"/>
          <w:lang w:val="en-US"/>
        </w:rPr>
        <w:t xml:space="preserve">(5), 106001. </w:t>
      </w:r>
    </w:p>
    <w:p w14:paraId="3DE61F15" w14:textId="73151E9C"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lastRenderedPageBreak/>
        <w:t>Momtaz</w:t>
      </w:r>
      <w:proofErr w:type="spellEnd"/>
      <w:r w:rsidRPr="00C82EE1">
        <w:rPr>
          <w:rFonts w:ascii="Times New Roman" w:hAnsi="Times New Roman" w:cs="Times New Roman"/>
          <w:sz w:val="20"/>
          <w:szCs w:val="20"/>
          <w:lang w:val="en-US"/>
        </w:rPr>
        <w:t xml:space="preserve">, P. P. (2021c). Initial coin offerings, asymmetric information, and loyal CEOs. </w:t>
      </w:r>
      <w:r w:rsidRPr="00C82EE1">
        <w:rPr>
          <w:rFonts w:ascii="Times New Roman" w:hAnsi="Times New Roman" w:cs="Times New Roman"/>
          <w:i/>
          <w:iCs/>
          <w:sz w:val="20"/>
          <w:szCs w:val="20"/>
          <w:lang w:val="en-US"/>
        </w:rPr>
        <w:t>Small Business Economics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57</w:t>
      </w:r>
      <w:r w:rsidRPr="00C82EE1">
        <w:rPr>
          <w:rFonts w:ascii="Times New Roman" w:hAnsi="Times New Roman" w:cs="Times New Roman"/>
          <w:sz w:val="20"/>
          <w:szCs w:val="20"/>
          <w:lang w:val="en-US"/>
        </w:rPr>
        <w:t xml:space="preserve">(2), 975–997. </w:t>
      </w:r>
    </w:p>
    <w:p w14:paraId="40432F49" w14:textId="0B2F39CE" w:rsidR="00CF22D9"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xml:space="preserve">, P. P. (2021d). The Pricing and Performance of Cryptocurrency. </w:t>
      </w:r>
      <w:r w:rsidRPr="00C82EE1">
        <w:rPr>
          <w:rFonts w:ascii="Times New Roman" w:hAnsi="Times New Roman" w:cs="Times New Roman"/>
          <w:i/>
          <w:iCs/>
          <w:sz w:val="20"/>
          <w:szCs w:val="20"/>
          <w:lang w:val="en-US"/>
        </w:rPr>
        <w:t>The European Journal of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27</w:t>
      </w:r>
      <w:r w:rsidRPr="00C82EE1">
        <w:rPr>
          <w:rFonts w:ascii="Times New Roman" w:hAnsi="Times New Roman" w:cs="Times New Roman"/>
          <w:sz w:val="20"/>
          <w:szCs w:val="20"/>
          <w:lang w:val="en-US"/>
        </w:rPr>
        <w:t xml:space="preserve">(4–5), 367–380. </w:t>
      </w:r>
    </w:p>
    <w:p w14:paraId="2DC94750" w14:textId="27339AB0" w:rsidR="00D72D15" w:rsidRPr="00D72D15" w:rsidRDefault="00D72D15"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Momtaz</w:t>
      </w:r>
      <w:proofErr w:type="spellEnd"/>
      <w:r w:rsidRPr="00C82EE1">
        <w:rPr>
          <w:rFonts w:ascii="Times New Roman" w:hAnsi="Times New Roman" w:cs="Times New Roman"/>
          <w:sz w:val="20"/>
          <w:szCs w:val="20"/>
          <w:lang w:val="en-US"/>
        </w:rPr>
        <w:t>, P. P. (2024). Decentralized finance (</w:t>
      </w:r>
      <w:proofErr w:type="spellStart"/>
      <w:r w:rsidRPr="00C82EE1">
        <w:rPr>
          <w:rFonts w:ascii="Times New Roman" w:hAnsi="Times New Roman" w:cs="Times New Roman"/>
          <w:sz w:val="20"/>
          <w:szCs w:val="20"/>
          <w:lang w:val="en-US"/>
        </w:rPr>
        <w:t>DeFi</w:t>
      </w:r>
      <w:proofErr w:type="spellEnd"/>
      <w:r w:rsidRPr="00C82EE1">
        <w:rPr>
          <w:rFonts w:ascii="Times New Roman" w:hAnsi="Times New Roman" w:cs="Times New Roman"/>
          <w:sz w:val="20"/>
          <w:szCs w:val="20"/>
          <w:lang w:val="en-US"/>
        </w:rPr>
        <w:t xml:space="preserve">) markets for startups: Search frictions, intermediation, and the efficiency of the ICO market. </w:t>
      </w:r>
      <w:r w:rsidRPr="00C82EE1">
        <w:rPr>
          <w:rFonts w:ascii="Times New Roman" w:hAnsi="Times New Roman" w:cs="Times New Roman"/>
          <w:i/>
          <w:iCs/>
          <w:sz w:val="20"/>
          <w:szCs w:val="20"/>
          <w:lang w:val="en-US"/>
        </w:rPr>
        <w:t>Small Business Economics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63</w:t>
      </w:r>
      <w:r w:rsidRPr="00C82EE1">
        <w:rPr>
          <w:rFonts w:ascii="Times New Roman" w:hAnsi="Times New Roman" w:cs="Times New Roman"/>
          <w:sz w:val="20"/>
          <w:szCs w:val="20"/>
          <w:lang w:val="en-US"/>
        </w:rPr>
        <w:t xml:space="preserve">(4), 1415–1447. </w:t>
      </w:r>
    </w:p>
    <w:p w14:paraId="24B2267B"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lang w:val="en-US"/>
        </w:rPr>
      </w:pPr>
      <w:proofErr w:type="spellStart"/>
      <w:r w:rsidRPr="003C5FF9">
        <w:rPr>
          <w:rFonts w:ascii="Times New Roman" w:hAnsi="Times New Roman" w:cs="Times New Roman"/>
          <w:color w:val="000000" w:themeColor="text1"/>
          <w:sz w:val="20"/>
          <w:szCs w:val="20"/>
          <w:shd w:val="clear" w:color="auto" w:fill="FFFFFF"/>
          <w:lang w:val="en-US"/>
        </w:rPr>
        <w:t>Mützel</w:t>
      </w:r>
      <w:proofErr w:type="spellEnd"/>
      <w:r w:rsidRPr="003C5FF9">
        <w:rPr>
          <w:rFonts w:ascii="Times New Roman" w:hAnsi="Times New Roman" w:cs="Times New Roman"/>
          <w:color w:val="000000" w:themeColor="text1"/>
          <w:sz w:val="20"/>
          <w:szCs w:val="20"/>
          <w:shd w:val="clear" w:color="auto" w:fill="FFFFFF"/>
          <w:lang w:val="en-US"/>
        </w:rPr>
        <w:t>, L. M. A., &amp; Kilian, T. (2016). Product complexity in consumer research: Literature review and implications for future research. In </w:t>
      </w:r>
      <w:r w:rsidRPr="003C5FF9">
        <w:rPr>
          <w:rFonts w:ascii="Times New Roman" w:hAnsi="Times New Roman" w:cs="Times New Roman"/>
          <w:i/>
          <w:iCs/>
          <w:color w:val="000000" w:themeColor="text1"/>
          <w:sz w:val="20"/>
          <w:szCs w:val="20"/>
          <w:shd w:val="clear" w:color="auto" w:fill="FFFFFF"/>
          <w:lang w:val="en-US"/>
        </w:rPr>
        <w:t>Rediscovering the Essentiality of Marketing: Proceedings of the 2015 Academy of Marketing Science (AMS) World Marketing Congress</w:t>
      </w:r>
      <w:r w:rsidRPr="003C5FF9">
        <w:rPr>
          <w:rFonts w:ascii="Times New Roman" w:hAnsi="Times New Roman" w:cs="Times New Roman"/>
          <w:color w:val="000000" w:themeColor="text1"/>
          <w:sz w:val="20"/>
          <w:szCs w:val="20"/>
          <w:shd w:val="clear" w:color="auto" w:fill="FFFFFF"/>
          <w:lang w:val="en-US"/>
        </w:rPr>
        <w:t xml:space="preserve"> (pp. 645-661). </w:t>
      </w:r>
    </w:p>
    <w:p w14:paraId="1BD47116" w14:textId="32BBCCFC" w:rsidR="00CF22D9" w:rsidRPr="0055278B" w:rsidRDefault="00CF22D9" w:rsidP="00D72D15">
      <w:pPr>
        <w:pStyle w:val="Bibliographie"/>
        <w:spacing w:line="360" w:lineRule="auto"/>
        <w:rPr>
          <w:rFonts w:ascii="Times New Roman" w:hAnsi="Times New Roman" w:cs="Times New Roman"/>
          <w:sz w:val="20"/>
          <w:szCs w:val="20"/>
          <w:lang w:val="en-US"/>
        </w:rPr>
      </w:pPr>
      <w:r w:rsidRPr="00772C6F">
        <w:rPr>
          <w:rFonts w:ascii="Times New Roman" w:hAnsi="Times New Roman" w:cs="Times New Roman"/>
          <w:sz w:val="20"/>
          <w:szCs w:val="20"/>
          <w:lang w:val="pt-PT"/>
        </w:rPr>
        <w:t xml:space="preserve">Neira, I., Calvo, N., Fernández, L., &amp; Portela, M. (2017). </w:t>
      </w:r>
      <w:r w:rsidRPr="0055278B">
        <w:rPr>
          <w:rFonts w:ascii="Times New Roman" w:hAnsi="Times New Roman" w:cs="Times New Roman"/>
          <w:sz w:val="20"/>
          <w:szCs w:val="20"/>
          <w:lang w:val="en-US"/>
        </w:rPr>
        <w:t xml:space="preserve">Entrepreneur: Do social capital and culture matter? </w:t>
      </w:r>
      <w:r w:rsidRPr="0055278B">
        <w:rPr>
          <w:rFonts w:ascii="Times New Roman" w:hAnsi="Times New Roman" w:cs="Times New Roman"/>
          <w:i/>
          <w:iCs/>
          <w:sz w:val="20"/>
          <w:szCs w:val="20"/>
          <w:lang w:val="en-US"/>
        </w:rPr>
        <w:t>International Entrepreneurship and Management Journal</w:t>
      </w:r>
      <w:r w:rsidRPr="0055278B">
        <w:rPr>
          <w:rFonts w:ascii="Times New Roman" w:hAnsi="Times New Roman" w:cs="Times New Roman"/>
          <w:sz w:val="20"/>
          <w:szCs w:val="20"/>
          <w:lang w:val="en-US"/>
        </w:rPr>
        <w:t xml:space="preserve">, </w:t>
      </w:r>
      <w:r w:rsidRPr="0055278B">
        <w:rPr>
          <w:rFonts w:ascii="Times New Roman" w:hAnsi="Times New Roman" w:cs="Times New Roman"/>
          <w:i/>
          <w:iCs/>
          <w:sz w:val="20"/>
          <w:szCs w:val="20"/>
          <w:lang w:val="en-US"/>
        </w:rPr>
        <w:t>13</w:t>
      </w:r>
      <w:r w:rsidRPr="0055278B">
        <w:rPr>
          <w:rFonts w:ascii="Times New Roman" w:hAnsi="Times New Roman" w:cs="Times New Roman"/>
          <w:sz w:val="20"/>
          <w:szCs w:val="20"/>
          <w:lang w:val="en-US"/>
        </w:rPr>
        <w:t xml:space="preserve">(2), 665–683. </w:t>
      </w:r>
    </w:p>
    <w:p w14:paraId="3EAB0053"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lang w:val="en-US"/>
        </w:rPr>
      </w:pPr>
      <w:r w:rsidRPr="003C5FF9">
        <w:rPr>
          <w:rFonts w:ascii="Times New Roman" w:hAnsi="Times New Roman" w:cs="Times New Roman"/>
          <w:color w:val="000000" w:themeColor="text1"/>
          <w:sz w:val="20"/>
          <w:szCs w:val="20"/>
          <w:shd w:val="clear" w:color="auto" w:fill="FFFFFF"/>
          <w:lang w:val="en-US"/>
        </w:rPr>
        <w:t>Norris, J. M., &amp; Ortega, L. (2009). Towards an organic approach to investigating CAF in instructed SLA: The case of complexity. </w:t>
      </w:r>
      <w:r w:rsidRPr="003C5FF9">
        <w:rPr>
          <w:rFonts w:ascii="Times New Roman" w:hAnsi="Times New Roman" w:cs="Times New Roman"/>
          <w:i/>
          <w:iCs/>
          <w:color w:val="000000" w:themeColor="text1"/>
          <w:sz w:val="20"/>
          <w:szCs w:val="20"/>
          <w:shd w:val="clear" w:color="auto" w:fill="FFFFFF"/>
          <w:lang w:val="en-US"/>
        </w:rPr>
        <w:t>Applied linguistics</w:t>
      </w:r>
      <w:r w:rsidRPr="003C5FF9">
        <w:rPr>
          <w:rFonts w:ascii="Times New Roman" w:hAnsi="Times New Roman" w:cs="Times New Roman"/>
          <w:color w:val="000000" w:themeColor="text1"/>
          <w:sz w:val="20"/>
          <w:szCs w:val="20"/>
          <w:shd w:val="clear" w:color="auto" w:fill="FFFFFF"/>
          <w:lang w:val="en-US"/>
        </w:rPr>
        <w:t>, </w:t>
      </w:r>
      <w:r w:rsidRPr="003C5FF9">
        <w:rPr>
          <w:rFonts w:ascii="Times New Roman" w:hAnsi="Times New Roman" w:cs="Times New Roman"/>
          <w:i/>
          <w:iCs/>
          <w:color w:val="000000" w:themeColor="text1"/>
          <w:sz w:val="20"/>
          <w:szCs w:val="20"/>
          <w:shd w:val="clear" w:color="auto" w:fill="FFFFFF"/>
          <w:lang w:val="en-US"/>
        </w:rPr>
        <w:t>30</w:t>
      </w:r>
      <w:r w:rsidRPr="003C5FF9">
        <w:rPr>
          <w:rFonts w:ascii="Times New Roman" w:hAnsi="Times New Roman" w:cs="Times New Roman"/>
          <w:color w:val="000000" w:themeColor="text1"/>
          <w:sz w:val="20"/>
          <w:szCs w:val="20"/>
          <w:shd w:val="clear" w:color="auto" w:fill="FFFFFF"/>
          <w:lang w:val="en-US"/>
        </w:rPr>
        <w:t>(4), 555-578.</w:t>
      </w:r>
    </w:p>
    <w:p w14:paraId="51275C13" w14:textId="72019C3F"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Osburg</w:t>
      </w:r>
      <w:proofErr w:type="spellEnd"/>
      <w:r w:rsidRPr="00C82EE1">
        <w:rPr>
          <w:rFonts w:ascii="Times New Roman" w:hAnsi="Times New Roman" w:cs="Times New Roman"/>
          <w:sz w:val="20"/>
          <w:szCs w:val="20"/>
          <w:lang w:val="en-US"/>
        </w:rPr>
        <w:t xml:space="preserve">, V.S., </w:t>
      </w:r>
      <w:proofErr w:type="spellStart"/>
      <w:r w:rsidRPr="00C82EE1">
        <w:rPr>
          <w:rFonts w:ascii="Times New Roman" w:hAnsi="Times New Roman" w:cs="Times New Roman"/>
          <w:sz w:val="20"/>
          <w:szCs w:val="20"/>
          <w:lang w:val="en-US"/>
        </w:rPr>
        <w:t>Yoganathan</w:t>
      </w:r>
      <w:proofErr w:type="spellEnd"/>
      <w:r w:rsidRPr="00C82EE1">
        <w:rPr>
          <w:rFonts w:ascii="Times New Roman" w:hAnsi="Times New Roman" w:cs="Times New Roman"/>
          <w:sz w:val="20"/>
          <w:szCs w:val="20"/>
          <w:lang w:val="en-US"/>
        </w:rPr>
        <w:t xml:space="preserve">, V., McLeay, F., &amp; Diallo, M. F. (2022). (In)compatibilities in sustainable luxury signals. </w:t>
      </w:r>
      <w:r w:rsidRPr="00C82EE1">
        <w:rPr>
          <w:rFonts w:ascii="Times New Roman" w:hAnsi="Times New Roman" w:cs="Times New Roman"/>
          <w:i/>
          <w:iCs/>
          <w:sz w:val="20"/>
          <w:szCs w:val="20"/>
          <w:lang w:val="en-US"/>
        </w:rPr>
        <w:t>Ecological Economics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196</w:t>
      </w:r>
      <w:r w:rsidRPr="00C82EE1">
        <w:rPr>
          <w:rFonts w:ascii="Times New Roman" w:hAnsi="Times New Roman" w:cs="Times New Roman"/>
          <w:sz w:val="20"/>
          <w:szCs w:val="20"/>
          <w:lang w:val="en-US"/>
        </w:rPr>
        <w:t xml:space="preserve">, 107430. </w:t>
      </w:r>
    </w:p>
    <w:p w14:paraId="0A48E8BB" w14:textId="4DBF3FBB" w:rsidR="004B7749" w:rsidRPr="00C82EE1" w:rsidRDefault="004B7749" w:rsidP="00D72D15">
      <w:pPr>
        <w:spacing w:after="0" w:line="360" w:lineRule="auto"/>
        <w:ind w:left="720" w:hanging="720"/>
        <w:jc w:val="both"/>
        <w:rPr>
          <w:rFonts w:ascii="Times New Roman" w:hAnsi="Times New Roman" w:cs="Times New Roman"/>
          <w:sz w:val="20"/>
          <w:szCs w:val="20"/>
        </w:rPr>
      </w:pPr>
      <w:r w:rsidRPr="00C82EE1">
        <w:rPr>
          <w:rFonts w:ascii="Times New Roman" w:hAnsi="Times New Roman" w:cs="Times New Roman"/>
          <w:sz w:val="20"/>
          <w:szCs w:val="20"/>
        </w:rPr>
        <w:t xml:space="preserve">Pretorius, M. &amp; Thewissen, J. (forthcoming). Mediating L2 Writing Revision: The Impact of </w:t>
      </w:r>
      <w:proofErr w:type="spellStart"/>
      <w:r w:rsidRPr="00C82EE1">
        <w:rPr>
          <w:rFonts w:ascii="Times New Roman" w:hAnsi="Times New Roman" w:cs="Times New Roman"/>
          <w:sz w:val="20"/>
          <w:szCs w:val="20"/>
        </w:rPr>
        <w:t>ChatGPT</w:t>
      </w:r>
      <w:proofErr w:type="spellEnd"/>
      <w:r w:rsidRPr="00C82EE1">
        <w:rPr>
          <w:rFonts w:ascii="Times New Roman" w:hAnsi="Times New Roman" w:cs="Times New Roman"/>
          <w:sz w:val="20"/>
          <w:szCs w:val="20"/>
        </w:rPr>
        <w:t xml:space="preserve"> Feedback on L2 Accuracy and Lexical Diversity. Submitted to </w:t>
      </w:r>
      <w:r w:rsidRPr="00C82EE1">
        <w:rPr>
          <w:rFonts w:ascii="Times New Roman" w:hAnsi="Times New Roman" w:cs="Times New Roman"/>
          <w:i/>
          <w:iCs/>
          <w:sz w:val="20"/>
          <w:szCs w:val="20"/>
          <w:lang w:val="en-GB"/>
        </w:rPr>
        <w:t>Journal of Second Language Writing</w:t>
      </w:r>
      <w:r w:rsidRPr="00C82EE1">
        <w:rPr>
          <w:rFonts w:ascii="Times New Roman" w:hAnsi="Times New Roman" w:cs="Times New Roman"/>
          <w:sz w:val="20"/>
          <w:szCs w:val="20"/>
          <w:lang w:val="en-GB"/>
        </w:rPr>
        <w:t>.</w:t>
      </w:r>
    </w:p>
    <w:p w14:paraId="6E041FF0" w14:textId="7EA51B21" w:rsidR="00CF22D9" w:rsidRPr="00C82EE1"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Rayson</w:t>
      </w:r>
      <w:proofErr w:type="spellEnd"/>
      <w:r w:rsidRPr="00C82EE1">
        <w:rPr>
          <w:rFonts w:ascii="Times New Roman" w:hAnsi="Times New Roman" w:cs="Times New Roman"/>
          <w:sz w:val="20"/>
          <w:szCs w:val="20"/>
          <w:lang w:val="en-US"/>
        </w:rPr>
        <w:t xml:space="preserve">, P., Wilson, A., &amp; Leech, G. (2002). </w:t>
      </w:r>
      <w:r w:rsidRPr="00C82EE1">
        <w:rPr>
          <w:rFonts w:ascii="Times New Roman" w:hAnsi="Times New Roman" w:cs="Times New Roman"/>
          <w:i/>
          <w:iCs/>
          <w:sz w:val="20"/>
          <w:szCs w:val="20"/>
          <w:lang w:val="en-US"/>
        </w:rPr>
        <w:t>Grammatical word class variation within the British National Corpus Sampler in: New Frontiers of Corpus Research</w:t>
      </w:r>
      <w:r w:rsidR="0062171D">
        <w:rPr>
          <w:rFonts w:ascii="Times New Roman" w:hAnsi="Times New Roman" w:cs="Times New Roman"/>
          <w:sz w:val="20"/>
          <w:szCs w:val="20"/>
          <w:lang w:val="en-US"/>
        </w:rPr>
        <w:t xml:space="preserve"> </w:t>
      </w:r>
      <w:r w:rsidR="0062171D" w:rsidRPr="003C5FF9">
        <w:rPr>
          <w:rFonts w:ascii="Times New Roman" w:hAnsi="Times New Roman" w:cs="Times New Roman"/>
          <w:color w:val="000000" w:themeColor="text1"/>
          <w:sz w:val="20"/>
          <w:szCs w:val="20"/>
          <w:shd w:val="clear" w:color="auto" w:fill="FFFFFF"/>
          <w:lang w:val="en-US"/>
        </w:rPr>
        <w:t>(pp. 295-306).</w:t>
      </w:r>
    </w:p>
    <w:p w14:paraId="2F4A2EA1" w14:textId="1F0EAC5D"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Read, J. (2000). </w:t>
      </w:r>
      <w:r w:rsidRPr="00C82EE1">
        <w:rPr>
          <w:rFonts w:ascii="Times New Roman" w:hAnsi="Times New Roman" w:cs="Times New Roman"/>
          <w:i/>
          <w:iCs/>
          <w:sz w:val="20"/>
          <w:szCs w:val="20"/>
          <w:lang w:val="en-US"/>
        </w:rPr>
        <w:t>Assessing Vocabulary</w:t>
      </w:r>
      <w:r w:rsidRPr="00C82EE1">
        <w:rPr>
          <w:rFonts w:ascii="Times New Roman" w:hAnsi="Times New Roman" w:cs="Times New Roman"/>
          <w:sz w:val="20"/>
          <w:szCs w:val="20"/>
          <w:lang w:val="en-US"/>
        </w:rPr>
        <w:t xml:space="preserve">. </w:t>
      </w:r>
    </w:p>
    <w:p w14:paraId="592F9B14"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lang w:val="en-US"/>
        </w:rPr>
      </w:pPr>
      <w:proofErr w:type="spellStart"/>
      <w:r w:rsidRPr="003C5FF9">
        <w:rPr>
          <w:rFonts w:ascii="Times New Roman" w:hAnsi="Times New Roman" w:cs="Times New Roman"/>
          <w:color w:val="000000" w:themeColor="text1"/>
          <w:sz w:val="20"/>
          <w:szCs w:val="20"/>
          <w:lang w:val="en-US"/>
        </w:rPr>
        <w:t>Rhue</w:t>
      </w:r>
      <w:proofErr w:type="spellEnd"/>
      <w:r w:rsidRPr="003C5FF9">
        <w:rPr>
          <w:rFonts w:ascii="Times New Roman" w:hAnsi="Times New Roman" w:cs="Times New Roman"/>
          <w:color w:val="000000" w:themeColor="text1"/>
          <w:sz w:val="20"/>
          <w:szCs w:val="20"/>
          <w:lang w:val="en-US"/>
        </w:rPr>
        <w:t xml:space="preserve">, L. (2018). </w:t>
      </w:r>
      <w:r w:rsidRPr="003C5FF9">
        <w:rPr>
          <w:rFonts w:ascii="Times New Roman" w:hAnsi="Times New Roman" w:cs="Times New Roman"/>
          <w:iCs/>
          <w:color w:val="000000" w:themeColor="text1"/>
          <w:sz w:val="20"/>
          <w:szCs w:val="20"/>
          <w:lang w:val="en-US"/>
        </w:rPr>
        <w:t>Trust is All You Need: An Empirical Exploration of Initial Coin Offerings (ICOs) and ICO Reputation Scores</w:t>
      </w:r>
      <w:r w:rsidRPr="003C5FF9">
        <w:rPr>
          <w:rFonts w:ascii="Times New Roman" w:hAnsi="Times New Roman" w:cs="Times New Roman"/>
          <w:color w:val="000000" w:themeColor="text1"/>
          <w:sz w:val="20"/>
          <w:szCs w:val="20"/>
          <w:lang w:val="en-US"/>
        </w:rPr>
        <w:t xml:space="preserve">. </w:t>
      </w:r>
      <w:r w:rsidRPr="003C5FF9">
        <w:rPr>
          <w:rFonts w:ascii="Times New Roman" w:hAnsi="Times New Roman" w:cs="Times New Roman"/>
          <w:i/>
          <w:color w:val="000000" w:themeColor="text1"/>
          <w:sz w:val="20"/>
          <w:szCs w:val="20"/>
          <w:lang w:val="en-US"/>
        </w:rPr>
        <w:t>SSRN Electronic Journal.</w:t>
      </w:r>
    </w:p>
    <w:p w14:paraId="27AB084C" w14:textId="77777777"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Richard, G., Fischer, R., &amp; Van </w:t>
      </w:r>
      <w:proofErr w:type="spellStart"/>
      <w:r w:rsidRPr="00C82EE1">
        <w:rPr>
          <w:rFonts w:ascii="Times New Roman" w:hAnsi="Times New Roman" w:cs="Times New Roman"/>
          <w:sz w:val="20"/>
          <w:szCs w:val="20"/>
          <w:lang w:val="en-US"/>
        </w:rPr>
        <w:t>Staden</w:t>
      </w:r>
      <w:proofErr w:type="spellEnd"/>
      <w:r w:rsidRPr="00C82EE1">
        <w:rPr>
          <w:rFonts w:ascii="Times New Roman" w:hAnsi="Times New Roman" w:cs="Times New Roman"/>
          <w:sz w:val="20"/>
          <w:szCs w:val="20"/>
          <w:lang w:val="en-US"/>
        </w:rPr>
        <w:t xml:space="preserve">, C. (2015). </w:t>
      </w:r>
      <w:r w:rsidRPr="0062171D">
        <w:rPr>
          <w:rFonts w:ascii="Times New Roman" w:hAnsi="Times New Roman" w:cs="Times New Roman"/>
          <w:iCs/>
          <w:sz w:val="20"/>
          <w:szCs w:val="20"/>
          <w:lang w:val="en-US"/>
        </w:rPr>
        <w:t>Readability and thematic manipulation in corporate communications: A multi-disclosure investigation.</w:t>
      </w:r>
    </w:p>
    <w:p w14:paraId="6DE0C1CF" w14:textId="7AF60808" w:rsidR="00CF22D9" w:rsidRPr="00C82EE1" w:rsidRDefault="00CF22D9" w:rsidP="004A5696">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rPr>
        <w:t>Samieifar</w:t>
      </w:r>
      <w:proofErr w:type="spellEnd"/>
      <w:r w:rsidRPr="00C82EE1">
        <w:rPr>
          <w:rFonts w:ascii="Times New Roman" w:hAnsi="Times New Roman" w:cs="Times New Roman"/>
          <w:sz w:val="20"/>
          <w:szCs w:val="20"/>
        </w:rPr>
        <w:t xml:space="preserve">, S., &amp; Baur, D. G. (2021). </w:t>
      </w:r>
      <w:r w:rsidRPr="00C82EE1">
        <w:rPr>
          <w:rFonts w:ascii="Times New Roman" w:hAnsi="Times New Roman" w:cs="Times New Roman"/>
          <w:sz w:val="20"/>
          <w:szCs w:val="20"/>
          <w:lang w:val="en-US"/>
        </w:rPr>
        <w:t xml:space="preserve">Read me if you can! An analysis of ICO white papers. </w:t>
      </w:r>
      <w:r w:rsidRPr="00C82EE1">
        <w:rPr>
          <w:rFonts w:ascii="Times New Roman" w:hAnsi="Times New Roman" w:cs="Times New Roman"/>
          <w:i/>
          <w:iCs/>
          <w:sz w:val="20"/>
          <w:szCs w:val="20"/>
          <w:lang w:val="en-US"/>
        </w:rPr>
        <w:t>Finance Research Letters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38</w:t>
      </w:r>
      <w:r w:rsidRPr="00C82EE1">
        <w:rPr>
          <w:rFonts w:ascii="Times New Roman" w:hAnsi="Times New Roman" w:cs="Times New Roman"/>
          <w:sz w:val="20"/>
          <w:szCs w:val="20"/>
          <w:lang w:val="en-US"/>
        </w:rPr>
        <w:t xml:space="preserve">, 101427. </w:t>
      </w:r>
    </w:p>
    <w:p w14:paraId="62781A02" w14:textId="4653E9BF"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Shannon, C. E. (1948). A mathematical theory of communication. </w:t>
      </w:r>
      <w:r w:rsidRPr="00C82EE1">
        <w:rPr>
          <w:rFonts w:ascii="Times New Roman" w:hAnsi="Times New Roman" w:cs="Times New Roman"/>
          <w:i/>
          <w:iCs/>
          <w:sz w:val="20"/>
          <w:szCs w:val="20"/>
          <w:lang w:val="en-US"/>
        </w:rPr>
        <w:t>The Bell System Technical Journal</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27</w:t>
      </w:r>
      <w:r w:rsidRPr="00C82EE1">
        <w:rPr>
          <w:rFonts w:ascii="Times New Roman" w:hAnsi="Times New Roman" w:cs="Times New Roman"/>
          <w:sz w:val="20"/>
          <w:szCs w:val="20"/>
          <w:lang w:val="en-US"/>
        </w:rPr>
        <w:t xml:space="preserve">(3), 379–423. </w:t>
      </w:r>
    </w:p>
    <w:p w14:paraId="222612B4" w14:textId="77777777" w:rsidR="0062171D" w:rsidRPr="003C5FF9" w:rsidRDefault="0062171D" w:rsidP="00D72D15">
      <w:pPr>
        <w:pStyle w:val="Bibliographie"/>
        <w:spacing w:line="360" w:lineRule="auto"/>
        <w:rPr>
          <w:rFonts w:ascii="Times New Roman" w:hAnsi="Times New Roman" w:cs="Times New Roman"/>
          <w:color w:val="000000" w:themeColor="text1"/>
          <w:sz w:val="20"/>
          <w:szCs w:val="20"/>
          <w:lang w:val="en-US"/>
        </w:rPr>
      </w:pPr>
      <w:r w:rsidRPr="003C5FF9">
        <w:rPr>
          <w:rFonts w:ascii="Times New Roman" w:hAnsi="Times New Roman" w:cs="Times New Roman"/>
          <w:color w:val="000000" w:themeColor="text1"/>
          <w:sz w:val="20"/>
          <w:szCs w:val="20"/>
          <w:shd w:val="clear" w:color="auto" w:fill="FFFFFF"/>
          <w:lang w:val="en-US"/>
        </w:rPr>
        <w:t xml:space="preserve">Shardlow, M., Evans, R., </w:t>
      </w:r>
      <w:proofErr w:type="spellStart"/>
      <w:r w:rsidRPr="003C5FF9">
        <w:rPr>
          <w:rFonts w:ascii="Times New Roman" w:hAnsi="Times New Roman" w:cs="Times New Roman"/>
          <w:color w:val="000000" w:themeColor="text1"/>
          <w:sz w:val="20"/>
          <w:szCs w:val="20"/>
          <w:shd w:val="clear" w:color="auto" w:fill="FFFFFF"/>
          <w:lang w:val="en-US"/>
        </w:rPr>
        <w:t>Paetzold</w:t>
      </w:r>
      <w:proofErr w:type="spellEnd"/>
      <w:r w:rsidRPr="003C5FF9">
        <w:rPr>
          <w:rFonts w:ascii="Times New Roman" w:hAnsi="Times New Roman" w:cs="Times New Roman"/>
          <w:color w:val="000000" w:themeColor="text1"/>
          <w:sz w:val="20"/>
          <w:szCs w:val="20"/>
          <w:shd w:val="clear" w:color="auto" w:fill="FFFFFF"/>
          <w:lang w:val="en-US"/>
        </w:rPr>
        <w:t xml:space="preserve">, G. H., &amp; </w:t>
      </w:r>
      <w:proofErr w:type="spellStart"/>
      <w:r w:rsidRPr="003C5FF9">
        <w:rPr>
          <w:rFonts w:ascii="Times New Roman" w:hAnsi="Times New Roman" w:cs="Times New Roman"/>
          <w:color w:val="000000" w:themeColor="text1"/>
          <w:sz w:val="20"/>
          <w:szCs w:val="20"/>
          <w:shd w:val="clear" w:color="auto" w:fill="FFFFFF"/>
          <w:lang w:val="en-US"/>
        </w:rPr>
        <w:t>Zampieri</w:t>
      </w:r>
      <w:proofErr w:type="spellEnd"/>
      <w:r w:rsidRPr="003C5FF9">
        <w:rPr>
          <w:rFonts w:ascii="Times New Roman" w:hAnsi="Times New Roman" w:cs="Times New Roman"/>
          <w:color w:val="000000" w:themeColor="text1"/>
          <w:sz w:val="20"/>
          <w:szCs w:val="20"/>
          <w:shd w:val="clear" w:color="auto" w:fill="FFFFFF"/>
          <w:lang w:val="en-US"/>
        </w:rPr>
        <w:t>, M. (2021). Semeval-2021 task 1: Lexical complexity prediction,</w:t>
      </w:r>
      <w:r w:rsidRPr="003C5FF9">
        <w:rPr>
          <w:rFonts w:ascii="Times New Roman" w:hAnsi="Times New Roman" w:cs="Times New Roman"/>
          <w:i/>
          <w:iCs/>
          <w:color w:val="000000" w:themeColor="text1"/>
          <w:sz w:val="20"/>
          <w:szCs w:val="20"/>
          <w:shd w:val="clear" w:color="auto" w:fill="FFFFFF"/>
          <w:lang w:val="en-US"/>
        </w:rPr>
        <w:t xml:space="preserve"> arXiv:2106.00473</w:t>
      </w:r>
      <w:r w:rsidRPr="003C5FF9">
        <w:rPr>
          <w:rFonts w:ascii="Times New Roman" w:hAnsi="Times New Roman" w:cs="Times New Roman"/>
          <w:color w:val="000000" w:themeColor="text1"/>
          <w:sz w:val="20"/>
          <w:szCs w:val="20"/>
          <w:shd w:val="clear" w:color="auto" w:fill="FFFFFF"/>
          <w:lang w:val="en-US"/>
        </w:rPr>
        <w:t>.</w:t>
      </w:r>
    </w:p>
    <w:p w14:paraId="469B26DC" w14:textId="09046668" w:rsidR="00CF22D9"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Shrestha, P., Arslan-Ayaydin, Ö., Thewissen, J., &amp; </w:t>
      </w:r>
      <w:proofErr w:type="spellStart"/>
      <w:r w:rsidRPr="00C82EE1">
        <w:rPr>
          <w:rFonts w:ascii="Times New Roman" w:hAnsi="Times New Roman" w:cs="Times New Roman"/>
          <w:sz w:val="20"/>
          <w:szCs w:val="20"/>
          <w:lang w:val="en-US"/>
        </w:rPr>
        <w:t>Torsin</w:t>
      </w:r>
      <w:proofErr w:type="spellEnd"/>
      <w:r w:rsidRPr="00C82EE1">
        <w:rPr>
          <w:rFonts w:ascii="Times New Roman" w:hAnsi="Times New Roman" w:cs="Times New Roman"/>
          <w:sz w:val="20"/>
          <w:szCs w:val="20"/>
          <w:lang w:val="en-US"/>
        </w:rPr>
        <w:t xml:space="preserve">, W. (2021). Institutions, regulations and initial coin offerings: An international perspective. </w:t>
      </w:r>
      <w:r w:rsidRPr="00C82EE1">
        <w:rPr>
          <w:rFonts w:ascii="Times New Roman" w:hAnsi="Times New Roman" w:cs="Times New Roman"/>
          <w:i/>
          <w:iCs/>
          <w:sz w:val="20"/>
          <w:szCs w:val="20"/>
          <w:lang w:val="en-US"/>
        </w:rPr>
        <w:t>International Review of Economics &amp;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72</w:t>
      </w:r>
      <w:r w:rsidRPr="00C82EE1">
        <w:rPr>
          <w:rFonts w:ascii="Times New Roman" w:hAnsi="Times New Roman" w:cs="Times New Roman"/>
          <w:sz w:val="20"/>
          <w:szCs w:val="20"/>
          <w:lang w:val="en-US"/>
        </w:rPr>
        <w:t xml:space="preserve">, 102–120. </w:t>
      </w:r>
    </w:p>
    <w:p w14:paraId="08D95E61" w14:textId="3385BF63" w:rsidR="002C79E6" w:rsidRPr="002C79E6" w:rsidRDefault="002C79E6" w:rsidP="002C79E6">
      <w:pPr>
        <w:spacing w:after="0" w:line="360" w:lineRule="auto"/>
        <w:ind w:left="720" w:hanging="720"/>
        <w:jc w:val="both"/>
        <w:rPr>
          <w:rFonts w:ascii="Times New Roman" w:hAnsi="Times New Roman" w:cs="Times New Roman"/>
        </w:rPr>
      </w:pPr>
      <w:r w:rsidRPr="002C79E6">
        <w:rPr>
          <w:rFonts w:ascii="Times New Roman" w:hAnsi="Times New Roman" w:cs="Times New Roman"/>
          <w:color w:val="222222"/>
          <w:sz w:val="20"/>
          <w:szCs w:val="20"/>
          <w:shd w:val="clear" w:color="auto" w:fill="FFFFFF"/>
        </w:rPr>
        <w:t xml:space="preserve">Shrestha, P., Thewissen, J., Arslan‐Ayaydin, Ö., &amp; </w:t>
      </w:r>
      <w:proofErr w:type="spellStart"/>
      <w:r w:rsidRPr="002C79E6">
        <w:rPr>
          <w:rFonts w:ascii="Times New Roman" w:hAnsi="Times New Roman" w:cs="Times New Roman"/>
          <w:color w:val="222222"/>
          <w:sz w:val="20"/>
          <w:szCs w:val="20"/>
          <w:shd w:val="clear" w:color="auto" w:fill="FFFFFF"/>
        </w:rPr>
        <w:t>Parhankangas</w:t>
      </w:r>
      <w:proofErr w:type="spellEnd"/>
      <w:r w:rsidRPr="002C79E6">
        <w:rPr>
          <w:rFonts w:ascii="Times New Roman" w:hAnsi="Times New Roman" w:cs="Times New Roman"/>
          <w:color w:val="222222"/>
          <w:sz w:val="20"/>
          <w:szCs w:val="20"/>
          <w:shd w:val="clear" w:color="auto" w:fill="FFFFFF"/>
        </w:rPr>
        <w:t>, A. (2023). A sense of risk: Responses to crowdfunding risk disclosures. </w:t>
      </w:r>
      <w:r w:rsidRPr="002C79E6">
        <w:rPr>
          <w:rFonts w:ascii="Times New Roman" w:hAnsi="Times New Roman" w:cs="Times New Roman"/>
          <w:i/>
          <w:iCs/>
          <w:color w:val="222222"/>
          <w:sz w:val="20"/>
          <w:szCs w:val="20"/>
          <w:shd w:val="clear" w:color="auto" w:fill="FFFFFF"/>
        </w:rPr>
        <w:t>Strategic Entrepreneurship Journal</w:t>
      </w:r>
      <w:r w:rsidRPr="002C79E6">
        <w:rPr>
          <w:rFonts w:ascii="Times New Roman" w:hAnsi="Times New Roman" w:cs="Times New Roman"/>
          <w:color w:val="222222"/>
          <w:sz w:val="20"/>
          <w:szCs w:val="20"/>
          <w:shd w:val="clear" w:color="auto" w:fill="FFFFFF"/>
        </w:rPr>
        <w:t>, </w:t>
      </w:r>
      <w:r w:rsidRPr="002C79E6">
        <w:rPr>
          <w:rFonts w:ascii="Times New Roman" w:hAnsi="Times New Roman" w:cs="Times New Roman"/>
          <w:i/>
          <w:iCs/>
          <w:color w:val="222222"/>
          <w:sz w:val="20"/>
          <w:szCs w:val="20"/>
          <w:shd w:val="clear" w:color="auto" w:fill="FFFFFF"/>
        </w:rPr>
        <w:t>17</w:t>
      </w:r>
      <w:r w:rsidRPr="002C79E6">
        <w:rPr>
          <w:rFonts w:ascii="Times New Roman" w:hAnsi="Times New Roman" w:cs="Times New Roman"/>
          <w:color w:val="222222"/>
          <w:sz w:val="20"/>
          <w:szCs w:val="20"/>
          <w:shd w:val="clear" w:color="auto" w:fill="FFFFFF"/>
        </w:rPr>
        <w:t>(4), 925-970.</w:t>
      </w:r>
    </w:p>
    <w:p w14:paraId="492EB2CB" w14:textId="77777777" w:rsidR="00CF22D9" w:rsidRPr="00772C6F" w:rsidRDefault="00CF22D9" w:rsidP="00D72D15">
      <w:pPr>
        <w:pStyle w:val="Bibliographie"/>
        <w:spacing w:line="360" w:lineRule="auto"/>
        <w:rPr>
          <w:rFonts w:ascii="Times New Roman" w:hAnsi="Times New Roman" w:cs="Times New Roman"/>
          <w:sz w:val="20"/>
          <w:szCs w:val="20"/>
          <w:lang w:val="pt-PT"/>
        </w:rPr>
      </w:pPr>
      <w:proofErr w:type="spellStart"/>
      <w:r w:rsidRPr="00772C6F">
        <w:rPr>
          <w:rFonts w:ascii="Times New Roman" w:hAnsi="Times New Roman" w:cs="Times New Roman"/>
          <w:sz w:val="20"/>
          <w:szCs w:val="20"/>
          <w:lang w:val="nl-NL"/>
        </w:rPr>
        <w:t>Siegel</w:t>
      </w:r>
      <w:proofErr w:type="spellEnd"/>
      <w:r w:rsidRPr="00772C6F">
        <w:rPr>
          <w:rFonts w:ascii="Times New Roman" w:hAnsi="Times New Roman" w:cs="Times New Roman"/>
          <w:sz w:val="20"/>
          <w:szCs w:val="20"/>
          <w:lang w:val="nl-NL"/>
        </w:rPr>
        <w:t xml:space="preserve">, D., </w:t>
      </w:r>
      <w:proofErr w:type="spellStart"/>
      <w:r w:rsidRPr="00772C6F">
        <w:rPr>
          <w:rFonts w:ascii="Times New Roman" w:hAnsi="Times New Roman" w:cs="Times New Roman"/>
          <w:sz w:val="20"/>
          <w:szCs w:val="20"/>
          <w:lang w:val="nl-NL"/>
        </w:rPr>
        <w:t>Gramatke</w:t>
      </w:r>
      <w:proofErr w:type="spellEnd"/>
      <w:r w:rsidRPr="00772C6F">
        <w:rPr>
          <w:rFonts w:ascii="Times New Roman" w:hAnsi="Times New Roman" w:cs="Times New Roman"/>
          <w:sz w:val="20"/>
          <w:szCs w:val="20"/>
          <w:lang w:val="nl-NL"/>
        </w:rPr>
        <w:t xml:space="preserve">, M. R., </w:t>
      </w:r>
      <w:proofErr w:type="spellStart"/>
      <w:r w:rsidRPr="00772C6F">
        <w:rPr>
          <w:rFonts w:ascii="Times New Roman" w:hAnsi="Times New Roman" w:cs="Times New Roman"/>
          <w:sz w:val="20"/>
          <w:szCs w:val="20"/>
          <w:lang w:val="nl-NL"/>
        </w:rPr>
        <w:t>Paulsen</w:t>
      </w:r>
      <w:proofErr w:type="spellEnd"/>
      <w:r w:rsidRPr="00772C6F">
        <w:rPr>
          <w:rFonts w:ascii="Times New Roman" w:hAnsi="Times New Roman" w:cs="Times New Roman"/>
          <w:sz w:val="20"/>
          <w:szCs w:val="20"/>
          <w:lang w:val="nl-NL"/>
        </w:rPr>
        <w:t xml:space="preserve">, J. H., Giessen, W. A., </w:t>
      </w:r>
      <w:proofErr w:type="spellStart"/>
      <w:r w:rsidRPr="00772C6F">
        <w:rPr>
          <w:rFonts w:ascii="Times New Roman" w:hAnsi="Times New Roman" w:cs="Times New Roman"/>
          <w:sz w:val="20"/>
          <w:szCs w:val="20"/>
          <w:lang w:val="nl-NL"/>
        </w:rPr>
        <w:t>Brosig</w:t>
      </w:r>
      <w:proofErr w:type="spellEnd"/>
      <w:r w:rsidRPr="00772C6F">
        <w:rPr>
          <w:rFonts w:ascii="Times New Roman" w:hAnsi="Times New Roman" w:cs="Times New Roman"/>
          <w:sz w:val="20"/>
          <w:szCs w:val="20"/>
          <w:lang w:val="nl-NL"/>
        </w:rPr>
        <w:t xml:space="preserve">, M., </w:t>
      </w:r>
      <w:proofErr w:type="spellStart"/>
      <w:r w:rsidRPr="00772C6F">
        <w:rPr>
          <w:rFonts w:ascii="Times New Roman" w:hAnsi="Times New Roman" w:cs="Times New Roman"/>
          <w:sz w:val="20"/>
          <w:szCs w:val="20"/>
          <w:lang w:val="nl-NL"/>
        </w:rPr>
        <w:t>Heinzelmann</w:t>
      </w:r>
      <w:proofErr w:type="spellEnd"/>
      <w:r w:rsidRPr="00772C6F">
        <w:rPr>
          <w:rFonts w:ascii="Times New Roman" w:hAnsi="Times New Roman" w:cs="Times New Roman"/>
          <w:sz w:val="20"/>
          <w:szCs w:val="20"/>
          <w:lang w:val="nl-NL"/>
        </w:rPr>
        <w:t xml:space="preserve">, S., &amp; </w:t>
      </w:r>
      <w:proofErr w:type="spellStart"/>
      <w:r w:rsidRPr="00772C6F">
        <w:rPr>
          <w:rFonts w:ascii="Times New Roman" w:hAnsi="Times New Roman" w:cs="Times New Roman"/>
          <w:sz w:val="20"/>
          <w:szCs w:val="20"/>
          <w:lang w:val="nl-NL"/>
        </w:rPr>
        <w:t>Kumar</w:t>
      </w:r>
      <w:proofErr w:type="spellEnd"/>
      <w:r w:rsidRPr="00772C6F">
        <w:rPr>
          <w:rFonts w:ascii="Times New Roman" w:hAnsi="Times New Roman" w:cs="Times New Roman"/>
          <w:sz w:val="20"/>
          <w:szCs w:val="20"/>
          <w:lang w:val="nl-NL"/>
        </w:rPr>
        <w:t xml:space="preserve">, S. S. (2017). </w:t>
      </w:r>
      <w:r w:rsidRPr="0062171D">
        <w:rPr>
          <w:rFonts w:ascii="Times New Roman" w:hAnsi="Times New Roman" w:cs="Times New Roman"/>
          <w:iCs/>
          <w:sz w:val="20"/>
          <w:szCs w:val="20"/>
          <w:lang w:val="en-US"/>
        </w:rPr>
        <w:t>ICOs—The New IPOs? How to fund innovation in the crypto age.</w:t>
      </w:r>
      <w:r w:rsidRPr="0062171D">
        <w:rPr>
          <w:rFonts w:ascii="Times New Roman" w:hAnsi="Times New Roman" w:cs="Times New Roman"/>
          <w:sz w:val="20"/>
          <w:szCs w:val="20"/>
          <w:lang w:val="en-US"/>
        </w:rPr>
        <w:t xml:space="preserve"> </w:t>
      </w:r>
      <w:r w:rsidRPr="00772C6F">
        <w:rPr>
          <w:rFonts w:ascii="Times New Roman" w:hAnsi="Times New Roman" w:cs="Times New Roman"/>
          <w:sz w:val="20"/>
          <w:szCs w:val="20"/>
          <w:lang w:val="pt-PT"/>
        </w:rPr>
        <w:t>(</w:t>
      </w:r>
      <w:r w:rsidRPr="00772C6F">
        <w:rPr>
          <w:rFonts w:ascii="Times New Roman" w:hAnsi="Times New Roman" w:cs="Times New Roman"/>
          <w:i/>
          <w:sz w:val="20"/>
          <w:szCs w:val="20"/>
          <w:lang w:val="pt-PT"/>
        </w:rPr>
        <w:t>Monito Deloitte</w:t>
      </w:r>
      <w:r w:rsidRPr="00772C6F">
        <w:rPr>
          <w:rFonts w:ascii="Times New Roman" w:hAnsi="Times New Roman" w:cs="Times New Roman"/>
          <w:sz w:val="20"/>
          <w:szCs w:val="20"/>
          <w:lang w:val="pt-PT"/>
        </w:rPr>
        <w:t>).</w:t>
      </w:r>
    </w:p>
    <w:p w14:paraId="1F8DECAA" w14:textId="19F6CE8F" w:rsidR="00CF22D9" w:rsidRPr="00C82EE1" w:rsidRDefault="00CF22D9" w:rsidP="00D72D15">
      <w:pPr>
        <w:pStyle w:val="Bibliographie"/>
        <w:spacing w:line="360" w:lineRule="auto"/>
        <w:rPr>
          <w:rFonts w:ascii="Times New Roman" w:hAnsi="Times New Roman" w:cs="Times New Roman"/>
          <w:sz w:val="20"/>
          <w:szCs w:val="20"/>
          <w:lang w:val="en-US"/>
        </w:rPr>
      </w:pPr>
      <w:r w:rsidRPr="00772C6F">
        <w:rPr>
          <w:rFonts w:ascii="Times New Roman" w:hAnsi="Times New Roman" w:cs="Times New Roman"/>
          <w:sz w:val="20"/>
          <w:szCs w:val="20"/>
          <w:lang w:val="pt-PT"/>
        </w:rPr>
        <w:t xml:space="preserve">Singh, H., Sultana, N., Islam, A., &amp; Singh, A. (2022). </w:t>
      </w:r>
      <w:r w:rsidRPr="00C82EE1">
        <w:rPr>
          <w:rFonts w:ascii="Times New Roman" w:hAnsi="Times New Roman" w:cs="Times New Roman"/>
          <w:sz w:val="20"/>
          <w:szCs w:val="20"/>
          <w:lang w:val="en-US"/>
        </w:rPr>
        <w:t xml:space="preserve">Busy auditors, financial reporting timeliness and quality. </w:t>
      </w:r>
      <w:r w:rsidRPr="00C82EE1">
        <w:rPr>
          <w:rFonts w:ascii="Times New Roman" w:hAnsi="Times New Roman" w:cs="Times New Roman"/>
          <w:i/>
          <w:iCs/>
          <w:sz w:val="20"/>
          <w:szCs w:val="20"/>
          <w:lang w:val="en-US"/>
        </w:rPr>
        <w:t>The British Accounting Review</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54</w:t>
      </w:r>
      <w:r w:rsidRPr="00C82EE1">
        <w:rPr>
          <w:rFonts w:ascii="Times New Roman" w:hAnsi="Times New Roman" w:cs="Times New Roman"/>
          <w:sz w:val="20"/>
          <w:szCs w:val="20"/>
          <w:lang w:val="en-US"/>
        </w:rPr>
        <w:t xml:space="preserve">(3), 101080. </w:t>
      </w:r>
    </w:p>
    <w:p w14:paraId="22BD0436" w14:textId="3149643D"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Spence, M. (1973). Job Market Signaling. </w:t>
      </w:r>
      <w:r w:rsidRPr="00C82EE1">
        <w:rPr>
          <w:rFonts w:ascii="Times New Roman" w:hAnsi="Times New Roman" w:cs="Times New Roman"/>
          <w:i/>
          <w:iCs/>
          <w:sz w:val="20"/>
          <w:szCs w:val="20"/>
          <w:lang w:val="en-US"/>
        </w:rPr>
        <w:t>The Quarterly Journal of Economics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87</w:t>
      </w:r>
      <w:r w:rsidRPr="00C82EE1">
        <w:rPr>
          <w:rFonts w:ascii="Times New Roman" w:hAnsi="Times New Roman" w:cs="Times New Roman"/>
          <w:sz w:val="20"/>
          <w:szCs w:val="20"/>
          <w:lang w:val="en-US"/>
        </w:rPr>
        <w:t>(3), 355</w:t>
      </w:r>
      <w:r w:rsidR="0062171D" w:rsidRPr="00C82EE1">
        <w:rPr>
          <w:rFonts w:ascii="Times New Roman" w:hAnsi="Times New Roman" w:cs="Times New Roman"/>
          <w:sz w:val="20"/>
          <w:szCs w:val="20"/>
          <w:lang w:val="en-US"/>
        </w:rPr>
        <w:t>–</w:t>
      </w:r>
      <w:r w:rsidR="0062171D">
        <w:rPr>
          <w:rFonts w:ascii="Times New Roman" w:hAnsi="Times New Roman" w:cs="Times New Roman"/>
          <w:sz w:val="20"/>
          <w:szCs w:val="20"/>
          <w:lang w:val="en-US"/>
        </w:rPr>
        <w:t>374</w:t>
      </w:r>
      <w:r w:rsidRPr="00C82EE1">
        <w:rPr>
          <w:rFonts w:ascii="Times New Roman" w:hAnsi="Times New Roman" w:cs="Times New Roman"/>
          <w:sz w:val="20"/>
          <w:szCs w:val="20"/>
          <w:lang w:val="en-US"/>
        </w:rPr>
        <w:t xml:space="preserve">. </w:t>
      </w:r>
    </w:p>
    <w:p w14:paraId="485745E9" w14:textId="2DCBAA8B"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lastRenderedPageBreak/>
        <w:t xml:space="preserve">Thewissen, J., Shrestha, P., </w:t>
      </w:r>
      <w:proofErr w:type="spellStart"/>
      <w:r w:rsidRPr="00C82EE1">
        <w:rPr>
          <w:rFonts w:ascii="Times New Roman" w:hAnsi="Times New Roman" w:cs="Times New Roman"/>
          <w:sz w:val="20"/>
          <w:szCs w:val="20"/>
          <w:lang w:val="en-US"/>
        </w:rPr>
        <w:t>Torsin</w:t>
      </w:r>
      <w:proofErr w:type="spellEnd"/>
      <w:r w:rsidRPr="00C82EE1">
        <w:rPr>
          <w:rFonts w:ascii="Times New Roman" w:hAnsi="Times New Roman" w:cs="Times New Roman"/>
          <w:sz w:val="20"/>
          <w:szCs w:val="20"/>
          <w:lang w:val="en-US"/>
        </w:rPr>
        <w:t xml:space="preserve">, W., &amp; </w:t>
      </w:r>
      <w:proofErr w:type="spellStart"/>
      <w:r w:rsidRPr="00C82EE1">
        <w:rPr>
          <w:rFonts w:ascii="Times New Roman" w:hAnsi="Times New Roman" w:cs="Times New Roman"/>
          <w:sz w:val="20"/>
          <w:szCs w:val="20"/>
          <w:lang w:val="en-US"/>
        </w:rPr>
        <w:t>Pastwa</w:t>
      </w:r>
      <w:proofErr w:type="spellEnd"/>
      <w:r w:rsidRPr="00C82EE1">
        <w:rPr>
          <w:rFonts w:ascii="Times New Roman" w:hAnsi="Times New Roman" w:cs="Times New Roman"/>
          <w:sz w:val="20"/>
          <w:szCs w:val="20"/>
          <w:lang w:val="en-US"/>
        </w:rPr>
        <w:t xml:space="preserve">, A. M. (2022). Unpacking the black box of ICO white papers: A topic modeling approach. </w:t>
      </w:r>
      <w:r w:rsidRPr="00C82EE1">
        <w:rPr>
          <w:rFonts w:ascii="Times New Roman" w:hAnsi="Times New Roman" w:cs="Times New Roman"/>
          <w:i/>
          <w:iCs/>
          <w:sz w:val="20"/>
          <w:szCs w:val="20"/>
          <w:lang w:val="en-US"/>
        </w:rPr>
        <w:t>Journal of Corporate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75</w:t>
      </w:r>
      <w:r w:rsidRPr="00C82EE1">
        <w:rPr>
          <w:rFonts w:ascii="Times New Roman" w:hAnsi="Times New Roman" w:cs="Times New Roman"/>
          <w:sz w:val="20"/>
          <w:szCs w:val="20"/>
          <w:lang w:val="en-US"/>
        </w:rPr>
        <w:t xml:space="preserve">, 102225. </w:t>
      </w:r>
    </w:p>
    <w:p w14:paraId="5721E19F" w14:textId="3317A96E"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Thewissen, J., Thewissen, J., </w:t>
      </w:r>
      <w:proofErr w:type="spellStart"/>
      <w:r w:rsidRPr="00C82EE1">
        <w:rPr>
          <w:rFonts w:ascii="Times New Roman" w:hAnsi="Times New Roman" w:cs="Times New Roman"/>
          <w:sz w:val="20"/>
          <w:szCs w:val="20"/>
          <w:lang w:val="en-US"/>
        </w:rPr>
        <w:t>Torsin</w:t>
      </w:r>
      <w:proofErr w:type="spellEnd"/>
      <w:r w:rsidRPr="00C82EE1">
        <w:rPr>
          <w:rFonts w:ascii="Times New Roman" w:hAnsi="Times New Roman" w:cs="Times New Roman"/>
          <w:sz w:val="20"/>
          <w:szCs w:val="20"/>
          <w:lang w:val="en-US"/>
        </w:rPr>
        <w:t xml:space="preserve">, W., &amp; Arslan-Ayaydin, Ö. (2022). Linguistic errors and investment decisions: The case of ICO white papers. </w:t>
      </w:r>
      <w:r w:rsidRPr="00C82EE1">
        <w:rPr>
          <w:rFonts w:ascii="Times New Roman" w:hAnsi="Times New Roman" w:cs="Times New Roman"/>
          <w:i/>
          <w:iCs/>
          <w:sz w:val="20"/>
          <w:szCs w:val="20"/>
          <w:lang w:val="en-US"/>
        </w:rPr>
        <w:t>The European Journal of Finance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29</w:t>
      </w:r>
      <w:r w:rsidRPr="00C82EE1">
        <w:rPr>
          <w:rFonts w:ascii="Times New Roman" w:hAnsi="Times New Roman" w:cs="Times New Roman"/>
          <w:sz w:val="20"/>
          <w:szCs w:val="20"/>
          <w:lang w:val="en-US"/>
        </w:rPr>
        <w:t xml:space="preserve">(7), 826–868. </w:t>
      </w:r>
    </w:p>
    <w:p w14:paraId="49D972C5" w14:textId="3EE4BE46" w:rsidR="00CF22D9" w:rsidRDefault="00CF22D9" w:rsidP="00D72D15">
      <w:pPr>
        <w:pStyle w:val="Bibliographie"/>
        <w:spacing w:line="360" w:lineRule="auto"/>
        <w:rPr>
          <w:rFonts w:ascii="Times New Roman" w:hAnsi="Times New Roman" w:cs="Times New Roman"/>
          <w:sz w:val="20"/>
          <w:szCs w:val="20"/>
          <w:lang w:val="en-US"/>
        </w:rPr>
      </w:pPr>
      <w:proofErr w:type="spellStart"/>
      <w:r w:rsidRPr="00C82EE1">
        <w:rPr>
          <w:rFonts w:ascii="Times New Roman" w:hAnsi="Times New Roman" w:cs="Times New Roman"/>
          <w:sz w:val="20"/>
          <w:szCs w:val="20"/>
          <w:lang w:val="en-US"/>
        </w:rPr>
        <w:t>Voncken</w:t>
      </w:r>
      <w:proofErr w:type="spellEnd"/>
      <w:r w:rsidRPr="00C82EE1">
        <w:rPr>
          <w:rFonts w:ascii="Times New Roman" w:hAnsi="Times New Roman" w:cs="Times New Roman"/>
          <w:sz w:val="20"/>
          <w:szCs w:val="20"/>
          <w:lang w:val="en-US"/>
        </w:rPr>
        <w:t xml:space="preserve">, R. M., </w:t>
      </w:r>
      <w:proofErr w:type="spellStart"/>
      <w:r w:rsidRPr="00C82EE1">
        <w:rPr>
          <w:rFonts w:ascii="Times New Roman" w:hAnsi="Times New Roman" w:cs="Times New Roman"/>
          <w:sz w:val="20"/>
          <w:szCs w:val="20"/>
          <w:lang w:val="en-US"/>
        </w:rPr>
        <w:t>Broekhuis</w:t>
      </w:r>
      <w:proofErr w:type="spellEnd"/>
      <w:r w:rsidRPr="00C82EE1">
        <w:rPr>
          <w:rFonts w:ascii="Times New Roman" w:hAnsi="Times New Roman" w:cs="Times New Roman"/>
          <w:sz w:val="20"/>
          <w:szCs w:val="20"/>
          <w:lang w:val="en-US"/>
        </w:rPr>
        <w:t xml:space="preserve">, A. A., </w:t>
      </w:r>
      <w:proofErr w:type="spellStart"/>
      <w:r w:rsidRPr="00C82EE1">
        <w:rPr>
          <w:rFonts w:ascii="Times New Roman" w:hAnsi="Times New Roman" w:cs="Times New Roman"/>
          <w:sz w:val="20"/>
          <w:szCs w:val="20"/>
          <w:lang w:val="en-US"/>
        </w:rPr>
        <w:t>Heeres</w:t>
      </w:r>
      <w:proofErr w:type="spellEnd"/>
      <w:r w:rsidRPr="00C82EE1">
        <w:rPr>
          <w:rFonts w:ascii="Times New Roman" w:hAnsi="Times New Roman" w:cs="Times New Roman"/>
          <w:sz w:val="20"/>
          <w:szCs w:val="20"/>
          <w:lang w:val="en-US"/>
        </w:rPr>
        <w:t xml:space="preserve">, H. J., &amp; Jonker, G. H. (2004). The Many Facets of Product Technology. </w:t>
      </w:r>
      <w:r w:rsidRPr="00C82EE1">
        <w:rPr>
          <w:rFonts w:ascii="Times New Roman" w:hAnsi="Times New Roman" w:cs="Times New Roman"/>
          <w:i/>
          <w:iCs/>
          <w:sz w:val="20"/>
          <w:szCs w:val="20"/>
          <w:lang w:val="en-US"/>
        </w:rPr>
        <w:t>Chemical Engineering Research and Design</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82</w:t>
      </w:r>
      <w:r w:rsidRPr="00C82EE1">
        <w:rPr>
          <w:rFonts w:ascii="Times New Roman" w:hAnsi="Times New Roman" w:cs="Times New Roman"/>
          <w:sz w:val="20"/>
          <w:szCs w:val="20"/>
          <w:lang w:val="en-US"/>
        </w:rPr>
        <w:t xml:space="preserve">(11), 1411–1424. </w:t>
      </w:r>
    </w:p>
    <w:p w14:paraId="68645626" w14:textId="2C858A10" w:rsidR="00E25CAA" w:rsidRPr="00E25CAA" w:rsidRDefault="00E25CAA" w:rsidP="00D72D15">
      <w:pPr>
        <w:spacing w:after="0" w:line="360" w:lineRule="auto"/>
        <w:ind w:left="720" w:hanging="720"/>
        <w:rPr>
          <w:rFonts w:ascii="Times New Roman" w:hAnsi="Times New Roman" w:cs="Times New Roman"/>
          <w:sz w:val="20"/>
        </w:rPr>
      </w:pPr>
      <w:r w:rsidRPr="00E25CAA">
        <w:rPr>
          <w:rFonts w:ascii="Times New Roman" w:hAnsi="Times New Roman" w:cs="Times New Roman"/>
          <w:sz w:val="20"/>
        </w:rPr>
        <w:t>World Bank. (</w:t>
      </w:r>
      <w:r>
        <w:rPr>
          <w:rFonts w:ascii="Times New Roman" w:hAnsi="Times New Roman" w:cs="Times New Roman"/>
          <w:sz w:val="20"/>
        </w:rPr>
        <w:t>2025</w:t>
      </w:r>
      <w:r w:rsidRPr="00E25CAA">
        <w:rPr>
          <w:rFonts w:ascii="Times New Roman" w:hAnsi="Times New Roman" w:cs="Times New Roman"/>
          <w:sz w:val="20"/>
        </w:rPr>
        <w:t>). Literacy rate, adult total (% of people ages 15 and above) [Data set]. World Bank Open Data.</w:t>
      </w:r>
    </w:p>
    <w:p w14:paraId="541E07DF" w14:textId="32AA891E" w:rsidR="00CF22D9" w:rsidRPr="00C82EE1"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Xia, F., Thewissen, J., Huang, W., &amp; Yan, S. (2024a). Founder-CEO Extraversion and Sustainability Orientation in Initial Coin Offerings. </w:t>
      </w:r>
      <w:r w:rsidRPr="00C82EE1">
        <w:rPr>
          <w:rFonts w:ascii="Times New Roman" w:hAnsi="Times New Roman" w:cs="Times New Roman"/>
          <w:i/>
          <w:iCs/>
          <w:sz w:val="20"/>
          <w:szCs w:val="20"/>
          <w:lang w:val="en-US"/>
        </w:rPr>
        <w:t>Entrepreneurship Theory and Practice</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48</w:t>
      </w:r>
      <w:r w:rsidRPr="00C82EE1">
        <w:rPr>
          <w:rFonts w:ascii="Times New Roman" w:hAnsi="Times New Roman" w:cs="Times New Roman"/>
          <w:sz w:val="20"/>
          <w:szCs w:val="20"/>
          <w:lang w:val="en-US"/>
        </w:rPr>
        <w:t xml:space="preserve">(4), 941–980. </w:t>
      </w:r>
    </w:p>
    <w:p w14:paraId="1F20C6B6" w14:textId="21D1340D" w:rsidR="00CF22D9"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Xia, F., Thewissen, J., Shrestha, P., &amp; Yan, S. (2024b). The power of a name: Exploring the relationship between ICO name fluency and investor decision making. </w:t>
      </w:r>
      <w:r w:rsidRPr="00C82EE1">
        <w:rPr>
          <w:rFonts w:ascii="Times New Roman" w:hAnsi="Times New Roman" w:cs="Times New Roman"/>
          <w:i/>
          <w:iCs/>
          <w:sz w:val="20"/>
          <w:szCs w:val="20"/>
          <w:lang w:val="en-US"/>
        </w:rPr>
        <w:t>International Review of Financial Analysis</w:t>
      </w:r>
      <w:r w:rsidRPr="00C82EE1">
        <w:rPr>
          <w:rFonts w:ascii="Times New Roman" w:hAnsi="Times New Roman" w:cs="Times New Roman"/>
          <w:sz w:val="20"/>
          <w:szCs w:val="20"/>
          <w:lang w:val="en-US"/>
        </w:rPr>
        <w:t xml:space="preserve">, </w:t>
      </w:r>
      <w:r w:rsidRPr="00C82EE1">
        <w:rPr>
          <w:rFonts w:ascii="Times New Roman" w:hAnsi="Times New Roman" w:cs="Times New Roman"/>
          <w:i/>
          <w:iCs/>
          <w:sz w:val="20"/>
          <w:szCs w:val="20"/>
          <w:lang w:val="en-US"/>
        </w:rPr>
        <w:t>93</w:t>
      </w:r>
      <w:r w:rsidRPr="00C82EE1">
        <w:rPr>
          <w:rFonts w:ascii="Times New Roman" w:hAnsi="Times New Roman" w:cs="Times New Roman"/>
          <w:sz w:val="20"/>
          <w:szCs w:val="20"/>
          <w:lang w:val="en-US"/>
        </w:rPr>
        <w:t xml:space="preserve">, 103142. </w:t>
      </w:r>
    </w:p>
    <w:p w14:paraId="71C6A4CC" w14:textId="45708D2D" w:rsidR="00A62D2B" w:rsidRPr="00A62D2B" w:rsidRDefault="00A62D2B"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Xia, F., Thewissen, J., Barrio Herrezuelo, D., Arslan-Ayaydin, Ö., &amp; Yan, S. (2024c). Picturing success: The informational role of visual cues in initial coin offerings. </w:t>
      </w:r>
      <w:r w:rsidRPr="00C82EE1">
        <w:rPr>
          <w:rFonts w:ascii="Times New Roman" w:hAnsi="Times New Roman" w:cs="Times New Roman"/>
          <w:i/>
          <w:iCs/>
          <w:sz w:val="20"/>
          <w:szCs w:val="20"/>
          <w:lang w:val="en-US"/>
        </w:rPr>
        <w:t>The British Accounting Review</w:t>
      </w:r>
      <w:r w:rsidRPr="00C82EE1">
        <w:rPr>
          <w:rFonts w:ascii="Times New Roman" w:hAnsi="Times New Roman" w:cs="Times New Roman"/>
          <w:sz w:val="20"/>
          <w:szCs w:val="20"/>
          <w:lang w:val="en-US"/>
        </w:rPr>
        <w:t xml:space="preserve">, 101503. </w:t>
      </w:r>
    </w:p>
    <w:p w14:paraId="4773FFA5" w14:textId="34DC3600" w:rsidR="00CF22D9" w:rsidRPr="00992B9F" w:rsidRDefault="00CF22D9" w:rsidP="00D72D15">
      <w:pPr>
        <w:pStyle w:val="Bibliographie"/>
        <w:spacing w:line="360" w:lineRule="auto"/>
        <w:rPr>
          <w:rFonts w:ascii="Times New Roman" w:hAnsi="Times New Roman" w:cs="Times New Roman"/>
          <w:sz w:val="20"/>
          <w:szCs w:val="20"/>
          <w:lang w:val="en-US"/>
        </w:rPr>
      </w:pPr>
      <w:r w:rsidRPr="00C82EE1">
        <w:rPr>
          <w:rFonts w:ascii="Times New Roman" w:hAnsi="Times New Roman" w:cs="Times New Roman"/>
          <w:sz w:val="20"/>
          <w:szCs w:val="20"/>
          <w:lang w:val="en-US"/>
        </w:rPr>
        <w:t xml:space="preserve">Zhang, S., </w:t>
      </w:r>
      <w:proofErr w:type="spellStart"/>
      <w:r w:rsidRPr="00C82EE1">
        <w:rPr>
          <w:rFonts w:ascii="Times New Roman" w:hAnsi="Times New Roman" w:cs="Times New Roman"/>
          <w:sz w:val="20"/>
          <w:szCs w:val="20"/>
          <w:lang w:val="en-US"/>
        </w:rPr>
        <w:t>Aerts</w:t>
      </w:r>
      <w:proofErr w:type="spellEnd"/>
      <w:r w:rsidRPr="00C82EE1">
        <w:rPr>
          <w:rFonts w:ascii="Times New Roman" w:hAnsi="Times New Roman" w:cs="Times New Roman"/>
          <w:sz w:val="20"/>
          <w:szCs w:val="20"/>
          <w:lang w:val="en-US"/>
        </w:rPr>
        <w:t>, W., Lu, L., &amp; Pan, H. (2019). Readability of token white</w:t>
      </w:r>
      <w:r w:rsidR="008D4C23" w:rsidRPr="00C82EE1">
        <w:rPr>
          <w:rFonts w:ascii="Times New Roman" w:hAnsi="Times New Roman" w:cs="Times New Roman"/>
          <w:sz w:val="20"/>
          <w:szCs w:val="20"/>
          <w:lang w:val="en-US"/>
        </w:rPr>
        <w:t xml:space="preserve"> </w:t>
      </w:r>
      <w:r w:rsidRPr="00C82EE1">
        <w:rPr>
          <w:rFonts w:ascii="Times New Roman" w:hAnsi="Times New Roman" w:cs="Times New Roman"/>
          <w:sz w:val="20"/>
          <w:szCs w:val="20"/>
          <w:lang w:val="en-US"/>
        </w:rPr>
        <w:t xml:space="preserve">paper and ICO first-day return. </w:t>
      </w:r>
      <w:r w:rsidRPr="00992B9F">
        <w:rPr>
          <w:rFonts w:ascii="Times New Roman" w:hAnsi="Times New Roman" w:cs="Times New Roman"/>
          <w:i/>
          <w:iCs/>
          <w:sz w:val="20"/>
          <w:szCs w:val="20"/>
          <w:lang w:val="en-US"/>
        </w:rPr>
        <w:t>Economics Letters</w:t>
      </w:r>
      <w:r w:rsidRPr="00992B9F">
        <w:rPr>
          <w:rFonts w:ascii="Times New Roman" w:hAnsi="Times New Roman" w:cs="Times New Roman"/>
          <w:sz w:val="20"/>
          <w:szCs w:val="20"/>
          <w:lang w:val="en-US"/>
        </w:rPr>
        <w:t xml:space="preserve">, </w:t>
      </w:r>
      <w:r w:rsidRPr="00992B9F">
        <w:rPr>
          <w:rFonts w:ascii="Times New Roman" w:hAnsi="Times New Roman" w:cs="Times New Roman"/>
          <w:i/>
          <w:iCs/>
          <w:sz w:val="20"/>
          <w:szCs w:val="20"/>
          <w:lang w:val="en-US"/>
        </w:rPr>
        <w:t>180</w:t>
      </w:r>
      <w:r w:rsidRPr="00992B9F">
        <w:rPr>
          <w:rFonts w:ascii="Times New Roman" w:hAnsi="Times New Roman" w:cs="Times New Roman"/>
          <w:sz w:val="20"/>
          <w:szCs w:val="20"/>
          <w:lang w:val="en-US"/>
        </w:rPr>
        <w:t xml:space="preserve">, 58–61. </w:t>
      </w:r>
    </w:p>
    <w:p w14:paraId="471566DF" w14:textId="77777777" w:rsidR="00776550" w:rsidRPr="003C5FF9" w:rsidRDefault="00776550" w:rsidP="00D72D15">
      <w:pPr>
        <w:pStyle w:val="Bibliographie"/>
        <w:spacing w:line="360" w:lineRule="auto"/>
        <w:rPr>
          <w:rFonts w:ascii="Times New Roman" w:hAnsi="Times New Roman" w:cs="Times New Roman"/>
          <w:color w:val="000000" w:themeColor="text1"/>
          <w:sz w:val="20"/>
          <w:szCs w:val="20"/>
          <w:lang w:val="en-US"/>
        </w:rPr>
      </w:pPr>
      <w:r w:rsidRPr="00992B9F">
        <w:rPr>
          <w:rFonts w:ascii="Times New Roman" w:hAnsi="Times New Roman" w:cs="Times New Roman"/>
          <w:color w:val="000000" w:themeColor="text1"/>
          <w:sz w:val="20"/>
          <w:szCs w:val="20"/>
          <w:shd w:val="clear" w:color="auto" w:fill="FFFFFF"/>
          <w:lang w:val="en-US"/>
        </w:rPr>
        <w:t xml:space="preserve">Zhao, H., Seibert, S. E., &amp; Lumpkin, G. T. (2010). </w:t>
      </w:r>
      <w:r w:rsidRPr="003C5FF9">
        <w:rPr>
          <w:rFonts w:ascii="Times New Roman" w:hAnsi="Times New Roman" w:cs="Times New Roman"/>
          <w:color w:val="000000" w:themeColor="text1"/>
          <w:sz w:val="20"/>
          <w:szCs w:val="20"/>
          <w:shd w:val="clear" w:color="auto" w:fill="FFFFFF"/>
          <w:lang w:val="en-US"/>
        </w:rPr>
        <w:t>The relationship of personality to entrepreneurial intentions and performance: A meta-analytic review. </w:t>
      </w:r>
      <w:r w:rsidRPr="003C5FF9">
        <w:rPr>
          <w:rFonts w:ascii="Times New Roman" w:hAnsi="Times New Roman" w:cs="Times New Roman"/>
          <w:i/>
          <w:iCs/>
          <w:color w:val="000000" w:themeColor="text1"/>
          <w:sz w:val="20"/>
          <w:szCs w:val="20"/>
          <w:shd w:val="clear" w:color="auto" w:fill="FFFFFF"/>
          <w:lang w:val="en-US"/>
        </w:rPr>
        <w:t>Journal of management</w:t>
      </w:r>
      <w:r w:rsidRPr="003C5FF9">
        <w:rPr>
          <w:rFonts w:ascii="Times New Roman" w:hAnsi="Times New Roman" w:cs="Times New Roman"/>
          <w:color w:val="000000" w:themeColor="text1"/>
          <w:sz w:val="20"/>
          <w:szCs w:val="20"/>
          <w:shd w:val="clear" w:color="auto" w:fill="FFFFFF"/>
          <w:lang w:val="en-US"/>
        </w:rPr>
        <w:t>, </w:t>
      </w:r>
      <w:r w:rsidRPr="003C5FF9">
        <w:rPr>
          <w:rFonts w:ascii="Times New Roman" w:hAnsi="Times New Roman" w:cs="Times New Roman"/>
          <w:i/>
          <w:iCs/>
          <w:color w:val="000000" w:themeColor="text1"/>
          <w:sz w:val="20"/>
          <w:szCs w:val="20"/>
          <w:shd w:val="clear" w:color="auto" w:fill="FFFFFF"/>
          <w:lang w:val="en-US"/>
        </w:rPr>
        <w:t>36</w:t>
      </w:r>
      <w:r w:rsidRPr="003C5FF9">
        <w:rPr>
          <w:rFonts w:ascii="Times New Roman" w:hAnsi="Times New Roman" w:cs="Times New Roman"/>
          <w:color w:val="000000" w:themeColor="text1"/>
          <w:sz w:val="20"/>
          <w:szCs w:val="20"/>
          <w:shd w:val="clear" w:color="auto" w:fill="FFFFFF"/>
          <w:lang w:val="en-US"/>
        </w:rPr>
        <w:t>(2), 381-404.</w:t>
      </w:r>
    </w:p>
    <w:p w14:paraId="0CEC6568" w14:textId="1DEB2589" w:rsidR="00D237B0" w:rsidRPr="00C82EE1" w:rsidRDefault="00D237B0" w:rsidP="00D72D15">
      <w:pPr>
        <w:spacing w:after="0" w:line="360" w:lineRule="auto"/>
        <w:jc w:val="both"/>
        <w:rPr>
          <w:rFonts w:ascii="Times New Roman" w:hAnsi="Times New Roman" w:cs="Times New Roman"/>
          <w:b/>
          <w:sz w:val="20"/>
          <w:szCs w:val="20"/>
        </w:rPr>
      </w:pPr>
    </w:p>
    <w:p w14:paraId="6D1B258E" w14:textId="457CB9C3" w:rsidR="00F62B5C" w:rsidRPr="00C82EE1" w:rsidRDefault="00F62B5C" w:rsidP="00026FCB">
      <w:pPr>
        <w:spacing w:after="0" w:line="360" w:lineRule="auto"/>
        <w:jc w:val="both"/>
        <w:rPr>
          <w:rFonts w:ascii="Times New Roman" w:hAnsi="Times New Roman" w:cs="Times New Roman"/>
          <w:b/>
          <w:sz w:val="24"/>
          <w:szCs w:val="24"/>
        </w:rPr>
      </w:pPr>
    </w:p>
    <w:p w14:paraId="5CEF4D5F" w14:textId="6378260D" w:rsidR="00F62B5C" w:rsidRPr="00C82EE1" w:rsidRDefault="00F62B5C" w:rsidP="00026FCB">
      <w:pPr>
        <w:spacing w:after="0" w:line="360" w:lineRule="auto"/>
        <w:jc w:val="both"/>
        <w:rPr>
          <w:rFonts w:ascii="Times New Roman" w:hAnsi="Times New Roman" w:cs="Times New Roman"/>
          <w:b/>
          <w:sz w:val="24"/>
          <w:szCs w:val="24"/>
        </w:rPr>
      </w:pPr>
    </w:p>
    <w:p w14:paraId="1358BA2F" w14:textId="4DEB6169" w:rsidR="00F62B5C" w:rsidRPr="00C82EE1" w:rsidRDefault="00F62B5C" w:rsidP="00026FCB">
      <w:pPr>
        <w:spacing w:after="0" w:line="360" w:lineRule="auto"/>
        <w:jc w:val="both"/>
        <w:rPr>
          <w:rFonts w:ascii="Times New Roman" w:hAnsi="Times New Roman" w:cs="Times New Roman"/>
          <w:b/>
          <w:sz w:val="24"/>
          <w:szCs w:val="24"/>
        </w:rPr>
      </w:pPr>
    </w:p>
    <w:p w14:paraId="5A04C5CB" w14:textId="0424F5FC" w:rsidR="00F62B5C" w:rsidRPr="00C82EE1" w:rsidRDefault="00F62B5C" w:rsidP="00026FCB">
      <w:pPr>
        <w:spacing w:after="0" w:line="360" w:lineRule="auto"/>
        <w:jc w:val="both"/>
        <w:rPr>
          <w:rFonts w:ascii="Times New Roman" w:hAnsi="Times New Roman" w:cs="Times New Roman"/>
          <w:b/>
          <w:sz w:val="24"/>
          <w:szCs w:val="24"/>
        </w:rPr>
      </w:pPr>
    </w:p>
    <w:p w14:paraId="18FD73FB" w14:textId="4E5716D6" w:rsidR="00F62B5C" w:rsidRPr="00C82EE1" w:rsidRDefault="00F62B5C" w:rsidP="00026FCB">
      <w:pPr>
        <w:spacing w:after="0" w:line="360" w:lineRule="auto"/>
        <w:jc w:val="both"/>
        <w:rPr>
          <w:rFonts w:ascii="Times New Roman" w:hAnsi="Times New Roman" w:cs="Times New Roman"/>
          <w:b/>
          <w:sz w:val="24"/>
          <w:szCs w:val="24"/>
        </w:rPr>
      </w:pPr>
    </w:p>
    <w:p w14:paraId="7E13E17C" w14:textId="5BBE58C4" w:rsidR="00F62B5C" w:rsidRPr="00C82EE1" w:rsidRDefault="00F62B5C" w:rsidP="00026FCB">
      <w:pPr>
        <w:spacing w:after="0" w:line="360" w:lineRule="auto"/>
        <w:jc w:val="both"/>
        <w:rPr>
          <w:rFonts w:ascii="Times New Roman" w:hAnsi="Times New Roman" w:cs="Times New Roman"/>
          <w:b/>
          <w:sz w:val="24"/>
          <w:szCs w:val="24"/>
        </w:rPr>
      </w:pPr>
    </w:p>
    <w:p w14:paraId="306047D2" w14:textId="78B01D5A" w:rsidR="00F62B5C" w:rsidRPr="00C82EE1" w:rsidRDefault="00F62B5C" w:rsidP="00026FCB">
      <w:pPr>
        <w:spacing w:after="0" w:line="360" w:lineRule="auto"/>
        <w:jc w:val="both"/>
        <w:rPr>
          <w:rFonts w:ascii="Times New Roman" w:hAnsi="Times New Roman" w:cs="Times New Roman"/>
          <w:b/>
          <w:sz w:val="24"/>
          <w:szCs w:val="24"/>
        </w:rPr>
      </w:pPr>
    </w:p>
    <w:p w14:paraId="1762EC46" w14:textId="490F0688" w:rsidR="00F62B5C" w:rsidRPr="00C82EE1" w:rsidRDefault="00F62B5C" w:rsidP="00026FCB">
      <w:pPr>
        <w:spacing w:after="0" w:line="360" w:lineRule="auto"/>
        <w:jc w:val="both"/>
        <w:rPr>
          <w:rFonts w:ascii="Times New Roman" w:hAnsi="Times New Roman" w:cs="Times New Roman"/>
          <w:b/>
          <w:sz w:val="24"/>
          <w:szCs w:val="24"/>
        </w:rPr>
      </w:pPr>
    </w:p>
    <w:p w14:paraId="607A65B9" w14:textId="529D4DA3" w:rsidR="00F62B5C" w:rsidRPr="00C82EE1" w:rsidRDefault="00F62B5C" w:rsidP="00026FCB">
      <w:pPr>
        <w:spacing w:after="0" w:line="360" w:lineRule="auto"/>
        <w:jc w:val="both"/>
        <w:rPr>
          <w:rFonts w:ascii="Times New Roman" w:hAnsi="Times New Roman" w:cs="Times New Roman"/>
          <w:b/>
          <w:sz w:val="24"/>
          <w:szCs w:val="24"/>
        </w:rPr>
      </w:pPr>
    </w:p>
    <w:p w14:paraId="77B84179" w14:textId="72B4C84C" w:rsidR="00F62B5C" w:rsidRPr="00C82EE1" w:rsidRDefault="00F62B5C" w:rsidP="00026FCB">
      <w:pPr>
        <w:spacing w:after="0" w:line="360" w:lineRule="auto"/>
        <w:jc w:val="both"/>
        <w:rPr>
          <w:rFonts w:ascii="Times New Roman" w:hAnsi="Times New Roman" w:cs="Times New Roman"/>
          <w:b/>
          <w:sz w:val="24"/>
          <w:szCs w:val="24"/>
        </w:rPr>
      </w:pPr>
    </w:p>
    <w:p w14:paraId="3E7AA8F6" w14:textId="6127DFBD" w:rsidR="00A10973" w:rsidRDefault="00A10973" w:rsidP="00026FCB">
      <w:pPr>
        <w:spacing w:after="0" w:line="360" w:lineRule="auto"/>
        <w:jc w:val="both"/>
        <w:rPr>
          <w:rFonts w:ascii="Times New Roman" w:hAnsi="Times New Roman" w:cs="Times New Roman"/>
          <w:b/>
          <w:sz w:val="24"/>
          <w:szCs w:val="24"/>
        </w:rPr>
      </w:pPr>
    </w:p>
    <w:p w14:paraId="169EC946" w14:textId="40DEF3A2" w:rsidR="00FC34AF" w:rsidRDefault="00FC34AF" w:rsidP="00026FCB">
      <w:pPr>
        <w:spacing w:after="0" w:line="360" w:lineRule="auto"/>
        <w:jc w:val="both"/>
        <w:rPr>
          <w:rFonts w:ascii="Times New Roman" w:hAnsi="Times New Roman" w:cs="Times New Roman"/>
          <w:b/>
          <w:sz w:val="24"/>
          <w:szCs w:val="24"/>
        </w:rPr>
      </w:pPr>
    </w:p>
    <w:p w14:paraId="44356C69" w14:textId="508CDAD3" w:rsidR="00CB2EEF" w:rsidRDefault="00CB2EEF" w:rsidP="00026FCB">
      <w:pPr>
        <w:spacing w:after="0" w:line="360" w:lineRule="auto"/>
        <w:jc w:val="both"/>
        <w:rPr>
          <w:rFonts w:ascii="Times New Roman" w:hAnsi="Times New Roman" w:cs="Times New Roman"/>
          <w:b/>
          <w:sz w:val="24"/>
          <w:szCs w:val="24"/>
        </w:rPr>
      </w:pPr>
    </w:p>
    <w:p w14:paraId="46B3B2F5" w14:textId="76E546D4" w:rsidR="00CB2EEF" w:rsidRDefault="00CB2EEF" w:rsidP="00026FCB">
      <w:pPr>
        <w:spacing w:after="0" w:line="360" w:lineRule="auto"/>
        <w:jc w:val="both"/>
        <w:rPr>
          <w:rFonts w:ascii="Times New Roman" w:hAnsi="Times New Roman" w:cs="Times New Roman"/>
          <w:b/>
          <w:sz w:val="24"/>
          <w:szCs w:val="24"/>
        </w:rPr>
      </w:pPr>
    </w:p>
    <w:p w14:paraId="54DB2D73" w14:textId="776B671F" w:rsidR="00CB2EEF" w:rsidRDefault="00CB2EEF" w:rsidP="00026FCB">
      <w:pPr>
        <w:spacing w:after="0" w:line="360" w:lineRule="auto"/>
        <w:jc w:val="both"/>
        <w:rPr>
          <w:rFonts w:ascii="Times New Roman" w:hAnsi="Times New Roman" w:cs="Times New Roman"/>
          <w:b/>
          <w:sz w:val="24"/>
          <w:szCs w:val="24"/>
        </w:rPr>
      </w:pPr>
    </w:p>
    <w:p w14:paraId="6E600200" w14:textId="7439B002" w:rsidR="00CB2EEF" w:rsidRDefault="00CB2EEF" w:rsidP="00026FCB">
      <w:pPr>
        <w:spacing w:after="0" w:line="360" w:lineRule="auto"/>
        <w:jc w:val="both"/>
        <w:rPr>
          <w:rFonts w:ascii="Times New Roman" w:hAnsi="Times New Roman" w:cs="Times New Roman"/>
          <w:b/>
          <w:sz w:val="24"/>
          <w:szCs w:val="24"/>
        </w:rPr>
      </w:pPr>
    </w:p>
    <w:p w14:paraId="64224039" w14:textId="1106C285" w:rsidR="00CB2EEF" w:rsidRDefault="00CB2EEF" w:rsidP="00026FCB">
      <w:pPr>
        <w:spacing w:after="0" w:line="360" w:lineRule="auto"/>
        <w:jc w:val="both"/>
        <w:rPr>
          <w:rFonts w:ascii="Times New Roman" w:hAnsi="Times New Roman" w:cs="Times New Roman"/>
          <w:b/>
          <w:sz w:val="24"/>
          <w:szCs w:val="24"/>
        </w:rPr>
      </w:pPr>
    </w:p>
    <w:p w14:paraId="4B612CCD" w14:textId="6A008F0F" w:rsidR="00CB2EEF" w:rsidRDefault="00CB2EEF" w:rsidP="00026FCB">
      <w:pPr>
        <w:spacing w:after="0" w:line="360" w:lineRule="auto"/>
        <w:jc w:val="both"/>
        <w:rPr>
          <w:rFonts w:ascii="Times New Roman" w:hAnsi="Times New Roman" w:cs="Times New Roman"/>
          <w:b/>
          <w:sz w:val="24"/>
          <w:szCs w:val="24"/>
        </w:rPr>
      </w:pPr>
    </w:p>
    <w:p w14:paraId="327D2371" w14:textId="05C57C99" w:rsidR="00CB2EEF" w:rsidRDefault="00CB2EEF" w:rsidP="00026FCB">
      <w:pPr>
        <w:spacing w:after="0" w:line="360" w:lineRule="auto"/>
        <w:jc w:val="both"/>
        <w:rPr>
          <w:rFonts w:ascii="Times New Roman" w:hAnsi="Times New Roman" w:cs="Times New Roman"/>
          <w:b/>
          <w:sz w:val="24"/>
          <w:szCs w:val="24"/>
        </w:rPr>
      </w:pPr>
    </w:p>
    <w:p w14:paraId="0449A532" w14:textId="185317B4" w:rsidR="00CB2EEF" w:rsidRDefault="00CB2EEF" w:rsidP="00026FCB">
      <w:pPr>
        <w:spacing w:after="0" w:line="360" w:lineRule="auto"/>
        <w:jc w:val="both"/>
        <w:rPr>
          <w:rFonts w:ascii="Times New Roman" w:hAnsi="Times New Roman" w:cs="Times New Roman"/>
          <w:b/>
          <w:sz w:val="24"/>
          <w:szCs w:val="24"/>
        </w:rPr>
      </w:pPr>
    </w:p>
    <w:p w14:paraId="46C11222" w14:textId="77E16F99" w:rsidR="00CB2EEF" w:rsidRDefault="00CB2EEF" w:rsidP="00026FCB">
      <w:pPr>
        <w:spacing w:after="0" w:line="360" w:lineRule="auto"/>
        <w:jc w:val="both"/>
        <w:rPr>
          <w:rFonts w:ascii="Times New Roman" w:hAnsi="Times New Roman" w:cs="Times New Roman"/>
          <w:b/>
          <w:sz w:val="24"/>
          <w:szCs w:val="24"/>
        </w:rPr>
      </w:pPr>
    </w:p>
    <w:p w14:paraId="1E834B34" w14:textId="2DE8BEDE" w:rsidR="00CB2EEF" w:rsidRDefault="00CB2EEF" w:rsidP="00026FCB">
      <w:pPr>
        <w:spacing w:after="0" w:line="360" w:lineRule="auto"/>
        <w:jc w:val="both"/>
        <w:rPr>
          <w:rFonts w:ascii="Times New Roman" w:hAnsi="Times New Roman" w:cs="Times New Roman"/>
          <w:b/>
          <w:sz w:val="24"/>
          <w:szCs w:val="24"/>
        </w:rPr>
      </w:pPr>
    </w:p>
    <w:p w14:paraId="54EF0E3C" w14:textId="77777777" w:rsidR="00CB2EEF" w:rsidRPr="00C82EE1" w:rsidRDefault="00CB2EEF" w:rsidP="00026FCB">
      <w:pPr>
        <w:spacing w:after="0" w:line="360" w:lineRule="auto"/>
        <w:jc w:val="both"/>
        <w:rPr>
          <w:rFonts w:ascii="Times New Roman" w:hAnsi="Times New Roman" w:cs="Times New Roman"/>
          <w:b/>
          <w:sz w:val="24"/>
          <w:szCs w:val="24"/>
        </w:rPr>
      </w:pPr>
    </w:p>
    <w:p w14:paraId="587A9176" w14:textId="77777777" w:rsidR="00481D5B" w:rsidRPr="00C82EE1" w:rsidRDefault="00481D5B" w:rsidP="00E223E9">
      <w:pPr>
        <w:spacing w:after="240" w:line="360" w:lineRule="auto"/>
        <w:jc w:val="both"/>
        <w:rPr>
          <w:rFonts w:ascii="Times New Roman" w:hAnsi="Times New Roman" w:cs="Times New Roman"/>
          <w:b/>
          <w:sz w:val="32"/>
          <w:szCs w:val="24"/>
        </w:rPr>
      </w:pPr>
      <w:r w:rsidRPr="00C82EE1">
        <w:rPr>
          <w:rFonts w:ascii="Times New Roman" w:hAnsi="Times New Roman" w:cs="Times New Roman"/>
          <w:b/>
          <w:sz w:val="32"/>
          <w:szCs w:val="24"/>
        </w:rPr>
        <w:t>Figures</w:t>
      </w:r>
    </w:p>
    <w:p w14:paraId="712B4703" w14:textId="67CE3B75" w:rsidR="00481D5B" w:rsidRPr="00C82EE1" w:rsidRDefault="00481D5B" w:rsidP="00225E62">
      <w:pPr>
        <w:spacing w:after="120" w:line="360" w:lineRule="auto"/>
        <w:ind w:firstLine="357"/>
        <w:jc w:val="center"/>
        <w:rPr>
          <w:rFonts w:ascii="Times New Roman" w:hAnsi="Times New Roman" w:cs="Times New Roman"/>
          <w:b/>
          <w:sz w:val="28"/>
          <w:szCs w:val="24"/>
        </w:rPr>
      </w:pPr>
      <w:r w:rsidRPr="00C82EE1">
        <w:rPr>
          <w:rFonts w:ascii="Times New Roman" w:hAnsi="Times New Roman" w:cs="Times New Roman"/>
          <w:b/>
          <w:sz w:val="28"/>
          <w:szCs w:val="24"/>
        </w:rPr>
        <w:t>Figure 1: Contribution of dimensions to dataset variance</w:t>
      </w:r>
      <w:r w:rsidR="00A10973">
        <w:rPr>
          <w:rFonts w:ascii="Times New Roman" w:hAnsi="Times New Roman" w:cs="Times New Roman"/>
          <w:b/>
          <w:sz w:val="28"/>
          <w:szCs w:val="24"/>
        </w:rPr>
        <w:t>.</w:t>
      </w:r>
    </w:p>
    <w:p w14:paraId="2450348E" w14:textId="77777777" w:rsidR="00481D5B" w:rsidRPr="00C82EE1" w:rsidRDefault="00481D5B" w:rsidP="00225E62">
      <w:pPr>
        <w:widowControl w:val="0"/>
        <w:autoSpaceDE w:val="0"/>
        <w:autoSpaceDN w:val="0"/>
        <w:spacing w:before="240" w:after="120" w:line="360" w:lineRule="auto"/>
        <w:ind w:firstLine="360"/>
        <w:jc w:val="center"/>
        <w:rPr>
          <w:rFonts w:ascii="Times New Roman" w:eastAsiaTheme="minorEastAsia" w:hAnsi="Times New Roman" w:cs="Times New Roman"/>
          <w:sz w:val="24"/>
          <w:szCs w:val="24"/>
        </w:rPr>
      </w:pPr>
      <w:r w:rsidRPr="00C82EE1">
        <w:rPr>
          <w:rFonts w:ascii="Times New Roman" w:eastAsiaTheme="minorEastAsia" w:hAnsi="Times New Roman" w:cs="Times New Roman"/>
          <w:noProof/>
          <w:sz w:val="24"/>
          <w:szCs w:val="24"/>
        </w:rPr>
        <w:drawing>
          <wp:inline distT="0" distB="0" distL="0" distR="0" wp14:anchorId="1FFD6BF1" wp14:editId="5E414D0B">
            <wp:extent cx="3096883" cy="2571881"/>
            <wp:effectExtent l="0" t="0" r="8890" b="0"/>
            <wp:docPr id="637002424" name="Image 63700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t_var_page-0001.jpg"/>
                    <pic:cNvPicPr/>
                  </pic:nvPicPr>
                  <pic:blipFill>
                    <a:blip r:embed="rId13">
                      <a:extLst>
                        <a:ext uri="{28A0092B-C50C-407E-A947-70E740481C1C}">
                          <a14:useLocalDpi xmlns:a14="http://schemas.microsoft.com/office/drawing/2010/main" val="0"/>
                        </a:ext>
                      </a:extLst>
                    </a:blip>
                    <a:stretch>
                      <a:fillRect/>
                    </a:stretch>
                  </pic:blipFill>
                  <pic:spPr>
                    <a:xfrm>
                      <a:off x="0" y="0"/>
                      <a:ext cx="3096883" cy="2571881"/>
                    </a:xfrm>
                    <a:prstGeom prst="rect">
                      <a:avLst/>
                    </a:prstGeom>
                  </pic:spPr>
                </pic:pic>
              </a:graphicData>
            </a:graphic>
          </wp:inline>
        </w:drawing>
      </w:r>
    </w:p>
    <w:p w14:paraId="33FCE5CE" w14:textId="77777777" w:rsidR="00481D5B" w:rsidRPr="00A10973" w:rsidRDefault="00481D5B" w:rsidP="00225E62">
      <w:pPr>
        <w:widowControl w:val="0"/>
        <w:autoSpaceDE w:val="0"/>
        <w:autoSpaceDN w:val="0"/>
        <w:spacing w:before="120" w:after="120" w:line="240" w:lineRule="auto"/>
        <w:jc w:val="both"/>
        <w:rPr>
          <w:rFonts w:ascii="Times New Roman" w:eastAsia="Times New Roman" w:hAnsi="Times New Roman" w:cs="Times New Roman"/>
          <w:sz w:val="20"/>
          <w:szCs w:val="24"/>
        </w:rPr>
      </w:pPr>
      <w:r w:rsidRPr="00A10973">
        <w:rPr>
          <w:rFonts w:ascii="Times New Roman" w:eastAsiaTheme="minorEastAsia" w:hAnsi="Times New Roman" w:cs="Times New Roman"/>
          <w:i/>
          <w:sz w:val="20"/>
          <w:szCs w:val="24"/>
        </w:rPr>
        <w:t xml:space="preserve">Notes. </w:t>
      </w:r>
      <w:r w:rsidRPr="00A10973">
        <w:rPr>
          <w:rFonts w:ascii="Times New Roman" w:eastAsiaTheme="minorEastAsia" w:hAnsi="Times New Roman" w:cs="Times New Roman"/>
          <w:sz w:val="20"/>
          <w:szCs w:val="24"/>
        </w:rPr>
        <w:t>This figure represents the percentage of variance explained by each component, using the PCA. The first component is used to estimate the level of LC within ICO white papers and explain 43.73% of the dataset variability.</w:t>
      </w:r>
    </w:p>
    <w:p w14:paraId="0808EED9" w14:textId="77777777" w:rsidR="00481D5B" w:rsidRPr="00C82EE1" w:rsidRDefault="00481D5B" w:rsidP="00225E62">
      <w:pPr>
        <w:widowControl w:val="0"/>
        <w:autoSpaceDE w:val="0"/>
        <w:autoSpaceDN w:val="0"/>
        <w:spacing w:after="120" w:line="240" w:lineRule="auto"/>
        <w:jc w:val="center"/>
        <w:rPr>
          <w:rFonts w:ascii="Times New Roman" w:eastAsia="Times New Roman" w:hAnsi="Times New Roman" w:cs="Times New Roman"/>
          <w:sz w:val="24"/>
          <w:szCs w:val="24"/>
        </w:rPr>
      </w:pPr>
    </w:p>
    <w:p w14:paraId="59BFBA98" w14:textId="7F854C1E" w:rsidR="00481D5B" w:rsidRPr="00C82EE1" w:rsidRDefault="00481D5B" w:rsidP="00E223E9">
      <w:pPr>
        <w:spacing w:after="240" w:line="360" w:lineRule="auto"/>
        <w:ind w:firstLine="357"/>
        <w:jc w:val="center"/>
        <w:rPr>
          <w:rFonts w:ascii="Times New Roman" w:hAnsi="Times New Roman" w:cs="Times New Roman"/>
          <w:b/>
          <w:sz w:val="24"/>
          <w:szCs w:val="24"/>
        </w:rPr>
      </w:pPr>
      <w:r w:rsidRPr="00C82EE1">
        <w:rPr>
          <w:rFonts w:ascii="Times New Roman" w:hAnsi="Times New Roman" w:cs="Times New Roman"/>
          <w:b/>
          <w:sz w:val="24"/>
          <w:szCs w:val="24"/>
        </w:rPr>
        <w:br w:type="page"/>
      </w:r>
      <w:r w:rsidRPr="00C82EE1">
        <w:rPr>
          <w:rFonts w:ascii="Times New Roman" w:hAnsi="Times New Roman" w:cs="Times New Roman"/>
          <w:b/>
          <w:sz w:val="28"/>
          <w:szCs w:val="24"/>
        </w:rPr>
        <w:lastRenderedPageBreak/>
        <w:t>Figure 2:</w:t>
      </w:r>
      <w:r w:rsidRPr="00C82EE1">
        <w:rPr>
          <w:rFonts w:ascii="Times New Roman" w:hAnsi="Times New Roman" w:cs="Times New Roman"/>
          <w:sz w:val="28"/>
          <w:szCs w:val="24"/>
        </w:rPr>
        <w:t xml:space="preserve"> </w:t>
      </w:r>
      <w:r w:rsidRPr="00C82EE1">
        <w:rPr>
          <w:rFonts w:ascii="Times New Roman" w:hAnsi="Times New Roman" w:cs="Times New Roman"/>
          <w:b/>
          <w:sz w:val="28"/>
          <w:szCs w:val="24"/>
        </w:rPr>
        <w:t>The curvilinear impact of LC on the ICO amount raised</w:t>
      </w:r>
      <w:r w:rsidR="00A10973">
        <w:rPr>
          <w:rFonts w:ascii="Times New Roman" w:hAnsi="Times New Roman" w:cs="Times New Roman"/>
          <w:b/>
          <w:sz w:val="28"/>
          <w:szCs w:val="24"/>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81D5B" w:rsidRPr="00C82EE1" w14:paraId="5319BC65" w14:textId="77777777" w:rsidTr="00C76A66">
        <w:tc>
          <w:tcPr>
            <w:tcW w:w="4531" w:type="dxa"/>
          </w:tcPr>
          <w:p w14:paraId="2B66492A" w14:textId="77777777" w:rsidR="00481D5B" w:rsidRPr="00C82EE1" w:rsidRDefault="00481D5B" w:rsidP="00225E62">
            <w:pPr>
              <w:spacing w:line="360" w:lineRule="auto"/>
              <w:jc w:val="center"/>
              <w:rPr>
                <w:rFonts w:ascii="Times New Roman" w:hAnsi="Times New Roman" w:cs="Times New Roman"/>
                <w:sz w:val="24"/>
                <w:szCs w:val="24"/>
              </w:rPr>
            </w:pPr>
            <w:r w:rsidRPr="00C82EE1">
              <w:rPr>
                <w:rFonts w:ascii="Times New Roman" w:hAnsi="Times New Roman" w:cs="Times New Roman"/>
                <w:noProof/>
                <w:sz w:val="24"/>
                <w:szCs w:val="24"/>
              </w:rPr>
              <w:drawing>
                <wp:inline distT="0" distB="0" distL="0" distR="0" wp14:anchorId="46B3839C" wp14:editId="3332DF38">
                  <wp:extent cx="2698130" cy="2467756"/>
                  <wp:effectExtent l="0" t="0" r="6985" b="8890"/>
                  <wp:docPr id="541416916" name="Image 541416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16916" name="Image 541416916" descr="Une image contenant texte, ligne, diagramme, Tracé&#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8130" cy="2467756"/>
                          </a:xfrm>
                          <a:prstGeom prst="rect">
                            <a:avLst/>
                          </a:prstGeom>
                        </pic:spPr>
                      </pic:pic>
                    </a:graphicData>
                  </a:graphic>
                </wp:inline>
              </w:drawing>
            </w:r>
          </w:p>
        </w:tc>
        <w:tc>
          <w:tcPr>
            <w:tcW w:w="4531" w:type="dxa"/>
          </w:tcPr>
          <w:p w14:paraId="0E1191F9" w14:textId="77777777" w:rsidR="00481D5B" w:rsidRPr="00C82EE1" w:rsidRDefault="00481D5B" w:rsidP="00225E62">
            <w:pPr>
              <w:spacing w:line="360" w:lineRule="auto"/>
              <w:jc w:val="center"/>
              <w:rPr>
                <w:rFonts w:ascii="Times New Roman" w:hAnsi="Times New Roman" w:cs="Times New Roman"/>
                <w:sz w:val="24"/>
                <w:szCs w:val="24"/>
              </w:rPr>
            </w:pPr>
            <w:r w:rsidRPr="00C82EE1">
              <w:rPr>
                <w:rFonts w:ascii="Times New Roman" w:hAnsi="Times New Roman" w:cs="Times New Roman"/>
                <w:noProof/>
                <w:sz w:val="24"/>
                <w:szCs w:val="24"/>
              </w:rPr>
              <w:drawing>
                <wp:inline distT="0" distB="0" distL="0" distR="0" wp14:anchorId="2096D45E" wp14:editId="74F50647">
                  <wp:extent cx="2698130" cy="2467756"/>
                  <wp:effectExtent l="0" t="0" r="6985" b="8890"/>
                  <wp:docPr id="2103305787" name="Image 210330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05787" name="Image 2103305787" descr="Une image contenant texte, diagramme, ligne, Tracé&#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8130" cy="2467756"/>
                          </a:xfrm>
                          <a:prstGeom prst="rect">
                            <a:avLst/>
                          </a:prstGeom>
                        </pic:spPr>
                      </pic:pic>
                    </a:graphicData>
                  </a:graphic>
                </wp:inline>
              </w:drawing>
            </w:r>
          </w:p>
        </w:tc>
      </w:tr>
      <w:tr w:rsidR="00481D5B" w:rsidRPr="00C82EE1" w14:paraId="0981574C" w14:textId="77777777" w:rsidTr="00C76A66">
        <w:tc>
          <w:tcPr>
            <w:tcW w:w="4531" w:type="dxa"/>
          </w:tcPr>
          <w:p w14:paraId="1D5D5EB6" w14:textId="77777777" w:rsidR="00481D5B" w:rsidRPr="00C82EE1" w:rsidRDefault="00481D5B" w:rsidP="00225E62">
            <w:pPr>
              <w:spacing w:line="360" w:lineRule="auto"/>
              <w:jc w:val="center"/>
              <w:rPr>
                <w:rFonts w:ascii="Times New Roman" w:hAnsi="Times New Roman" w:cs="Times New Roman"/>
                <w:sz w:val="24"/>
                <w:szCs w:val="24"/>
              </w:rPr>
            </w:pPr>
            <w:r w:rsidRPr="00C82EE1">
              <w:rPr>
                <w:rFonts w:ascii="Times New Roman" w:hAnsi="Times New Roman" w:cs="Times New Roman"/>
                <w:sz w:val="24"/>
                <w:szCs w:val="24"/>
              </w:rPr>
              <w:t>(a) LC</w:t>
            </w:r>
          </w:p>
        </w:tc>
        <w:tc>
          <w:tcPr>
            <w:tcW w:w="4531" w:type="dxa"/>
          </w:tcPr>
          <w:p w14:paraId="220734CD" w14:textId="77777777" w:rsidR="00481D5B" w:rsidRPr="00C82EE1" w:rsidRDefault="00481D5B" w:rsidP="00225E62">
            <w:pPr>
              <w:spacing w:line="360" w:lineRule="auto"/>
              <w:jc w:val="center"/>
              <w:rPr>
                <w:rFonts w:ascii="Times New Roman" w:hAnsi="Times New Roman" w:cs="Times New Roman"/>
                <w:sz w:val="24"/>
                <w:szCs w:val="24"/>
              </w:rPr>
            </w:pPr>
            <w:r w:rsidRPr="00C82EE1">
              <w:rPr>
                <w:rFonts w:ascii="Times New Roman" w:hAnsi="Times New Roman" w:cs="Times New Roman"/>
                <w:sz w:val="24"/>
                <w:szCs w:val="24"/>
              </w:rPr>
              <w:t xml:space="preserve">(b) Lexical </w:t>
            </w:r>
            <w:proofErr w:type="spellStart"/>
            <w:r w:rsidRPr="00C82EE1">
              <w:rPr>
                <w:rFonts w:ascii="Times New Roman" w:hAnsi="Times New Roman" w:cs="Times New Roman"/>
                <w:sz w:val="24"/>
                <w:szCs w:val="24"/>
              </w:rPr>
              <w:t>density</w:t>
            </w:r>
            <w:proofErr w:type="spellEnd"/>
          </w:p>
        </w:tc>
      </w:tr>
      <w:tr w:rsidR="00481D5B" w:rsidRPr="00C82EE1" w14:paraId="18A95738" w14:textId="77777777" w:rsidTr="00C76A66">
        <w:tc>
          <w:tcPr>
            <w:tcW w:w="4531" w:type="dxa"/>
          </w:tcPr>
          <w:p w14:paraId="41FEA247" w14:textId="77777777" w:rsidR="00481D5B" w:rsidRPr="00C82EE1" w:rsidRDefault="00481D5B" w:rsidP="00225E62">
            <w:pPr>
              <w:spacing w:line="360" w:lineRule="auto"/>
              <w:jc w:val="center"/>
              <w:rPr>
                <w:rFonts w:ascii="Times New Roman" w:hAnsi="Times New Roman" w:cs="Times New Roman"/>
                <w:sz w:val="24"/>
                <w:szCs w:val="24"/>
              </w:rPr>
            </w:pPr>
            <w:r w:rsidRPr="00C82EE1">
              <w:rPr>
                <w:rFonts w:ascii="Times New Roman" w:hAnsi="Times New Roman" w:cs="Times New Roman"/>
                <w:noProof/>
                <w:sz w:val="24"/>
                <w:szCs w:val="24"/>
              </w:rPr>
              <w:drawing>
                <wp:inline distT="0" distB="0" distL="0" distR="0" wp14:anchorId="0B473D8F" wp14:editId="055AC692">
                  <wp:extent cx="2698130" cy="2467756"/>
                  <wp:effectExtent l="0" t="0" r="6985" b="8890"/>
                  <wp:docPr id="1461625652" name="Image 146162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25652" name="Image 1461625652" descr="Une image contenant texte, Tracé, ligne, diagramm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8130" cy="2467756"/>
                          </a:xfrm>
                          <a:prstGeom prst="rect">
                            <a:avLst/>
                          </a:prstGeom>
                        </pic:spPr>
                      </pic:pic>
                    </a:graphicData>
                  </a:graphic>
                </wp:inline>
              </w:drawing>
            </w:r>
          </w:p>
        </w:tc>
        <w:tc>
          <w:tcPr>
            <w:tcW w:w="4531" w:type="dxa"/>
          </w:tcPr>
          <w:p w14:paraId="60A442F3" w14:textId="77777777" w:rsidR="00481D5B" w:rsidRPr="00C82EE1" w:rsidRDefault="00481D5B" w:rsidP="00225E62">
            <w:pPr>
              <w:spacing w:line="360" w:lineRule="auto"/>
              <w:jc w:val="center"/>
              <w:rPr>
                <w:rFonts w:ascii="Times New Roman" w:hAnsi="Times New Roman" w:cs="Times New Roman"/>
                <w:sz w:val="24"/>
                <w:szCs w:val="24"/>
              </w:rPr>
            </w:pPr>
            <w:r w:rsidRPr="00C82EE1">
              <w:rPr>
                <w:rFonts w:ascii="Times New Roman" w:hAnsi="Times New Roman" w:cs="Times New Roman"/>
                <w:noProof/>
                <w:sz w:val="24"/>
                <w:szCs w:val="24"/>
              </w:rPr>
              <w:drawing>
                <wp:inline distT="0" distB="0" distL="0" distR="0" wp14:anchorId="7D38CB14" wp14:editId="382320F6">
                  <wp:extent cx="2698130" cy="2467756"/>
                  <wp:effectExtent l="0" t="0" r="6985" b="8890"/>
                  <wp:docPr id="2013089336" name="Image 2013089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89336" name="Image 2013089336" descr="Une image contenant texte, ligne, Tracé, diagramme&#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98130" cy="2467756"/>
                          </a:xfrm>
                          <a:prstGeom prst="rect">
                            <a:avLst/>
                          </a:prstGeom>
                        </pic:spPr>
                      </pic:pic>
                    </a:graphicData>
                  </a:graphic>
                </wp:inline>
              </w:drawing>
            </w:r>
          </w:p>
        </w:tc>
      </w:tr>
      <w:tr w:rsidR="00481D5B" w:rsidRPr="00C82EE1" w14:paraId="7599D61C" w14:textId="77777777" w:rsidTr="00C76A66">
        <w:tc>
          <w:tcPr>
            <w:tcW w:w="4531" w:type="dxa"/>
          </w:tcPr>
          <w:p w14:paraId="3383CB3F" w14:textId="77777777" w:rsidR="00481D5B" w:rsidRPr="00C82EE1" w:rsidRDefault="00481D5B" w:rsidP="00225E62">
            <w:pPr>
              <w:spacing w:line="360" w:lineRule="auto"/>
              <w:jc w:val="center"/>
              <w:rPr>
                <w:rFonts w:ascii="Times New Roman" w:hAnsi="Times New Roman" w:cs="Times New Roman"/>
                <w:sz w:val="24"/>
                <w:szCs w:val="24"/>
              </w:rPr>
            </w:pPr>
            <w:r w:rsidRPr="00C82EE1">
              <w:rPr>
                <w:rFonts w:ascii="Times New Roman" w:hAnsi="Times New Roman" w:cs="Times New Roman"/>
                <w:sz w:val="24"/>
                <w:szCs w:val="24"/>
              </w:rPr>
              <w:t>(c) Lexical sophistication</w:t>
            </w:r>
          </w:p>
        </w:tc>
        <w:tc>
          <w:tcPr>
            <w:tcW w:w="4531" w:type="dxa"/>
          </w:tcPr>
          <w:p w14:paraId="621909CD" w14:textId="77777777" w:rsidR="00481D5B" w:rsidRPr="00C82EE1" w:rsidRDefault="00481D5B" w:rsidP="00225E62">
            <w:pPr>
              <w:spacing w:line="360" w:lineRule="auto"/>
              <w:jc w:val="center"/>
              <w:rPr>
                <w:rFonts w:ascii="Times New Roman" w:hAnsi="Times New Roman" w:cs="Times New Roman"/>
                <w:sz w:val="24"/>
                <w:szCs w:val="24"/>
              </w:rPr>
            </w:pPr>
            <w:r w:rsidRPr="00C82EE1">
              <w:rPr>
                <w:rFonts w:ascii="Times New Roman" w:hAnsi="Times New Roman" w:cs="Times New Roman"/>
                <w:sz w:val="24"/>
                <w:szCs w:val="24"/>
              </w:rPr>
              <w:t xml:space="preserve">(d) Lexical </w:t>
            </w:r>
            <w:proofErr w:type="spellStart"/>
            <w:r w:rsidRPr="00C82EE1">
              <w:rPr>
                <w:rFonts w:ascii="Times New Roman" w:hAnsi="Times New Roman" w:cs="Times New Roman"/>
                <w:sz w:val="24"/>
                <w:szCs w:val="24"/>
              </w:rPr>
              <w:t>diversity</w:t>
            </w:r>
            <w:proofErr w:type="spellEnd"/>
          </w:p>
        </w:tc>
      </w:tr>
    </w:tbl>
    <w:p w14:paraId="29B7EBCE" w14:textId="77777777" w:rsidR="00481D5B" w:rsidRPr="00C82EE1" w:rsidRDefault="00481D5B" w:rsidP="00086E4A">
      <w:pPr>
        <w:spacing w:after="0" w:line="240" w:lineRule="auto"/>
        <w:jc w:val="both"/>
        <w:rPr>
          <w:rFonts w:ascii="Times New Roman" w:hAnsi="Times New Roman" w:cs="Times New Roman"/>
          <w:sz w:val="20"/>
          <w:szCs w:val="20"/>
        </w:rPr>
      </w:pPr>
      <w:r w:rsidRPr="00C82EE1">
        <w:rPr>
          <w:rFonts w:ascii="Times New Roman" w:hAnsi="Times New Roman" w:cs="Times New Roman"/>
          <w:i/>
          <w:sz w:val="20"/>
          <w:szCs w:val="20"/>
        </w:rPr>
        <w:t xml:space="preserve">Notes. </w:t>
      </w:r>
      <w:r w:rsidRPr="00C82EE1">
        <w:rPr>
          <w:rFonts w:ascii="Times New Roman" w:hAnsi="Times New Roman" w:cs="Times New Roman"/>
          <w:sz w:val="20"/>
          <w:szCs w:val="20"/>
        </w:rPr>
        <w:t xml:space="preserve">This figure reports the curvilinear impact of LC on the ICO amount raised. The impacts of </w:t>
      </w:r>
      <m:oMath>
        <m:r>
          <w:rPr>
            <w:rFonts w:ascii="Cambria Math" w:hAnsi="Cambria Math" w:cs="Times New Roman"/>
            <w:sz w:val="20"/>
            <w:szCs w:val="20"/>
          </w:rPr>
          <m:t>LC</m:t>
        </m:r>
      </m:oMath>
      <w:r w:rsidRPr="00C82EE1">
        <w:rPr>
          <w:rFonts w:ascii="Times New Roman" w:hAnsi="Times New Roman" w:cs="Times New Roman"/>
          <w:sz w:val="20"/>
          <w:szCs w:val="20"/>
        </w:rPr>
        <w:t xml:space="preserve">, </w:t>
      </w:r>
      <m:oMath>
        <m:r>
          <w:rPr>
            <w:rFonts w:ascii="Cambria Math" w:hAnsi="Cambria Math" w:cs="Times New Roman"/>
            <w:sz w:val="20"/>
            <w:szCs w:val="20"/>
          </w:rPr>
          <m:t>Density</m:t>
        </m:r>
      </m:oMath>
      <w:r w:rsidRPr="00C82EE1">
        <w:rPr>
          <w:rFonts w:ascii="Times New Roman" w:hAnsi="Times New Roman" w:cs="Times New Roman"/>
          <w:sz w:val="20"/>
          <w:szCs w:val="20"/>
        </w:rPr>
        <w:t xml:space="preserve">, </w:t>
      </w:r>
      <m:oMath>
        <m:r>
          <w:rPr>
            <w:rFonts w:ascii="Cambria Math" w:hAnsi="Cambria Math" w:cs="Times New Roman"/>
            <w:sz w:val="20"/>
            <w:szCs w:val="20"/>
          </w:rPr>
          <m:t>Sophistication</m:t>
        </m:r>
      </m:oMath>
      <w:r w:rsidRPr="00C82EE1">
        <w:rPr>
          <w:rFonts w:ascii="Times New Roman" w:hAnsi="Times New Roman" w:cs="Times New Roman"/>
          <w:sz w:val="20"/>
          <w:szCs w:val="20"/>
        </w:rPr>
        <w:t xml:space="preserve"> and </w:t>
      </w:r>
      <m:oMath>
        <m:r>
          <w:rPr>
            <w:rFonts w:ascii="Cambria Math" w:hAnsi="Cambria Math" w:cs="Times New Roman"/>
            <w:sz w:val="20"/>
            <w:szCs w:val="20"/>
          </w:rPr>
          <m:t>Diversity</m:t>
        </m:r>
      </m:oMath>
      <w:r w:rsidRPr="00C82EE1">
        <w:rPr>
          <w:rFonts w:ascii="Times New Roman" w:hAnsi="Times New Roman" w:cs="Times New Roman"/>
          <w:sz w:val="20"/>
          <w:szCs w:val="20"/>
        </w:rPr>
        <w:t xml:space="preserve"> are reported in Figures A2(a), A2(b), A2(c) and A2(d) respectively. Black points represent op</w:t>
      </w:r>
      <w:proofErr w:type="spellStart"/>
      <w:r w:rsidRPr="00C82EE1">
        <w:rPr>
          <w:rFonts w:ascii="Times New Roman" w:hAnsi="Times New Roman" w:cs="Times New Roman"/>
          <w:sz w:val="20"/>
          <w:szCs w:val="20"/>
        </w:rPr>
        <w:t>timal</w:t>
      </w:r>
      <w:proofErr w:type="spellEnd"/>
      <w:r w:rsidRPr="00C82EE1">
        <w:rPr>
          <w:rFonts w:ascii="Times New Roman" w:hAnsi="Times New Roman" w:cs="Times New Roman"/>
          <w:sz w:val="20"/>
          <w:szCs w:val="20"/>
        </w:rPr>
        <w:t xml:space="preserve"> levels of complexity to reach highest funding possible.</w:t>
      </w:r>
    </w:p>
    <w:p w14:paraId="5AC89CC5" w14:textId="0850BC07" w:rsidR="00C76A66" w:rsidRPr="00C82EE1" w:rsidRDefault="00481D5B" w:rsidP="00086E4A">
      <w:pPr>
        <w:spacing w:after="0" w:line="360" w:lineRule="auto"/>
        <w:jc w:val="both"/>
        <w:rPr>
          <w:rFonts w:ascii="Times New Roman" w:hAnsi="Times New Roman" w:cs="Times New Roman"/>
          <w:b/>
          <w:sz w:val="20"/>
          <w:szCs w:val="20"/>
        </w:rPr>
      </w:pPr>
      <w:r w:rsidRPr="00C82EE1">
        <w:rPr>
          <w:rFonts w:ascii="Times New Roman" w:hAnsi="Times New Roman" w:cs="Times New Roman"/>
          <w:b/>
          <w:sz w:val="20"/>
          <w:szCs w:val="20"/>
        </w:rPr>
        <w:br w:type="page"/>
      </w:r>
    </w:p>
    <w:p w14:paraId="43B0DD77" w14:textId="76E05BF1" w:rsidR="0093472B" w:rsidRPr="00C82EE1" w:rsidRDefault="0093472B" w:rsidP="00026FCB">
      <w:pPr>
        <w:spacing w:after="0" w:line="360" w:lineRule="auto"/>
        <w:jc w:val="both"/>
        <w:rPr>
          <w:rFonts w:ascii="Times New Roman" w:hAnsi="Times New Roman" w:cs="Times New Roman"/>
          <w:b/>
          <w:sz w:val="32"/>
          <w:szCs w:val="24"/>
        </w:rPr>
      </w:pPr>
      <w:r w:rsidRPr="00C82EE1">
        <w:rPr>
          <w:rFonts w:ascii="Times New Roman" w:hAnsi="Times New Roman" w:cs="Times New Roman"/>
          <w:b/>
          <w:sz w:val="32"/>
          <w:szCs w:val="24"/>
        </w:rPr>
        <w:lastRenderedPageBreak/>
        <w:t>Tables</w:t>
      </w:r>
    </w:p>
    <w:tbl>
      <w:tblPr>
        <w:tblW w:w="9897" w:type="dxa"/>
        <w:jc w:val="center"/>
        <w:tblLook w:val="04A0" w:firstRow="1" w:lastRow="0" w:firstColumn="1" w:lastColumn="0" w:noHBand="0" w:noVBand="1"/>
      </w:tblPr>
      <w:tblGrid>
        <w:gridCol w:w="1843"/>
        <w:gridCol w:w="6111"/>
        <w:gridCol w:w="1943"/>
      </w:tblGrid>
      <w:tr w:rsidR="0093472B" w:rsidRPr="00C82EE1" w14:paraId="590BB520" w14:textId="77777777" w:rsidTr="00976BB9">
        <w:trPr>
          <w:trHeight w:val="146"/>
          <w:jc w:val="center"/>
        </w:trPr>
        <w:tc>
          <w:tcPr>
            <w:tcW w:w="9897" w:type="dxa"/>
            <w:gridSpan w:val="3"/>
            <w:tcBorders>
              <w:top w:val="nil"/>
              <w:left w:val="nil"/>
              <w:bottom w:val="single" w:sz="4" w:space="0" w:color="auto"/>
              <w:right w:val="nil"/>
            </w:tcBorders>
            <w:shd w:val="clear" w:color="auto" w:fill="auto"/>
            <w:noWrap/>
            <w:vAlign w:val="bottom"/>
            <w:hideMark/>
          </w:tcPr>
          <w:p w14:paraId="09E93AD8" w14:textId="45893AA4" w:rsidR="003C73FB" w:rsidRPr="00C82EE1" w:rsidRDefault="0093472B" w:rsidP="00E223E9">
            <w:pPr>
              <w:spacing w:after="240" w:line="240" w:lineRule="auto"/>
              <w:jc w:val="center"/>
              <w:rPr>
                <w:rFonts w:ascii="Times New Roman" w:eastAsia="Times New Roman" w:hAnsi="Times New Roman" w:cs="Times New Roman"/>
                <w:b/>
                <w:bCs/>
                <w:color w:val="000000"/>
                <w:sz w:val="28"/>
                <w:szCs w:val="24"/>
              </w:rPr>
            </w:pPr>
            <w:r w:rsidRPr="00C82EE1">
              <w:rPr>
                <w:rFonts w:ascii="Times New Roman" w:eastAsia="Times New Roman" w:hAnsi="Times New Roman" w:cs="Times New Roman"/>
                <w:b/>
                <w:bCs/>
                <w:color w:val="000000"/>
                <w:sz w:val="28"/>
                <w:szCs w:val="24"/>
              </w:rPr>
              <w:t>Table 1: Variables description.</w:t>
            </w:r>
          </w:p>
          <w:p w14:paraId="13E1D096" w14:textId="00FCD737" w:rsidR="00225E62" w:rsidRPr="00C82EE1" w:rsidRDefault="00225E62" w:rsidP="00225E62">
            <w:pPr>
              <w:spacing w:after="0" w:line="240" w:lineRule="auto"/>
              <w:jc w:val="center"/>
              <w:rPr>
                <w:rFonts w:ascii="Times New Roman" w:eastAsia="Times New Roman" w:hAnsi="Times New Roman" w:cs="Times New Roman"/>
                <w:b/>
                <w:bCs/>
                <w:color w:val="000000"/>
                <w:sz w:val="24"/>
                <w:szCs w:val="24"/>
              </w:rPr>
            </w:pPr>
          </w:p>
        </w:tc>
      </w:tr>
      <w:tr w:rsidR="0093472B" w:rsidRPr="00C82EE1" w14:paraId="7935E89F" w14:textId="77777777" w:rsidTr="0047162D">
        <w:trPr>
          <w:trHeight w:val="146"/>
          <w:jc w:val="center"/>
        </w:trPr>
        <w:tc>
          <w:tcPr>
            <w:tcW w:w="1843" w:type="dxa"/>
            <w:tcBorders>
              <w:top w:val="nil"/>
              <w:left w:val="nil"/>
              <w:bottom w:val="single" w:sz="4" w:space="0" w:color="auto"/>
              <w:right w:val="nil"/>
            </w:tcBorders>
            <w:shd w:val="clear" w:color="auto" w:fill="auto"/>
            <w:noWrap/>
            <w:vAlign w:val="bottom"/>
            <w:hideMark/>
          </w:tcPr>
          <w:p w14:paraId="31307407" w14:textId="77777777" w:rsidR="0093472B" w:rsidRPr="00C82EE1" w:rsidRDefault="0093472B" w:rsidP="00026FCB">
            <w:pPr>
              <w:spacing w:after="0" w:line="240" w:lineRule="auto"/>
              <w:jc w:val="both"/>
              <w:rPr>
                <w:rFonts w:ascii="Times New Roman" w:eastAsia="Times New Roman" w:hAnsi="Times New Roman" w:cs="Times New Roman"/>
                <w:b/>
                <w:bCs/>
                <w:color w:val="000000"/>
                <w:sz w:val="18"/>
                <w:szCs w:val="18"/>
              </w:rPr>
            </w:pPr>
            <w:r w:rsidRPr="00C82EE1">
              <w:rPr>
                <w:rFonts w:ascii="Times New Roman" w:eastAsia="Times New Roman" w:hAnsi="Times New Roman" w:cs="Times New Roman"/>
                <w:b/>
                <w:bCs/>
                <w:color w:val="000000"/>
                <w:sz w:val="18"/>
                <w:szCs w:val="18"/>
              </w:rPr>
              <w:t>Variables</w:t>
            </w:r>
          </w:p>
        </w:tc>
        <w:tc>
          <w:tcPr>
            <w:tcW w:w="6111" w:type="dxa"/>
            <w:tcBorders>
              <w:top w:val="nil"/>
              <w:left w:val="nil"/>
              <w:bottom w:val="single" w:sz="4" w:space="0" w:color="auto"/>
              <w:right w:val="nil"/>
            </w:tcBorders>
            <w:shd w:val="clear" w:color="auto" w:fill="auto"/>
            <w:vAlign w:val="bottom"/>
            <w:hideMark/>
          </w:tcPr>
          <w:p w14:paraId="2ADFFD7F" w14:textId="77777777" w:rsidR="0093472B" w:rsidRPr="00C82EE1" w:rsidRDefault="0093472B" w:rsidP="00026FCB">
            <w:pPr>
              <w:spacing w:after="0" w:line="240" w:lineRule="auto"/>
              <w:jc w:val="both"/>
              <w:rPr>
                <w:rFonts w:ascii="Times New Roman" w:eastAsia="Times New Roman" w:hAnsi="Times New Roman" w:cs="Times New Roman"/>
                <w:b/>
                <w:bCs/>
                <w:color w:val="000000"/>
                <w:sz w:val="18"/>
                <w:szCs w:val="18"/>
              </w:rPr>
            </w:pPr>
            <w:r w:rsidRPr="00C82EE1">
              <w:rPr>
                <w:rFonts w:ascii="Times New Roman" w:eastAsia="Times New Roman" w:hAnsi="Times New Roman" w:cs="Times New Roman"/>
                <w:b/>
                <w:bCs/>
                <w:color w:val="000000"/>
                <w:sz w:val="18"/>
                <w:szCs w:val="18"/>
              </w:rPr>
              <w:t>Description</w:t>
            </w:r>
          </w:p>
        </w:tc>
        <w:tc>
          <w:tcPr>
            <w:tcW w:w="1943" w:type="dxa"/>
            <w:tcBorders>
              <w:top w:val="nil"/>
              <w:left w:val="nil"/>
              <w:bottom w:val="single" w:sz="4" w:space="0" w:color="auto"/>
              <w:right w:val="nil"/>
            </w:tcBorders>
            <w:shd w:val="clear" w:color="auto" w:fill="auto"/>
            <w:noWrap/>
            <w:vAlign w:val="bottom"/>
            <w:hideMark/>
          </w:tcPr>
          <w:p w14:paraId="6E0CB984" w14:textId="77777777" w:rsidR="0093472B" w:rsidRPr="00C82EE1" w:rsidRDefault="0093472B" w:rsidP="00026FCB">
            <w:pPr>
              <w:spacing w:after="0" w:line="240" w:lineRule="auto"/>
              <w:jc w:val="both"/>
              <w:rPr>
                <w:rFonts w:ascii="Times New Roman" w:eastAsia="Times New Roman" w:hAnsi="Times New Roman" w:cs="Times New Roman"/>
                <w:b/>
                <w:bCs/>
                <w:color w:val="000000"/>
                <w:sz w:val="18"/>
                <w:szCs w:val="18"/>
              </w:rPr>
            </w:pPr>
            <w:r w:rsidRPr="00C82EE1">
              <w:rPr>
                <w:rFonts w:ascii="Times New Roman" w:eastAsia="Times New Roman" w:hAnsi="Times New Roman" w:cs="Times New Roman"/>
                <w:b/>
                <w:bCs/>
                <w:color w:val="000000"/>
                <w:sz w:val="18"/>
                <w:szCs w:val="18"/>
              </w:rPr>
              <w:t>Data Source</w:t>
            </w:r>
          </w:p>
        </w:tc>
      </w:tr>
      <w:tr w:rsidR="0093472B" w:rsidRPr="00C82EE1" w14:paraId="20AF4B58" w14:textId="77777777" w:rsidTr="0047162D">
        <w:trPr>
          <w:trHeight w:val="293"/>
          <w:jc w:val="center"/>
        </w:trPr>
        <w:tc>
          <w:tcPr>
            <w:tcW w:w="1843" w:type="dxa"/>
            <w:tcBorders>
              <w:top w:val="nil"/>
              <w:left w:val="nil"/>
              <w:bottom w:val="nil"/>
              <w:right w:val="nil"/>
            </w:tcBorders>
            <w:shd w:val="clear" w:color="auto" w:fill="auto"/>
            <w:hideMark/>
          </w:tcPr>
          <w:p w14:paraId="242A1CB7"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Amount raised</w:t>
            </w:r>
          </w:p>
        </w:tc>
        <w:tc>
          <w:tcPr>
            <w:tcW w:w="6111" w:type="dxa"/>
            <w:tcBorders>
              <w:top w:val="nil"/>
              <w:left w:val="nil"/>
              <w:bottom w:val="nil"/>
              <w:right w:val="nil"/>
            </w:tcBorders>
            <w:shd w:val="clear" w:color="auto" w:fill="auto"/>
            <w:vAlign w:val="bottom"/>
            <w:hideMark/>
          </w:tcPr>
          <w:p w14:paraId="7E9C632E"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The natural logarithm of the US dollar amount raised during the coin offering period.</w:t>
            </w:r>
          </w:p>
        </w:tc>
        <w:tc>
          <w:tcPr>
            <w:tcW w:w="1943" w:type="dxa"/>
            <w:tcBorders>
              <w:top w:val="nil"/>
              <w:left w:val="nil"/>
              <w:bottom w:val="nil"/>
              <w:right w:val="nil"/>
            </w:tcBorders>
            <w:shd w:val="clear" w:color="auto" w:fill="auto"/>
            <w:noWrap/>
            <w:hideMark/>
          </w:tcPr>
          <w:p w14:paraId="5095DF96"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443A12EC" w14:textId="77777777" w:rsidTr="0047162D">
        <w:trPr>
          <w:trHeight w:val="146"/>
          <w:jc w:val="center"/>
        </w:trPr>
        <w:tc>
          <w:tcPr>
            <w:tcW w:w="1843" w:type="dxa"/>
            <w:tcBorders>
              <w:top w:val="nil"/>
              <w:left w:val="nil"/>
              <w:bottom w:val="nil"/>
              <w:right w:val="nil"/>
            </w:tcBorders>
            <w:shd w:val="clear" w:color="auto" w:fill="auto"/>
            <w:hideMark/>
          </w:tcPr>
          <w:p w14:paraId="7FEA3E3D"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Bonus</w:t>
            </w:r>
          </w:p>
        </w:tc>
        <w:tc>
          <w:tcPr>
            <w:tcW w:w="6111" w:type="dxa"/>
            <w:tcBorders>
              <w:top w:val="nil"/>
              <w:left w:val="nil"/>
              <w:bottom w:val="nil"/>
              <w:right w:val="nil"/>
            </w:tcBorders>
            <w:shd w:val="clear" w:color="auto" w:fill="auto"/>
            <w:vAlign w:val="bottom"/>
            <w:hideMark/>
          </w:tcPr>
          <w:p w14:paraId="5862B11B"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if a bonus scheme was offered to investors during the ICO.</w:t>
            </w:r>
          </w:p>
        </w:tc>
        <w:tc>
          <w:tcPr>
            <w:tcW w:w="1943" w:type="dxa"/>
            <w:tcBorders>
              <w:top w:val="nil"/>
              <w:left w:val="nil"/>
              <w:bottom w:val="nil"/>
              <w:right w:val="nil"/>
            </w:tcBorders>
            <w:shd w:val="clear" w:color="auto" w:fill="auto"/>
            <w:noWrap/>
            <w:hideMark/>
          </w:tcPr>
          <w:p w14:paraId="5D3137E4"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23E42321" w14:textId="77777777" w:rsidTr="0047162D">
        <w:trPr>
          <w:trHeight w:val="146"/>
          <w:jc w:val="center"/>
        </w:trPr>
        <w:tc>
          <w:tcPr>
            <w:tcW w:w="1843" w:type="dxa"/>
            <w:tcBorders>
              <w:top w:val="nil"/>
              <w:left w:val="nil"/>
              <w:bottom w:val="nil"/>
              <w:right w:val="nil"/>
            </w:tcBorders>
            <w:shd w:val="clear" w:color="auto" w:fill="auto"/>
            <w:hideMark/>
          </w:tcPr>
          <w:p w14:paraId="02F4D38F"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Code</w:t>
            </w:r>
          </w:p>
        </w:tc>
        <w:tc>
          <w:tcPr>
            <w:tcW w:w="6111" w:type="dxa"/>
            <w:tcBorders>
              <w:top w:val="nil"/>
              <w:left w:val="nil"/>
              <w:bottom w:val="nil"/>
              <w:right w:val="nil"/>
            </w:tcBorders>
            <w:shd w:val="clear" w:color="auto" w:fill="auto"/>
            <w:vAlign w:val="bottom"/>
            <w:hideMark/>
          </w:tcPr>
          <w:p w14:paraId="0564D70A"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the ICO code is published.</w:t>
            </w:r>
          </w:p>
        </w:tc>
        <w:tc>
          <w:tcPr>
            <w:tcW w:w="1943" w:type="dxa"/>
            <w:tcBorders>
              <w:top w:val="nil"/>
              <w:left w:val="nil"/>
              <w:bottom w:val="nil"/>
              <w:right w:val="nil"/>
            </w:tcBorders>
            <w:shd w:val="clear" w:color="auto" w:fill="auto"/>
            <w:noWrap/>
            <w:hideMark/>
          </w:tcPr>
          <w:p w14:paraId="089A560F"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GitHub</w:t>
            </w:r>
          </w:p>
        </w:tc>
      </w:tr>
      <w:tr w:rsidR="0093472B" w:rsidRPr="00C82EE1" w14:paraId="72C9989B" w14:textId="77777777" w:rsidTr="0047162D">
        <w:trPr>
          <w:trHeight w:val="146"/>
          <w:jc w:val="center"/>
        </w:trPr>
        <w:tc>
          <w:tcPr>
            <w:tcW w:w="1843" w:type="dxa"/>
            <w:tcBorders>
              <w:top w:val="nil"/>
              <w:left w:val="nil"/>
              <w:bottom w:val="nil"/>
              <w:right w:val="nil"/>
            </w:tcBorders>
            <w:shd w:val="clear" w:color="auto" w:fill="auto"/>
            <w:hideMark/>
          </w:tcPr>
          <w:p w14:paraId="0224819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CEODegree</w:t>
            </w:r>
            <w:proofErr w:type="spellEnd"/>
          </w:p>
        </w:tc>
        <w:tc>
          <w:tcPr>
            <w:tcW w:w="6111" w:type="dxa"/>
            <w:tcBorders>
              <w:top w:val="nil"/>
              <w:left w:val="nil"/>
              <w:bottom w:val="nil"/>
              <w:right w:val="nil"/>
            </w:tcBorders>
            <w:shd w:val="clear" w:color="auto" w:fill="auto"/>
            <w:vAlign w:val="bottom"/>
            <w:hideMark/>
          </w:tcPr>
          <w:p w14:paraId="4D8C06D9" w14:textId="55176F9D"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the level of the ICO CEO education.</w:t>
            </w:r>
          </w:p>
        </w:tc>
        <w:tc>
          <w:tcPr>
            <w:tcW w:w="1943" w:type="dxa"/>
            <w:tcBorders>
              <w:top w:val="nil"/>
              <w:left w:val="nil"/>
              <w:bottom w:val="nil"/>
              <w:right w:val="nil"/>
            </w:tcBorders>
            <w:shd w:val="clear" w:color="auto" w:fill="auto"/>
            <w:noWrap/>
            <w:hideMark/>
          </w:tcPr>
          <w:p w14:paraId="0FEF84E2"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5BAE9840" w14:textId="77777777" w:rsidTr="0047162D">
        <w:trPr>
          <w:trHeight w:val="146"/>
          <w:jc w:val="center"/>
        </w:trPr>
        <w:tc>
          <w:tcPr>
            <w:tcW w:w="1843" w:type="dxa"/>
            <w:tcBorders>
              <w:top w:val="nil"/>
              <w:left w:val="nil"/>
              <w:bottom w:val="nil"/>
              <w:right w:val="nil"/>
            </w:tcBorders>
            <w:shd w:val="clear" w:color="auto" w:fill="auto"/>
            <w:hideMark/>
          </w:tcPr>
          <w:p w14:paraId="3AF06F97"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Delisted</w:t>
            </w:r>
          </w:p>
        </w:tc>
        <w:tc>
          <w:tcPr>
            <w:tcW w:w="6111" w:type="dxa"/>
            <w:tcBorders>
              <w:top w:val="nil"/>
              <w:left w:val="nil"/>
              <w:bottom w:val="nil"/>
              <w:right w:val="nil"/>
            </w:tcBorders>
            <w:shd w:val="clear" w:color="auto" w:fill="auto"/>
            <w:vAlign w:val="bottom"/>
            <w:hideMark/>
          </w:tcPr>
          <w:p w14:paraId="34F5C24E"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the token is delisted.</w:t>
            </w:r>
          </w:p>
        </w:tc>
        <w:tc>
          <w:tcPr>
            <w:tcW w:w="1943" w:type="dxa"/>
            <w:tcBorders>
              <w:top w:val="nil"/>
              <w:left w:val="nil"/>
              <w:bottom w:val="nil"/>
              <w:right w:val="nil"/>
            </w:tcBorders>
            <w:shd w:val="clear" w:color="auto" w:fill="auto"/>
            <w:noWrap/>
            <w:hideMark/>
          </w:tcPr>
          <w:p w14:paraId="532C0AFE"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proofErr w:type="spellStart"/>
            <w:r w:rsidRPr="00C82EE1">
              <w:rPr>
                <w:rFonts w:ascii="Times New Roman" w:eastAsia="Times New Roman" w:hAnsi="Times New Roman" w:cs="Times New Roman"/>
                <w:color w:val="000000"/>
                <w:sz w:val="18"/>
                <w:szCs w:val="18"/>
              </w:rPr>
              <w:t>CoinMarketCap</w:t>
            </w:r>
            <w:proofErr w:type="spellEnd"/>
          </w:p>
        </w:tc>
      </w:tr>
      <w:tr w:rsidR="0093472B" w:rsidRPr="00C82EE1" w14:paraId="301CA727" w14:textId="77777777" w:rsidTr="0047162D">
        <w:trPr>
          <w:trHeight w:val="146"/>
          <w:jc w:val="center"/>
        </w:trPr>
        <w:tc>
          <w:tcPr>
            <w:tcW w:w="1843" w:type="dxa"/>
            <w:tcBorders>
              <w:top w:val="nil"/>
              <w:left w:val="nil"/>
              <w:bottom w:val="nil"/>
              <w:right w:val="nil"/>
            </w:tcBorders>
            <w:shd w:val="clear" w:color="auto" w:fill="auto"/>
            <w:hideMark/>
          </w:tcPr>
          <w:p w14:paraId="5413B141"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Density</w:t>
            </w:r>
          </w:p>
        </w:tc>
        <w:tc>
          <w:tcPr>
            <w:tcW w:w="6111" w:type="dxa"/>
            <w:tcBorders>
              <w:top w:val="nil"/>
              <w:left w:val="nil"/>
              <w:bottom w:val="nil"/>
              <w:right w:val="nil"/>
            </w:tcBorders>
            <w:shd w:val="clear" w:color="auto" w:fill="auto"/>
            <w:vAlign w:val="bottom"/>
            <w:hideMark/>
          </w:tcPr>
          <w:p w14:paraId="1283FAEF" w14:textId="4A6849FC"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The level of lexical density in ICO white papers </w:t>
            </w:r>
            <w:r w:rsidR="00225E62" w:rsidRPr="00C82EE1">
              <w:rPr>
                <w:rFonts w:ascii="Times New Roman" w:hAnsi="Times New Roman" w:cs="Times New Roman"/>
                <w:sz w:val="18"/>
              </w:rPr>
              <w:t>Lu (2012)</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6C3E6103"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0434161E" w14:textId="77777777" w:rsidTr="0047162D">
        <w:trPr>
          <w:trHeight w:val="146"/>
          <w:jc w:val="center"/>
        </w:trPr>
        <w:tc>
          <w:tcPr>
            <w:tcW w:w="1843" w:type="dxa"/>
            <w:tcBorders>
              <w:top w:val="nil"/>
              <w:left w:val="nil"/>
              <w:bottom w:val="nil"/>
              <w:right w:val="nil"/>
            </w:tcBorders>
            <w:shd w:val="clear" w:color="auto" w:fill="auto"/>
            <w:hideMark/>
          </w:tcPr>
          <w:p w14:paraId="56454EC5"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Diversity</w:t>
            </w:r>
          </w:p>
        </w:tc>
        <w:tc>
          <w:tcPr>
            <w:tcW w:w="6111" w:type="dxa"/>
            <w:tcBorders>
              <w:top w:val="nil"/>
              <w:left w:val="nil"/>
              <w:bottom w:val="nil"/>
              <w:right w:val="nil"/>
            </w:tcBorders>
            <w:shd w:val="clear" w:color="auto" w:fill="auto"/>
            <w:vAlign w:val="bottom"/>
            <w:hideMark/>
          </w:tcPr>
          <w:p w14:paraId="3BEBBFF9" w14:textId="099E0E39"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The level of lexical diversity in ICO white papers </w:t>
            </w:r>
            <w:r w:rsidR="00225E62" w:rsidRPr="00C82EE1">
              <w:rPr>
                <w:rFonts w:ascii="Times New Roman" w:hAnsi="Times New Roman" w:cs="Times New Roman"/>
                <w:sz w:val="18"/>
              </w:rPr>
              <w:t>Lu (2012)</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5E307637"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72B2152D" w14:textId="77777777" w:rsidTr="0047162D">
        <w:trPr>
          <w:trHeight w:val="293"/>
          <w:jc w:val="center"/>
        </w:trPr>
        <w:tc>
          <w:tcPr>
            <w:tcW w:w="1843" w:type="dxa"/>
            <w:tcBorders>
              <w:top w:val="nil"/>
              <w:left w:val="nil"/>
              <w:bottom w:val="nil"/>
              <w:right w:val="nil"/>
            </w:tcBorders>
            <w:shd w:val="clear" w:color="auto" w:fill="auto"/>
            <w:hideMark/>
          </w:tcPr>
          <w:p w14:paraId="5D41333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Eth</w:t>
            </w:r>
          </w:p>
        </w:tc>
        <w:tc>
          <w:tcPr>
            <w:tcW w:w="6111" w:type="dxa"/>
            <w:tcBorders>
              <w:top w:val="nil"/>
              <w:left w:val="nil"/>
              <w:bottom w:val="nil"/>
              <w:right w:val="nil"/>
            </w:tcBorders>
            <w:shd w:val="clear" w:color="auto" w:fill="auto"/>
            <w:hideMark/>
          </w:tcPr>
          <w:p w14:paraId="2956DFA2" w14:textId="13754164"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the project blockchain is built on the Ethereum platform.</w:t>
            </w:r>
          </w:p>
        </w:tc>
        <w:tc>
          <w:tcPr>
            <w:tcW w:w="1943" w:type="dxa"/>
            <w:tcBorders>
              <w:top w:val="nil"/>
              <w:left w:val="nil"/>
              <w:bottom w:val="nil"/>
              <w:right w:val="nil"/>
            </w:tcBorders>
            <w:shd w:val="clear" w:color="auto" w:fill="auto"/>
            <w:noWrap/>
            <w:hideMark/>
          </w:tcPr>
          <w:p w14:paraId="04CE2019"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40D0DA40" w14:textId="77777777" w:rsidTr="0047162D">
        <w:trPr>
          <w:trHeight w:val="146"/>
          <w:jc w:val="center"/>
        </w:trPr>
        <w:tc>
          <w:tcPr>
            <w:tcW w:w="1843" w:type="dxa"/>
            <w:tcBorders>
              <w:top w:val="nil"/>
              <w:left w:val="nil"/>
              <w:bottom w:val="nil"/>
              <w:right w:val="nil"/>
            </w:tcBorders>
            <w:shd w:val="clear" w:color="auto" w:fill="auto"/>
            <w:hideMark/>
          </w:tcPr>
          <w:p w14:paraId="34E3651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Fiat</w:t>
            </w:r>
          </w:p>
        </w:tc>
        <w:tc>
          <w:tcPr>
            <w:tcW w:w="6111" w:type="dxa"/>
            <w:tcBorders>
              <w:top w:val="nil"/>
              <w:left w:val="nil"/>
              <w:bottom w:val="nil"/>
              <w:right w:val="nil"/>
            </w:tcBorders>
            <w:shd w:val="clear" w:color="auto" w:fill="auto"/>
            <w:vAlign w:val="bottom"/>
            <w:hideMark/>
          </w:tcPr>
          <w:p w14:paraId="12AA2C67"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the ICO accepts fiat currencies.</w:t>
            </w:r>
          </w:p>
        </w:tc>
        <w:tc>
          <w:tcPr>
            <w:tcW w:w="1943" w:type="dxa"/>
            <w:tcBorders>
              <w:top w:val="nil"/>
              <w:left w:val="nil"/>
              <w:bottom w:val="nil"/>
              <w:right w:val="nil"/>
            </w:tcBorders>
            <w:shd w:val="clear" w:color="auto" w:fill="auto"/>
            <w:noWrap/>
            <w:hideMark/>
          </w:tcPr>
          <w:p w14:paraId="2576275D"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64304370" w14:textId="77777777" w:rsidTr="0047162D">
        <w:trPr>
          <w:trHeight w:val="146"/>
          <w:jc w:val="center"/>
        </w:trPr>
        <w:tc>
          <w:tcPr>
            <w:tcW w:w="1843" w:type="dxa"/>
            <w:tcBorders>
              <w:top w:val="nil"/>
              <w:left w:val="nil"/>
              <w:bottom w:val="nil"/>
              <w:right w:val="nil"/>
            </w:tcBorders>
            <w:shd w:val="clear" w:color="auto" w:fill="auto"/>
            <w:hideMark/>
          </w:tcPr>
          <w:p w14:paraId="27519D52"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FundBacked</w:t>
            </w:r>
            <w:proofErr w:type="spellEnd"/>
          </w:p>
        </w:tc>
        <w:tc>
          <w:tcPr>
            <w:tcW w:w="6111" w:type="dxa"/>
            <w:tcBorders>
              <w:top w:val="nil"/>
              <w:left w:val="nil"/>
              <w:bottom w:val="nil"/>
              <w:right w:val="nil"/>
            </w:tcBorders>
            <w:shd w:val="clear" w:color="auto" w:fill="auto"/>
            <w:vAlign w:val="bottom"/>
            <w:hideMark/>
          </w:tcPr>
          <w:p w14:paraId="010D24FD"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the ICO is backed by crypto funds prior to fundraising.</w:t>
            </w:r>
          </w:p>
        </w:tc>
        <w:tc>
          <w:tcPr>
            <w:tcW w:w="1943" w:type="dxa"/>
            <w:tcBorders>
              <w:top w:val="nil"/>
              <w:left w:val="nil"/>
              <w:bottom w:val="nil"/>
              <w:right w:val="nil"/>
            </w:tcBorders>
            <w:shd w:val="clear" w:color="auto" w:fill="auto"/>
            <w:noWrap/>
            <w:hideMark/>
          </w:tcPr>
          <w:p w14:paraId="7050BB59"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proofErr w:type="spellStart"/>
            <w:r w:rsidRPr="00C82EE1">
              <w:rPr>
                <w:rFonts w:ascii="Times New Roman" w:eastAsia="Times New Roman" w:hAnsi="Times New Roman" w:cs="Times New Roman"/>
                <w:color w:val="000000"/>
                <w:sz w:val="18"/>
                <w:szCs w:val="18"/>
              </w:rPr>
              <w:t>CryptoFundResearch</w:t>
            </w:r>
            <w:proofErr w:type="spellEnd"/>
          </w:p>
        </w:tc>
      </w:tr>
      <w:tr w:rsidR="0093472B" w:rsidRPr="00C82EE1" w14:paraId="6AF433A4" w14:textId="77777777" w:rsidTr="0047162D">
        <w:trPr>
          <w:trHeight w:val="146"/>
          <w:jc w:val="center"/>
        </w:trPr>
        <w:tc>
          <w:tcPr>
            <w:tcW w:w="1843" w:type="dxa"/>
            <w:tcBorders>
              <w:top w:val="nil"/>
              <w:left w:val="nil"/>
              <w:bottom w:val="nil"/>
              <w:right w:val="nil"/>
            </w:tcBorders>
            <w:shd w:val="clear" w:color="auto" w:fill="auto"/>
            <w:hideMark/>
          </w:tcPr>
          <w:p w14:paraId="2A97F9AE"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Hardcap</w:t>
            </w:r>
            <w:proofErr w:type="spellEnd"/>
          </w:p>
        </w:tc>
        <w:tc>
          <w:tcPr>
            <w:tcW w:w="6111" w:type="dxa"/>
            <w:tcBorders>
              <w:top w:val="nil"/>
              <w:left w:val="nil"/>
              <w:bottom w:val="nil"/>
              <w:right w:val="nil"/>
            </w:tcBorders>
            <w:shd w:val="clear" w:color="auto" w:fill="auto"/>
            <w:vAlign w:val="bottom"/>
            <w:hideMark/>
          </w:tcPr>
          <w:p w14:paraId="23524175"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a hard cap is specified.</w:t>
            </w:r>
          </w:p>
        </w:tc>
        <w:tc>
          <w:tcPr>
            <w:tcW w:w="1943" w:type="dxa"/>
            <w:tcBorders>
              <w:top w:val="nil"/>
              <w:left w:val="nil"/>
              <w:bottom w:val="nil"/>
              <w:right w:val="nil"/>
            </w:tcBorders>
            <w:shd w:val="clear" w:color="auto" w:fill="auto"/>
            <w:noWrap/>
            <w:hideMark/>
          </w:tcPr>
          <w:p w14:paraId="25A5F6A7"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254E1238" w14:textId="77777777" w:rsidTr="0047162D">
        <w:trPr>
          <w:trHeight w:val="442"/>
          <w:jc w:val="center"/>
        </w:trPr>
        <w:tc>
          <w:tcPr>
            <w:tcW w:w="1843" w:type="dxa"/>
            <w:tcBorders>
              <w:top w:val="nil"/>
              <w:left w:val="nil"/>
              <w:bottom w:val="nil"/>
              <w:right w:val="nil"/>
            </w:tcBorders>
            <w:shd w:val="clear" w:color="auto" w:fill="auto"/>
            <w:hideMark/>
          </w:tcPr>
          <w:p w14:paraId="356E05A7" w14:textId="20F79850"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ICOCompletion</w:t>
            </w:r>
            <w:proofErr w:type="spellEnd"/>
          </w:p>
        </w:tc>
        <w:tc>
          <w:tcPr>
            <w:tcW w:w="6111" w:type="dxa"/>
            <w:tcBorders>
              <w:top w:val="nil"/>
              <w:left w:val="nil"/>
              <w:bottom w:val="nil"/>
              <w:right w:val="nil"/>
            </w:tcBorders>
            <w:shd w:val="clear" w:color="auto" w:fill="auto"/>
            <w:vAlign w:val="bottom"/>
            <w:hideMark/>
          </w:tcPr>
          <w:p w14:paraId="58DBA0DF" w14:textId="51232A78"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Indicates whether secondary exchange-listed ICOs reach their soft cap and non-secondary exchange-listed ICOs reach a minimum of $500,000 in funding, based on </w:t>
            </w:r>
            <w:r w:rsidR="00225E62" w:rsidRPr="00C82EE1">
              <w:rPr>
                <w:rFonts w:ascii="Times New Roman" w:hAnsi="Times New Roman" w:cs="Times New Roman"/>
                <w:sz w:val="18"/>
              </w:rPr>
              <w:t>Lee et al. (2022)</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7CB7769B"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7158ABED" w14:textId="77777777" w:rsidTr="0047162D">
        <w:trPr>
          <w:trHeight w:val="237"/>
          <w:jc w:val="center"/>
        </w:trPr>
        <w:tc>
          <w:tcPr>
            <w:tcW w:w="1843" w:type="dxa"/>
            <w:tcBorders>
              <w:top w:val="nil"/>
              <w:left w:val="nil"/>
              <w:bottom w:val="nil"/>
              <w:right w:val="nil"/>
            </w:tcBorders>
            <w:shd w:val="clear" w:color="auto" w:fill="auto"/>
          </w:tcPr>
          <w:p w14:paraId="3F1DB633"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Industry</w:t>
            </w:r>
          </w:p>
        </w:tc>
        <w:tc>
          <w:tcPr>
            <w:tcW w:w="6111" w:type="dxa"/>
            <w:tcBorders>
              <w:top w:val="nil"/>
              <w:left w:val="nil"/>
              <w:bottom w:val="nil"/>
              <w:right w:val="nil"/>
            </w:tcBorders>
            <w:shd w:val="clear" w:color="auto" w:fill="auto"/>
          </w:tcPr>
          <w:p w14:paraId="71E3A3C8"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Indicates the industry in which operates the ICO. </w:t>
            </w:r>
          </w:p>
        </w:tc>
        <w:tc>
          <w:tcPr>
            <w:tcW w:w="1943" w:type="dxa"/>
            <w:tcBorders>
              <w:top w:val="nil"/>
              <w:left w:val="nil"/>
              <w:bottom w:val="nil"/>
              <w:right w:val="nil"/>
            </w:tcBorders>
            <w:shd w:val="clear" w:color="auto" w:fill="auto"/>
            <w:noWrap/>
          </w:tcPr>
          <w:p w14:paraId="450F2704"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7E99B3F4" w14:textId="77777777" w:rsidTr="0047162D">
        <w:trPr>
          <w:trHeight w:val="146"/>
          <w:jc w:val="center"/>
        </w:trPr>
        <w:tc>
          <w:tcPr>
            <w:tcW w:w="1843" w:type="dxa"/>
            <w:tcBorders>
              <w:top w:val="nil"/>
              <w:left w:val="nil"/>
              <w:bottom w:val="nil"/>
              <w:right w:val="nil"/>
            </w:tcBorders>
            <w:shd w:val="clear" w:color="auto" w:fill="auto"/>
            <w:hideMark/>
          </w:tcPr>
          <w:p w14:paraId="71C89D61"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InitialCAR</w:t>
            </w:r>
            <w:proofErr w:type="spellEnd"/>
          </w:p>
        </w:tc>
        <w:tc>
          <w:tcPr>
            <w:tcW w:w="6111" w:type="dxa"/>
            <w:tcBorders>
              <w:top w:val="nil"/>
              <w:left w:val="nil"/>
              <w:bottom w:val="nil"/>
              <w:right w:val="nil"/>
            </w:tcBorders>
            <w:shd w:val="clear" w:color="auto" w:fill="auto"/>
            <w:vAlign w:val="bottom"/>
            <w:hideMark/>
          </w:tcPr>
          <w:p w14:paraId="384A7CDD"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Market-adjusted price returns on the first day the token is traded.</w:t>
            </w:r>
          </w:p>
        </w:tc>
        <w:tc>
          <w:tcPr>
            <w:tcW w:w="1943" w:type="dxa"/>
            <w:tcBorders>
              <w:top w:val="nil"/>
              <w:left w:val="nil"/>
              <w:bottom w:val="nil"/>
              <w:right w:val="nil"/>
            </w:tcBorders>
            <w:shd w:val="clear" w:color="auto" w:fill="auto"/>
            <w:noWrap/>
            <w:hideMark/>
          </w:tcPr>
          <w:p w14:paraId="1CA4F00C"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proofErr w:type="spellStart"/>
            <w:r w:rsidRPr="00C82EE1">
              <w:rPr>
                <w:rFonts w:ascii="Times New Roman" w:eastAsia="Times New Roman" w:hAnsi="Times New Roman" w:cs="Times New Roman"/>
                <w:color w:val="000000"/>
                <w:sz w:val="18"/>
                <w:szCs w:val="18"/>
              </w:rPr>
              <w:t>CoinMarketCap</w:t>
            </w:r>
            <w:proofErr w:type="spellEnd"/>
          </w:p>
        </w:tc>
      </w:tr>
      <w:tr w:rsidR="0093472B" w:rsidRPr="00C82EE1" w14:paraId="597D962D" w14:textId="77777777" w:rsidTr="0047162D">
        <w:trPr>
          <w:trHeight w:val="293"/>
          <w:jc w:val="center"/>
        </w:trPr>
        <w:tc>
          <w:tcPr>
            <w:tcW w:w="1843" w:type="dxa"/>
            <w:tcBorders>
              <w:top w:val="nil"/>
              <w:left w:val="nil"/>
              <w:bottom w:val="nil"/>
              <w:right w:val="nil"/>
            </w:tcBorders>
            <w:shd w:val="clear" w:color="auto" w:fill="auto"/>
            <w:hideMark/>
          </w:tcPr>
          <w:p w14:paraId="69998F4D"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Institution</w:t>
            </w:r>
          </w:p>
          <w:p w14:paraId="431B59F5"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
        </w:tc>
        <w:tc>
          <w:tcPr>
            <w:tcW w:w="6111" w:type="dxa"/>
            <w:tcBorders>
              <w:top w:val="nil"/>
              <w:left w:val="nil"/>
              <w:bottom w:val="nil"/>
              <w:right w:val="nil"/>
            </w:tcBorders>
            <w:shd w:val="clear" w:color="auto" w:fill="auto"/>
            <w:vAlign w:val="bottom"/>
            <w:hideMark/>
          </w:tcPr>
          <w:p w14:paraId="0B56F5CE" w14:textId="417C9434"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Aggregated institution score based on Worldwide Governance Indicators </w:t>
            </w:r>
            <w:r w:rsidR="00225E62" w:rsidRPr="00C82EE1">
              <w:rPr>
                <w:rFonts w:ascii="Times New Roman" w:hAnsi="Times New Roman" w:cs="Times New Roman"/>
                <w:sz w:val="18"/>
              </w:rPr>
              <w:t>(Kaufmann et al., 2010)</w:t>
            </w:r>
          </w:p>
        </w:tc>
        <w:tc>
          <w:tcPr>
            <w:tcW w:w="1943" w:type="dxa"/>
            <w:tcBorders>
              <w:top w:val="nil"/>
              <w:left w:val="nil"/>
              <w:bottom w:val="nil"/>
              <w:right w:val="nil"/>
            </w:tcBorders>
            <w:shd w:val="clear" w:color="auto" w:fill="auto"/>
            <w:noWrap/>
            <w:hideMark/>
          </w:tcPr>
          <w:p w14:paraId="2220A599" w14:textId="7EED9507" w:rsidR="0093472B" w:rsidRPr="00C82EE1" w:rsidRDefault="00225E62"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hAnsi="Times New Roman" w:cs="Times New Roman"/>
                <w:sz w:val="18"/>
              </w:rPr>
              <w:t>Shrestha et al. (2021)</w:t>
            </w:r>
          </w:p>
        </w:tc>
      </w:tr>
      <w:tr w:rsidR="0093472B" w:rsidRPr="00C82EE1" w14:paraId="538ADB3D" w14:textId="77777777" w:rsidTr="0047162D">
        <w:trPr>
          <w:trHeight w:val="146"/>
          <w:jc w:val="center"/>
        </w:trPr>
        <w:tc>
          <w:tcPr>
            <w:tcW w:w="1843" w:type="dxa"/>
            <w:tcBorders>
              <w:top w:val="nil"/>
              <w:left w:val="nil"/>
              <w:bottom w:val="nil"/>
              <w:right w:val="nil"/>
            </w:tcBorders>
            <w:shd w:val="clear" w:color="auto" w:fill="auto"/>
            <w:hideMark/>
          </w:tcPr>
          <w:p w14:paraId="41F73402"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LC</w:t>
            </w:r>
          </w:p>
        </w:tc>
        <w:tc>
          <w:tcPr>
            <w:tcW w:w="6111" w:type="dxa"/>
            <w:tcBorders>
              <w:top w:val="nil"/>
              <w:left w:val="nil"/>
              <w:bottom w:val="nil"/>
              <w:right w:val="nil"/>
            </w:tcBorders>
            <w:shd w:val="clear" w:color="auto" w:fill="auto"/>
            <w:vAlign w:val="bottom"/>
            <w:hideMark/>
          </w:tcPr>
          <w:p w14:paraId="43930DA3" w14:textId="4A68C48C"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The level of lexical complexity in ICO white papers </w:t>
            </w:r>
            <w:r w:rsidR="00225E62" w:rsidRPr="00C82EE1">
              <w:rPr>
                <w:rFonts w:ascii="Times New Roman" w:hAnsi="Times New Roman" w:cs="Times New Roman"/>
                <w:sz w:val="18"/>
              </w:rPr>
              <w:t>Lu (2012)</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7B7F090B"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04054726" w14:textId="77777777" w:rsidTr="0047162D">
        <w:trPr>
          <w:trHeight w:val="293"/>
          <w:jc w:val="center"/>
        </w:trPr>
        <w:tc>
          <w:tcPr>
            <w:tcW w:w="1843" w:type="dxa"/>
            <w:tcBorders>
              <w:top w:val="nil"/>
              <w:left w:val="nil"/>
              <w:bottom w:val="nil"/>
              <w:right w:val="nil"/>
            </w:tcBorders>
            <w:shd w:val="clear" w:color="auto" w:fill="auto"/>
            <w:hideMark/>
          </w:tcPr>
          <w:p w14:paraId="110990E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Literacy rate</w:t>
            </w:r>
          </w:p>
        </w:tc>
        <w:tc>
          <w:tcPr>
            <w:tcW w:w="6111" w:type="dxa"/>
            <w:tcBorders>
              <w:top w:val="nil"/>
              <w:left w:val="nil"/>
              <w:bottom w:val="nil"/>
              <w:right w:val="nil"/>
            </w:tcBorders>
            <w:shd w:val="clear" w:color="auto" w:fill="auto"/>
            <w:vAlign w:val="bottom"/>
            <w:hideMark/>
          </w:tcPr>
          <w:p w14:paraId="370883F3"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Percentage of people aged 15 and above who can both read and write a short, simple statement about their everyday life.</w:t>
            </w:r>
          </w:p>
        </w:tc>
        <w:tc>
          <w:tcPr>
            <w:tcW w:w="1943" w:type="dxa"/>
            <w:tcBorders>
              <w:top w:val="nil"/>
              <w:left w:val="nil"/>
              <w:bottom w:val="nil"/>
              <w:right w:val="nil"/>
            </w:tcBorders>
            <w:shd w:val="clear" w:color="auto" w:fill="auto"/>
            <w:noWrap/>
            <w:hideMark/>
          </w:tcPr>
          <w:p w14:paraId="5CBAC430" w14:textId="18CC37F8"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World Bank </w:t>
            </w:r>
            <w:r w:rsidR="00A10973">
              <w:rPr>
                <w:rFonts w:ascii="Times New Roman" w:eastAsia="Times New Roman" w:hAnsi="Times New Roman" w:cs="Times New Roman"/>
                <w:color w:val="000000"/>
                <w:sz w:val="18"/>
                <w:szCs w:val="18"/>
              </w:rPr>
              <w:t>Group</w:t>
            </w:r>
          </w:p>
        </w:tc>
      </w:tr>
      <w:tr w:rsidR="0093472B" w:rsidRPr="00C82EE1" w14:paraId="716ADE68" w14:textId="77777777" w:rsidTr="0047162D">
        <w:trPr>
          <w:trHeight w:val="293"/>
          <w:jc w:val="center"/>
        </w:trPr>
        <w:tc>
          <w:tcPr>
            <w:tcW w:w="1843" w:type="dxa"/>
            <w:tcBorders>
              <w:top w:val="nil"/>
              <w:left w:val="nil"/>
              <w:bottom w:val="nil"/>
              <w:right w:val="nil"/>
            </w:tcBorders>
            <w:shd w:val="clear" w:color="auto" w:fill="auto"/>
            <w:hideMark/>
          </w:tcPr>
          <w:p w14:paraId="59872AE2"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LongTermCAR</w:t>
            </w:r>
            <w:proofErr w:type="spellEnd"/>
          </w:p>
        </w:tc>
        <w:tc>
          <w:tcPr>
            <w:tcW w:w="6111" w:type="dxa"/>
            <w:tcBorders>
              <w:top w:val="nil"/>
              <w:left w:val="nil"/>
              <w:bottom w:val="nil"/>
              <w:right w:val="nil"/>
            </w:tcBorders>
            <w:shd w:val="clear" w:color="auto" w:fill="auto"/>
            <w:vAlign w:val="bottom"/>
            <w:hideMark/>
          </w:tcPr>
          <w:p w14:paraId="31851524"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Market-adjusted buy-and-hold price returns during the first 180 days since the token starts trading.</w:t>
            </w:r>
          </w:p>
        </w:tc>
        <w:tc>
          <w:tcPr>
            <w:tcW w:w="1943" w:type="dxa"/>
            <w:tcBorders>
              <w:top w:val="nil"/>
              <w:left w:val="nil"/>
              <w:bottom w:val="nil"/>
              <w:right w:val="nil"/>
            </w:tcBorders>
            <w:shd w:val="clear" w:color="auto" w:fill="auto"/>
            <w:noWrap/>
            <w:hideMark/>
          </w:tcPr>
          <w:p w14:paraId="5988D547"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proofErr w:type="spellStart"/>
            <w:r w:rsidRPr="00C82EE1">
              <w:rPr>
                <w:rFonts w:ascii="Times New Roman" w:eastAsia="Times New Roman" w:hAnsi="Times New Roman" w:cs="Times New Roman"/>
                <w:color w:val="000000"/>
                <w:sz w:val="18"/>
                <w:szCs w:val="18"/>
              </w:rPr>
              <w:t>CoinMarketCap</w:t>
            </w:r>
            <w:proofErr w:type="spellEnd"/>
          </w:p>
        </w:tc>
      </w:tr>
      <w:tr w:rsidR="0093472B" w:rsidRPr="00C82EE1" w14:paraId="67CB22BD" w14:textId="77777777" w:rsidTr="0047162D">
        <w:trPr>
          <w:trHeight w:val="293"/>
          <w:jc w:val="center"/>
        </w:trPr>
        <w:tc>
          <w:tcPr>
            <w:tcW w:w="1843" w:type="dxa"/>
            <w:tcBorders>
              <w:top w:val="nil"/>
              <w:left w:val="nil"/>
              <w:bottom w:val="nil"/>
              <w:right w:val="nil"/>
            </w:tcBorders>
            <w:shd w:val="clear" w:color="auto" w:fill="auto"/>
            <w:hideMark/>
          </w:tcPr>
          <w:p w14:paraId="2BE31EEA"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Minimum investment</w:t>
            </w:r>
          </w:p>
        </w:tc>
        <w:tc>
          <w:tcPr>
            <w:tcW w:w="6111" w:type="dxa"/>
            <w:tcBorders>
              <w:top w:val="nil"/>
              <w:left w:val="nil"/>
              <w:bottom w:val="nil"/>
              <w:right w:val="nil"/>
            </w:tcBorders>
            <w:shd w:val="clear" w:color="auto" w:fill="auto"/>
            <w:hideMark/>
          </w:tcPr>
          <w:p w14:paraId="4325B679"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a minimum investment amount is specified.</w:t>
            </w:r>
          </w:p>
        </w:tc>
        <w:tc>
          <w:tcPr>
            <w:tcW w:w="1943" w:type="dxa"/>
            <w:tcBorders>
              <w:top w:val="nil"/>
              <w:left w:val="nil"/>
              <w:bottom w:val="nil"/>
              <w:right w:val="nil"/>
            </w:tcBorders>
            <w:shd w:val="clear" w:color="auto" w:fill="auto"/>
            <w:noWrap/>
            <w:hideMark/>
          </w:tcPr>
          <w:p w14:paraId="18D61407"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246C6704" w14:textId="77777777" w:rsidTr="0047162D">
        <w:trPr>
          <w:trHeight w:val="146"/>
          <w:jc w:val="center"/>
        </w:trPr>
        <w:tc>
          <w:tcPr>
            <w:tcW w:w="1843" w:type="dxa"/>
            <w:tcBorders>
              <w:top w:val="nil"/>
              <w:left w:val="nil"/>
              <w:bottom w:val="nil"/>
              <w:right w:val="nil"/>
            </w:tcBorders>
            <w:shd w:val="clear" w:color="auto" w:fill="auto"/>
            <w:hideMark/>
          </w:tcPr>
          <w:p w14:paraId="7700907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PriceBit</w:t>
            </w:r>
            <w:proofErr w:type="spellEnd"/>
          </w:p>
        </w:tc>
        <w:tc>
          <w:tcPr>
            <w:tcW w:w="6111" w:type="dxa"/>
            <w:tcBorders>
              <w:top w:val="nil"/>
              <w:left w:val="nil"/>
              <w:bottom w:val="nil"/>
              <w:right w:val="nil"/>
            </w:tcBorders>
            <w:shd w:val="clear" w:color="auto" w:fill="auto"/>
            <w:vAlign w:val="bottom"/>
            <w:hideMark/>
          </w:tcPr>
          <w:p w14:paraId="6BB2FCF8"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The natural logarithm of the Bitcoin price on the ICO issuance date.</w:t>
            </w:r>
          </w:p>
        </w:tc>
        <w:tc>
          <w:tcPr>
            <w:tcW w:w="1943" w:type="dxa"/>
            <w:tcBorders>
              <w:top w:val="nil"/>
              <w:left w:val="nil"/>
              <w:bottom w:val="nil"/>
              <w:right w:val="nil"/>
            </w:tcBorders>
            <w:shd w:val="clear" w:color="auto" w:fill="auto"/>
            <w:noWrap/>
            <w:hideMark/>
          </w:tcPr>
          <w:p w14:paraId="4C9FAAE8"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proofErr w:type="spellStart"/>
            <w:r w:rsidRPr="00C82EE1">
              <w:rPr>
                <w:rFonts w:ascii="Times New Roman" w:eastAsia="Times New Roman" w:hAnsi="Times New Roman" w:cs="Times New Roman"/>
                <w:color w:val="000000"/>
                <w:sz w:val="18"/>
                <w:szCs w:val="18"/>
              </w:rPr>
              <w:t>CoinMarketCap</w:t>
            </w:r>
            <w:proofErr w:type="spellEnd"/>
          </w:p>
        </w:tc>
      </w:tr>
      <w:tr w:rsidR="0093472B" w:rsidRPr="00C82EE1" w14:paraId="54AB86D3" w14:textId="77777777" w:rsidTr="0047162D">
        <w:trPr>
          <w:trHeight w:val="146"/>
          <w:jc w:val="center"/>
        </w:trPr>
        <w:tc>
          <w:tcPr>
            <w:tcW w:w="1843" w:type="dxa"/>
            <w:tcBorders>
              <w:top w:val="nil"/>
              <w:left w:val="nil"/>
              <w:bottom w:val="nil"/>
              <w:right w:val="nil"/>
            </w:tcBorders>
            <w:shd w:val="clear" w:color="auto" w:fill="auto"/>
            <w:hideMark/>
          </w:tcPr>
          <w:p w14:paraId="6DB8CB0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Rating</w:t>
            </w:r>
          </w:p>
        </w:tc>
        <w:tc>
          <w:tcPr>
            <w:tcW w:w="6111" w:type="dxa"/>
            <w:tcBorders>
              <w:top w:val="nil"/>
              <w:left w:val="nil"/>
              <w:bottom w:val="nil"/>
              <w:right w:val="nil"/>
            </w:tcBorders>
            <w:shd w:val="clear" w:color="auto" w:fill="auto"/>
            <w:vAlign w:val="bottom"/>
            <w:hideMark/>
          </w:tcPr>
          <w:p w14:paraId="6551F627"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Average of the source-specific ratings in standardized values.</w:t>
            </w:r>
          </w:p>
        </w:tc>
        <w:tc>
          <w:tcPr>
            <w:tcW w:w="1943" w:type="dxa"/>
            <w:tcBorders>
              <w:top w:val="nil"/>
              <w:left w:val="nil"/>
              <w:bottom w:val="nil"/>
              <w:right w:val="nil"/>
            </w:tcBorders>
            <w:shd w:val="clear" w:color="auto" w:fill="auto"/>
            <w:noWrap/>
            <w:hideMark/>
          </w:tcPr>
          <w:p w14:paraId="145D26F0"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7CDD3839" w14:textId="77777777" w:rsidTr="0047162D">
        <w:trPr>
          <w:trHeight w:val="293"/>
          <w:jc w:val="center"/>
        </w:trPr>
        <w:tc>
          <w:tcPr>
            <w:tcW w:w="1843" w:type="dxa"/>
            <w:tcBorders>
              <w:top w:val="nil"/>
              <w:left w:val="nil"/>
              <w:bottom w:val="nil"/>
              <w:right w:val="nil"/>
            </w:tcBorders>
            <w:shd w:val="clear" w:color="auto" w:fill="auto"/>
            <w:hideMark/>
          </w:tcPr>
          <w:p w14:paraId="53602AFC"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Rating dispersion</w:t>
            </w:r>
          </w:p>
        </w:tc>
        <w:tc>
          <w:tcPr>
            <w:tcW w:w="6111" w:type="dxa"/>
            <w:tcBorders>
              <w:top w:val="nil"/>
              <w:left w:val="nil"/>
              <w:bottom w:val="nil"/>
              <w:right w:val="nil"/>
            </w:tcBorders>
            <w:shd w:val="clear" w:color="auto" w:fill="auto"/>
            <w:vAlign w:val="bottom"/>
            <w:hideMark/>
          </w:tcPr>
          <w:p w14:paraId="2B5DF9B0"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Standard deviation of the source-specific ratings (in standardized values) for ICOs with more than one rating.</w:t>
            </w:r>
          </w:p>
        </w:tc>
        <w:tc>
          <w:tcPr>
            <w:tcW w:w="1943" w:type="dxa"/>
            <w:tcBorders>
              <w:top w:val="nil"/>
              <w:left w:val="nil"/>
              <w:bottom w:val="nil"/>
              <w:right w:val="nil"/>
            </w:tcBorders>
            <w:shd w:val="clear" w:color="auto" w:fill="auto"/>
            <w:noWrap/>
            <w:hideMark/>
          </w:tcPr>
          <w:p w14:paraId="4F409D3E"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4FA72905" w14:textId="77777777" w:rsidTr="0047162D">
        <w:trPr>
          <w:trHeight w:val="293"/>
          <w:jc w:val="center"/>
        </w:trPr>
        <w:tc>
          <w:tcPr>
            <w:tcW w:w="1843" w:type="dxa"/>
            <w:tcBorders>
              <w:top w:val="nil"/>
              <w:left w:val="nil"/>
              <w:bottom w:val="nil"/>
              <w:right w:val="nil"/>
            </w:tcBorders>
            <w:shd w:val="clear" w:color="auto" w:fill="auto"/>
            <w:hideMark/>
          </w:tcPr>
          <w:p w14:paraId="4DC2E7B4"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Readability_Flesch</w:t>
            </w:r>
            <w:proofErr w:type="spellEnd"/>
          </w:p>
        </w:tc>
        <w:tc>
          <w:tcPr>
            <w:tcW w:w="6111" w:type="dxa"/>
            <w:tcBorders>
              <w:top w:val="nil"/>
              <w:left w:val="nil"/>
              <w:bottom w:val="nil"/>
              <w:right w:val="nil"/>
            </w:tcBorders>
            <w:shd w:val="clear" w:color="auto" w:fill="auto"/>
            <w:hideMark/>
          </w:tcPr>
          <w:p w14:paraId="493FCE1D" w14:textId="4C49A668"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Flesch reading ease score of the white paper text </w:t>
            </w:r>
            <w:r w:rsidR="00225E62" w:rsidRPr="00C82EE1">
              <w:rPr>
                <w:rFonts w:ascii="Times New Roman" w:hAnsi="Times New Roman" w:cs="Times New Roman"/>
                <w:sz w:val="18"/>
              </w:rPr>
              <w:t>(Kincaid et al., 1975)</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2FD313B1"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6372ACE6" w14:textId="77777777" w:rsidTr="0047162D">
        <w:trPr>
          <w:trHeight w:val="293"/>
          <w:jc w:val="center"/>
        </w:trPr>
        <w:tc>
          <w:tcPr>
            <w:tcW w:w="1843" w:type="dxa"/>
            <w:tcBorders>
              <w:top w:val="nil"/>
              <w:left w:val="nil"/>
              <w:bottom w:val="nil"/>
              <w:right w:val="nil"/>
            </w:tcBorders>
            <w:shd w:val="clear" w:color="auto" w:fill="auto"/>
            <w:hideMark/>
          </w:tcPr>
          <w:p w14:paraId="5ADD75BD"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Readability_FOG</w:t>
            </w:r>
            <w:proofErr w:type="spellEnd"/>
          </w:p>
        </w:tc>
        <w:tc>
          <w:tcPr>
            <w:tcW w:w="6111" w:type="dxa"/>
            <w:tcBorders>
              <w:top w:val="nil"/>
              <w:left w:val="nil"/>
              <w:bottom w:val="nil"/>
              <w:right w:val="nil"/>
            </w:tcBorders>
            <w:shd w:val="clear" w:color="auto" w:fill="auto"/>
            <w:hideMark/>
          </w:tcPr>
          <w:p w14:paraId="7CFAB417" w14:textId="3A7999E4"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Gunning FOG Index </w:t>
            </w:r>
            <w:r w:rsidR="00225E62" w:rsidRPr="00C82EE1">
              <w:rPr>
                <w:rFonts w:ascii="Times New Roman" w:hAnsi="Times New Roman" w:cs="Times New Roman"/>
                <w:sz w:val="18"/>
              </w:rPr>
              <w:t>(Gunning, 1952)</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38DBCDCB"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0D29B614" w14:textId="77777777" w:rsidTr="0047162D">
        <w:trPr>
          <w:trHeight w:val="293"/>
          <w:jc w:val="center"/>
        </w:trPr>
        <w:tc>
          <w:tcPr>
            <w:tcW w:w="1843" w:type="dxa"/>
            <w:tcBorders>
              <w:top w:val="nil"/>
              <w:left w:val="nil"/>
              <w:bottom w:val="nil"/>
              <w:right w:val="nil"/>
            </w:tcBorders>
            <w:shd w:val="clear" w:color="auto" w:fill="auto"/>
            <w:hideMark/>
          </w:tcPr>
          <w:p w14:paraId="415FF0AF" w14:textId="47001AF1"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Readability_</w:t>
            </w:r>
            <w:r w:rsidR="008359F4">
              <w:rPr>
                <w:rFonts w:ascii="Times New Roman" w:eastAsia="Times New Roman" w:hAnsi="Times New Roman" w:cs="Times New Roman"/>
                <w:i/>
                <w:iCs/>
                <w:color w:val="000000"/>
                <w:sz w:val="18"/>
                <w:szCs w:val="18"/>
              </w:rPr>
              <w:t>Size</w:t>
            </w:r>
            <w:proofErr w:type="spellEnd"/>
          </w:p>
        </w:tc>
        <w:tc>
          <w:tcPr>
            <w:tcW w:w="6111" w:type="dxa"/>
            <w:tcBorders>
              <w:top w:val="nil"/>
              <w:left w:val="nil"/>
              <w:bottom w:val="nil"/>
              <w:right w:val="nil"/>
            </w:tcBorders>
            <w:shd w:val="clear" w:color="auto" w:fill="auto"/>
            <w:hideMark/>
          </w:tcPr>
          <w:p w14:paraId="18A15074"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The number of pages in the ICO white paper.</w:t>
            </w:r>
          </w:p>
        </w:tc>
        <w:tc>
          <w:tcPr>
            <w:tcW w:w="1943" w:type="dxa"/>
            <w:tcBorders>
              <w:top w:val="nil"/>
              <w:left w:val="nil"/>
              <w:bottom w:val="nil"/>
              <w:right w:val="nil"/>
            </w:tcBorders>
            <w:shd w:val="clear" w:color="auto" w:fill="auto"/>
            <w:noWrap/>
            <w:hideMark/>
          </w:tcPr>
          <w:p w14:paraId="7F9834AC"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43D1A8AD" w14:textId="77777777" w:rsidTr="0047162D">
        <w:trPr>
          <w:trHeight w:val="146"/>
          <w:jc w:val="center"/>
        </w:trPr>
        <w:tc>
          <w:tcPr>
            <w:tcW w:w="1843" w:type="dxa"/>
            <w:tcBorders>
              <w:top w:val="nil"/>
              <w:left w:val="nil"/>
              <w:bottom w:val="nil"/>
              <w:right w:val="nil"/>
            </w:tcBorders>
            <w:shd w:val="clear" w:color="auto" w:fill="auto"/>
            <w:hideMark/>
          </w:tcPr>
          <w:p w14:paraId="143AE00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Region</w:t>
            </w:r>
          </w:p>
        </w:tc>
        <w:tc>
          <w:tcPr>
            <w:tcW w:w="6111" w:type="dxa"/>
            <w:tcBorders>
              <w:top w:val="nil"/>
              <w:left w:val="nil"/>
              <w:bottom w:val="nil"/>
              <w:right w:val="nil"/>
            </w:tcBorders>
            <w:shd w:val="clear" w:color="auto" w:fill="auto"/>
            <w:vAlign w:val="bottom"/>
            <w:hideMark/>
          </w:tcPr>
          <w:p w14:paraId="31B14050"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the world region in which the ICO is issued.</w:t>
            </w:r>
          </w:p>
        </w:tc>
        <w:tc>
          <w:tcPr>
            <w:tcW w:w="1943" w:type="dxa"/>
            <w:tcBorders>
              <w:top w:val="nil"/>
              <w:left w:val="nil"/>
              <w:bottom w:val="nil"/>
              <w:right w:val="nil"/>
            </w:tcBorders>
            <w:shd w:val="clear" w:color="auto" w:fill="auto"/>
            <w:noWrap/>
            <w:hideMark/>
          </w:tcPr>
          <w:p w14:paraId="77FD19BF"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46ABBB4E" w14:textId="77777777" w:rsidTr="0047162D">
        <w:trPr>
          <w:trHeight w:val="146"/>
          <w:jc w:val="center"/>
        </w:trPr>
        <w:tc>
          <w:tcPr>
            <w:tcW w:w="1843" w:type="dxa"/>
            <w:tcBorders>
              <w:top w:val="nil"/>
              <w:left w:val="nil"/>
              <w:bottom w:val="nil"/>
              <w:right w:val="nil"/>
            </w:tcBorders>
            <w:shd w:val="clear" w:color="auto" w:fill="auto"/>
            <w:hideMark/>
          </w:tcPr>
          <w:p w14:paraId="5D40CB17"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Scam</w:t>
            </w:r>
          </w:p>
        </w:tc>
        <w:tc>
          <w:tcPr>
            <w:tcW w:w="6111" w:type="dxa"/>
            <w:tcBorders>
              <w:top w:val="nil"/>
              <w:left w:val="nil"/>
              <w:bottom w:val="nil"/>
              <w:right w:val="nil"/>
            </w:tcBorders>
            <w:shd w:val="clear" w:color="auto" w:fill="auto"/>
            <w:vAlign w:val="bottom"/>
            <w:hideMark/>
          </w:tcPr>
          <w:p w14:paraId="19BC0DD2" w14:textId="79B54085"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Indicates whether an ICO is considered </w:t>
            </w:r>
            <w:r w:rsidR="00A10973">
              <w:rPr>
                <w:rFonts w:ascii="Times New Roman" w:eastAsia="Times New Roman" w:hAnsi="Times New Roman" w:cs="Times New Roman"/>
                <w:color w:val="000000"/>
                <w:sz w:val="18"/>
                <w:szCs w:val="18"/>
              </w:rPr>
              <w:t>a</w:t>
            </w:r>
            <w:r w:rsidRPr="00C82EE1">
              <w:rPr>
                <w:rFonts w:ascii="Times New Roman" w:eastAsia="Times New Roman" w:hAnsi="Times New Roman" w:cs="Times New Roman"/>
                <w:color w:val="000000"/>
                <w:sz w:val="18"/>
                <w:szCs w:val="18"/>
              </w:rPr>
              <w:t xml:space="preserve"> scam.</w:t>
            </w:r>
          </w:p>
        </w:tc>
        <w:tc>
          <w:tcPr>
            <w:tcW w:w="1943" w:type="dxa"/>
            <w:tcBorders>
              <w:top w:val="nil"/>
              <w:left w:val="nil"/>
              <w:bottom w:val="nil"/>
              <w:right w:val="nil"/>
            </w:tcBorders>
            <w:shd w:val="clear" w:color="auto" w:fill="auto"/>
            <w:noWrap/>
            <w:hideMark/>
          </w:tcPr>
          <w:p w14:paraId="5E6AEA4F"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75190588" w14:textId="77777777" w:rsidTr="0047162D">
        <w:trPr>
          <w:trHeight w:val="293"/>
          <w:jc w:val="center"/>
        </w:trPr>
        <w:tc>
          <w:tcPr>
            <w:tcW w:w="1843" w:type="dxa"/>
            <w:tcBorders>
              <w:top w:val="nil"/>
              <w:left w:val="nil"/>
              <w:bottom w:val="nil"/>
              <w:right w:val="nil"/>
            </w:tcBorders>
            <w:shd w:val="clear" w:color="auto" w:fill="auto"/>
            <w:hideMark/>
          </w:tcPr>
          <w:p w14:paraId="453D7AAC"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Sentiment</w:t>
            </w:r>
          </w:p>
        </w:tc>
        <w:tc>
          <w:tcPr>
            <w:tcW w:w="6111" w:type="dxa"/>
            <w:tcBorders>
              <w:top w:val="nil"/>
              <w:left w:val="nil"/>
              <w:bottom w:val="nil"/>
              <w:right w:val="nil"/>
            </w:tcBorders>
            <w:shd w:val="clear" w:color="auto" w:fill="auto"/>
            <w:vAlign w:val="bottom"/>
            <w:hideMark/>
          </w:tcPr>
          <w:p w14:paraId="6298026E" w14:textId="6F8843FF"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Proportion of positive minus negative words in the white paper text based on the dictionaries provided by </w:t>
            </w:r>
            <w:r w:rsidR="00225E62" w:rsidRPr="00C82EE1">
              <w:rPr>
                <w:rFonts w:ascii="Times New Roman" w:hAnsi="Times New Roman" w:cs="Times New Roman"/>
                <w:sz w:val="18"/>
              </w:rPr>
              <w:t>Loughran &amp; McDonald (2011)</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7CA23004"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175FED74" w14:textId="77777777" w:rsidTr="0047162D">
        <w:trPr>
          <w:trHeight w:val="146"/>
          <w:jc w:val="center"/>
        </w:trPr>
        <w:tc>
          <w:tcPr>
            <w:tcW w:w="1843" w:type="dxa"/>
            <w:tcBorders>
              <w:top w:val="nil"/>
              <w:left w:val="nil"/>
              <w:bottom w:val="nil"/>
              <w:right w:val="nil"/>
            </w:tcBorders>
            <w:shd w:val="clear" w:color="auto" w:fill="auto"/>
            <w:hideMark/>
          </w:tcPr>
          <w:p w14:paraId="5BF62AD1"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Social media</w:t>
            </w:r>
          </w:p>
        </w:tc>
        <w:tc>
          <w:tcPr>
            <w:tcW w:w="6111" w:type="dxa"/>
            <w:tcBorders>
              <w:top w:val="nil"/>
              <w:left w:val="nil"/>
              <w:bottom w:val="nil"/>
              <w:right w:val="nil"/>
            </w:tcBorders>
            <w:shd w:val="clear" w:color="auto" w:fill="auto"/>
            <w:vAlign w:val="bottom"/>
            <w:hideMark/>
          </w:tcPr>
          <w:p w14:paraId="0DD569DF"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Number of different social media channels used by the ICO project.</w:t>
            </w:r>
          </w:p>
        </w:tc>
        <w:tc>
          <w:tcPr>
            <w:tcW w:w="1943" w:type="dxa"/>
            <w:tcBorders>
              <w:top w:val="nil"/>
              <w:left w:val="nil"/>
              <w:bottom w:val="nil"/>
              <w:right w:val="nil"/>
            </w:tcBorders>
            <w:shd w:val="clear" w:color="auto" w:fill="auto"/>
            <w:noWrap/>
            <w:hideMark/>
          </w:tcPr>
          <w:p w14:paraId="4F4B5099"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2576F882" w14:textId="77777777" w:rsidTr="0047162D">
        <w:trPr>
          <w:trHeight w:val="146"/>
          <w:jc w:val="center"/>
        </w:trPr>
        <w:tc>
          <w:tcPr>
            <w:tcW w:w="1843" w:type="dxa"/>
            <w:tcBorders>
              <w:top w:val="nil"/>
              <w:left w:val="nil"/>
              <w:bottom w:val="nil"/>
              <w:right w:val="nil"/>
            </w:tcBorders>
            <w:shd w:val="clear" w:color="auto" w:fill="auto"/>
            <w:hideMark/>
          </w:tcPr>
          <w:p w14:paraId="562535E2"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proofErr w:type="spellStart"/>
            <w:r w:rsidRPr="00C82EE1">
              <w:rPr>
                <w:rFonts w:ascii="Times New Roman" w:eastAsia="Times New Roman" w:hAnsi="Times New Roman" w:cs="Times New Roman"/>
                <w:i/>
                <w:iCs/>
                <w:color w:val="000000"/>
                <w:sz w:val="18"/>
                <w:szCs w:val="18"/>
              </w:rPr>
              <w:t>Softcap</w:t>
            </w:r>
            <w:proofErr w:type="spellEnd"/>
          </w:p>
        </w:tc>
        <w:tc>
          <w:tcPr>
            <w:tcW w:w="6111" w:type="dxa"/>
            <w:tcBorders>
              <w:top w:val="nil"/>
              <w:left w:val="nil"/>
              <w:bottom w:val="nil"/>
              <w:right w:val="nil"/>
            </w:tcBorders>
            <w:shd w:val="clear" w:color="auto" w:fill="auto"/>
            <w:vAlign w:val="bottom"/>
            <w:hideMark/>
          </w:tcPr>
          <w:p w14:paraId="6C910886"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a soft cap is specified.</w:t>
            </w:r>
          </w:p>
        </w:tc>
        <w:tc>
          <w:tcPr>
            <w:tcW w:w="1943" w:type="dxa"/>
            <w:tcBorders>
              <w:top w:val="nil"/>
              <w:left w:val="nil"/>
              <w:bottom w:val="nil"/>
              <w:right w:val="nil"/>
            </w:tcBorders>
            <w:shd w:val="clear" w:color="auto" w:fill="auto"/>
            <w:noWrap/>
            <w:hideMark/>
          </w:tcPr>
          <w:p w14:paraId="1300EC53"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7F91F6A4" w14:textId="77777777" w:rsidTr="0047162D">
        <w:trPr>
          <w:trHeight w:val="146"/>
          <w:jc w:val="center"/>
        </w:trPr>
        <w:tc>
          <w:tcPr>
            <w:tcW w:w="1843" w:type="dxa"/>
            <w:tcBorders>
              <w:top w:val="nil"/>
              <w:left w:val="nil"/>
              <w:bottom w:val="nil"/>
              <w:right w:val="nil"/>
            </w:tcBorders>
            <w:shd w:val="clear" w:color="auto" w:fill="auto"/>
            <w:hideMark/>
          </w:tcPr>
          <w:p w14:paraId="60284A39"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Sophistication</w:t>
            </w:r>
          </w:p>
        </w:tc>
        <w:tc>
          <w:tcPr>
            <w:tcW w:w="6111" w:type="dxa"/>
            <w:tcBorders>
              <w:top w:val="nil"/>
              <w:left w:val="nil"/>
              <w:bottom w:val="nil"/>
              <w:right w:val="nil"/>
            </w:tcBorders>
            <w:shd w:val="clear" w:color="auto" w:fill="auto"/>
            <w:vAlign w:val="bottom"/>
            <w:hideMark/>
          </w:tcPr>
          <w:p w14:paraId="04B452FD" w14:textId="1303DB6D"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The level of lexical sophistication in ICO white papers </w:t>
            </w:r>
            <w:r w:rsidR="00225E62" w:rsidRPr="00C82EE1">
              <w:rPr>
                <w:rFonts w:ascii="Times New Roman" w:hAnsi="Times New Roman" w:cs="Times New Roman"/>
                <w:sz w:val="18"/>
              </w:rPr>
              <w:t>Lu (2012)</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14E06511"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7D7D1956" w14:textId="77777777" w:rsidTr="0047162D">
        <w:trPr>
          <w:trHeight w:val="293"/>
          <w:jc w:val="center"/>
        </w:trPr>
        <w:tc>
          <w:tcPr>
            <w:tcW w:w="1843" w:type="dxa"/>
            <w:tcBorders>
              <w:top w:val="nil"/>
              <w:left w:val="nil"/>
              <w:bottom w:val="nil"/>
              <w:right w:val="nil"/>
            </w:tcBorders>
            <w:shd w:val="clear" w:color="auto" w:fill="auto"/>
            <w:hideMark/>
          </w:tcPr>
          <w:p w14:paraId="1DAFFDFF"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Technicality</w:t>
            </w:r>
          </w:p>
        </w:tc>
        <w:tc>
          <w:tcPr>
            <w:tcW w:w="6111" w:type="dxa"/>
            <w:tcBorders>
              <w:top w:val="nil"/>
              <w:left w:val="nil"/>
              <w:bottom w:val="nil"/>
              <w:right w:val="nil"/>
            </w:tcBorders>
            <w:shd w:val="clear" w:color="auto" w:fill="auto"/>
            <w:vAlign w:val="bottom"/>
            <w:hideMark/>
          </w:tcPr>
          <w:p w14:paraId="03AFE267" w14:textId="6AD2D1BE"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Proportion of technology-related topics in ICO white papers </w:t>
            </w:r>
            <w:r w:rsidR="00225E62" w:rsidRPr="00C82EE1">
              <w:rPr>
                <w:rFonts w:ascii="Times New Roman" w:hAnsi="Times New Roman" w:cs="Times New Roman"/>
                <w:sz w:val="18"/>
              </w:rPr>
              <w:t>(Thewissen et al., 2022)</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0D8D36D4"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42205596" w14:textId="77777777" w:rsidTr="0047162D">
        <w:trPr>
          <w:trHeight w:val="293"/>
          <w:jc w:val="center"/>
        </w:trPr>
        <w:tc>
          <w:tcPr>
            <w:tcW w:w="1843" w:type="dxa"/>
            <w:tcBorders>
              <w:top w:val="nil"/>
              <w:left w:val="nil"/>
              <w:bottom w:val="nil"/>
              <w:right w:val="nil"/>
            </w:tcBorders>
            <w:shd w:val="clear" w:color="auto" w:fill="auto"/>
            <w:hideMark/>
          </w:tcPr>
          <w:p w14:paraId="4341EC8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Token distribution</w:t>
            </w:r>
          </w:p>
        </w:tc>
        <w:tc>
          <w:tcPr>
            <w:tcW w:w="6111" w:type="dxa"/>
            <w:tcBorders>
              <w:top w:val="nil"/>
              <w:left w:val="nil"/>
              <w:bottom w:val="nil"/>
              <w:right w:val="nil"/>
            </w:tcBorders>
            <w:shd w:val="clear" w:color="auto" w:fill="auto"/>
            <w:hideMark/>
          </w:tcPr>
          <w:p w14:paraId="531BF3A6"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the token distribution structure is specified.</w:t>
            </w:r>
          </w:p>
        </w:tc>
        <w:tc>
          <w:tcPr>
            <w:tcW w:w="1943" w:type="dxa"/>
            <w:tcBorders>
              <w:top w:val="nil"/>
              <w:left w:val="nil"/>
              <w:bottom w:val="nil"/>
              <w:right w:val="nil"/>
            </w:tcBorders>
            <w:shd w:val="clear" w:color="auto" w:fill="auto"/>
            <w:noWrap/>
            <w:hideMark/>
          </w:tcPr>
          <w:p w14:paraId="725F03C3"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1994A644" w14:textId="77777777" w:rsidTr="0047162D">
        <w:trPr>
          <w:trHeight w:val="146"/>
          <w:jc w:val="center"/>
        </w:trPr>
        <w:tc>
          <w:tcPr>
            <w:tcW w:w="1843" w:type="dxa"/>
            <w:tcBorders>
              <w:top w:val="nil"/>
              <w:left w:val="nil"/>
              <w:bottom w:val="nil"/>
              <w:right w:val="nil"/>
            </w:tcBorders>
            <w:shd w:val="clear" w:color="auto" w:fill="auto"/>
            <w:hideMark/>
          </w:tcPr>
          <w:p w14:paraId="6D803E2C"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Token traded</w:t>
            </w:r>
          </w:p>
        </w:tc>
        <w:tc>
          <w:tcPr>
            <w:tcW w:w="6111" w:type="dxa"/>
            <w:tcBorders>
              <w:top w:val="nil"/>
              <w:left w:val="nil"/>
              <w:bottom w:val="nil"/>
              <w:right w:val="nil"/>
            </w:tcBorders>
            <w:shd w:val="clear" w:color="auto" w:fill="auto"/>
            <w:vAlign w:val="bottom"/>
            <w:hideMark/>
          </w:tcPr>
          <w:p w14:paraId="6BDE004A"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the token is eventually traded on a currency exchange.</w:t>
            </w:r>
          </w:p>
        </w:tc>
        <w:tc>
          <w:tcPr>
            <w:tcW w:w="1943" w:type="dxa"/>
            <w:tcBorders>
              <w:top w:val="nil"/>
              <w:left w:val="nil"/>
              <w:bottom w:val="nil"/>
              <w:right w:val="nil"/>
            </w:tcBorders>
            <w:shd w:val="clear" w:color="auto" w:fill="auto"/>
            <w:noWrap/>
            <w:hideMark/>
          </w:tcPr>
          <w:p w14:paraId="3EBDFCB6"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proofErr w:type="spellStart"/>
            <w:r w:rsidRPr="00C82EE1">
              <w:rPr>
                <w:rFonts w:ascii="Times New Roman" w:eastAsia="Times New Roman" w:hAnsi="Times New Roman" w:cs="Times New Roman"/>
                <w:color w:val="000000"/>
                <w:sz w:val="18"/>
                <w:szCs w:val="18"/>
              </w:rPr>
              <w:t>CoinMarketCap</w:t>
            </w:r>
            <w:proofErr w:type="spellEnd"/>
          </w:p>
        </w:tc>
      </w:tr>
      <w:tr w:rsidR="0093472B" w:rsidRPr="00C82EE1" w14:paraId="4D47348B" w14:textId="77777777" w:rsidTr="0047162D">
        <w:trPr>
          <w:trHeight w:val="293"/>
          <w:jc w:val="center"/>
        </w:trPr>
        <w:tc>
          <w:tcPr>
            <w:tcW w:w="1843" w:type="dxa"/>
            <w:tcBorders>
              <w:top w:val="nil"/>
              <w:left w:val="nil"/>
              <w:bottom w:val="nil"/>
              <w:right w:val="nil"/>
            </w:tcBorders>
            <w:shd w:val="clear" w:color="auto" w:fill="auto"/>
            <w:hideMark/>
          </w:tcPr>
          <w:p w14:paraId="76BB3180"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Topic diversity</w:t>
            </w:r>
          </w:p>
        </w:tc>
        <w:tc>
          <w:tcPr>
            <w:tcW w:w="6111" w:type="dxa"/>
            <w:tcBorders>
              <w:top w:val="nil"/>
              <w:left w:val="nil"/>
              <w:bottom w:val="nil"/>
              <w:right w:val="nil"/>
            </w:tcBorders>
            <w:shd w:val="clear" w:color="auto" w:fill="auto"/>
            <w:vAlign w:val="bottom"/>
            <w:hideMark/>
          </w:tcPr>
          <w:p w14:paraId="0667018D" w14:textId="0751EAA9"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 xml:space="preserve">Variety of information in white papers according to the Shannon diversity index </w:t>
            </w:r>
            <w:r w:rsidR="00225E62" w:rsidRPr="00C82EE1">
              <w:rPr>
                <w:rFonts w:ascii="Times New Roman" w:hAnsi="Times New Roman" w:cs="Times New Roman"/>
                <w:sz w:val="18"/>
              </w:rPr>
              <w:t>(Shannon, 1948)</w:t>
            </w:r>
            <w:r w:rsidRPr="00C82EE1">
              <w:rPr>
                <w:rFonts w:ascii="Times New Roman" w:eastAsia="Times New Roman" w:hAnsi="Times New Roman" w:cs="Times New Roman"/>
                <w:color w:val="000000"/>
                <w:sz w:val="18"/>
                <w:szCs w:val="18"/>
              </w:rPr>
              <w:t>.</w:t>
            </w:r>
          </w:p>
        </w:tc>
        <w:tc>
          <w:tcPr>
            <w:tcW w:w="1943" w:type="dxa"/>
            <w:tcBorders>
              <w:top w:val="nil"/>
              <w:left w:val="nil"/>
              <w:bottom w:val="nil"/>
              <w:right w:val="nil"/>
            </w:tcBorders>
            <w:shd w:val="clear" w:color="auto" w:fill="auto"/>
            <w:noWrap/>
            <w:hideMark/>
          </w:tcPr>
          <w:p w14:paraId="38B3300D"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white paper</w:t>
            </w:r>
          </w:p>
        </w:tc>
      </w:tr>
      <w:tr w:rsidR="0093472B" w:rsidRPr="00C82EE1" w14:paraId="433E50A6" w14:textId="77777777" w:rsidTr="0047162D">
        <w:trPr>
          <w:trHeight w:val="293"/>
          <w:jc w:val="center"/>
        </w:trPr>
        <w:tc>
          <w:tcPr>
            <w:tcW w:w="1843" w:type="dxa"/>
            <w:tcBorders>
              <w:top w:val="nil"/>
              <w:left w:val="nil"/>
              <w:bottom w:val="nil"/>
              <w:right w:val="nil"/>
            </w:tcBorders>
            <w:shd w:val="clear" w:color="auto" w:fill="auto"/>
            <w:hideMark/>
          </w:tcPr>
          <w:p w14:paraId="2FEAE655"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US restrict</w:t>
            </w:r>
          </w:p>
        </w:tc>
        <w:tc>
          <w:tcPr>
            <w:tcW w:w="6111" w:type="dxa"/>
            <w:tcBorders>
              <w:top w:val="nil"/>
              <w:left w:val="nil"/>
              <w:bottom w:val="nil"/>
              <w:right w:val="nil"/>
            </w:tcBorders>
            <w:shd w:val="clear" w:color="auto" w:fill="auto"/>
            <w:hideMark/>
          </w:tcPr>
          <w:p w14:paraId="61931A3A"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if US-based investors are restricted from participating in the ICO.</w:t>
            </w:r>
          </w:p>
        </w:tc>
        <w:tc>
          <w:tcPr>
            <w:tcW w:w="1943" w:type="dxa"/>
            <w:tcBorders>
              <w:top w:val="nil"/>
              <w:left w:val="nil"/>
              <w:bottom w:val="nil"/>
              <w:right w:val="nil"/>
            </w:tcBorders>
            <w:shd w:val="clear" w:color="auto" w:fill="auto"/>
            <w:noWrap/>
            <w:hideMark/>
          </w:tcPr>
          <w:p w14:paraId="63620A9F"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25460898" w14:textId="77777777" w:rsidTr="0047162D">
        <w:trPr>
          <w:trHeight w:val="146"/>
          <w:jc w:val="center"/>
        </w:trPr>
        <w:tc>
          <w:tcPr>
            <w:tcW w:w="1843" w:type="dxa"/>
            <w:tcBorders>
              <w:top w:val="nil"/>
              <w:left w:val="nil"/>
              <w:bottom w:val="nil"/>
              <w:right w:val="nil"/>
            </w:tcBorders>
            <w:shd w:val="clear" w:color="auto" w:fill="auto"/>
            <w:hideMark/>
          </w:tcPr>
          <w:p w14:paraId="48A8D6CE"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Video</w:t>
            </w:r>
          </w:p>
        </w:tc>
        <w:tc>
          <w:tcPr>
            <w:tcW w:w="6111" w:type="dxa"/>
            <w:tcBorders>
              <w:top w:val="nil"/>
              <w:left w:val="nil"/>
              <w:bottom w:val="nil"/>
              <w:right w:val="nil"/>
            </w:tcBorders>
            <w:shd w:val="clear" w:color="auto" w:fill="auto"/>
            <w:vAlign w:val="bottom"/>
            <w:hideMark/>
          </w:tcPr>
          <w:p w14:paraId="10458943"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whether the project provided a descriptive video.</w:t>
            </w:r>
          </w:p>
        </w:tc>
        <w:tc>
          <w:tcPr>
            <w:tcW w:w="1943" w:type="dxa"/>
            <w:tcBorders>
              <w:top w:val="nil"/>
              <w:left w:val="nil"/>
              <w:bottom w:val="nil"/>
              <w:right w:val="nil"/>
            </w:tcBorders>
            <w:shd w:val="clear" w:color="auto" w:fill="auto"/>
            <w:noWrap/>
            <w:hideMark/>
          </w:tcPr>
          <w:p w14:paraId="56AF7C72"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73035571" w14:textId="77777777" w:rsidTr="0047162D">
        <w:trPr>
          <w:trHeight w:val="293"/>
          <w:jc w:val="center"/>
        </w:trPr>
        <w:tc>
          <w:tcPr>
            <w:tcW w:w="1843" w:type="dxa"/>
            <w:tcBorders>
              <w:top w:val="nil"/>
              <w:left w:val="nil"/>
              <w:bottom w:val="nil"/>
              <w:right w:val="nil"/>
            </w:tcBorders>
            <w:shd w:val="clear" w:color="auto" w:fill="auto"/>
            <w:hideMark/>
          </w:tcPr>
          <w:p w14:paraId="0AC46745"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Volatility</w:t>
            </w:r>
          </w:p>
        </w:tc>
        <w:tc>
          <w:tcPr>
            <w:tcW w:w="6111" w:type="dxa"/>
            <w:tcBorders>
              <w:top w:val="nil"/>
              <w:left w:val="nil"/>
              <w:bottom w:val="nil"/>
              <w:right w:val="nil"/>
            </w:tcBorders>
            <w:shd w:val="clear" w:color="auto" w:fill="auto"/>
            <w:hideMark/>
          </w:tcPr>
          <w:p w14:paraId="2BBA7073"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Realized volatility in the token price during the first 30 days the token is traded.</w:t>
            </w:r>
          </w:p>
        </w:tc>
        <w:tc>
          <w:tcPr>
            <w:tcW w:w="1943" w:type="dxa"/>
            <w:tcBorders>
              <w:top w:val="nil"/>
              <w:left w:val="nil"/>
              <w:bottom w:val="nil"/>
              <w:right w:val="nil"/>
            </w:tcBorders>
            <w:shd w:val="clear" w:color="auto" w:fill="auto"/>
            <w:noWrap/>
            <w:hideMark/>
          </w:tcPr>
          <w:p w14:paraId="2A78AFF7"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proofErr w:type="spellStart"/>
            <w:r w:rsidRPr="00C82EE1">
              <w:rPr>
                <w:rFonts w:ascii="Times New Roman" w:eastAsia="Times New Roman" w:hAnsi="Times New Roman" w:cs="Times New Roman"/>
                <w:color w:val="000000"/>
                <w:sz w:val="18"/>
                <w:szCs w:val="18"/>
              </w:rPr>
              <w:t>CoinMarketCap</w:t>
            </w:r>
            <w:proofErr w:type="spellEnd"/>
          </w:p>
        </w:tc>
      </w:tr>
      <w:tr w:rsidR="0093472B" w:rsidRPr="00C82EE1" w14:paraId="143D6852" w14:textId="77777777" w:rsidTr="0047162D">
        <w:trPr>
          <w:trHeight w:val="146"/>
          <w:jc w:val="center"/>
        </w:trPr>
        <w:tc>
          <w:tcPr>
            <w:tcW w:w="1843" w:type="dxa"/>
            <w:tcBorders>
              <w:top w:val="nil"/>
              <w:left w:val="nil"/>
              <w:bottom w:val="nil"/>
              <w:right w:val="nil"/>
            </w:tcBorders>
            <w:shd w:val="clear" w:color="auto" w:fill="auto"/>
            <w:hideMark/>
          </w:tcPr>
          <w:p w14:paraId="61F1D18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Year-Quarter</w:t>
            </w:r>
          </w:p>
        </w:tc>
        <w:tc>
          <w:tcPr>
            <w:tcW w:w="6111" w:type="dxa"/>
            <w:tcBorders>
              <w:top w:val="nil"/>
              <w:left w:val="nil"/>
              <w:bottom w:val="nil"/>
              <w:right w:val="nil"/>
            </w:tcBorders>
            <w:shd w:val="clear" w:color="auto" w:fill="auto"/>
            <w:vAlign w:val="bottom"/>
            <w:hideMark/>
          </w:tcPr>
          <w:p w14:paraId="14FFFD17"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Indicates the year and quarter of the ICO issuance.</w:t>
            </w:r>
          </w:p>
        </w:tc>
        <w:tc>
          <w:tcPr>
            <w:tcW w:w="1943" w:type="dxa"/>
            <w:tcBorders>
              <w:top w:val="nil"/>
              <w:left w:val="nil"/>
              <w:bottom w:val="nil"/>
              <w:right w:val="nil"/>
            </w:tcBorders>
            <w:shd w:val="clear" w:color="auto" w:fill="auto"/>
            <w:noWrap/>
            <w:hideMark/>
          </w:tcPr>
          <w:p w14:paraId="3B9D150D"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C82EE1" w14:paraId="0794CD96" w14:textId="77777777" w:rsidTr="0047162D">
        <w:trPr>
          <w:trHeight w:val="293"/>
          <w:jc w:val="center"/>
        </w:trPr>
        <w:tc>
          <w:tcPr>
            <w:tcW w:w="1843" w:type="dxa"/>
            <w:tcBorders>
              <w:top w:val="nil"/>
              <w:left w:val="nil"/>
              <w:bottom w:val="single" w:sz="4" w:space="0" w:color="auto"/>
              <w:right w:val="nil"/>
            </w:tcBorders>
            <w:shd w:val="clear" w:color="auto" w:fill="auto"/>
            <w:hideMark/>
          </w:tcPr>
          <w:p w14:paraId="12D7C80A" w14:textId="781D9167" w:rsidR="0093472B" w:rsidRPr="00C82EE1" w:rsidRDefault="0093472B" w:rsidP="00026FCB">
            <w:pPr>
              <w:spacing w:after="0" w:line="240" w:lineRule="auto"/>
              <w:jc w:val="both"/>
              <w:rPr>
                <w:rFonts w:ascii="Times New Roman" w:eastAsia="Times New Roman" w:hAnsi="Times New Roman" w:cs="Times New Roman"/>
                <w:i/>
                <w:iCs/>
                <w:color w:val="000000"/>
                <w:sz w:val="18"/>
                <w:szCs w:val="18"/>
              </w:rPr>
            </w:pPr>
            <w:r w:rsidRPr="00C82EE1">
              <w:rPr>
                <w:rFonts w:ascii="Times New Roman" w:eastAsia="Times New Roman" w:hAnsi="Times New Roman" w:cs="Times New Roman"/>
                <w:i/>
                <w:iCs/>
                <w:color w:val="000000"/>
                <w:sz w:val="18"/>
                <w:szCs w:val="18"/>
              </w:rPr>
              <w:t>7-day</w:t>
            </w:r>
            <w:r w:rsidR="007E5F1C">
              <w:rPr>
                <w:rFonts w:ascii="Times New Roman" w:eastAsia="Times New Roman" w:hAnsi="Times New Roman" w:cs="Times New Roman"/>
                <w:i/>
                <w:iCs/>
                <w:color w:val="000000"/>
                <w:sz w:val="18"/>
                <w:szCs w:val="18"/>
              </w:rPr>
              <w:t>s</w:t>
            </w:r>
            <w:r w:rsidRPr="00C82EE1">
              <w:rPr>
                <w:rFonts w:ascii="Times New Roman" w:eastAsia="Times New Roman" w:hAnsi="Times New Roman" w:cs="Times New Roman"/>
                <w:i/>
                <w:iCs/>
                <w:color w:val="000000"/>
                <w:sz w:val="18"/>
                <w:szCs w:val="18"/>
              </w:rPr>
              <w:t xml:space="preserve"> window growth rate</w:t>
            </w:r>
          </w:p>
        </w:tc>
        <w:tc>
          <w:tcPr>
            <w:tcW w:w="6111" w:type="dxa"/>
            <w:tcBorders>
              <w:top w:val="nil"/>
              <w:left w:val="nil"/>
              <w:bottom w:val="single" w:sz="4" w:space="0" w:color="auto"/>
              <w:right w:val="nil"/>
            </w:tcBorders>
            <w:shd w:val="clear" w:color="auto" w:fill="auto"/>
            <w:vAlign w:val="bottom"/>
            <w:hideMark/>
          </w:tcPr>
          <w:p w14:paraId="7B21EE96" w14:textId="21601AF9"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Measures the</w:t>
            </w:r>
            <w:r w:rsidR="00A556CE" w:rsidRPr="00C82EE1">
              <w:rPr>
                <w:rFonts w:ascii="Times New Roman" w:eastAsia="Times New Roman" w:hAnsi="Times New Roman" w:cs="Times New Roman"/>
                <w:color w:val="000000"/>
                <w:sz w:val="18"/>
                <w:szCs w:val="18"/>
              </w:rPr>
              <w:t xml:space="preserve"> natural logarithm of the</w:t>
            </w:r>
            <w:r w:rsidRPr="00C82EE1">
              <w:rPr>
                <w:rFonts w:ascii="Times New Roman" w:eastAsia="Times New Roman" w:hAnsi="Times New Roman" w:cs="Times New Roman"/>
                <w:color w:val="000000"/>
                <w:sz w:val="18"/>
                <w:szCs w:val="18"/>
              </w:rPr>
              <w:t xml:space="preserve"> growth rate of community engagement over a 7-day</w:t>
            </w:r>
            <w:r w:rsidR="007E5F1C">
              <w:rPr>
                <w:rFonts w:ascii="Times New Roman" w:eastAsia="Times New Roman" w:hAnsi="Times New Roman" w:cs="Times New Roman"/>
                <w:color w:val="000000"/>
                <w:sz w:val="18"/>
                <w:szCs w:val="18"/>
              </w:rPr>
              <w:t>s</w:t>
            </w:r>
            <w:r w:rsidRPr="00C82EE1">
              <w:rPr>
                <w:rFonts w:ascii="Times New Roman" w:eastAsia="Times New Roman" w:hAnsi="Times New Roman" w:cs="Times New Roman"/>
                <w:color w:val="000000"/>
                <w:sz w:val="18"/>
                <w:szCs w:val="18"/>
              </w:rPr>
              <w:t xml:space="preserve"> window.</w:t>
            </w:r>
          </w:p>
        </w:tc>
        <w:tc>
          <w:tcPr>
            <w:tcW w:w="1943" w:type="dxa"/>
            <w:tcBorders>
              <w:top w:val="nil"/>
              <w:left w:val="nil"/>
              <w:bottom w:val="single" w:sz="4" w:space="0" w:color="auto"/>
              <w:right w:val="nil"/>
            </w:tcBorders>
            <w:shd w:val="clear" w:color="auto" w:fill="auto"/>
            <w:noWrap/>
            <w:hideMark/>
          </w:tcPr>
          <w:p w14:paraId="5FCAF138" w14:textId="77777777" w:rsidR="0093472B" w:rsidRPr="00C82EE1" w:rsidRDefault="0093472B" w:rsidP="00026FCB">
            <w:pPr>
              <w:spacing w:after="0" w:line="240" w:lineRule="auto"/>
              <w:jc w:val="both"/>
              <w:rPr>
                <w:rFonts w:ascii="Times New Roman" w:eastAsia="Times New Roman" w:hAnsi="Times New Roman" w:cs="Times New Roman"/>
                <w:color w:val="000000"/>
                <w:sz w:val="18"/>
                <w:szCs w:val="18"/>
              </w:rPr>
            </w:pPr>
            <w:r w:rsidRPr="00C82EE1">
              <w:rPr>
                <w:rFonts w:ascii="Times New Roman" w:eastAsia="Times New Roman" w:hAnsi="Times New Roman" w:cs="Times New Roman"/>
                <w:color w:val="000000"/>
                <w:sz w:val="18"/>
                <w:szCs w:val="18"/>
              </w:rPr>
              <w:t>ICO aggregators</w:t>
            </w:r>
          </w:p>
        </w:tc>
      </w:tr>
      <w:tr w:rsidR="0093472B" w:rsidRPr="00FC34AF" w14:paraId="6F880446" w14:textId="77777777" w:rsidTr="00FC34AF">
        <w:trPr>
          <w:trHeight w:val="218"/>
          <w:jc w:val="center"/>
        </w:trPr>
        <w:tc>
          <w:tcPr>
            <w:tcW w:w="9897" w:type="dxa"/>
            <w:gridSpan w:val="3"/>
            <w:tcBorders>
              <w:top w:val="single" w:sz="4" w:space="0" w:color="auto"/>
              <w:left w:val="nil"/>
              <w:bottom w:val="nil"/>
              <w:right w:val="nil"/>
            </w:tcBorders>
            <w:shd w:val="clear" w:color="auto" w:fill="auto"/>
            <w:vAlign w:val="bottom"/>
            <w:hideMark/>
          </w:tcPr>
          <w:p w14:paraId="729F979B" w14:textId="77777777" w:rsidR="0093472B" w:rsidRPr="00FC34AF" w:rsidRDefault="0093472B" w:rsidP="00026FCB">
            <w:pPr>
              <w:spacing w:after="0" w:line="240" w:lineRule="auto"/>
              <w:jc w:val="both"/>
              <w:rPr>
                <w:rFonts w:ascii="Times New Roman" w:eastAsia="Times New Roman" w:hAnsi="Times New Roman" w:cs="Times New Roman"/>
                <w:color w:val="000000"/>
                <w:sz w:val="20"/>
                <w:szCs w:val="18"/>
              </w:rPr>
            </w:pPr>
            <w:r w:rsidRPr="00FC34AF">
              <w:rPr>
                <w:rFonts w:ascii="Times New Roman" w:eastAsia="Times New Roman" w:hAnsi="Times New Roman" w:cs="Times New Roman"/>
                <w:i/>
                <w:iCs/>
                <w:color w:val="000000"/>
                <w:sz w:val="20"/>
                <w:szCs w:val="18"/>
              </w:rPr>
              <w:t xml:space="preserve">Notes. </w:t>
            </w:r>
            <w:r w:rsidRPr="00FC34AF">
              <w:rPr>
                <w:rFonts w:ascii="Times New Roman" w:eastAsia="Times New Roman" w:hAnsi="Times New Roman" w:cs="Times New Roman"/>
                <w:color w:val="000000"/>
                <w:sz w:val="20"/>
                <w:szCs w:val="18"/>
              </w:rPr>
              <w:t>This table reports the description of the main variables used in the regression analyses as well as their corresponding data sources.</w:t>
            </w:r>
          </w:p>
        </w:tc>
      </w:tr>
    </w:tbl>
    <w:p w14:paraId="68EB970B" w14:textId="77777777" w:rsidR="00225E62" w:rsidRPr="00C82EE1" w:rsidRDefault="00225E62" w:rsidP="00026FCB">
      <w:pPr>
        <w:jc w:val="both"/>
        <w:rPr>
          <w:rFonts w:ascii="Times New Roman" w:hAnsi="Times New Roman" w:cs="Times New Roman"/>
          <w:sz w:val="24"/>
          <w:szCs w:val="24"/>
        </w:rPr>
      </w:pPr>
    </w:p>
    <w:tbl>
      <w:tblPr>
        <w:tblW w:w="9357" w:type="dxa"/>
        <w:jc w:val="center"/>
        <w:tblLook w:val="04A0" w:firstRow="1" w:lastRow="0" w:firstColumn="1" w:lastColumn="0" w:noHBand="0" w:noVBand="1"/>
      </w:tblPr>
      <w:tblGrid>
        <w:gridCol w:w="3162"/>
        <w:gridCol w:w="756"/>
        <w:gridCol w:w="1220"/>
        <w:gridCol w:w="998"/>
        <w:gridCol w:w="1220"/>
        <w:gridCol w:w="1003"/>
        <w:gridCol w:w="998"/>
      </w:tblGrid>
      <w:tr w:rsidR="0093472B" w:rsidRPr="00C82EE1" w14:paraId="2B563A49" w14:textId="77777777" w:rsidTr="00750548">
        <w:trPr>
          <w:trHeight w:val="300"/>
          <w:jc w:val="center"/>
        </w:trPr>
        <w:tc>
          <w:tcPr>
            <w:tcW w:w="9357" w:type="dxa"/>
            <w:gridSpan w:val="7"/>
            <w:tcBorders>
              <w:top w:val="nil"/>
              <w:left w:val="nil"/>
              <w:bottom w:val="nil"/>
              <w:right w:val="nil"/>
            </w:tcBorders>
            <w:shd w:val="clear" w:color="auto" w:fill="auto"/>
            <w:noWrap/>
            <w:vAlign w:val="bottom"/>
            <w:hideMark/>
          </w:tcPr>
          <w:p w14:paraId="0EE7D48A" w14:textId="77777777" w:rsidR="0093472B" w:rsidRPr="00C82EE1" w:rsidRDefault="0093472B" w:rsidP="00E223E9">
            <w:pPr>
              <w:spacing w:after="240" w:line="240" w:lineRule="auto"/>
              <w:jc w:val="center"/>
              <w:rPr>
                <w:rFonts w:ascii="Times New Roman" w:eastAsia="Times New Roman" w:hAnsi="Times New Roman" w:cs="Times New Roman"/>
                <w:b/>
                <w:bCs/>
                <w:color w:val="000000"/>
                <w:sz w:val="28"/>
                <w:szCs w:val="24"/>
              </w:rPr>
            </w:pPr>
            <w:r w:rsidRPr="00C82EE1">
              <w:rPr>
                <w:rFonts w:ascii="Times New Roman" w:eastAsia="Times New Roman" w:hAnsi="Times New Roman" w:cs="Times New Roman"/>
                <w:b/>
                <w:bCs/>
                <w:color w:val="000000"/>
                <w:sz w:val="28"/>
                <w:szCs w:val="24"/>
              </w:rPr>
              <w:lastRenderedPageBreak/>
              <w:t>Table 2: Summary statistics.</w:t>
            </w:r>
          </w:p>
          <w:p w14:paraId="680BE4D2" w14:textId="37B3FC6E" w:rsidR="00225E62" w:rsidRPr="00C82EE1" w:rsidRDefault="00225E62" w:rsidP="00225E62">
            <w:pPr>
              <w:spacing w:after="0" w:line="240" w:lineRule="auto"/>
              <w:jc w:val="center"/>
              <w:rPr>
                <w:rFonts w:ascii="Times New Roman" w:eastAsia="Times New Roman" w:hAnsi="Times New Roman" w:cs="Times New Roman"/>
                <w:b/>
                <w:bCs/>
                <w:color w:val="000000"/>
                <w:sz w:val="24"/>
                <w:szCs w:val="24"/>
              </w:rPr>
            </w:pPr>
          </w:p>
        </w:tc>
      </w:tr>
      <w:tr w:rsidR="0093472B" w:rsidRPr="00C82EE1" w14:paraId="6E3B1E5F" w14:textId="77777777" w:rsidTr="00750548">
        <w:trPr>
          <w:trHeight w:val="300"/>
          <w:jc w:val="center"/>
        </w:trPr>
        <w:tc>
          <w:tcPr>
            <w:tcW w:w="9357" w:type="dxa"/>
            <w:gridSpan w:val="7"/>
            <w:tcBorders>
              <w:top w:val="nil"/>
              <w:left w:val="nil"/>
              <w:bottom w:val="single" w:sz="4" w:space="0" w:color="auto"/>
              <w:right w:val="nil"/>
            </w:tcBorders>
            <w:shd w:val="clear" w:color="auto" w:fill="auto"/>
            <w:noWrap/>
            <w:vAlign w:val="bottom"/>
            <w:hideMark/>
          </w:tcPr>
          <w:p w14:paraId="2606CEE0" w14:textId="577DE704"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Panel A</w:t>
            </w:r>
            <w:r w:rsidRPr="00F77BD0">
              <w:rPr>
                <w:rFonts w:ascii="Times New Roman" w:eastAsia="Times New Roman" w:hAnsi="Times New Roman" w:cs="Times New Roman"/>
                <w:i/>
                <w:iCs/>
                <w:color w:val="000000"/>
                <w:sz w:val="24"/>
                <w:szCs w:val="24"/>
              </w:rPr>
              <w:t xml:space="preserve">: LC </w:t>
            </w:r>
            <w:r w:rsidR="005A02A0" w:rsidRPr="00F77BD0">
              <w:rPr>
                <w:rFonts w:ascii="Times New Roman" w:eastAsia="Times New Roman" w:hAnsi="Times New Roman" w:cs="Times New Roman"/>
                <w:i/>
                <w:iCs/>
                <w:color w:val="000000"/>
                <w:sz w:val="24"/>
                <w:szCs w:val="24"/>
              </w:rPr>
              <w:t>m</w:t>
            </w:r>
            <w:r w:rsidRPr="00F77BD0">
              <w:rPr>
                <w:rFonts w:ascii="Times New Roman" w:eastAsia="Times New Roman" w:hAnsi="Times New Roman" w:cs="Times New Roman"/>
                <w:i/>
                <w:iCs/>
                <w:color w:val="000000"/>
                <w:sz w:val="24"/>
                <w:szCs w:val="24"/>
              </w:rPr>
              <w:t>etrics</w:t>
            </w:r>
          </w:p>
        </w:tc>
      </w:tr>
      <w:tr w:rsidR="0093472B" w:rsidRPr="00C82EE1" w14:paraId="1831CB16" w14:textId="77777777" w:rsidTr="00750548">
        <w:trPr>
          <w:trHeight w:val="300"/>
          <w:jc w:val="center"/>
        </w:trPr>
        <w:tc>
          <w:tcPr>
            <w:tcW w:w="3162" w:type="dxa"/>
            <w:tcBorders>
              <w:top w:val="nil"/>
              <w:left w:val="nil"/>
              <w:bottom w:val="single" w:sz="4" w:space="0" w:color="auto"/>
              <w:right w:val="nil"/>
            </w:tcBorders>
            <w:shd w:val="clear" w:color="auto" w:fill="auto"/>
            <w:noWrap/>
            <w:vAlign w:val="bottom"/>
            <w:hideMark/>
          </w:tcPr>
          <w:p w14:paraId="6D0908C9"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Variable</w:t>
            </w:r>
          </w:p>
        </w:tc>
        <w:tc>
          <w:tcPr>
            <w:tcW w:w="756" w:type="dxa"/>
            <w:tcBorders>
              <w:top w:val="nil"/>
              <w:left w:val="nil"/>
              <w:bottom w:val="single" w:sz="4" w:space="0" w:color="auto"/>
              <w:right w:val="nil"/>
            </w:tcBorders>
            <w:shd w:val="clear" w:color="auto" w:fill="auto"/>
            <w:noWrap/>
            <w:vAlign w:val="bottom"/>
            <w:hideMark/>
          </w:tcPr>
          <w:p w14:paraId="0EA304FA"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N</w:t>
            </w:r>
          </w:p>
        </w:tc>
        <w:tc>
          <w:tcPr>
            <w:tcW w:w="1220" w:type="dxa"/>
            <w:tcBorders>
              <w:top w:val="nil"/>
              <w:left w:val="nil"/>
              <w:bottom w:val="single" w:sz="4" w:space="0" w:color="auto"/>
              <w:right w:val="nil"/>
            </w:tcBorders>
            <w:shd w:val="clear" w:color="auto" w:fill="auto"/>
            <w:noWrap/>
            <w:vAlign w:val="bottom"/>
            <w:hideMark/>
          </w:tcPr>
          <w:p w14:paraId="1F02AB56"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Mean</w:t>
            </w:r>
          </w:p>
        </w:tc>
        <w:tc>
          <w:tcPr>
            <w:tcW w:w="998" w:type="dxa"/>
            <w:tcBorders>
              <w:top w:val="nil"/>
              <w:left w:val="nil"/>
              <w:bottom w:val="single" w:sz="4" w:space="0" w:color="auto"/>
              <w:right w:val="nil"/>
            </w:tcBorders>
            <w:shd w:val="clear" w:color="auto" w:fill="auto"/>
            <w:noWrap/>
            <w:vAlign w:val="bottom"/>
            <w:hideMark/>
          </w:tcPr>
          <w:p w14:paraId="4473C4C7"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St/Dev</w:t>
            </w:r>
          </w:p>
        </w:tc>
        <w:tc>
          <w:tcPr>
            <w:tcW w:w="1220" w:type="dxa"/>
            <w:tcBorders>
              <w:top w:val="nil"/>
              <w:left w:val="nil"/>
              <w:bottom w:val="single" w:sz="4" w:space="0" w:color="auto"/>
              <w:right w:val="nil"/>
            </w:tcBorders>
            <w:shd w:val="clear" w:color="auto" w:fill="auto"/>
            <w:noWrap/>
            <w:vAlign w:val="bottom"/>
            <w:hideMark/>
          </w:tcPr>
          <w:p w14:paraId="2850EB86"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Min</w:t>
            </w:r>
          </w:p>
        </w:tc>
        <w:tc>
          <w:tcPr>
            <w:tcW w:w="1003" w:type="dxa"/>
            <w:tcBorders>
              <w:top w:val="nil"/>
              <w:left w:val="nil"/>
              <w:bottom w:val="single" w:sz="4" w:space="0" w:color="auto"/>
              <w:right w:val="nil"/>
            </w:tcBorders>
            <w:shd w:val="clear" w:color="auto" w:fill="auto"/>
            <w:noWrap/>
            <w:vAlign w:val="bottom"/>
            <w:hideMark/>
          </w:tcPr>
          <w:p w14:paraId="4368365E"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Median</w:t>
            </w:r>
          </w:p>
        </w:tc>
        <w:tc>
          <w:tcPr>
            <w:tcW w:w="998" w:type="dxa"/>
            <w:tcBorders>
              <w:top w:val="nil"/>
              <w:left w:val="nil"/>
              <w:bottom w:val="single" w:sz="4" w:space="0" w:color="auto"/>
              <w:right w:val="nil"/>
            </w:tcBorders>
            <w:shd w:val="clear" w:color="auto" w:fill="auto"/>
            <w:noWrap/>
            <w:vAlign w:val="bottom"/>
            <w:hideMark/>
          </w:tcPr>
          <w:p w14:paraId="0FFA80F4"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Max</w:t>
            </w:r>
          </w:p>
        </w:tc>
      </w:tr>
      <w:tr w:rsidR="0093472B" w:rsidRPr="00C82EE1" w14:paraId="4CFDE690"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4948D88B" w14:textId="1E98C72A" w:rsidR="0093472B" w:rsidRPr="00750548" w:rsidRDefault="00750548" w:rsidP="00026FCB">
            <w:pPr>
              <w:spacing w:after="0" w:line="240" w:lineRule="auto"/>
              <w:jc w:val="both"/>
              <w:rPr>
                <w:rFonts w:ascii="Times New Roman" w:eastAsia="Times New Roman" w:hAnsi="Times New Roman" w:cs="Times New Roman"/>
                <w:b/>
                <w:i/>
                <w:iCs/>
                <w:color w:val="000000"/>
                <w:sz w:val="24"/>
                <w:szCs w:val="24"/>
              </w:rPr>
            </w:pPr>
            <w:r w:rsidRPr="00750548">
              <w:rPr>
                <w:rFonts w:ascii="Times New Roman" w:eastAsia="Times New Roman" w:hAnsi="Times New Roman" w:cs="Times New Roman"/>
                <w:b/>
                <w:i/>
                <w:iCs/>
                <w:color w:val="000000"/>
                <w:sz w:val="24"/>
                <w:szCs w:val="24"/>
              </w:rPr>
              <w:t>Density</w:t>
            </w:r>
          </w:p>
        </w:tc>
        <w:tc>
          <w:tcPr>
            <w:tcW w:w="756" w:type="dxa"/>
            <w:tcBorders>
              <w:top w:val="nil"/>
              <w:left w:val="nil"/>
              <w:bottom w:val="nil"/>
              <w:right w:val="nil"/>
            </w:tcBorders>
            <w:shd w:val="clear" w:color="auto" w:fill="auto"/>
            <w:noWrap/>
            <w:vAlign w:val="bottom"/>
            <w:hideMark/>
          </w:tcPr>
          <w:p w14:paraId="0AA82644" w14:textId="42745BEA"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220" w:type="dxa"/>
            <w:tcBorders>
              <w:top w:val="nil"/>
              <w:left w:val="nil"/>
              <w:bottom w:val="nil"/>
              <w:right w:val="nil"/>
            </w:tcBorders>
            <w:shd w:val="clear" w:color="auto" w:fill="auto"/>
            <w:noWrap/>
            <w:vAlign w:val="bottom"/>
            <w:hideMark/>
          </w:tcPr>
          <w:p w14:paraId="6FD0A30A" w14:textId="06A8E0B9"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998" w:type="dxa"/>
            <w:tcBorders>
              <w:top w:val="nil"/>
              <w:left w:val="nil"/>
              <w:bottom w:val="nil"/>
              <w:right w:val="nil"/>
            </w:tcBorders>
            <w:shd w:val="clear" w:color="auto" w:fill="auto"/>
            <w:noWrap/>
            <w:vAlign w:val="bottom"/>
            <w:hideMark/>
          </w:tcPr>
          <w:p w14:paraId="320BBA82" w14:textId="19A55313"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220" w:type="dxa"/>
            <w:tcBorders>
              <w:top w:val="nil"/>
              <w:left w:val="nil"/>
              <w:bottom w:val="nil"/>
              <w:right w:val="nil"/>
            </w:tcBorders>
            <w:shd w:val="clear" w:color="auto" w:fill="auto"/>
            <w:noWrap/>
            <w:vAlign w:val="bottom"/>
            <w:hideMark/>
          </w:tcPr>
          <w:p w14:paraId="06FEDB15" w14:textId="6FE55429"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003" w:type="dxa"/>
            <w:tcBorders>
              <w:top w:val="nil"/>
              <w:left w:val="nil"/>
              <w:bottom w:val="nil"/>
              <w:right w:val="nil"/>
            </w:tcBorders>
            <w:shd w:val="clear" w:color="auto" w:fill="auto"/>
            <w:noWrap/>
            <w:vAlign w:val="bottom"/>
            <w:hideMark/>
          </w:tcPr>
          <w:p w14:paraId="7A275D89" w14:textId="583B241D"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998" w:type="dxa"/>
            <w:tcBorders>
              <w:top w:val="nil"/>
              <w:left w:val="nil"/>
              <w:bottom w:val="nil"/>
              <w:right w:val="nil"/>
            </w:tcBorders>
            <w:shd w:val="clear" w:color="auto" w:fill="auto"/>
            <w:noWrap/>
            <w:vAlign w:val="bottom"/>
            <w:hideMark/>
          </w:tcPr>
          <w:p w14:paraId="533C57B7" w14:textId="759E62A4"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r>
      <w:tr w:rsidR="00750548" w:rsidRPr="00C82EE1" w14:paraId="43A15BCB" w14:textId="77777777" w:rsidTr="00750548">
        <w:trPr>
          <w:trHeight w:val="300"/>
          <w:jc w:val="center"/>
        </w:trPr>
        <w:tc>
          <w:tcPr>
            <w:tcW w:w="3162" w:type="dxa"/>
            <w:tcBorders>
              <w:top w:val="nil"/>
              <w:left w:val="nil"/>
              <w:bottom w:val="nil"/>
              <w:right w:val="nil"/>
            </w:tcBorders>
            <w:shd w:val="clear" w:color="auto" w:fill="auto"/>
            <w:noWrap/>
            <w:vAlign w:val="bottom"/>
          </w:tcPr>
          <w:p w14:paraId="0A4BBF03" w14:textId="43F0946B" w:rsidR="00750548" w:rsidRPr="00C82EE1" w:rsidRDefault="00B35D3F"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L</w:t>
            </w:r>
            <w:r w:rsidR="00750548" w:rsidRPr="00C82EE1">
              <w:rPr>
                <w:rFonts w:ascii="Times New Roman" w:eastAsia="Times New Roman" w:hAnsi="Times New Roman" w:cs="Times New Roman"/>
                <w:i/>
                <w:iCs/>
                <w:color w:val="000000"/>
                <w:sz w:val="24"/>
                <w:szCs w:val="24"/>
              </w:rPr>
              <w:t>d</w:t>
            </w:r>
            <w:proofErr w:type="spellEnd"/>
          </w:p>
        </w:tc>
        <w:tc>
          <w:tcPr>
            <w:tcW w:w="756" w:type="dxa"/>
            <w:tcBorders>
              <w:top w:val="nil"/>
              <w:left w:val="nil"/>
              <w:bottom w:val="nil"/>
              <w:right w:val="nil"/>
            </w:tcBorders>
            <w:shd w:val="clear" w:color="auto" w:fill="auto"/>
            <w:noWrap/>
            <w:vAlign w:val="bottom"/>
          </w:tcPr>
          <w:p w14:paraId="16EB9375" w14:textId="7D60ED85"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tcPr>
          <w:p w14:paraId="6684C046" w14:textId="0A850DD1"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0.562</w:t>
            </w:r>
          </w:p>
        </w:tc>
        <w:tc>
          <w:tcPr>
            <w:tcW w:w="998" w:type="dxa"/>
            <w:tcBorders>
              <w:top w:val="nil"/>
              <w:left w:val="nil"/>
              <w:bottom w:val="nil"/>
              <w:right w:val="nil"/>
            </w:tcBorders>
            <w:shd w:val="clear" w:color="auto" w:fill="auto"/>
            <w:noWrap/>
            <w:vAlign w:val="bottom"/>
          </w:tcPr>
          <w:p w14:paraId="0DD1364B" w14:textId="2D6FC034"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0.028</w:t>
            </w:r>
          </w:p>
        </w:tc>
        <w:tc>
          <w:tcPr>
            <w:tcW w:w="1220" w:type="dxa"/>
            <w:tcBorders>
              <w:top w:val="nil"/>
              <w:left w:val="nil"/>
              <w:bottom w:val="nil"/>
              <w:right w:val="nil"/>
            </w:tcBorders>
            <w:shd w:val="clear" w:color="auto" w:fill="auto"/>
            <w:noWrap/>
            <w:vAlign w:val="bottom"/>
          </w:tcPr>
          <w:p w14:paraId="2E1C8E33" w14:textId="332D43FD"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0.480</w:t>
            </w:r>
          </w:p>
        </w:tc>
        <w:tc>
          <w:tcPr>
            <w:tcW w:w="1003" w:type="dxa"/>
            <w:tcBorders>
              <w:top w:val="nil"/>
              <w:left w:val="nil"/>
              <w:bottom w:val="nil"/>
              <w:right w:val="nil"/>
            </w:tcBorders>
            <w:shd w:val="clear" w:color="auto" w:fill="auto"/>
            <w:noWrap/>
            <w:vAlign w:val="bottom"/>
          </w:tcPr>
          <w:p w14:paraId="188801C9" w14:textId="6A96041E"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0.560</w:t>
            </w:r>
          </w:p>
        </w:tc>
        <w:tc>
          <w:tcPr>
            <w:tcW w:w="998" w:type="dxa"/>
            <w:tcBorders>
              <w:top w:val="nil"/>
              <w:left w:val="nil"/>
              <w:bottom w:val="nil"/>
              <w:right w:val="nil"/>
            </w:tcBorders>
            <w:shd w:val="clear" w:color="auto" w:fill="auto"/>
            <w:noWrap/>
            <w:vAlign w:val="bottom"/>
          </w:tcPr>
          <w:p w14:paraId="34B94BE5" w14:textId="1828F07B"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0.700</w:t>
            </w:r>
          </w:p>
        </w:tc>
      </w:tr>
      <w:tr w:rsidR="00750548" w:rsidRPr="00C82EE1" w14:paraId="7CBB7ED7"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43830F68" w14:textId="3CD084EE"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750548">
              <w:rPr>
                <w:rFonts w:ascii="Times New Roman" w:eastAsia="Times New Roman" w:hAnsi="Times New Roman" w:cs="Times New Roman"/>
                <w:b/>
                <w:i/>
                <w:iCs/>
                <w:color w:val="000000"/>
                <w:sz w:val="24"/>
                <w:szCs w:val="24"/>
              </w:rPr>
              <w:t>Sophistication</w:t>
            </w:r>
          </w:p>
        </w:tc>
        <w:tc>
          <w:tcPr>
            <w:tcW w:w="756" w:type="dxa"/>
            <w:tcBorders>
              <w:top w:val="nil"/>
              <w:left w:val="nil"/>
              <w:bottom w:val="nil"/>
              <w:right w:val="nil"/>
            </w:tcBorders>
            <w:shd w:val="clear" w:color="auto" w:fill="auto"/>
            <w:noWrap/>
            <w:vAlign w:val="bottom"/>
            <w:hideMark/>
          </w:tcPr>
          <w:p w14:paraId="15F2F49B" w14:textId="2688764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1220" w:type="dxa"/>
            <w:tcBorders>
              <w:top w:val="nil"/>
              <w:left w:val="nil"/>
              <w:bottom w:val="nil"/>
              <w:right w:val="nil"/>
            </w:tcBorders>
            <w:shd w:val="clear" w:color="auto" w:fill="auto"/>
            <w:noWrap/>
            <w:vAlign w:val="bottom"/>
            <w:hideMark/>
          </w:tcPr>
          <w:p w14:paraId="249EA066" w14:textId="709BB1AF"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998" w:type="dxa"/>
            <w:tcBorders>
              <w:top w:val="nil"/>
              <w:left w:val="nil"/>
              <w:bottom w:val="nil"/>
              <w:right w:val="nil"/>
            </w:tcBorders>
            <w:shd w:val="clear" w:color="auto" w:fill="auto"/>
            <w:noWrap/>
            <w:vAlign w:val="bottom"/>
            <w:hideMark/>
          </w:tcPr>
          <w:p w14:paraId="747C2478" w14:textId="097C669D"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1220" w:type="dxa"/>
            <w:tcBorders>
              <w:top w:val="nil"/>
              <w:left w:val="nil"/>
              <w:bottom w:val="nil"/>
              <w:right w:val="nil"/>
            </w:tcBorders>
            <w:shd w:val="clear" w:color="auto" w:fill="auto"/>
            <w:noWrap/>
            <w:vAlign w:val="bottom"/>
            <w:hideMark/>
          </w:tcPr>
          <w:p w14:paraId="5990115E" w14:textId="252526B1"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1003" w:type="dxa"/>
            <w:tcBorders>
              <w:top w:val="nil"/>
              <w:left w:val="nil"/>
              <w:bottom w:val="nil"/>
              <w:right w:val="nil"/>
            </w:tcBorders>
            <w:shd w:val="clear" w:color="auto" w:fill="auto"/>
            <w:noWrap/>
            <w:vAlign w:val="bottom"/>
            <w:hideMark/>
          </w:tcPr>
          <w:p w14:paraId="06F73412" w14:textId="308638C6"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998" w:type="dxa"/>
            <w:tcBorders>
              <w:top w:val="nil"/>
              <w:left w:val="nil"/>
              <w:bottom w:val="nil"/>
              <w:right w:val="nil"/>
            </w:tcBorders>
            <w:shd w:val="clear" w:color="auto" w:fill="auto"/>
            <w:noWrap/>
            <w:vAlign w:val="bottom"/>
            <w:hideMark/>
          </w:tcPr>
          <w:p w14:paraId="54953FC0" w14:textId="1A6EF40B"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r>
      <w:tr w:rsidR="00750548" w:rsidRPr="00C82EE1" w14:paraId="01CA19CC" w14:textId="77777777" w:rsidTr="00750548">
        <w:trPr>
          <w:trHeight w:val="300"/>
          <w:jc w:val="center"/>
        </w:trPr>
        <w:tc>
          <w:tcPr>
            <w:tcW w:w="3162" w:type="dxa"/>
            <w:tcBorders>
              <w:top w:val="nil"/>
              <w:left w:val="nil"/>
              <w:bottom w:val="nil"/>
              <w:right w:val="nil"/>
            </w:tcBorders>
            <w:shd w:val="clear" w:color="auto" w:fill="auto"/>
            <w:noWrap/>
            <w:vAlign w:val="bottom"/>
          </w:tcPr>
          <w:p w14:paraId="3098D0C8" w14:textId="0C2B4ADD"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ls1</w:t>
            </w:r>
          </w:p>
        </w:tc>
        <w:tc>
          <w:tcPr>
            <w:tcW w:w="756" w:type="dxa"/>
            <w:tcBorders>
              <w:top w:val="nil"/>
              <w:left w:val="nil"/>
              <w:bottom w:val="nil"/>
              <w:right w:val="nil"/>
            </w:tcBorders>
            <w:shd w:val="clear" w:color="auto" w:fill="auto"/>
            <w:noWrap/>
            <w:vAlign w:val="bottom"/>
          </w:tcPr>
          <w:p w14:paraId="718E5036" w14:textId="73E3AE70"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tcPr>
          <w:p w14:paraId="7BA8135C" w14:textId="00A7FAB3"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0.401</w:t>
            </w:r>
          </w:p>
        </w:tc>
        <w:tc>
          <w:tcPr>
            <w:tcW w:w="998" w:type="dxa"/>
            <w:tcBorders>
              <w:top w:val="nil"/>
              <w:left w:val="nil"/>
              <w:bottom w:val="nil"/>
              <w:right w:val="nil"/>
            </w:tcBorders>
            <w:shd w:val="clear" w:color="auto" w:fill="auto"/>
            <w:noWrap/>
            <w:vAlign w:val="bottom"/>
          </w:tcPr>
          <w:p w14:paraId="79FBB86A" w14:textId="474949D1"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0.034</w:t>
            </w:r>
          </w:p>
        </w:tc>
        <w:tc>
          <w:tcPr>
            <w:tcW w:w="1220" w:type="dxa"/>
            <w:tcBorders>
              <w:top w:val="nil"/>
              <w:left w:val="nil"/>
              <w:bottom w:val="nil"/>
              <w:right w:val="nil"/>
            </w:tcBorders>
            <w:shd w:val="clear" w:color="auto" w:fill="auto"/>
            <w:noWrap/>
            <w:vAlign w:val="bottom"/>
          </w:tcPr>
          <w:p w14:paraId="48DEAE6C" w14:textId="61A1B7E2"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0.290</w:t>
            </w:r>
          </w:p>
        </w:tc>
        <w:tc>
          <w:tcPr>
            <w:tcW w:w="1003" w:type="dxa"/>
            <w:tcBorders>
              <w:top w:val="nil"/>
              <w:left w:val="nil"/>
              <w:bottom w:val="nil"/>
              <w:right w:val="nil"/>
            </w:tcBorders>
            <w:shd w:val="clear" w:color="auto" w:fill="auto"/>
            <w:noWrap/>
            <w:vAlign w:val="bottom"/>
          </w:tcPr>
          <w:p w14:paraId="21D63F13" w14:textId="1418400E"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0.400</w:t>
            </w:r>
          </w:p>
        </w:tc>
        <w:tc>
          <w:tcPr>
            <w:tcW w:w="998" w:type="dxa"/>
            <w:tcBorders>
              <w:top w:val="nil"/>
              <w:left w:val="nil"/>
              <w:bottom w:val="nil"/>
              <w:right w:val="nil"/>
            </w:tcBorders>
            <w:shd w:val="clear" w:color="auto" w:fill="auto"/>
            <w:noWrap/>
            <w:vAlign w:val="bottom"/>
          </w:tcPr>
          <w:p w14:paraId="333E8D93" w14:textId="015E2298"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0.550</w:t>
            </w:r>
          </w:p>
        </w:tc>
      </w:tr>
      <w:tr w:rsidR="00750548" w:rsidRPr="00C82EE1" w14:paraId="038176F7"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3FFDF2FE"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ls2</w:t>
            </w:r>
          </w:p>
        </w:tc>
        <w:tc>
          <w:tcPr>
            <w:tcW w:w="756" w:type="dxa"/>
            <w:tcBorders>
              <w:top w:val="nil"/>
              <w:left w:val="nil"/>
              <w:bottom w:val="nil"/>
              <w:right w:val="nil"/>
            </w:tcBorders>
            <w:shd w:val="clear" w:color="auto" w:fill="auto"/>
            <w:noWrap/>
            <w:vAlign w:val="bottom"/>
            <w:hideMark/>
          </w:tcPr>
          <w:p w14:paraId="0C5FE1E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556A166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0.437</w:t>
            </w:r>
          </w:p>
        </w:tc>
        <w:tc>
          <w:tcPr>
            <w:tcW w:w="998" w:type="dxa"/>
            <w:tcBorders>
              <w:top w:val="nil"/>
              <w:left w:val="nil"/>
              <w:bottom w:val="nil"/>
              <w:right w:val="nil"/>
            </w:tcBorders>
            <w:shd w:val="clear" w:color="auto" w:fill="auto"/>
            <w:noWrap/>
            <w:vAlign w:val="bottom"/>
            <w:hideMark/>
          </w:tcPr>
          <w:p w14:paraId="61EA9C8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0.055</w:t>
            </w:r>
          </w:p>
        </w:tc>
        <w:tc>
          <w:tcPr>
            <w:tcW w:w="1220" w:type="dxa"/>
            <w:tcBorders>
              <w:top w:val="nil"/>
              <w:left w:val="nil"/>
              <w:bottom w:val="nil"/>
              <w:right w:val="nil"/>
            </w:tcBorders>
            <w:shd w:val="clear" w:color="auto" w:fill="auto"/>
            <w:noWrap/>
            <w:vAlign w:val="bottom"/>
            <w:hideMark/>
          </w:tcPr>
          <w:p w14:paraId="0083AD7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0.260</w:t>
            </w:r>
          </w:p>
        </w:tc>
        <w:tc>
          <w:tcPr>
            <w:tcW w:w="1003" w:type="dxa"/>
            <w:tcBorders>
              <w:top w:val="nil"/>
              <w:left w:val="nil"/>
              <w:bottom w:val="nil"/>
              <w:right w:val="nil"/>
            </w:tcBorders>
            <w:shd w:val="clear" w:color="auto" w:fill="auto"/>
            <w:noWrap/>
            <w:vAlign w:val="bottom"/>
            <w:hideMark/>
          </w:tcPr>
          <w:p w14:paraId="56A2F14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0.440</w:t>
            </w:r>
          </w:p>
        </w:tc>
        <w:tc>
          <w:tcPr>
            <w:tcW w:w="998" w:type="dxa"/>
            <w:tcBorders>
              <w:top w:val="nil"/>
              <w:left w:val="nil"/>
              <w:bottom w:val="nil"/>
              <w:right w:val="nil"/>
            </w:tcBorders>
            <w:shd w:val="clear" w:color="auto" w:fill="auto"/>
            <w:noWrap/>
            <w:vAlign w:val="bottom"/>
            <w:hideMark/>
          </w:tcPr>
          <w:p w14:paraId="440EB6A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0.600</w:t>
            </w:r>
          </w:p>
        </w:tc>
      </w:tr>
      <w:tr w:rsidR="00750548" w:rsidRPr="00C82EE1" w14:paraId="6247ABE9"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8BD9CDA"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vs1</w:t>
            </w:r>
          </w:p>
        </w:tc>
        <w:tc>
          <w:tcPr>
            <w:tcW w:w="756" w:type="dxa"/>
            <w:tcBorders>
              <w:top w:val="nil"/>
              <w:left w:val="nil"/>
              <w:bottom w:val="nil"/>
              <w:right w:val="nil"/>
            </w:tcBorders>
            <w:shd w:val="clear" w:color="auto" w:fill="auto"/>
            <w:noWrap/>
            <w:vAlign w:val="bottom"/>
            <w:hideMark/>
          </w:tcPr>
          <w:p w14:paraId="3D3716B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0570055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0.158</w:t>
            </w:r>
          </w:p>
        </w:tc>
        <w:tc>
          <w:tcPr>
            <w:tcW w:w="998" w:type="dxa"/>
            <w:tcBorders>
              <w:top w:val="nil"/>
              <w:left w:val="nil"/>
              <w:bottom w:val="nil"/>
              <w:right w:val="nil"/>
            </w:tcBorders>
            <w:shd w:val="clear" w:color="auto" w:fill="auto"/>
            <w:noWrap/>
            <w:vAlign w:val="bottom"/>
            <w:hideMark/>
          </w:tcPr>
          <w:p w14:paraId="3589825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0.029</w:t>
            </w:r>
          </w:p>
        </w:tc>
        <w:tc>
          <w:tcPr>
            <w:tcW w:w="1220" w:type="dxa"/>
            <w:tcBorders>
              <w:top w:val="nil"/>
              <w:left w:val="nil"/>
              <w:bottom w:val="nil"/>
              <w:right w:val="nil"/>
            </w:tcBorders>
            <w:shd w:val="clear" w:color="auto" w:fill="auto"/>
            <w:noWrap/>
            <w:vAlign w:val="bottom"/>
            <w:hideMark/>
          </w:tcPr>
          <w:p w14:paraId="7759419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0.010</w:t>
            </w:r>
          </w:p>
        </w:tc>
        <w:tc>
          <w:tcPr>
            <w:tcW w:w="1003" w:type="dxa"/>
            <w:tcBorders>
              <w:top w:val="nil"/>
              <w:left w:val="nil"/>
              <w:bottom w:val="nil"/>
              <w:right w:val="nil"/>
            </w:tcBorders>
            <w:shd w:val="clear" w:color="auto" w:fill="auto"/>
            <w:noWrap/>
            <w:vAlign w:val="bottom"/>
            <w:hideMark/>
          </w:tcPr>
          <w:p w14:paraId="3636AB8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0.160</w:t>
            </w:r>
          </w:p>
        </w:tc>
        <w:tc>
          <w:tcPr>
            <w:tcW w:w="998" w:type="dxa"/>
            <w:tcBorders>
              <w:top w:val="nil"/>
              <w:left w:val="nil"/>
              <w:bottom w:val="nil"/>
              <w:right w:val="nil"/>
            </w:tcBorders>
            <w:shd w:val="clear" w:color="auto" w:fill="auto"/>
            <w:noWrap/>
            <w:vAlign w:val="bottom"/>
            <w:hideMark/>
          </w:tcPr>
          <w:p w14:paraId="6A5F3A2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0.280</w:t>
            </w:r>
          </w:p>
        </w:tc>
      </w:tr>
      <w:tr w:rsidR="00750548" w:rsidRPr="00C82EE1" w14:paraId="5FBDF1F6"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729AE222"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vs2</w:t>
            </w:r>
          </w:p>
        </w:tc>
        <w:tc>
          <w:tcPr>
            <w:tcW w:w="756" w:type="dxa"/>
            <w:tcBorders>
              <w:top w:val="nil"/>
              <w:left w:val="nil"/>
              <w:bottom w:val="nil"/>
              <w:right w:val="nil"/>
            </w:tcBorders>
            <w:shd w:val="clear" w:color="auto" w:fill="auto"/>
            <w:noWrap/>
            <w:vAlign w:val="bottom"/>
            <w:hideMark/>
          </w:tcPr>
          <w:p w14:paraId="3AE2200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0FF4433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18.251</w:t>
            </w:r>
          </w:p>
        </w:tc>
        <w:tc>
          <w:tcPr>
            <w:tcW w:w="998" w:type="dxa"/>
            <w:tcBorders>
              <w:top w:val="nil"/>
              <w:left w:val="nil"/>
              <w:bottom w:val="nil"/>
              <w:right w:val="nil"/>
            </w:tcBorders>
            <w:shd w:val="clear" w:color="auto" w:fill="auto"/>
            <w:noWrap/>
            <w:vAlign w:val="bottom"/>
            <w:hideMark/>
          </w:tcPr>
          <w:p w14:paraId="28C2E96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8.925</w:t>
            </w:r>
          </w:p>
        </w:tc>
        <w:tc>
          <w:tcPr>
            <w:tcW w:w="1220" w:type="dxa"/>
            <w:tcBorders>
              <w:top w:val="nil"/>
              <w:left w:val="nil"/>
              <w:bottom w:val="nil"/>
              <w:right w:val="nil"/>
            </w:tcBorders>
            <w:shd w:val="clear" w:color="auto" w:fill="auto"/>
            <w:noWrap/>
            <w:vAlign w:val="bottom"/>
            <w:hideMark/>
          </w:tcPr>
          <w:p w14:paraId="587FC64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0.500</w:t>
            </w:r>
          </w:p>
        </w:tc>
        <w:tc>
          <w:tcPr>
            <w:tcW w:w="1003" w:type="dxa"/>
            <w:tcBorders>
              <w:top w:val="nil"/>
              <w:left w:val="nil"/>
              <w:bottom w:val="nil"/>
              <w:right w:val="nil"/>
            </w:tcBorders>
            <w:shd w:val="clear" w:color="auto" w:fill="auto"/>
            <w:noWrap/>
            <w:vAlign w:val="bottom"/>
            <w:hideMark/>
          </w:tcPr>
          <w:p w14:paraId="38E6EA7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17.045</w:t>
            </w:r>
          </w:p>
        </w:tc>
        <w:tc>
          <w:tcPr>
            <w:tcW w:w="998" w:type="dxa"/>
            <w:tcBorders>
              <w:top w:val="nil"/>
              <w:left w:val="nil"/>
              <w:bottom w:val="nil"/>
              <w:right w:val="nil"/>
            </w:tcBorders>
            <w:shd w:val="clear" w:color="auto" w:fill="auto"/>
            <w:noWrap/>
            <w:vAlign w:val="bottom"/>
            <w:hideMark/>
          </w:tcPr>
          <w:p w14:paraId="0DBE7C9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53.700</w:t>
            </w:r>
          </w:p>
        </w:tc>
      </w:tr>
      <w:tr w:rsidR="00750548" w:rsidRPr="00C82EE1" w14:paraId="4E5A3F92"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4F84D0D"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cvs1</w:t>
            </w:r>
          </w:p>
        </w:tc>
        <w:tc>
          <w:tcPr>
            <w:tcW w:w="756" w:type="dxa"/>
            <w:tcBorders>
              <w:top w:val="nil"/>
              <w:left w:val="nil"/>
              <w:bottom w:val="nil"/>
              <w:right w:val="nil"/>
            </w:tcBorders>
            <w:shd w:val="clear" w:color="auto" w:fill="auto"/>
            <w:noWrap/>
            <w:vAlign w:val="bottom"/>
            <w:hideMark/>
          </w:tcPr>
          <w:p w14:paraId="14B0A7A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581D0A9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2.925</w:t>
            </w:r>
          </w:p>
        </w:tc>
        <w:tc>
          <w:tcPr>
            <w:tcW w:w="998" w:type="dxa"/>
            <w:tcBorders>
              <w:top w:val="nil"/>
              <w:left w:val="nil"/>
              <w:bottom w:val="nil"/>
              <w:right w:val="nil"/>
            </w:tcBorders>
            <w:shd w:val="clear" w:color="auto" w:fill="auto"/>
            <w:noWrap/>
            <w:vAlign w:val="bottom"/>
            <w:hideMark/>
          </w:tcPr>
          <w:p w14:paraId="6D2BF08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0.756</w:t>
            </w:r>
          </w:p>
        </w:tc>
        <w:tc>
          <w:tcPr>
            <w:tcW w:w="1220" w:type="dxa"/>
            <w:tcBorders>
              <w:top w:val="nil"/>
              <w:left w:val="nil"/>
              <w:bottom w:val="nil"/>
              <w:right w:val="nil"/>
            </w:tcBorders>
            <w:shd w:val="clear" w:color="auto" w:fill="auto"/>
            <w:noWrap/>
            <w:vAlign w:val="bottom"/>
            <w:hideMark/>
          </w:tcPr>
          <w:p w14:paraId="49B8968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0.500</w:t>
            </w:r>
          </w:p>
        </w:tc>
        <w:tc>
          <w:tcPr>
            <w:tcW w:w="1003" w:type="dxa"/>
            <w:tcBorders>
              <w:top w:val="nil"/>
              <w:left w:val="nil"/>
              <w:bottom w:val="nil"/>
              <w:right w:val="nil"/>
            </w:tcBorders>
            <w:shd w:val="clear" w:color="auto" w:fill="auto"/>
            <w:noWrap/>
            <w:vAlign w:val="bottom"/>
            <w:hideMark/>
          </w:tcPr>
          <w:p w14:paraId="4972DD1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2.920</w:t>
            </w:r>
          </w:p>
        </w:tc>
        <w:tc>
          <w:tcPr>
            <w:tcW w:w="998" w:type="dxa"/>
            <w:tcBorders>
              <w:top w:val="nil"/>
              <w:left w:val="nil"/>
              <w:bottom w:val="nil"/>
              <w:right w:val="nil"/>
            </w:tcBorders>
            <w:shd w:val="clear" w:color="auto" w:fill="auto"/>
            <w:noWrap/>
            <w:vAlign w:val="bottom"/>
            <w:hideMark/>
          </w:tcPr>
          <w:p w14:paraId="5699338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5.180</w:t>
            </w:r>
          </w:p>
        </w:tc>
      </w:tr>
      <w:tr w:rsidR="00750548" w:rsidRPr="00C82EE1" w14:paraId="4173D98A"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77459E1A" w14:textId="519AA393" w:rsidR="00750548" w:rsidRPr="00750548" w:rsidRDefault="00750548" w:rsidP="00750548">
            <w:pPr>
              <w:spacing w:after="0" w:line="240" w:lineRule="auto"/>
              <w:jc w:val="both"/>
              <w:rPr>
                <w:rFonts w:ascii="Times New Roman" w:eastAsia="Times New Roman" w:hAnsi="Times New Roman" w:cs="Times New Roman"/>
                <w:b/>
                <w:i/>
                <w:iCs/>
                <w:color w:val="000000"/>
                <w:sz w:val="24"/>
                <w:szCs w:val="24"/>
              </w:rPr>
            </w:pPr>
            <w:r w:rsidRPr="00750548">
              <w:rPr>
                <w:rFonts w:ascii="Times New Roman" w:eastAsia="Times New Roman" w:hAnsi="Times New Roman" w:cs="Times New Roman"/>
                <w:b/>
                <w:i/>
                <w:iCs/>
                <w:color w:val="000000"/>
                <w:sz w:val="24"/>
                <w:szCs w:val="24"/>
              </w:rPr>
              <w:t>Diversity</w:t>
            </w:r>
          </w:p>
        </w:tc>
        <w:tc>
          <w:tcPr>
            <w:tcW w:w="756" w:type="dxa"/>
            <w:tcBorders>
              <w:top w:val="nil"/>
              <w:left w:val="nil"/>
              <w:bottom w:val="nil"/>
              <w:right w:val="nil"/>
            </w:tcBorders>
            <w:shd w:val="clear" w:color="auto" w:fill="auto"/>
            <w:noWrap/>
            <w:vAlign w:val="bottom"/>
            <w:hideMark/>
          </w:tcPr>
          <w:p w14:paraId="44CF3206" w14:textId="1877FBB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1220" w:type="dxa"/>
            <w:tcBorders>
              <w:top w:val="nil"/>
              <w:left w:val="nil"/>
              <w:bottom w:val="nil"/>
              <w:right w:val="nil"/>
            </w:tcBorders>
            <w:shd w:val="clear" w:color="auto" w:fill="auto"/>
            <w:noWrap/>
            <w:vAlign w:val="bottom"/>
            <w:hideMark/>
          </w:tcPr>
          <w:p w14:paraId="5BBEDD48" w14:textId="5B9BEDC8"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998" w:type="dxa"/>
            <w:tcBorders>
              <w:top w:val="nil"/>
              <w:left w:val="nil"/>
              <w:bottom w:val="nil"/>
              <w:right w:val="nil"/>
            </w:tcBorders>
            <w:shd w:val="clear" w:color="auto" w:fill="auto"/>
            <w:noWrap/>
            <w:vAlign w:val="bottom"/>
            <w:hideMark/>
          </w:tcPr>
          <w:p w14:paraId="443BE979" w14:textId="285BF31E"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1220" w:type="dxa"/>
            <w:tcBorders>
              <w:top w:val="nil"/>
              <w:left w:val="nil"/>
              <w:bottom w:val="nil"/>
              <w:right w:val="nil"/>
            </w:tcBorders>
            <w:shd w:val="clear" w:color="auto" w:fill="auto"/>
            <w:noWrap/>
            <w:vAlign w:val="bottom"/>
            <w:hideMark/>
          </w:tcPr>
          <w:p w14:paraId="4978AA63" w14:textId="62C00B99"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1003" w:type="dxa"/>
            <w:tcBorders>
              <w:top w:val="nil"/>
              <w:left w:val="nil"/>
              <w:bottom w:val="nil"/>
              <w:right w:val="nil"/>
            </w:tcBorders>
            <w:shd w:val="clear" w:color="auto" w:fill="auto"/>
            <w:noWrap/>
            <w:vAlign w:val="bottom"/>
            <w:hideMark/>
          </w:tcPr>
          <w:p w14:paraId="352D733A" w14:textId="5EF0D67F"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998" w:type="dxa"/>
            <w:tcBorders>
              <w:top w:val="nil"/>
              <w:left w:val="nil"/>
              <w:bottom w:val="nil"/>
              <w:right w:val="nil"/>
            </w:tcBorders>
            <w:shd w:val="clear" w:color="auto" w:fill="auto"/>
            <w:noWrap/>
            <w:vAlign w:val="bottom"/>
            <w:hideMark/>
          </w:tcPr>
          <w:p w14:paraId="2BAA5B0D" w14:textId="374D1232"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r>
      <w:tr w:rsidR="00750548" w:rsidRPr="00C82EE1" w14:paraId="3960670C" w14:textId="77777777" w:rsidTr="00750548">
        <w:trPr>
          <w:trHeight w:val="300"/>
          <w:jc w:val="center"/>
        </w:trPr>
        <w:tc>
          <w:tcPr>
            <w:tcW w:w="3162" w:type="dxa"/>
            <w:tcBorders>
              <w:top w:val="nil"/>
              <w:left w:val="nil"/>
              <w:bottom w:val="nil"/>
              <w:right w:val="nil"/>
            </w:tcBorders>
            <w:shd w:val="clear" w:color="auto" w:fill="auto"/>
            <w:noWrap/>
            <w:vAlign w:val="bottom"/>
          </w:tcPr>
          <w:p w14:paraId="46794443" w14:textId="352445C1"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ndw</w:t>
            </w:r>
            <w:proofErr w:type="spellEnd"/>
          </w:p>
        </w:tc>
        <w:tc>
          <w:tcPr>
            <w:tcW w:w="756" w:type="dxa"/>
            <w:tcBorders>
              <w:top w:val="nil"/>
              <w:left w:val="nil"/>
              <w:bottom w:val="nil"/>
              <w:right w:val="nil"/>
            </w:tcBorders>
            <w:shd w:val="clear" w:color="auto" w:fill="auto"/>
            <w:noWrap/>
            <w:vAlign w:val="bottom"/>
          </w:tcPr>
          <w:p w14:paraId="353C8CA4" w14:textId="4B94DAA0"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tcPr>
          <w:p w14:paraId="6EEC424C" w14:textId="2893F9FA"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1,175</w:t>
            </w:r>
          </w:p>
        </w:tc>
        <w:tc>
          <w:tcPr>
            <w:tcW w:w="998" w:type="dxa"/>
            <w:tcBorders>
              <w:top w:val="nil"/>
              <w:left w:val="nil"/>
              <w:bottom w:val="nil"/>
              <w:right w:val="nil"/>
            </w:tcBorders>
            <w:shd w:val="clear" w:color="auto" w:fill="auto"/>
            <w:noWrap/>
            <w:vAlign w:val="bottom"/>
          </w:tcPr>
          <w:p w14:paraId="78B84BD3" w14:textId="4FE9BB18"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408</w:t>
            </w:r>
          </w:p>
        </w:tc>
        <w:tc>
          <w:tcPr>
            <w:tcW w:w="1220" w:type="dxa"/>
            <w:tcBorders>
              <w:top w:val="nil"/>
              <w:left w:val="nil"/>
              <w:bottom w:val="nil"/>
              <w:right w:val="nil"/>
            </w:tcBorders>
            <w:shd w:val="clear" w:color="auto" w:fill="auto"/>
            <w:noWrap/>
            <w:vAlign w:val="bottom"/>
          </w:tcPr>
          <w:p w14:paraId="5141E559" w14:textId="54BB684D"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87</w:t>
            </w:r>
          </w:p>
        </w:tc>
        <w:tc>
          <w:tcPr>
            <w:tcW w:w="1003" w:type="dxa"/>
            <w:tcBorders>
              <w:top w:val="nil"/>
              <w:left w:val="nil"/>
              <w:bottom w:val="nil"/>
              <w:right w:val="nil"/>
            </w:tcBorders>
            <w:shd w:val="clear" w:color="auto" w:fill="auto"/>
            <w:noWrap/>
            <w:vAlign w:val="bottom"/>
          </w:tcPr>
          <w:p w14:paraId="68085F5F" w14:textId="349D30FC"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1,149</w:t>
            </w:r>
          </w:p>
        </w:tc>
        <w:tc>
          <w:tcPr>
            <w:tcW w:w="998" w:type="dxa"/>
            <w:tcBorders>
              <w:top w:val="nil"/>
              <w:left w:val="nil"/>
              <w:bottom w:val="nil"/>
              <w:right w:val="nil"/>
            </w:tcBorders>
            <w:shd w:val="clear" w:color="auto" w:fill="auto"/>
            <w:noWrap/>
            <w:vAlign w:val="bottom"/>
          </w:tcPr>
          <w:p w14:paraId="243FA9C3" w14:textId="0D6CF350"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2,863</w:t>
            </w:r>
          </w:p>
        </w:tc>
      </w:tr>
      <w:tr w:rsidR="00750548" w:rsidRPr="00C82EE1" w14:paraId="0C6D1D73"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46D587B"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ndwz</w:t>
            </w:r>
            <w:proofErr w:type="spellEnd"/>
          </w:p>
        </w:tc>
        <w:tc>
          <w:tcPr>
            <w:tcW w:w="756" w:type="dxa"/>
            <w:tcBorders>
              <w:top w:val="nil"/>
              <w:left w:val="nil"/>
              <w:bottom w:val="nil"/>
              <w:right w:val="nil"/>
            </w:tcBorders>
            <w:shd w:val="clear" w:color="auto" w:fill="auto"/>
            <w:noWrap/>
            <w:vAlign w:val="bottom"/>
            <w:hideMark/>
          </w:tcPr>
          <w:p w14:paraId="41E815E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F9C8FE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36.360</w:t>
            </w:r>
          </w:p>
        </w:tc>
        <w:tc>
          <w:tcPr>
            <w:tcW w:w="998" w:type="dxa"/>
            <w:tcBorders>
              <w:top w:val="nil"/>
              <w:left w:val="nil"/>
              <w:bottom w:val="nil"/>
              <w:right w:val="nil"/>
            </w:tcBorders>
            <w:shd w:val="clear" w:color="auto" w:fill="auto"/>
            <w:noWrap/>
            <w:vAlign w:val="bottom"/>
            <w:hideMark/>
          </w:tcPr>
          <w:p w14:paraId="344AC84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3.670</w:t>
            </w:r>
          </w:p>
        </w:tc>
        <w:tc>
          <w:tcPr>
            <w:tcW w:w="1220" w:type="dxa"/>
            <w:tcBorders>
              <w:top w:val="nil"/>
              <w:left w:val="nil"/>
              <w:bottom w:val="nil"/>
              <w:right w:val="nil"/>
            </w:tcBorders>
            <w:shd w:val="clear" w:color="auto" w:fill="auto"/>
            <w:noWrap/>
            <w:vAlign w:val="bottom"/>
            <w:hideMark/>
          </w:tcPr>
          <w:p w14:paraId="33F2EAD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17</w:t>
            </w:r>
          </w:p>
        </w:tc>
        <w:tc>
          <w:tcPr>
            <w:tcW w:w="1003" w:type="dxa"/>
            <w:tcBorders>
              <w:top w:val="nil"/>
              <w:left w:val="nil"/>
              <w:bottom w:val="nil"/>
              <w:right w:val="nil"/>
            </w:tcBorders>
            <w:shd w:val="clear" w:color="auto" w:fill="auto"/>
            <w:noWrap/>
            <w:vAlign w:val="bottom"/>
            <w:hideMark/>
          </w:tcPr>
          <w:p w14:paraId="0928352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37</w:t>
            </w:r>
          </w:p>
        </w:tc>
        <w:tc>
          <w:tcPr>
            <w:tcW w:w="998" w:type="dxa"/>
            <w:tcBorders>
              <w:top w:val="nil"/>
              <w:left w:val="nil"/>
              <w:bottom w:val="nil"/>
              <w:right w:val="nil"/>
            </w:tcBorders>
            <w:shd w:val="clear" w:color="auto" w:fill="auto"/>
            <w:noWrap/>
            <w:vAlign w:val="bottom"/>
            <w:hideMark/>
          </w:tcPr>
          <w:p w14:paraId="668B634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45</w:t>
            </w:r>
          </w:p>
        </w:tc>
      </w:tr>
      <w:tr w:rsidR="00750548" w:rsidRPr="00C82EE1" w14:paraId="548D34D0"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510F7927"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ndwerz</w:t>
            </w:r>
            <w:proofErr w:type="spellEnd"/>
          </w:p>
        </w:tc>
        <w:tc>
          <w:tcPr>
            <w:tcW w:w="756" w:type="dxa"/>
            <w:tcBorders>
              <w:top w:val="nil"/>
              <w:left w:val="nil"/>
              <w:bottom w:val="nil"/>
              <w:right w:val="nil"/>
            </w:tcBorders>
            <w:shd w:val="clear" w:color="auto" w:fill="auto"/>
            <w:noWrap/>
            <w:vAlign w:val="bottom"/>
            <w:hideMark/>
          </w:tcPr>
          <w:p w14:paraId="59A7A5B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0F8DEB9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40.222</w:t>
            </w:r>
          </w:p>
        </w:tc>
        <w:tc>
          <w:tcPr>
            <w:tcW w:w="998" w:type="dxa"/>
            <w:tcBorders>
              <w:top w:val="nil"/>
              <w:left w:val="nil"/>
              <w:bottom w:val="nil"/>
              <w:right w:val="nil"/>
            </w:tcBorders>
            <w:shd w:val="clear" w:color="auto" w:fill="auto"/>
            <w:noWrap/>
            <w:vAlign w:val="bottom"/>
            <w:hideMark/>
          </w:tcPr>
          <w:p w14:paraId="52941F4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1.331</w:t>
            </w:r>
          </w:p>
        </w:tc>
        <w:tc>
          <w:tcPr>
            <w:tcW w:w="1220" w:type="dxa"/>
            <w:tcBorders>
              <w:top w:val="nil"/>
              <w:left w:val="nil"/>
              <w:bottom w:val="nil"/>
              <w:right w:val="nil"/>
            </w:tcBorders>
            <w:shd w:val="clear" w:color="auto" w:fill="auto"/>
            <w:noWrap/>
            <w:vAlign w:val="bottom"/>
            <w:hideMark/>
          </w:tcPr>
          <w:p w14:paraId="1781BB3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34.900</w:t>
            </w:r>
          </w:p>
        </w:tc>
        <w:tc>
          <w:tcPr>
            <w:tcW w:w="1003" w:type="dxa"/>
            <w:tcBorders>
              <w:top w:val="nil"/>
              <w:left w:val="nil"/>
              <w:bottom w:val="nil"/>
              <w:right w:val="nil"/>
            </w:tcBorders>
            <w:shd w:val="clear" w:color="auto" w:fill="auto"/>
            <w:noWrap/>
            <w:vAlign w:val="bottom"/>
            <w:hideMark/>
          </w:tcPr>
          <w:p w14:paraId="66F7280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40.300</w:t>
            </w:r>
          </w:p>
        </w:tc>
        <w:tc>
          <w:tcPr>
            <w:tcW w:w="998" w:type="dxa"/>
            <w:tcBorders>
              <w:top w:val="nil"/>
              <w:left w:val="nil"/>
              <w:bottom w:val="nil"/>
              <w:right w:val="nil"/>
            </w:tcBorders>
            <w:shd w:val="clear" w:color="auto" w:fill="auto"/>
            <w:noWrap/>
            <w:vAlign w:val="bottom"/>
            <w:hideMark/>
          </w:tcPr>
          <w:p w14:paraId="32C8987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43.600</w:t>
            </w:r>
          </w:p>
        </w:tc>
      </w:tr>
      <w:tr w:rsidR="00750548" w:rsidRPr="00C82EE1" w14:paraId="7C23ED47"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483002E1"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ndwesz</w:t>
            </w:r>
            <w:proofErr w:type="spellEnd"/>
          </w:p>
        </w:tc>
        <w:tc>
          <w:tcPr>
            <w:tcW w:w="756" w:type="dxa"/>
            <w:tcBorders>
              <w:top w:val="nil"/>
              <w:left w:val="nil"/>
              <w:bottom w:val="nil"/>
              <w:right w:val="nil"/>
            </w:tcBorders>
            <w:shd w:val="clear" w:color="auto" w:fill="auto"/>
            <w:noWrap/>
            <w:vAlign w:val="bottom"/>
            <w:hideMark/>
          </w:tcPr>
          <w:p w14:paraId="74EB3A1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F217C9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37.332</w:t>
            </w:r>
          </w:p>
        </w:tc>
        <w:tc>
          <w:tcPr>
            <w:tcW w:w="998" w:type="dxa"/>
            <w:tcBorders>
              <w:top w:val="nil"/>
              <w:left w:val="nil"/>
              <w:bottom w:val="nil"/>
              <w:right w:val="nil"/>
            </w:tcBorders>
            <w:shd w:val="clear" w:color="auto" w:fill="auto"/>
            <w:noWrap/>
            <w:vAlign w:val="bottom"/>
            <w:hideMark/>
          </w:tcPr>
          <w:p w14:paraId="42B4C7A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1.530</w:t>
            </w:r>
          </w:p>
        </w:tc>
        <w:tc>
          <w:tcPr>
            <w:tcW w:w="1220" w:type="dxa"/>
            <w:tcBorders>
              <w:top w:val="nil"/>
              <w:left w:val="nil"/>
              <w:bottom w:val="nil"/>
              <w:right w:val="nil"/>
            </w:tcBorders>
            <w:shd w:val="clear" w:color="auto" w:fill="auto"/>
            <w:noWrap/>
            <w:vAlign w:val="bottom"/>
            <w:hideMark/>
          </w:tcPr>
          <w:p w14:paraId="2C5B363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31.300</w:t>
            </w:r>
          </w:p>
        </w:tc>
        <w:tc>
          <w:tcPr>
            <w:tcW w:w="1003" w:type="dxa"/>
            <w:tcBorders>
              <w:top w:val="nil"/>
              <w:left w:val="nil"/>
              <w:bottom w:val="nil"/>
              <w:right w:val="nil"/>
            </w:tcBorders>
            <w:shd w:val="clear" w:color="auto" w:fill="auto"/>
            <w:noWrap/>
            <w:vAlign w:val="bottom"/>
            <w:hideMark/>
          </w:tcPr>
          <w:p w14:paraId="423AD35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37.300</w:t>
            </w:r>
          </w:p>
        </w:tc>
        <w:tc>
          <w:tcPr>
            <w:tcW w:w="998" w:type="dxa"/>
            <w:tcBorders>
              <w:top w:val="nil"/>
              <w:left w:val="nil"/>
              <w:bottom w:val="nil"/>
              <w:right w:val="nil"/>
            </w:tcBorders>
            <w:shd w:val="clear" w:color="auto" w:fill="auto"/>
            <w:noWrap/>
            <w:vAlign w:val="bottom"/>
            <w:hideMark/>
          </w:tcPr>
          <w:p w14:paraId="65C971E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42.000</w:t>
            </w:r>
          </w:p>
        </w:tc>
      </w:tr>
      <w:tr w:rsidR="00750548" w:rsidRPr="00C82EE1" w14:paraId="4CB6A4CD"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0952C3BE" w14:textId="1E2BB5F5"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i/>
                <w:iCs/>
                <w:color w:val="000000"/>
                <w:sz w:val="24"/>
                <w:szCs w:val="24"/>
              </w:rPr>
              <w:t>ttr</w:t>
            </w:r>
            <w:proofErr w:type="spellEnd"/>
          </w:p>
        </w:tc>
        <w:tc>
          <w:tcPr>
            <w:tcW w:w="756" w:type="dxa"/>
            <w:tcBorders>
              <w:top w:val="nil"/>
              <w:left w:val="nil"/>
              <w:bottom w:val="nil"/>
              <w:right w:val="nil"/>
            </w:tcBorders>
            <w:shd w:val="clear" w:color="auto" w:fill="auto"/>
            <w:noWrap/>
            <w:vAlign w:val="bottom"/>
            <w:hideMark/>
          </w:tcPr>
          <w:p w14:paraId="472C08B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F584E1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0.195</w:t>
            </w:r>
          </w:p>
        </w:tc>
        <w:tc>
          <w:tcPr>
            <w:tcW w:w="998" w:type="dxa"/>
            <w:tcBorders>
              <w:top w:val="nil"/>
              <w:left w:val="nil"/>
              <w:bottom w:val="nil"/>
              <w:right w:val="nil"/>
            </w:tcBorders>
            <w:shd w:val="clear" w:color="auto" w:fill="auto"/>
            <w:noWrap/>
            <w:vAlign w:val="bottom"/>
            <w:hideMark/>
          </w:tcPr>
          <w:p w14:paraId="79B9C0B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0.051</w:t>
            </w:r>
          </w:p>
        </w:tc>
        <w:tc>
          <w:tcPr>
            <w:tcW w:w="1220" w:type="dxa"/>
            <w:tcBorders>
              <w:top w:val="nil"/>
              <w:left w:val="nil"/>
              <w:bottom w:val="nil"/>
              <w:right w:val="nil"/>
            </w:tcBorders>
            <w:shd w:val="clear" w:color="auto" w:fill="auto"/>
            <w:noWrap/>
            <w:vAlign w:val="bottom"/>
            <w:hideMark/>
          </w:tcPr>
          <w:p w14:paraId="66233B5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0.010</w:t>
            </w:r>
          </w:p>
        </w:tc>
        <w:tc>
          <w:tcPr>
            <w:tcW w:w="1003" w:type="dxa"/>
            <w:tcBorders>
              <w:top w:val="nil"/>
              <w:left w:val="nil"/>
              <w:bottom w:val="nil"/>
              <w:right w:val="nil"/>
            </w:tcBorders>
            <w:shd w:val="clear" w:color="auto" w:fill="auto"/>
            <w:noWrap/>
            <w:vAlign w:val="bottom"/>
            <w:hideMark/>
          </w:tcPr>
          <w:p w14:paraId="70A96DF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0.190</w:t>
            </w:r>
          </w:p>
        </w:tc>
        <w:tc>
          <w:tcPr>
            <w:tcW w:w="998" w:type="dxa"/>
            <w:tcBorders>
              <w:top w:val="nil"/>
              <w:left w:val="nil"/>
              <w:bottom w:val="nil"/>
              <w:right w:val="nil"/>
            </w:tcBorders>
            <w:shd w:val="clear" w:color="auto" w:fill="auto"/>
            <w:noWrap/>
            <w:vAlign w:val="bottom"/>
            <w:hideMark/>
          </w:tcPr>
          <w:p w14:paraId="2EECC7B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0.490</w:t>
            </w:r>
          </w:p>
        </w:tc>
      </w:tr>
      <w:tr w:rsidR="00750548" w:rsidRPr="00C82EE1" w14:paraId="5AE77686"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5DD26D7"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msttr</w:t>
            </w:r>
            <w:proofErr w:type="spellEnd"/>
          </w:p>
        </w:tc>
        <w:tc>
          <w:tcPr>
            <w:tcW w:w="756" w:type="dxa"/>
            <w:tcBorders>
              <w:top w:val="nil"/>
              <w:left w:val="nil"/>
              <w:bottom w:val="nil"/>
              <w:right w:val="nil"/>
            </w:tcBorders>
            <w:shd w:val="clear" w:color="auto" w:fill="auto"/>
            <w:noWrap/>
            <w:vAlign w:val="bottom"/>
            <w:hideMark/>
          </w:tcPr>
          <w:p w14:paraId="6027BBD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6F5D96E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0.746</w:t>
            </w:r>
          </w:p>
        </w:tc>
        <w:tc>
          <w:tcPr>
            <w:tcW w:w="998" w:type="dxa"/>
            <w:tcBorders>
              <w:top w:val="nil"/>
              <w:left w:val="nil"/>
              <w:bottom w:val="nil"/>
              <w:right w:val="nil"/>
            </w:tcBorders>
            <w:shd w:val="clear" w:color="auto" w:fill="auto"/>
            <w:noWrap/>
            <w:vAlign w:val="bottom"/>
            <w:hideMark/>
          </w:tcPr>
          <w:p w14:paraId="7473AC9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0.021</w:t>
            </w:r>
          </w:p>
        </w:tc>
        <w:tc>
          <w:tcPr>
            <w:tcW w:w="1220" w:type="dxa"/>
            <w:tcBorders>
              <w:top w:val="nil"/>
              <w:left w:val="nil"/>
              <w:bottom w:val="nil"/>
              <w:right w:val="nil"/>
            </w:tcBorders>
            <w:shd w:val="clear" w:color="auto" w:fill="auto"/>
            <w:noWrap/>
            <w:vAlign w:val="bottom"/>
            <w:hideMark/>
          </w:tcPr>
          <w:p w14:paraId="14B0A9A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0.650</w:t>
            </w:r>
          </w:p>
        </w:tc>
        <w:tc>
          <w:tcPr>
            <w:tcW w:w="1003" w:type="dxa"/>
            <w:tcBorders>
              <w:top w:val="nil"/>
              <w:left w:val="nil"/>
              <w:bottom w:val="nil"/>
              <w:right w:val="nil"/>
            </w:tcBorders>
            <w:shd w:val="clear" w:color="auto" w:fill="auto"/>
            <w:noWrap/>
            <w:vAlign w:val="bottom"/>
            <w:hideMark/>
          </w:tcPr>
          <w:p w14:paraId="5869E15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0.750</w:t>
            </w:r>
          </w:p>
        </w:tc>
        <w:tc>
          <w:tcPr>
            <w:tcW w:w="998" w:type="dxa"/>
            <w:tcBorders>
              <w:top w:val="nil"/>
              <w:left w:val="nil"/>
              <w:bottom w:val="nil"/>
              <w:right w:val="nil"/>
            </w:tcBorders>
            <w:shd w:val="clear" w:color="auto" w:fill="auto"/>
            <w:noWrap/>
            <w:vAlign w:val="bottom"/>
            <w:hideMark/>
          </w:tcPr>
          <w:p w14:paraId="70F750E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0.800</w:t>
            </w:r>
          </w:p>
        </w:tc>
      </w:tr>
      <w:tr w:rsidR="00750548" w:rsidRPr="00C82EE1" w14:paraId="12D6AD57"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7CBACCF7"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cttr</w:t>
            </w:r>
            <w:proofErr w:type="spellEnd"/>
          </w:p>
        </w:tc>
        <w:tc>
          <w:tcPr>
            <w:tcW w:w="756" w:type="dxa"/>
            <w:tcBorders>
              <w:top w:val="nil"/>
              <w:left w:val="nil"/>
              <w:bottom w:val="nil"/>
              <w:right w:val="nil"/>
            </w:tcBorders>
            <w:shd w:val="clear" w:color="auto" w:fill="auto"/>
            <w:noWrap/>
            <w:vAlign w:val="bottom"/>
            <w:hideMark/>
          </w:tcPr>
          <w:p w14:paraId="25561B3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35ECDA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10.274</w:t>
            </w:r>
          </w:p>
        </w:tc>
        <w:tc>
          <w:tcPr>
            <w:tcW w:w="998" w:type="dxa"/>
            <w:tcBorders>
              <w:top w:val="nil"/>
              <w:left w:val="nil"/>
              <w:bottom w:val="nil"/>
              <w:right w:val="nil"/>
            </w:tcBorders>
            <w:shd w:val="clear" w:color="auto" w:fill="auto"/>
            <w:noWrap/>
            <w:vAlign w:val="bottom"/>
            <w:hideMark/>
          </w:tcPr>
          <w:p w14:paraId="1704036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1.225</w:t>
            </w:r>
          </w:p>
        </w:tc>
        <w:tc>
          <w:tcPr>
            <w:tcW w:w="1220" w:type="dxa"/>
            <w:tcBorders>
              <w:top w:val="nil"/>
              <w:left w:val="nil"/>
              <w:bottom w:val="nil"/>
              <w:right w:val="nil"/>
            </w:tcBorders>
            <w:shd w:val="clear" w:color="auto" w:fill="auto"/>
            <w:noWrap/>
            <w:vAlign w:val="bottom"/>
            <w:hideMark/>
          </w:tcPr>
          <w:p w14:paraId="1003D6A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2.280</w:t>
            </w:r>
          </w:p>
        </w:tc>
        <w:tc>
          <w:tcPr>
            <w:tcW w:w="1003" w:type="dxa"/>
            <w:tcBorders>
              <w:top w:val="nil"/>
              <w:left w:val="nil"/>
              <w:bottom w:val="nil"/>
              <w:right w:val="nil"/>
            </w:tcBorders>
            <w:shd w:val="clear" w:color="auto" w:fill="auto"/>
            <w:noWrap/>
            <w:vAlign w:val="bottom"/>
            <w:hideMark/>
          </w:tcPr>
          <w:p w14:paraId="7E4E494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10.330</w:t>
            </w:r>
          </w:p>
        </w:tc>
        <w:tc>
          <w:tcPr>
            <w:tcW w:w="998" w:type="dxa"/>
            <w:tcBorders>
              <w:top w:val="nil"/>
              <w:left w:val="nil"/>
              <w:bottom w:val="nil"/>
              <w:right w:val="nil"/>
            </w:tcBorders>
            <w:shd w:val="clear" w:color="auto" w:fill="auto"/>
            <w:noWrap/>
            <w:vAlign w:val="bottom"/>
            <w:hideMark/>
          </w:tcPr>
          <w:p w14:paraId="1C5F65F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14.280</w:t>
            </w:r>
          </w:p>
        </w:tc>
      </w:tr>
      <w:tr w:rsidR="00750548" w:rsidRPr="00C82EE1" w14:paraId="53D929D7"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50C48D77"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rttr</w:t>
            </w:r>
            <w:proofErr w:type="spellEnd"/>
          </w:p>
        </w:tc>
        <w:tc>
          <w:tcPr>
            <w:tcW w:w="756" w:type="dxa"/>
            <w:tcBorders>
              <w:top w:val="nil"/>
              <w:left w:val="nil"/>
              <w:bottom w:val="nil"/>
              <w:right w:val="nil"/>
            </w:tcBorders>
            <w:shd w:val="clear" w:color="auto" w:fill="auto"/>
            <w:noWrap/>
            <w:vAlign w:val="bottom"/>
            <w:hideMark/>
          </w:tcPr>
          <w:p w14:paraId="1F73E42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3C0552F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14.529</w:t>
            </w:r>
          </w:p>
        </w:tc>
        <w:tc>
          <w:tcPr>
            <w:tcW w:w="998" w:type="dxa"/>
            <w:tcBorders>
              <w:top w:val="nil"/>
              <w:left w:val="nil"/>
              <w:bottom w:val="nil"/>
              <w:right w:val="nil"/>
            </w:tcBorders>
            <w:shd w:val="clear" w:color="auto" w:fill="auto"/>
            <w:noWrap/>
            <w:vAlign w:val="bottom"/>
            <w:hideMark/>
          </w:tcPr>
          <w:p w14:paraId="334B8AB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1.732</w:t>
            </w:r>
          </w:p>
        </w:tc>
        <w:tc>
          <w:tcPr>
            <w:tcW w:w="1220" w:type="dxa"/>
            <w:tcBorders>
              <w:top w:val="nil"/>
              <w:left w:val="nil"/>
              <w:bottom w:val="nil"/>
              <w:right w:val="nil"/>
            </w:tcBorders>
            <w:shd w:val="clear" w:color="auto" w:fill="auto"/>
            <w:noWrap/>
            <w:vAlign w:val="bottom"/>
            <w:hideMark/>
          </w:tcPr>
          <w:p w14:paraId="7414896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3.230</w:t>
            </w:r>
          </w:p>
        </w:tc>
        <w:tc>
          <w:tcPr>
            <w:tcW w:w="1003" w:type="dxa"/>
            <w:tcBorders>
              <w:top w:val="nil"/>
              <w:left w:val="nil"/>
              <w:bottom w:val="nil"/>
              <w:right w:val="nil"/>
            </w:tcBorders>
            <w:shd w:val="clear" w:color="auto" w:fill="auto"/>
            <w:noWrap/>
            <w:vAlign w:val="bottom"/>
            <w:hideMark/>
          </w:tcPr>
          <w:p w14:paraId="52E8443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14.610</w:t>
            </w:r>
          </w:p>
        </w:tc>
        <w:tc>
          <w:tcPr>
            <w:tcW w:w="998" w:type="dxa"/>
            <w:tcBorders>
              <w:top w:val="nil"/>
              <w:left w:val="nil"/>
              <w:bottom w:val="nil"/>
              <w:right w:val="nil"/>
            </w:tcBorders>
            <w:shd w:val="clear" w:color="auto" w:fill="auto"/>
            <w:noWrap/>
            <w:vAlign w:val="bottom"/>
            <w:hideMark/>
          </w:tcPr>
          <w:p w14:paraId="338D6E9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20.200</w:t>
            </w:r>
          </w:p>
        </w:tc>
      </w:tr>
      <w:tr w:rsidR="00750548" w:rsidRPr="00C82EE1" w14:paraId="3370C22D"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4D270EC5"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logttr</w:t>
            </w:r>
            <w:proofErr w:type="spellEnd"/>
          </w:p>
        </w:tc>
        <w:tc>
          <w:tcPr>
            <w:tcW w:w="756" w:type="dxa"/>
            <w:tcBorders>
              <w:top w:val="nil"/>
              <w:left w:val="nil"/>
              <w:bottom w:val="nil"/>
              <w:right w:val="nil"/>
            </w:tcBorders>
            <w:shd w:val="clear" w:color="auto" w:fill="auto"/>
            <w:noWrap/>
            <w:vAlign w:val="bottom"/>
            <w:hideMark/>
          </w:tcPr>
          <w:p w14:paraId="6E6E8A7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21C2A41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0.809</w:t>
            </w:r>
          </w:p>
        </w:tc>
        <w:tc>
          <w:tcPr>
            <w:tcW w:w="998" w:type="dxa"/>
            <w:tcBorders>
              <w:top w:val="nil"/>
              <w:left w:val="nil"/>
              <w:bottom w:val="nil"/>
              <w:right w:val="nil"/>
            </w:tcBorders>
            <w:shd w:val="clear" w:color="auto" w:fill="auto"/>
            <w:noWrap/>
            <w:vAlign w:val="bottom"/>
            <w:hideMark/>
          </w:tcPr>
          <w:p w14:paraId="431EBEE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0.019</w:t>
            </w:r>
          </w:p>
        </w:tc>
        <w:tc>
          <w:tcPr>
            <w:tcW w:w="1220" w:type="dxa"/>
            <w:tcBorders>
              <w:top w:val="nil"/>
              <w:left w:val="nil"/>
              <w:bottom w:val="nil"/>
              <w:right w:val="nil"/>
            </w:tcBorders>
            <w:shd w:val="clear" w:color="auto" w:fill="auto"/>
            <w:noWrap/>
            <w:vAlign w:val="bottom"/>
            <w:hideMark/>
          </w:tcPr>
          <w:p w14:paraId="0D8DAF7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0.610</w:t>
            </w:r>
          </w:p>
        </w:tc>
        <w:tc>
          <w:tcPr>
            <w:tcW w:w="1003" w:type="dxa"/>
            <w:tcBorders>
              <w:top w:val="nil"/>
              <w:left w:val="nil"/>
              <w:bottom w:val="nil"/>
              <w:right w:val="nil"/>
            </w:tcBorders>
            <w:shd w:val="clear" w:color="auto" w:fill="auto"/>
            <w:noWrap/>
            <w:vAlign w:val="bottom"/>
            <w:hideMark/>
          </w:tcPr>
          <w:p w14:paraId="0F91D13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0.810</w:t>
            </w:r>
          </w:p>
        </w:tc>
        <w:tc>
          <w:tcPr>
            <w:tcW w:w="998" w:type="dxa"/>
            <w:tcBorders>
              <w:top w:val="nil"/>
              <w:left w:val="nil"/>
              <w:bottom w:val="nil"/>
              <w:right w:val="nil"/>
            </w:tcBorders>
            <w:shd w:val="clear" w:color="auto" w:fill="auto"/>
            <w:noWrap/>
            <w:vAlign w:val="bottom"/>
            <w:hideMark/>
          </w:tcPr>
          <w:p w14:paraId="6812C73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0.890</w:t>
            </w:r>
          </w:p>
        </w:tc>
      </w:tr>
      <w:tr w:rsidR="00750548" w:rsidRPr="00C82EE1" w14:paraId="32B88BF3"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07D5F93D"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uber</w:t>
            </w:r>
          </w:p>
        </w:tc>
        <w:tc>
          <w:tcPr>
            <w:tcW w:w="756" w:type="dxa"/>
            <w:tcBorders>
              <w:top w:val="nil"/>
              <w:left w:val="nil"/>
              <w:bottom w:val="nil"/>
              <w:right w:val="nil"/>
            </w:tcBorders>
            <w:shd w:val="clear" w:color="auto" w:fill="auto"/>
            <w:noWrap/>
            <w:vAlign w:val="bottom"/>
            <w:hideMark/>
          </w:tcPr>
          <w:p w14:paraId="36C7582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88E86F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19.770</w:t>
            </w:r>
          </w:p>
        </w:tc>
        <w:tc>
          <w:tcPr>
            <w:tcW w:w="998" w:type="dxa"/>
            <w:tcBorders>
              <w:top w:val="nil"/>
              <w:left w:val="nil"/>
              <w:bottom w:val="nil"/>
              <w:right w:val="nil"/>
            </w:tcBorders>
            <w:shd w:val="clear" w:color="auto" w:fill="auto"/>
            <w:noWrap/>
            <w:vAlign w:val="bottom"/>
            <w:hideMark/>
          </w:tcPr>
          <w:p w14:paraId="2EDCC30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1.182</w:t>
            </w:r>
          </w:p>
        </w:tc>
        <w:tc>
          <w:tcPr>
            <w:tcW w:w="1220" w:type="dxa"/>
            <w:tcBorders>
              <w:top w:val="nil"/>
              <w:left w:val="nil"/>
              <w:bottom w:val="nil"/>
              <w:right w:val="nil"/>
            </w:tcBorders>
            <w:shd w:val="clear" w:color="auto" w:fill="auto"/>
            <w:noWrap/>
            <w:vAlign w:val="bottom"/>
            <w:hideMark/>
          </w:tcPr>
          <w:p w14:paraId="6632520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12.040</w:t>
            </w:r>
          </w:p>
        </w:tc>
        <w:tc>
          <w:tcPr>
            <w:tcW w:w="1003" w:type="dxa"/>
            <w:tcBorders>
              <w:top w:val="nil"/>
              <w:left w:val="nil"/>
              <w:bottom w:val="nil"/>
              <w:right w:val="nil"/>
            </w:tcBorders>
            <w:shd w:val="clear" w:color="auto" w:fill="auto"/>
            <w:noWrap/>
            <w:vAlign w:val="bottom"/>
            <w:hideMark/>
          </w:tcPr>
          <w:p w14:paraId="3381039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19.805</w:t>
            </w:r>
          </w:p>
        </w:tc>
        <w:tc>
          <w:tcPr>
            <w:tcW w:w="998" w:type="dxa"/>
            <w:tcBorders>
              <w:top w:val="nil"/>
              <w:left w:val="nil"/>
              <w:bottom w:val="nil"/>
              <w:right w:val="nil"/>
            </w:tcBorders>
            <w:shd w:val="clear" w:color="auto" w:fill="auto"/>
            <w:noWrap/>
            <w:vAlign w:val="bottom"/>
            <w:hideMark/>
          </w:tcPr>
          <w:p w14:paraId="7773DB7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25.390</w:t>
            </w:r>
          </w:p>
        </w:tc>
      </w:tr>
      <w:tr w:rsidR="00750548" w:rsidRPr="00C82EE1" w14:paraId="1EC61B9C"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6CDDCA02"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lv</w:t>
            </w:r>
          </w:p>
        </w:tc>
        <w:tc>
          <w:tcPr>
            <w:tcW w:w="756" w:type="dxa"/>
            <w:tcBorders>
              <w:top w:val="nil"/>
              <w:left w:val="nil"/>
              <w:bottom w:val="nil"/>
              <w:right w:val="nil"/>
            </w:tcBorders>
            <w:shd w:val="clear" w:color="auto" w:fill="auto"/>
            <w:noWrap/>
            <w:vAlign w:val="bottom"/>
            <w:hideMark/>
          </w:tcPr>
          <w:p w14:paraId="139B9BA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53AFF38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0.305</w:t>
            </w:r>
          </w:p>
        </w:tc>
        <w:tc>
          <w:tcPr>
            <w:tcW w:w="998" w:type="dxa"/>
            <w:tcBorders>
              <w:top w:val="nil"/>
              <w:left w:val="nil"/>
              <w:bottom w:val="nil"/>
              <w:right w:val="nil"/>
            </w:tcBorders>
            <w:shd w:val="clear" w:color="auto" w:fill="auto"/>
            <w:noWrap/>
            <w:vAlign w:val="bottom"/>
            <w:hideMark/>
          </w:tcPr>
          <w:p w14:paraId="201E0D9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0.071</w:t>
            </w:r>
          </w:p>
        </w:tc>
        <w:tc>
          <w:tcPr>
            <w:tcW w:w="1220" w:type="dxa"/>
            <w:tcBorders>
              <w:top w:val="nil"/>
              <w:left w:val="nil"/>
              <w:bottom w:val="nil"/>
              <w:right w:val="nil"/>
            </w:tcBorders>
            <w:shd w:val="clear" w:color="auto" w:fill="auto"/>
            <w:noWrap/>
            <w:vAlign w:val="bottom"/>
            <w:hideMark/>
          </w:tcPr>
          <w:p w14:paraId="3BFBE5E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0.020</w:t>
            </w:r>
          </w:p>
        </w:tc>
        <w:tc>
          <w:tcPr>
            <w:tcW w:w="1003" w:type="dxa"/>
            <w:tcBorders>
              <w:top w:val="nil"/>
              <w:left w:val="nil"/>
              <w:bottom w:val="nil"/>
              <w:right w:val="nil"/>
            </w:tcBorders>
            <w:shd w:val="clear" w:color="auto" w:fill="auto"/>
            <w:noWrap/>
            <w:vAlign w:val="bottom"/>
            <w:hideMark/>
          </w:tcPr>
          <w:p w14:paraId="49B04B9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0.295</w:t>
            </w:r>
          </w:p>
        </w:tc>
        <w:tc>
          <w:tcPr>
            <w:tcW w:w="998" w:type="dxa"/>
            <w:tcBorders>
              <w:top w:val="nil"/>
              <w:left w:val="nil"/>
              <w:bottom w:val="nil"/>
              <w:right w:val="nil"/>
            </w:tcBorders>
            <w:shd w:val="clear" w:color="auto" w:fill="auto"/>
            <w:noWrap/>
            <w:vAlign w:val="bottom"/>
            <w:hideMark/>
          </w:tcPr>
          <w:p w14:paraId="0B50332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0.640</w:t>
            </w:r>
          </w:p>
        </w:tc>
      </w:tr>
      <w:tr w:rsidR="00750548" w:rsidRPr="00C82EE1" w14:paraId="72EA2AD3"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311DE000"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vv1</w:t>
            </w:r>
          </w:p>
        </w:tc>
        <w:tc>
          <w:tcPr>
            <w:tcW w:w="756" w:type="dxa"/>
            <w:tcBorders>
              <w:top w:val="nil"/>
              <w:left w:val="nil"/>
              <w:bottom w:val="nil"/>
              <w:right w:val="nil"/>
            </w:tcBorders>
            <w:shd w:val="clear" w:color="auto" w:fill="auto"/>
            <w:noWrap/>
            <w:vAlign w:val="bottom"/>
            <w:hideMark/>
          </w:tcPr>
          <w:p w14:paraId="62273FE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6CB944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0.422</w:t>
            </w:r>
          </w:p>
        </w:tc>
        <w:tc>
          <w:tcPr>
            <w:tcW w:w="998" w:type="dxa"/>
            <w:tcBorders>
              <w:top w:val="nil"/>
              <w:left w:val="nil"/>
              <w:bottom w:val="nil"/>
              <w:right w:val="nil"/>
            </w:tcBorders>
            <w:shd w:val="clear" w:color="auto" w:fill="auto"/>
            <w:noWrap/>
            <w:vAlign w:val="bottom"/>
            <w:hideMark/>
          </w:tcPr>
          <w:p w14:paraId="1B0532D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0.093</w:t>
            </w:r>
          </w:p>
        </w:tc>
        <w:tc>
          <w:tcPr>
            <w:tcW w:w="1220" w:type="dxa"/>
            <w:tcBorders>
              <w:top w:val="nil"/>
              <w:left w:val="nil"/>
              <w:bottom w:val="nil"/>
              <w:right w:val="nil"/>
            </w:tcBorders>
            <w:shd w:val="clear" w:color="auto" w:fill="auto"/>
            <w:noWrap/>
            <w:vAlign w:val="bottom"/>
            <w:hideMark/>
          </w:tcPr>
          <w:p w14:paraId="317BB53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0.030</w:t>
            </w:r>
          </w:p>
        </w:tc>
        <w:tc>
          <w:tcPr>
            <w:tcW w:w="1003" w:type="dxa"/>
            <w:tcBorders>
              <w:top w:val="nil"/>
              <w:left w:val="nil"/>
              <w:bottom w:val="nil"/>
              <w:right w:val="nil"/>
            </w:tcBorders>
            <w:shd w:val="clear" w:color="auto" w:fill="auto"/>
            <w:noWrap/>
            <w:vAlign w:val="bottom"/>
            <w:hideMark/>
          </w:tcPr>
          <w:p w14:paraId="71E42D1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0.410</w:t>
            </w:r>
          </w:p>
        </w:tc>
        <w:tc>
          <w:tcPr>
            <w:tcW w:w="998" w:type="dxa"/>
            <w:tcBorders>
              <w:top w:val="nil"/>
              <w:left w:val="nil"/>
              <w:bottom w:val="nil"/>
              <w:right w:val="nil"/>
            </w:tcBorders>
            <w:shd w:val="clear" w:color="auto" w:fill="auto"/>
            <w:noWrap/>
            <w:vAlign w:val="bottom"/>
            <w:hideMark/>
          </w:tcPr>
          <w:p w14:paraId="59A3907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0.840</w:t>
            </w:r>
          </w:p>
        </w:tc>
      </w:tr>
      <w:tr w:rsidR="00750548" w:rsidRPr="00C82EE1" w14:paraId="0B0F6931"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C79DBB0"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svv1</w:t>
            </w:r>
          </w:p>
        </w:tc>
        <w:tc>
          <w:tcPr>
            <w:tcW w:w="756" w:type="dxa"/>
            <w:tcBorders>
              <w:top w:val="nil"/>
              <w:left w:val="nil"/>
              <w:bottom w:val="nil"/>
              <w:right w:val="nil"/>
            </w:tcBorders>
            <w:shd w:val="clear" w:color="auto" w:fill="auto"/>
            <w:noWrap/>
            <w:vAlign w:val="bottom"/>
            <w:hideMark/>
          </w:tcPr>
          <w:p w14:paraId="09EDAC4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DF7FD1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116.314</w:t>
            </w:r>
          </w:p>
        </w:tc>
        <w:tc>
          <w:tcPr>
            <w:tcW w:w="998" w:type="dxa"/>
            <w:tcBorders>
              <w:top w:val="nil"/>
              <w:left w:val="nil"/>
              <w:bottom w:val="nil"/>
              <w:right w:val="nil"/>
            </w:tcBorders>
            <w:shd w:val="clear" w:color="auto" w:fill="auto"/>
            <w:noWrap/>
            <w:vAlign w:val="bottom"/>
            <w:hideMark/>
          </w:tcPr>
          <w:p w14:paraId="2DB5EDA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30.963</w:t>
            </w:r>
          </w:p>
        </w:tc>
        <w:tc>
          <w:tcPr>
            <w:tcW w:w="1220" w:type="dxa"/>
            <w:tcBorders>
              <w:top w:val="nil"/>
              <w:left w:val="nil"/>
              <w:bottom w:val="nil"/>
              <w:right w:val="nil"/>
            </w:tcBorders>
            <w:shd w:val="clear" w:color="auto" w:fill="auto"/>
            <w:noWrap/>
            <w:vAlign w:val="bottom"/>
            <w:hideMark/>
          </w:tcPr>
          <w:p w14:paraId="376B928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5.390</w:t>
            </w:r>
          </w:p>
        </w:tc>
        <w:tc>
          <w:tcPr>
            <w:tcW w:w="1003" w:type="dxa"/>
            <w:tcBorders>
              <w:top w:val="nil"/>
              <w:left w:val="nil"/>
              <w:bottom w:val="nil"/>
              <w:right w:val="nil"/>
            </w:tcBorders>
            <w:shd w:val="clear" w:color="auto" w:fill="auto"/>
            <w:noWrap/>
            <w:vAlign w:val="bottom"/>
            <w:hideMark/>
          </w:tcPr>
          <w:p w14:paraId="34E079D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116.055</w:t>
            </w:r>
          </w:p>
        </w:tc>
        <w:tc>
          <w:tcPr>
            <w:tcW w:w="998" w:type="dxa"/>
            <w:tcBorders>
              <w:top w:val="nil"/>
              <w:left w:val="nil"/>
              <w:bottom w:val="nil"/>
              <w:right w:val="nil"/>
            </w:tcBorders>
            <w:shd w:val="clear" w:color="auto" w:fill="auto"/>
            <w:noWrap/>
            <w:vAlign w:val="bottom"/>
            <w:hideMark/>
          </w:tcPr>
          <w:p w14:paraId="22AE12A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215.240</w:t>
            </w:r>
          </w:p>
        </w:tc>
      </w:tr>
      <w:tr w:rsidR="00750548" w:rsidRPr="00C82EE1" w14:paraId="51332B68"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69433751"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cvv1</w:t>
            </w:r>
          </w:p>
        </w:tc>
        <w:tc>
          <w:tcPr>
            <w:tcW w:w="756" w:type="dxa"/>
            <w:tcBorders>
              <w:top w:val="nil"/>
              <w:left w:val="nil"/>
              <w:bottom w:val="nil"/>
              <w:right w:val="nil"/>
            </w:tcBorders>
            <w:shd w:val="clear" w:color="auto" w:fill="auto"/>
            <w:noWrap/>
            <w:vAlign w:val="bottom"/>
            <w:hideMark/>
          </w:tcPr>
          <w:p w14:paraId="52AE194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C0DC15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7.552</w:t>
            </w:r>
          </w:p>
        </w:tc>
        <w:tc>
          <w:tcPr>
            <w:tcW w:w="998" w:type="dxa"/>
            <w:tcBorders>
              <w:top w:val="nil"/>
              <w:left w:val="nil"/>
              <w:bottom w:val="nil"/>
              <w:right w:val="nil"/>
            </w:tcBorders>
            <w:shd w:val="clear" w:color="auto" w:fill="auto"/>
            <w:noWrap/>
            <w:vAlign w:val="bottom"/>
            <w:hideMark/>
          </w:tcPr>
          <w:p w14:paraId="36BF180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1.063</w:t>
            </w:r>
          </w:p>
        </w:tc>
        <w:tc>
          <w:tcPr>
            <w:tcW w:w="1220" w:type="dxa"/>
            <w:tcBorders>
              <w:top w:val="nil"/>
              <w:left w:val="nil"/>
              <w:bottom w:val="nil"/>
              <w:right w:val="nil"/>
            </w:tcBorders>
            <w:shd w:val="clear" w:color="auto" w:fill="auto"/>
            <w:noWrap/>
            <w:vAlign w:val="bottom"/>
            <w:hideMark/>
          </w:tcPr>
          <w:p w14:paraId="5C0A5E7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1.640</w:t>
            </w:r>
          </w:p>
        </w:tc>
        <w:tc>
          <w:tcPr>
            <w:tcW w:w="1003" w:type="dxa"/>
            <w:tcBorders>
              <w:top w:val="nil"/>
              <w:left w:val="nil"/>
              <w:bottom w:val="nil"/>
              <w:right w:val="nil"/>
            </w:tcBorders>
            <w:shd w:val="clear" w:color="auto" w:fill="auto"/>
            <w:noWrap/>
            <w:vAlign w:val="bottom"/>
            <w:hideMark/>
          </w:tcPr>
          <w:p w14:paraId="14D81BA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7.620</w:t>
            </w:r>
          </w:p>
        </w:tc>
        <w:tc>
          <w:tcPr>
            <w:tcW w:w="998" w:type="dxa"/>
            <w:tcBorders>
              <w:top w:val="nil"/>
              <w:left w:val="nil"/>
              <w:bottom w:val="nil"/>
              <w:right w:val="nil"/>
            </w:tcBorders>
            <w:shd w:val="clear" w:color="auto" w:fill="auto"/>
            <w:noWrap/>
            <w:vAlign w:val="bottom"/>
            <w:hideMark/>
          </w:tcPr>
          <w:p w14:paraId="41AAD17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10.370</w:t>
            </w:r>
          </w:p>
        </w:tc>
      </w:tr>
      <w:tr w:rsidR="00750548" w:rsidRPr="00C82EE1" w14:paraId="31014EFE"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331518D0"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vv2</w:t>
            </w:r>
          </w:p>
        </w:tc>
        <w:tc>
          <w:tcPr>
            <w:tcW w:w="756" w:type="dxa"/>
            <w:tcBorders>
              <w:top w:val="nil"/>
              <w:left w:val="nil"/>
              <w:bottom w:val="nil"/>
              <w:right w:val="nil"/>
            </w:tcBorders>
            <w:shd w:val="clear" w:color="auto" w:fill="auto"/>
            <w:noWrap/>
            <w:vAlign w:val="bottom"/>
            <w:hideMark/>
          </w:tcPr>
          <w:p w14:paraId="4B65A9D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631ABD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0.085</w:t>
            </w:r>
          </w:p>
        </w:tc>
        <w:tc>
          <w:tcPr>
            <w:tcW w:w="998" w:type="dxa"/>
            <w:tcBorders>
              <w:top w:val="nil"/>
              <w:left w:val="nil"/>
              <w:bottom w:val="nil"/>
              <w:right w:val="nil"/>
            </w:tcBorders>
            <w:shd w:val="clear" w:color="auto" w:fill="auto"/>
            <w:noWrap/>
            <w:vAlign w:val="bottom"/>
            <w:hideMark/>
          </w:tcPr>
          <w:p w14:paraId="0A9A584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0.019</w:t>
            </w:r>
          </w:p>
        </w:tc>
        <w:tc>
          <w:tcPr>
            <w:tcW w:w="1220" w:type="dxa"/>
            <w:tcBorders>
              <w:top w:val="nil"/>
              <w:left w:val="nil"/>
              <w:bottom w:val="nil"/>
              <w:right w:val="nil"/>
            </w:tcBorders>
            <w:shd w:val="clear" w:color="auto" w:fill="auto"/>
            <w:noWrap/>
            <w:vAlign w:val="bottom"/>
            <w:hideMark/>
          </w:tcPr>
          <w:p w14:paraId="5E39A1B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0.010</w:t>
            </w:r>
          </w:p>
        </w:tc>
        <w:tc>
          <w:tcPr>
            <w:tcW w:w="1003" w:type="dxa"/>
            <w:tcBorders>
              <w:top w:val="nil"/>
              <w:left w:val="nil"/>
              <w:bottom w:val="nil"/>
              <w:right w:val="nil"/>
            </w:tcBorders>
            <w:shd w:val="clear" w:color="auto" w:fill="auto"/>
            <w:noWrap/>
            <w:vAlign w:val="bottom"/>
            <w:hideMark/>
          </w:tcPr>
          <w:p w14:paraId="63FCCD7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0.080</w:t>
            </w:r>
          </w:p>
        </w:tc>
        <w:tc>
          <w:tcPr>
            <w:tcW w:w="998" w:type="dxa"/>
            <w:tcBorders>
              <w:top w:val="nil"/>
              <w:left w:val="nil"/>
              <w:bottom w:val="nil"/>
              <w:right w:val="nil"/>
            </w:tcBorders>
            <w:shd w:val="clear" w:color="auto" w:fill="auto"/>
            <w:noWrap/>
            <w:vAlign w:val="bottom"/>
            <w:hideMark/>
          </w:tcPr>
          <w:p w14:paraId="7463BAC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0.170</w:t>
            </w:r>
          </w:p>
        </w:tc>
      </w:tr>
      <w:tr w:rsidR="00750548" w:rsidRPr="00C82EE1" w14:paraId="5BFDEA35"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A4032ED"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nv</w:t>
            </w:r>
            <w:proofErr w:type="spellEnd"/>
          </w:p>
        </w:tc>
        <w:tc>
          <w:tcPr>
            <w:tcW w:w="756" w:type="dxa"/>
            <w:tcBorders>
              <w:top w:val="nil"/>
              <w:left w:val="nil"/>
              <w:bottom w:val="nil"/>
              <w:right w:val="nil"/>
            </w:tcBorders>
            <w:shd w:val="clear" w:color="auto" w:fill="auto"/>
            <w:noWrap/>
            <w:vAlign w:val="bottom"/>
            <w:hideMark/>
          </w:tcPr>
          <w:p w14:paraId="2BEE80F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7D67FE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0.276</w:t>
            </w:r>
          </w:p>
        </w:tc>
        <w:tc>
          <w:tcPr>
            <w:tcW w:w="998" w:type="dxa"/>
            <w:tcBorders>
              <w:top w:val="nil"/>
              <w:left w:val="nil"/>
              <w:bottom w:val="nil"/>
              <w:right w:val="nil"/>
            </w:tcBorders>
            <w:shd w:val="clear" w:color="auto" w:fill="auto"/>
            <w:noWrap/>
            <w:vAlign w:val="bottom"/>
            <w:hideMark/>
          </w:tcPr>
          <w:p w14:paraId="7AF5007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0.064</w:t>
            </w:r>
          </w:p>
        </w:tc>
        <w:tc>
          <w:tcPr>
            <w:tcW w:w="1220" w:type="dxa"/>
            <w:tcBorders>
              <w:top w:val="nil"/>
              <w:left w:val="nil"/>
              <w:bottom w:val="nil"/>
              <w:right w:val="nil"/>
            </w:tcBorders>
            <w:shd w:val="clear" w:color="auto" w:fill="auto"/>
            <w:noWrap/>
            <w:vAlign w:val="bottom"/>
            <w:hideMark/>
          </w:tcPr>
          <w:p w14:paraId="2420406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0.020</w:t>
            </w:r>
          </w:p>
        </w:tc>
        <w:tc>
          <w:tcPr>
            <w:tcW w:w="1003" w:type="dxa"/>
            <w:tcBorders>
              <w:top w:val="nil"/>
              <w:left w:val="nil"/>
              <w:bottom w:val="nil"/>
              <w:right w:val="nil"/>
            </w:tcBorders>
            <w:shd w:val="clear" w:color="auto" w:fill="auto"/>
            <w:noWrap/>
            <w:vAlign w:val="bottom"/>
            <w:hideMark/>
          </w:tcPr>
          <w:p w14:paraId="04549C6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0.270</w:t>
            </w:r>
          </w:p>
        </w:tc>
        <w:tc>
          <w:tcPr>
            <w:tcW w:w="998" w:type="dxa"/>
            <w:tcBorders>
              <w:top w:val="nil"/>
              <w:left w:val="nil"/>
              <w:bottom w:val="nil"/>
              <w:right w:val="nil"/>
            </w:tcBorders>
            <w:shd w:val="clear" w:color="auto" w:fill="auto"/>
            <w:noWrap/>
            <w:vAlign w:val="bottom"/>
            <w:hideMark/>
          </w:tcPr>
          <w:p w14:paraId="3D009FC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0.590</w:t>
            </w:r>
          </w:p>
        </w:tc>
      </w:tr>
      <w:tr w:rsidR="00750548" w:rsidRPr="00C82EE1" w14:paraId="63E4EB75"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370EE273"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adjv</w:t>
            </w:r>
            <w:proofErr w:type="spellEnd"/>
          </w:p>
        </w:tc>
        <w:tc>
          <w:tcPr>
            <w:tcW w:w="756" w:type="dxa"/>
            <w:tcBorders>
              <w:top w:val="nil"/>
              <w:left w:val="nil"/>
              <w:bottom w:val="nil"/>
              <w:right w:val="nil"/>
            </w:tcBorders>
            <w:shd w:val="clear" w:color="auto" w:fill="auto"/>
            <w:noWrap/>
            <w:vAlign w:val="bottom"/>
            <w:hideMark/>
          </w:tcPr>
          <w:p w14:paraId="51121E8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3F2A2F8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0.066</w:t>
            </w:r>
          </w:p>
        </w:tc>
        <w:tc>
          <w:tcPr>
            <w:tcW w:w="998" w:type="dxa"/>
            <w:tcBorders>
              <w:top w:val="nil"/>
              <w:left w:val="nil"/>
              <w:bottom w:val="nil"/>
              <w:right w:val="nil"/>
            </w:tcBorders>
            <w:shd w:val="clear" w:color="auto" w:fill="auto"/>
            <w:noWrap/>
            <w:vAlign w:val="bottom"/>
            <w:hideMark/>
          </w:tcPr>
          <w:p w14:paraId="506F46D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0.015</w:t>
            </w:r>
          </w:p>
        </w:tc>
        <w:tc>
          <w:tcPr>
            <w:tcW w:w="1220" w:type="dxa"/>
            <w:tcBorders>
              <w:top w:val="nil"/>
              <w:left w:val="nil"/>
              <w:bottom w:val="nil"/>
              <w:right w:val="nil"/>
            </w:tcBorders>
            <w:shd w:val="clear" w:color="auto" w:fill="auto"/>
            <w:noWrap/>
            <w:vAlign w:val="bottom"/>
            <w:hideMark/>
          </w:tcPr>
          <w:p w14:paraId="57FE2B7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0.010</w:t>
            </w:r>
          </w:p>
        </w:tc>
        <w:tc>
          <w:tcPr>
            <w:tcW w:w="1003" w:type="dxa"/>
            <w:tcBorders>
              <w:top w:val="nil"/>
              <w:left w:val="nil"/>
              <w:bottom w:val="nil"/>
              <w:right w:val="nil"/>
            </w:tcBorders>
            <w:shd w:val="clear" w:color="auto" w:fill="auto"/>
            <w:noWrap/>
            <w:vAlign w:val="bottom"/>
            <w:hideMark/>
          </w:tcPr>
          <w:p w14:paraId="4CD5F08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0.060</w:t>
            </w:r>
          </w:p>
        </w:tc>
        <w:tc>
          <w:tcPr>
            <w:tcW w:w="998" w:type="dxa"/>
            <w:tcBorders>
              <w:top w:val="nil"/>
              <w:left w:val="nil"/>
              <w:bottom w:val="nil"/>
              <w:right w:val="nil"/>
            </w:tcBorders>
            <w:shd w:val="clear" w:color="auto" w:fill="auto"/>
            <w:noWrap/>
            <w:vAlign w:val="bottom"/>
            <w:hideMark/>
          </w:tcPr>
          <w:p w14:paraId="467A7B9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0.140</w:t>
            </w:r>
          </w:p>
        </w:tc>
      </w:tr>
      <w:tr w:rsidR="00750548" w:rsidRPr="00C82EE1" w14:paraId="6B027E8D"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6029D4E6"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advv</w:t>
            </w:r>
            <w:proofErr w:type="spellEnd"/>
          </w:p>
        </w:tc>
        <w:tc>
          <w:tcPr>
            <w:tcW w:w="756" w:type="dxa"/>
            <w:tcBorders>
              <w:top w:val="nil"/>
              <w:left w:val="nil"/>
              <w:bottom w:val="nil"/>
              <w:right w:val="nil"/>
            </w:tcBorders>
            <w:shd w:val="clear" w:color="auto" w:fill="auto"/>
            <w:noWrap/>
            <w:vAlign w:val="bottom"/>
            <w:hideMark/>
          </w:tcPr>
          <w:p w14:paraId="3FD95CE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0CD486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0.013</w:t>
            </w:r>
          </w:p>
        </w:tc>
        <w:tc>
          <w:tcPr>
            <w:tcW w:w="998" w:type="dxa"/>
            <w:tcBorders>
              <w:top w:val="nil"/>
              <w:left w:val="nil"/>
              <w:bottom w:val="nil"/>
              <w:right w:val="nil"/>
            </w:tcBorders>
            <w:shd w:val="clear" w:color="auto" w:fill="auto"/>
            <w:noWrap/>
            <w:vAlign w:val="bottom"/>
            <w:hideMark/>
          </w:tcPr>
          <w:p w14:paraId="2E60873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0.005</w:t>
            </w:r>
          </w:p>
        </w:tc>
        <w:tc>
          <w:tcPr>
            <w:tcW w:w="1220" w:type="dxa"/>
            <w:tcBorders>
              <w:top w:val="nil"/>
              <w:left w:val="nil"/>
              <w:bottom w:val="nil"/>
              <w:right w:val="nil"/>
            </w:tcBorders>
            <w:shd w:val="clear" w:color="auto" w:fill="auto"/>
            <w:noWrap/>
            <w:vAlign w:val="bottom"/>
            <w:hideMark/>
          </w:tcPr>
          <w:p w14:paraId="483122D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0.000</w:t>
            </w:r>
          </w:p>
        </w:tc>
        <w:tc>
          <w:tcPr>
            <w:tcW w:w="1003" w:type="dxa"/>
            <w:tcBorders>
              <w:top w:val="nil"/>
              <w:left w:val="nil"/>
              <w:bottom w:val="nil"/>
              <w:right w:val="nil"/>
            </w:tcBorders>
            <w:shd w:val="clear" w:color="auto" w:fill="auto"/>
            <w:noWrap/>
            <w:vAlign w:val="bottom"/>
            <w:hideMark/>
          </w:tcPr>
          <w:p w14:paraId="2012CA0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0.010</w:t>
            </w:r>
          </w:p>
        </w:tc>
        <w:tc>
          <w:tcPr>
            <w:tcW w:w="998" w:type="dxa"/>
            <w:tcBorders>
              <w:top w:val="nil"/>
              <w:left w:val="nil"/>
              <w:bottom w:val="nil"/>
              <w:right w:val="nil"/>
            </w:tcBorders>
            <w:shd w:val="clear" w:color="auto" w:fill="auto"/>
            <w:noWrap/>
            <w:vAlign w:val="bottom"/>
            <w:hideMark/>
          </w:tcPr>
          <w:p w14:paraId="0BDE522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0.030</w:t>
            </w:r>
          </w:p>
        </w:tc>
      </w:tr>
      <w:tr w:rsidR="00750548" w:rsidRPr="00C82EE1" w14:paraId="6A44F6CF" w14:textId="77777777" w:rsidTr="00750548">
        <w:trPr>
          <w:trHeight w:val="300"/>
          <w:jc w:val="center"/>
        </w:trPr>
        <w:tc>
          <w:tcPr>
            <w:tcW w:w="3162" w:type="dxa"/>
            <w:tcBorders>
              <w:top w:val="nil"/>
              <w:left w:val="nil"/>
              <w:bottom w:val="single" w:sz="4" w:space="0" w:color="auto"/>
              <w:right w:val="nil"/>
            </w:tcBorders>
            <w:shd w:val="clear" w:color="auto" w:fill="auto"/>
            <w:noWrap/>
            <w:vAlign w:val="bottom"/>
            <w:hideMark/>
          </w:tcPr>
          <w:p w14:paraId="59BDE600"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modv</w:t>
            </w:r>
            <w:proofErr w:type="spellEnd"/>
          </w:p>
        </w:tc>
        <w:tc>
          <w:tcPr>
            <w:tcW w:w="756" w:type="dxa"/>
            <w:tcBorders>
              <w:top w:val="nil"/>
              <w:left w:val="nil"/>
              <w:bottom w:val="single" w:sz="4" w:space="0" w:color="auto"/>
              <w:right w:val="nil"/>
            </w:tcBorders>
            <w:shd w:val="clear" w:color="auto" w:fill="auto"/>
            <w:noWrap/>
            <w:vAlign w:val="bottom"/>
            <w:hideMark/>
          </w:tcPr>
          <w:p w14:paraId="652D74B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single" w:sz="4" w:space="0" w:color="auto"/>
              <w:right w:val="nil"/>
            </w:tcBorders>
            <w:shd w:val="clear" w:color="auto" w:fill="auto"/>
            <w:noWrap/>
            <w:vAlign w:val="bottom"/>
            <w:hideMark/>
          </w:tcPr>
          <w:p w14:paraId="1BE3DE8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0.080</w:t>
            </w:r>
          </w:p>
        </w:tc>
        <w:tc>
          <w:tcPr>
            <w:tcW w:w="998" w:type="dxa"/>
            <w:tcBorders>
              <w:top w:val="nil"/>
              <w:left w:val="nil"/>
              <w:bottom w:val="single" w:sz="4" w:space="0" w:color="auto"/>
              <w:right w:val="nil"/>
            </w:tcBorders>
            <w:shd w:val="clear" w:color="auto" w:fill="auto"/>
            <w:noWrap/>
            <w:vAlign w:val="bottom"/>
            <w:hideMark/>
          </w:tcPr>
          <w:p w14:paraId="0FDCF4E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0.017</w:t>
            </w:r>
          </w:p>
        </w:tc>
        <w:tc>
          <w:tcPr>
            <w:tcW w:w="1220" w:type="dxa"/>
            <w:tcBorders>
              <w:top w:val="nil"/>
              <w:left w:val="nil"/>
              <w:bottom w:val="single" w:sz="4" w:space="0" w:color="auto"/>
              <w:right w:val="nil"/>
            </w:tcBorders>
            <w:shd w:val="clear" w:color="auto" w:fill="auto"/>
            <w:noWrap/>
            <w:vAlign w:val="bottom"/>
            <w:hideMark/>
          </w:tcPr>
          <w:p w14:paraId="2AAB1DA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0.010</w:t>
            </w:r>
          </w:p>
        </w:tc>
        <w:tc>
          <w:tcPr>
            <w:tcW w:w="1003" w:type="dxa"/>
            <w:tcBorders>
              <w:top w:val="nil"/>
              <w:left w:val="nil"/>
              <w:bottom w:val="single" w:sz="4" w:space="0" w:color="auto"/>
              <w:right w:val="nil"/>
            </w:tcBorders>
            <w:shd w:val="clear" w:color="auto" w:fill="auto"/>
            <w:noWrap/>
            <w:vAlign w:val="bottom"/>
            <w:hideMark/>
          </w:tcPr>
          <w:p w14:paraId="019E49B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0.080</w:t>
            </w:r>
          </w:p>
        </w:tc>
        <w:tc>
          <w:tcPr>
            <w:tcW w:w="998" w:type="dxa"/>
            <w:tcBorders>
              <w:top w:val="nil"/>
              <w:left w:val="nil"/>
              <w:bottom w:val="single" w:sz="4" w:space="0" w:color="auto"/>
              <w:right w:val="nil"/>
            </w:tcBorders>
            <w:shd w:val="clear" w:color="auto" w:fill="auto"/>
            <w:noWrap/>
            <w:vAlign w:val="bottom"/>
            <w:hideMark/>
          </w:tcPr>
          <w:p w14:paraId="307DEEF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0.150</w:t>
            </w:r>
          </w:p>
        </w:tc>
      </w:tr>
      <w:tr w:rsidR="00750548" w:rsidRPr="00C82EE1" w14:paraId="4870EF1D"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72BD455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tc>
        <w:tc>
          <w:tcPr>
            <w:tcW w:w="756" w:type="dxa"/>
            <w:tcBorders>
              <w:top w:val="nil"/>
              <w:left w:val="nil"/>
              <w:bottom w:val="nil"/>
              <w:right w:val="nil"/>
            </w:tcBorders>
            <w:shd w:val="clear" w:color="auto" w:fill="auto"/>
            <w:noWrap/>
            <w:vAlign w:val="bottom"/>
            <w:hideMark/>
          </w:tcPr>
          <w:p w14:paraId="62191BFA"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785320DB"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28206600"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7DF5CBF6"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14:paraId="599EA4E3"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36287082"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r>
      <w:tr w:rsidR="00750548" w:rsidRPr="00C82EE1" w14:paraId="0D66E243" w14:textId="77777777" w:rsidTr="00750548">
        <w:trPr>
          <w:trHeight w:val="300"/>
          <w:jc w:val="center"/>
        </w:trPr>
        <w:tc>
          <w:tcPr>
            <w:tcW w:w="9357" w:type="dxa"/>
            <w:gridSpan w:val="7"/>
            <w:tcBorders>
              <w:top w:val="nil"/>
              <w:left w:val="nil"/>
              <w:bottom w:val="single" w:sz="4" w:space="0" w:color="auto"/>
              <w:right w:val="nil"/>
            </w:tcBorders>
            <w:shd w:val="clear" w:color="auto" w:fill="auto"/>
            <w:noWrap/>
            <w:vAlign w:val="bottom"/>
            <w:hideMark/>
          </w:tcPr>
          <w:p w14:paraId="2F91F4BE" w14:textId="1084702B"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Panel B: Lexical sub</w:t>
            </w:r>
            <w:r>
              <w:rPr>
                <w:rFonts w:ascii="Times New Roman" w:eastAsia="Times New Roman" w:hAnsi="Times New Roman" w:cs="Times New Roman"/>
                <w:i/>
                <w:iCs/>
                <w:color w:val="000000"/>
                <w:sz w:val="24"/>
                <w:szCs w:val="24"/>
              </w:rPr>
              <w:t>-</w:t>
            </w:r>
            <w:r w:rsidRPr="00C82EE1">
              <w:rPr>
                <w:rFonts w:ascii="Times New Roman" w:eastAsia="Times New Roman" w:hAnsi="Times New Roman" w:cs="Times New Roman"/>
                <w:i/>
                <w:iCs/>
                <w:color w:val="000000"/>
                <w:sz w:val="24"/>
                <w:szCs w:val="24"/>
              </w:rPr>
              <w:t>constructs</w:t>
            </w:r>
          </w:p>
        </w:tc>
      </w:tr>
      <w:tr w:rsidR="00750548" w:rsidRPr="00C82EE1" w14:paraId="2620A303" w14:textId="77777777" w:rsidTr="00750548">
        <w:trPr>
          <w:trHeight w:val="300"/>
          <w:jc w:val="center"/>
        </w:trPr>
        <w:tc>
          <w:tcPr>
            <w:tcW w:w="3162" w:type="dxa"/>
            <w:tcBorders>
              <w:top w:val="single" w:sz="4" w:space="0" w:color="auto"/>
              <w:left w:val="nil"/>
              <w:bottom w:val="single" w:sz="4" w:space="0" w:color="auto"/>
              <w:right w:val="nil"/>
            </w:tcBorders>
            <w:shd w:val="clear" w:color="auto" w:fill="auto"/>
            <w:noWrap/>
            <w:vAlign w:val="bottom"/>
            <w:hideMark/>
          </w:tcPr>
          <w:p w14:paraId="3F02D186" w14:textId="7F3A61DB"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hAnsi="Times New Roman" w:cs="Times New Roman"/>
                <w:b/>
                <w:color w:val="000000"/>
              </w:rPr>
              <w:t>Variable</w:t>
            </w:r>
          </w:p>
        </w:tc>
        <w:tc>
          <w:tcPr>
            <w:tcW w:w="756" w:type="dxa"/>
            <w:tcBorders>
              <w:top w:val="single" w:sz="4" w:space="0" w:color="auto"/>
              <w:left w:val="nil"/>
              <w:bottom w:val="single" w:sz="4" w:space="0" w:color="auto"/>
              <w:right w:val="nil"/>
            </w:tcBorders>
            <w:shd w:val="clear" w:color="auto" w:fill="auto"/>
            <w:noWrap/>
            <w:vAlign w:val="bottom"/>
            <w:hideMark/>
          </w:tcPr>
          <w:p w14:paraId="6A2CC975" w14:textId="2747C992"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hAnsi="Times New Roman" w:cs="Times New Roman"/>
                <w:b/>
                <w:color w:val="000000"/>
              </w:rPr>
              <w:t>N</w:t>
            </w:r>
          </w:p>
        </w:tc>
        <w:tc>
          <w:tcPr>
            <w:tcW w:w="1220" w:type="dxa"/>
            <w:tcBorders>
              <w:top w:val="single" w:sz="4" w:space="0" w:color="auto"/>
              <w:left w:val="nil"/>
              <w:bottom w:val="single" w:sz="4" w:space="0" w:color="auto"/>
              <w:right w:val="nil"/>
            </w:tcBorders>
            <w:shd w:val="clear" w:color="auto" w:fill="auto"/>
            <w:noWrap/>
            <w:vAlign w:val="bottom"/>
            <w:hideMark/>
          </w:tcPr>
          <w:p w14:paraId="53398E28" w14:textId="66B4EB43"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hAnsi="Times New Roman" w:cs="Times New Roman"/>
                <w:b/>
                <w:color w:val="000000"/>
              </w:rPr>
              <w:t>Mean</w:t>
            </w:r>
          </w:p>
        </w:tc>
        <w:tc>
          <w:tcPr>
            <w:tcW w:w="998" w:type="dxa"/>
            <w:tcBorders>
              <w:top w:val="single" w:sz="4" w:space="0" w:color="auto"/>
              <w:left w:val="nil"/>
              <w:bottom w:val="single" w:sz="4" w:space="0" w:color="auto"/>
              <w:right w:val="nil"/>
            </w:tcBorders>
            <w:shd w:val="clear" w:color="auto" w:fill="auto"/>
            <w:noWrap/>
            <w:vAlign w:val="bottom"/>
            <w:hideMark/>
          </w:tcPr>
          <w:p w14:paraId="620F69A6" w14:textId="63E78073"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hAnsi="Times New Roman" w:cs="Times New Roman"/>
                <w:b/>
                <w:color w:val="000000"/>
              </w:rPr>
              <w:t>St/Dev</w:t>
            </w:r>
          </w:p>
        </w:tc>
        <w:tc>
          <w:tcPr>
            <w:tcW w:w="1220" w:type="dxa"/>
            <w:tcBorders>
              <w:top w:val="single" w:sz="4" w:space="0" w:color="auto"/>
              <w:left w:val="nil"/>
              <w:bottom w:val="single" w:sz="4" w:space="0" w:color="auto"/>
              <w:right w:val="nil"/>
            </w:tcBorders>
            <w:shd w:val="clear" w:color="auto" w:fill="auto"/>
            <w:noWrap/>
            <w:vAlign w:val="bottom"/>
            <w:hideMark/>
          </w:tcPr>
          <w:p w14:paraId="0454EC56" w14:textId="47DDCFC6"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hAnsi="Times New Roman" w:cs="Times New Roman"/>
                <w:b/>
                <w:color w:val="000000"/>
              </w:rPr>
              <w:t>Min</w:t>
            </w:r>
          </w:p>
        </w:tc>
        <w:tc>
          <w:tcPr>
            <w:tcW w:w="1003" w:type="dxa"/>
            <w:tcBorders>
              <w:top w:val="single" w:sz="4" w:space="0" w:color="auto"/>
              <w:left w:val="nil"/>
              <w:bottom w:val="single" w:sz="4" w:space="0" w:color="auto"/>
              <w:right w:val="nil"/>
            </w:tcBorders>
            <w:shd w:val="clear" w:color="auto" w:fill="auto"/>
            <w:noWrap/>
            <w:vAlign w:val="bottom"/>
            <w:hideMark/>
          </w:tcPr>
          <w:p w14:paraId="48FB495A" w14:textId="6BF0113B"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hAnsi="Times New Roman" w:cs="Times New Roman"/>
                <w:b/>
                <w:color w:val="000000"/>
              </w:rPr>
              <w:t>Median</w:t>
            </w:r>
          </w:p>
        </w:tc>
        <w:tc>
          <w:tcPr>
            <w:tcW w:w="998" w:type="dxa"/>
            <w:tcBorders>
              <w:top w:val="single" w:sz="4" w:space="0" w:color="auto"/>
              <w:left w:val="nil"/>
              <w:bottom w:val="single" w:sz="4" w:space="0" w:color="auto"/>
              <w:right w:val="nil"/>
            </w:tcBorders>
            <w:shd w:val="clear" w:color="auto" w:fill="auto"/>
            <w:noWrap/>
            <w:vAlign w:val="bottom"/>
            <w:hideMark/>
          </w:tcPr>
          <w:p w14:paraId="6B39DEAE" w14:textId="5B6A6E90"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hAnsi="Times New Roman" w:cs="Times New Roman"/>
                <w:b/>
                <w:color w:val="000000"/>
              </w:rPr>
              <w:t>Max</w:t>
            </w:r>
          </w:p>
        </w:tc>
      </w:tr>
      <w:tr w:rsidR="00750548" w:rsidRPr="00C82EE1" w14:paraId="5E764AF7"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4D1A6FD9" w14:textId="01AB9B71"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hAnsi="Times New Roman" w:cs="Times New Roman"/>
                <w:i/>
                <w:iCs/>
                <w:color w:val="000000"/>
              </w:rPr>
              <w:t>LC</w:t>
            </w:r>
          </w:p>
        </w:tc>
        <w:tc>
          <w:tcPr>
            <w:tcW w:w="756" w:type="dxa"/>
            <w:tcBorders>
              <w:top w:val="nil"/>
              <w:left w:val="nil"/>
              <w:bottom w:val="nil"/>
              <w:right w:val="nil"/>
            </w:tcBorders>
            <w:shd w:val="clear" w:color="auto" w:fill="auto"/>
            <w:noWrap/>
            <w:vAlign w:val="bottom"/>
            <w:hideMark/>
          </w:tcPr>
          <w:p w14:paraId="0A41B5CC" w14:textId="037DFE4E"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1,202</w:t>
            </w:r>
          </w:p>
        </w:tc>
        <w:tc>
          <w:tcPr>
            <w:tcW w:w="1220" w:type="dxa"/>
            <w:tcBorders>
              <w:top w:val="nil"/>
              <w:left w:val="nil"/>
              <w:bottom w:val="nil"/>
              <w:right w:val="nil"/>
            </w:tcBorders>
            <w:shd w:val="clear" w:color="auto" w:fill="auto"/>
            <w:noWrap/>
            <w:vAlign w:val="bottom"/>
            <w:hideMark/>
          </w:tcPr>
          <w:p w14:paraId="15E7FE0C" w14:textId="551B4E85"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0.437</w:t>
            </w:r>
          </w:p>
        </w:tc>
        <w:tc>
          <w:tcPr>
            <w:tcW w:w="998" w:type="dxa"/>
            <w:tcBorders>
              <w:top w:val="nil"/>
              <w:left w:val="nil"/>
              <w:bottom w:val="nil"/>
              <w:right w:val="nil"/>
            </w:tcBorders>
            <w:shd w:val="clear" w:color="auto" w:fill="auto"/>
            <w:noWrap/>
            <w:vAlign w:val="bottom"/>
            <w:hideMark/>
          </w:tcPr>
          <w:p w14:paraId="0009C8E9" w14:textId="01CE496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2.962</w:t>
            </w:r>
          </w:p>
        </w:tc>
        <w:tc>
          <w:tcPr>
            <w:tcW w:w="1220" w:type="dxa"/>
            <w:tcBorders>
              <w:top w:val="nil"/>
              <w:left w:val="nil"/>
              <w:bottom w:val="nil"/>
              <w:right w:val="nil"/>
            </w:tcBorders>
            <w:shd w:val="clear" w:color="auto" w:fill="auto"/>
            <w:noWrap/>
            <w:vAlign w:val="bottom"/>
            <w:hideMark/>
          </w:tcPr>
          <w:p w14:paraId="126D4F1D" w14:textId="51581675"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-6.169</w:t>
            </w:r>
          </w:p>
        </w:tc>
        <w:tc>
          <w:tcPr>
            <w:tcW w:w="1003" w:type="dxa"/>
            <w:tcBorders>
              <w:top w:val="nil"/>
              <w:left w:val="nil"/>
              <w:bottom w:val="nil"/>
              <w:right w:val="nil"/>
            </w:tcBorders>
            <w:shd w:val="clear" w:color="auto" w:fill="auto"/>
            <w:noWrap/>
            <w:vAlign w:val="bottom"/>
            <w:hideMark/>
          </w:tcPr>
          <w:p w14:paraId="0680D56B" w14:textId="48EB9812"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0.685</w:t>
            </w:r>
          </w:p>
        </w:tc>
        <w:tc>
          <w:tcPr>
            <w:tcW w:w="998" w:type="dxa"/>
            <w:tcBorders>
              <w:top w:val="nil"/>
              <w:left w:val="nil"/>
              <w:bottom w:val="nil"/>
              <w:right w:val="nil"/>
            </w:tcBorders>
            <w:shd w:val="clear" w:color="auto" w:fill="auto"/>
            <w:noWrap/>
            <w:vAlign w:val="bottom"/>
            <w:hideMark/>
          </w:tcPr>
          <w:p w14:paraId="17882EC0" w14:textId="56F50C53"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6.517</w:t>
            </w:r>
          </w:p>
        </w:tc>
      </w:tr>
      <w:tr w:rsidR="00750548" w:rsidRPr="00C82EE1" w14:paraId="13A43F75"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7B26DDDB" w14:textId="578F1D8D"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hAnsi="Times New Roman" w:cs="Times New Roman"/>
                <w:i/>
                <w:iCs/>
                <w:color w:val="000000"/>
              </w:rPr>
              <w:t>Density</w:t>
            </w:r>
          </w:p>
        </w:tc>
        <w:tc>
          <w:tcPr>
            <w:tcW w:w="756" w:type="dxa"/>
            <w:tcBorders>
              <w:top w:val="nil"/>
              <w:left w:val="nil"/>
              <w:bottom w:val="nil"/>
              <w:right w:val="nil"/>
            </w:tcBorders>
            <w:shd w:val="clear" w:color="auto" w:fill="auto"/>
            <w:noWrap/>
            <w:vAlign w:val="bottom"/>
            <w:hideMark/>
          </w:tcPr>
          <w:p w14:paraId="1D1A196A" w14:textId="0B4538F0"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1,202</w:t>
            </w:r>
          </w:p>
        </w:tc>
        <w:tc>
          <w:tcPr>
            <w:tcW w:w="1220" w:type="dxa"/>
            <w:tcBorders>
              <w:top w:val="nil"/>
              <w:left w:val="nil"/>
              <w:bottom w:val="nil"/>
              <w:right w:val="nil"/>
            </w:tcBorders>
            <w:shd w:val="clear" w:color="auto" w:fill="auto"/>
            <w:noWrap/>
            <w:vAlign w:val="bottom"/>
            <w:hideMark/>
          </w:tcPr>
          <w:p w14:paraId="0D4DBEEB" w14:textId="71ACBAD2"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0.038</w:t>
            </w:r>
          </w:p>
        </w:tc>
        <w:tc>
          <w:tcPr>
            <w:tcW w:w="998" w:type="dxa"/>
            <w:tcBorders>
              <w:top w:val="nil"/>
              <w:left w:val="nil"/>
              <w:bottom w:val="nil"/>
              <w:right w:val="nil"/>
            </w:tcBorders>
            <w:shd w:val="clear" w:color="auto" w:fill="auto"/>
            <w:noWrap/>
            <w:vAlign w:val="bottom"/>
            <w:hideMark/>
          </w:tcPr>
          <w:p w14:paraId="7AA1F4D1" w14:textId="210FC9A0"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0.970</w:t>
            </w:r>
          </w:p>
        </w:tc>
        <w:tc>
          <w:tcPr>
            <w:tcW w:w="1220" w:type="dxa"/>
            <w:tcBorders>
              <w:top w:val="nil"/>
              <w:left w:val="nil"/>
              <w:bottom w:val="nil"/>
              <w:right w:val="nil"/>
            </w:tcBorders>
            <w:shd w:val="clear" w:color="auto" w:fill="auto"/>
            <w:noWrap/>
            <w:vAlign w:val="bottom"/>
            <w:hideMark/>
          </w:tcPr>
          <w:p w14:paraId="3239DFA7" w14:textId="7E951C9A"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-2.169</w:t>
            </w:r>
          </w:p>
        </w:tc>
        <w:tc>
          <w:tcPr>
            <w:tcW w:w="1003" w:type="dxa"/>
            <w:tcBorders>
              <w:top w:val="nil"/>
              <w:left w:val="nil"/>
              <w:bottom w:val="nil"/>
              <w:right w:val="nil"/>
            </w:tcBorders>
            <w:shd w:val="clear" w:color="auto" w:fill="auto"/>
            <w:noWrap/>
            <w:vAlign w:val="bottom"/>
            <w:hideMark/>
          </w:tcPr>
          <w:p w14:paraId="7145C888" w14:textId="3009F65D"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-0.041</w:t>
            </w:r>
          </w:p>
        </w:tc>
        <w:tc>
          <w:tcPr>
            <w:tcW w:w="998" w:type="dxa"/>
            <w:tcBorders>
              <w:top w:val="nil"/>
              <w:left w:val="nil"/>
              <w:bottom w:val="nil"/>
              <w:right w:val="nil"/>
            </w:tcBorders>
            <w:shd w:val="clear" w:color="auto" w:fill="auto"/>
            <w:noWrap/>
            <w:vAlign w:val="bottom"/>
            <w:hideMark/>
          </w:tcPr>
          <w:p w14:paraId="1D2AF275" w14:textId="059F8AEB"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2.796</w:t>
            </w:r>
          </w:p>
        </w:tc>
      </w:tr>
      <w:tr w:rsidR="00750548" w:rsidRPr="00C82EE1" w14:paraId="3CF6A28B"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F2333E3" w14:textId="4311C003"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hAnsi="Times New Roman" w:cs="Times New Roman"/>
                <w:i/>
                <w:iCs/>
                <w:color w:val="000000"/>
              </w:rPr>
              <w:t>Sophistication</w:t>
            </w:r>
          </w:p>
        </w:tc>
        <w:tc>
          <w:tcPr>
            <w:tcW w:w="756" w:type="dxa"/>
            <w:tcBorders>
              <w:top w:val="nil"/>
              <w:left w:val="nil"/>
              <w:bottom w:val="nil"/>
              <w:right w:val="nil"/>
            </w:tcBorders>
            <w:shd w:val="clear" w:color="auto" w:fill="auto"/>
            <w:noWrap/>
            <w:vAlign w:val="bottom"/>
            <w:hideMark/>
          </w:tcPr>
          <w:p w14:paraId="248A50C7" w14:textId="69D7D0D5"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1,202</w:t>
            </w:r>
          </w:p>
        </w:tc>
        <w:tc>
          <w:tcPr>
            <w:tcW w:w="1220" w:type="dxa"/>
            <w:tcBorders>
              <w:top w:val="nil"/>
              <w:left w:val="nil"/>
              <w:bottom w:val="nil"/>
              <w:right w:val="nil"/>
            </w:tcBorders>
            <w:shd w:val="clear" w:color="auto" w:fill="auto"/>
            <w:noWrap/>
            <w:vAlign w:val="bottom"/>
            <w:hideMark/>
          </w:tcPr>
          <w:p w14:paraId="69499671" w14:textId="41819585"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0.110</w:t>
            </w:r>
          </w:p>
        </w:tc>
        <w:tc>
          <w:tcPr>
            <w:tcW w:w="998" w:type="dxa"/>
            <w:tcBorders>
              <w:top w:val="nil"/>
              <w:left w:val="nil"/>
              <w:bottom w:val="nil"/>
              <w:right w:val="nil"/>
            </w:tcBorders>
            <w:shd w:val="clear" w:color="auto" w:fill="auto"/>
            <w:noWrap/>
            <w:vAlign w:val="bottom"/>
            <w:hideMark/>
          </w:tcPr>
          <w:p w14:paraId="471D5713" w14:textId="195ECA3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1.657</w:t>
            </w:r>
          </w:p>
        </w:tc>
        <w:tc>
          <w:tcPr>
            <w:tcW w:w="1220" w:type="dxa"/>
            <w:tcBorders>
              <w:top w:val="nil"/>
              <w:left w:val="nil"/>
              <w:bottom w:val="nil"/>
              <w:right w:val="nil"/>
            </w:tcBorders>
            <w:shd w:val="clear" w:color="auto" w:fill="auto"/>
            <w:noWrap/>
            <w:vAlign w:val="bottom"/>
            <w:hideMark/>
          </w:tcPr>
          <w:p w14:paraId="4BA24E91" w14:textId="293CAA9E"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-3.535</w:t>
            </w:r>
          </w:p>
        </w:tc>
        <w:tc>
          <w:tcPr>
            <w:tcW w:w="1003" w:type="dxa"/>
            <w:tcBorders>
              <w:top w:val="nil"/>
              <w:left w:val="nil"/>
              <w:bottom w:val="nil"/>
              <w:right w:val="nil"/>
            </w:tcBorders>
            <w:shd w:val="clear" w:color="auto" w:fill="auto"/>
            <w:noWrap/>
            <w:vAlign w:val="bottom"/>
            <w:hideMark/>
          </w:tcPr>
          <w:p w14:paraId="2CACE246" w14:textId="628E6615"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0.100</w:t>
            </w:r>
          </w:p>
        </w:tc>
        <w:tc>
          <w:tcPr>
            <w:tcW w:w="998" w:type="dxa"/>
            <w:tcBorders>
              <w:top w:val="nil"/>
              <w:left w:val="nil"/>
              <w:bottom w:val="nil"/>
              <w:right w:val="nil"/>
            </w:tcBorders>
            <w:shd w:val="clear" w:color="auto" w:fill="auto"/>
            <w:noWrap/>
            <w:vAlign w:val="bottom"/>
            <w:hideMark/>
          </w:tcPr>
          <w:p w14:paraId="7F7169D9" w14:textId="6ED01026"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4.279</w:t>
            </w:r>
          </w:p>
        </w:tc>
      </w:tr>
      <w:tr w:rsidR="00750548" w:rsidRPr="00C82EE1" w14:paraId="5F8A3539" w14:textId="77777777" w:rsidTr="00750548">
        <w:trPr>
          <w:trHeight w:val="300"/>
          <w:jc w:val="center"/>
        </w:trPr>
        <w:tc>
          <w:tcPr>
            <w:tcW w:w="3162" w:type="dxa"/>
            <w:tcBorders>
              <w:top w:val="nil"/>
              <w:left w:val="nil"/>
              <w:bottom w:val="single" w:sz="4" w:space="0" w:color="auto"/>
              <w:right w:val="nil"/>
            </w:tcBorders>
            <w:shd w:val="clear" w:color="auto" w:fill="auto"/>
            <w:noWrap/>
            <w:vAlign w:val="bottom"/>
            <w:hideMark/>
          </w:tcPr>
          <w:p w14:paraId="5CC679F3" w14:textId="423FD19E"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hAnsi="Times New Roman" w:cs="Times New Roman"/>
                <w:i/>
                <w:iCs/>
                <w:color w:val="000000"/>
              </w:rPr>
              <w:t>Diversity</w:t>
            </w:r>
          </w:p>
        </w:tc>
        <w:tc>
          <w:tcPr>
            <w:tcW w:w="756" w:type="dxa"/>
            <w:tcBorders>
              <w:top w:val="nil"/>
              <w:left w:val="nil"/>
              <w:bottom w:val="single" w:sz="4" w:space="0" w:color="auto"/>
              <w:right w:val="nil"/>
            </w:tcBorders>
            <w:shd w:val="clear" w:color="auto" w:fill="auto"/>
            <w:noWrap/>
            <w:vAlign w:val="bottom"/>
            <w:hideMark/>
          </w:tcPr>
          <w:p w14:paraId="454135BF" w14:textId="736E3E19"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1,202</w:t>
            </w:r>
          </w:p>
        </w:tc>
        <w:tc>
          <w:tcPr>
            <w:tcW w:w="1220" w:type="dxa"/>
            <w:tcBorders>
              <w:top w:val="nil"/>
              <w:left w:val="nil"/>
              <w:bottom w:val="single" w:sz="4" w:space="0" w:color="auto"/>
              <w:right w:val="nil"/>
            </w:tcBorders>
            <w:shd w:val="clear" w:color="auto" w:fill="auto"/>
            <w:noWrap/>
            <w:vAlign w:val="bottom"/>
            <w:hideMark/>
          </w:tcPr>
          <w:p w14:paraId="71B7AB63" w14:textId="312CD21A"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0.396</w:t>
            </w:r>
          </w:p>
        </w:tc>
        <w:tc>
          <w:tcPr>
            <w:tcW w:w="998" w:type="dxa"/>
            <w:tcBorders>
              <w:top w:val="nil"/>
              <w:left w:val="nil"/>
              <w:bottom w:val="single" w:sz="4" w:space="0" w:color="auto"/>
              <w:right w:val="nil"/>
            </w:tcBorders>
            <w:shd w:val="clear" w:color="auto" w:fill="auto"/>
            <w:noWrap/>
            <w:vAlign w:val="bottom"/>
            <w:hideMark/>
          </w:tcPr>
          <w:p w14:paraId="2E36EE5A" w14:textId="4BD0BD90"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2.715</w:t>
            </w:r>
          </w:p>
        </w:tc>
        <w:tc>
          <w:tcPr>
            <w:tcW w:w="1220" w:type="dxa"/>
            <w:tcBorders>
              <w:top w:val="nil"/>
              <w:left w:val="nil"/>
              <w:bottom w:val="single" w:sz="4" w:space="0" w:color="auto"/>
              <w:right w:val="nil"/>
            </w:tcBorders>
            <w:shd w:val="clear" w:color="auto" w:fill="auto"/>
            <w:noWrap/>
            <w:vAlign w:val="bottom"/>
            <w:hideMark/>
          </w:tcPr>
          <w:p w14:paraId="0C62B011" w14:textId="3BA03EF3"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-7.537</w:t>
            </w:r>
          </w:p>
        </w:tc>
        <w:tc>
          <w:tcPr>
            <w:tcW w:w="1003" w:type="dxa"/>
            <w:tcBorders>
              <w:top w:val="nil"/>
              <w:left w:val="nil"/>
              <w:bottom w:val="single" w:sz="4" w:space="0" w:color="auto"/>
              <w:right w:val="nil"/>
            </w:tcBorders>
            <w:shd w:val="clear" w:color="auto" w:fill="auto"/>
            <w:noWrap/>
            <w:vAlign w:val="bottom"/>
            <w:hideMark/>
          </w:tcPr>
          <w:p w14:paraId="41092696" w14:textId="29D9F2C6"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0.691</w:t>
            </w:r>
          </w:p>
        </w:tc>
        <w:tc>
          <w:tcPr>
            <w:tcW w:w="998" w:type="dxa"/>
            <w:tcBorders>
              <w:top w:val="nil"/>
              <w:left w:val="nil"/>
              <w:bottom w:val="single" w:sz="4" w:space="0" w:color="auto"/>
              <w:right w:val="nil"/>
            </w:tcBorders>
            <w:shd w:val="clear" w:color="auto" w:fill="auto"/>
            <w:noWrap/>
            <w:vAlign w:val="bottom"/>
            <w:hideMark/>
          </w:tcPr>
          <w:p w14:paraId="171A1AFE" w14:textId="199F9BB3"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rPr>
              <w:t>5.524</w:t>
            </w:r>
          </w:p>
        </w:tc>
      </w:tr>
      <w:tr w:rsidR="00750548" w:rsidRPr="00C82EE1" w14:paraId="0F999EC7"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5428B95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p w14:paraId="395A9B6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p w14:paraId="640816E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p w14:paraId="25648CD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p>
          <w:p w14:paraId="6BCC0805" w14:textId="77777777" w:rsidR="00750548" w:rsidRDefault="00750548" w:rsidP="00750548">
            <w:pPr>
              <w:spacing w:after="0" w:line="240" w:lineRule="auto"/>
              <w:jc w:val="both"/>
              <w:rPr>
                <w:rFonts w:ascii="Times New Roman" w:eastAsia="Times New Roman" w:hAnsi="Times New Roman" w:cs="Times New Roman"/>
                <w:color w:val="000000"/>
                <w:sz w:val="24"/>
                <w:szCs w:val="24"/>
              </w:rPr>
            </w:pPr>
          </w:p>
          <w:p w14:paraId="0715CCAA" w14:textId="77777777" w:rsidR="00B35D3F" w:rsidRDefault="00B35D3F" w:rsidP="00750548">
            <w:pPr>
              <w:spacing w:after="0" w:line="240" w:lineRule="auto"/>
              <w:jc w:val="both"/>
              <w:rPr>
                <w:rFonts w:ascii="Times New Roman" w:eastAsia="Times New Roman" w:hAnsi="Times New Roman" w:cs="Times New Roman"/>
                <w:color w:val="000000"/>
                <w:sz w:val="24"/>
                <w:szCs w:val="24"/>
              </w:rPr>
            </w:pPr>
          </w:p>
          <w:p w14:paraId="7D8B2F24" w14:textId="77777777" w:rsidR="00B35D3F" w:rsidRDefault="00B35D3F" w:rsidP="00750548">
            <w:pPr>
              <w:spacing w:after="0" w:line="240" w:lineRule="auto"/>
              <w:jc w:val="both"/>
              <w:rPr>
                <w:rFonts w:ascii="Times New Roman" w:eastAsia="Times New Roman" w:hAnsi="Times New Roman" w:cs="Times New Roman"/>
                <w:color w:val="000000"/>
                <w:sz w:val="24"/>
                <w:szCs w:val="24"/>
              </w:rPr>
            </w:pPr>
          </w:p>
          <w:p w14:paraId="4BEC86F4" w14:textId="77777777" w:rsidR="00B35D3F" w:rsidRDefault="00B35D3F" w:rsidP="00750548">
            <w:pPr>
              <w:spacing w:after="0" w:line="240" w:lineRule="auto"/>
              <w:jc w:val="both"/>
              <w:rPr>
                <w:rFonts w:ascii="Times New Roman" w:eastAsia="Times New Roman" w:hAnsi="Times New Roman" w:cs="Times New Roman"/>
                <w:color w:val="000000"/>
                <w:sz w:val="24"/>
                <w:szCs w:val="24"/>
              </w:rPr>
            </w:pPr>
          </w:p>
          <w:p w14:paraId="4286DEE1" w14:textId="3142D401" w:rsidR="000B4071" w:rsidRPr="00C82EE1" w:rsidRDefault="000B4071" w:rsidP="00750548">
            <w:pPr>
              <w:spacing w:after="0" w:line="240" w:lineRule="auto"/>
              <w:jc w:val="both"/>
              <w:rPr>
                <w:rFonts w:ascii="Times New Roman" w:eastAsia="Times New Roman" w:hAnsi="Times New Roman" w:cs="Times New Roman"/>
                <w:color w:val="000000"/>
                <w:sz w:val="24"/>
                <w:szCs w:val="24"/>
              </w:rPr>
            </w:pPr>
          </w:p>
        </w:tc>
        <w:tc>
          <w:tcPr>
            <w:tcW w:w="756" w:type="dxa"/>
            <w:tcBorders>
              <w:top w:val="nil"/>
              <w:left w:val="nil"/>
              <w:bottom w:val="nil"/>
              <w:right w:val="nil"/>
            </w:tcBorders>
            <w:shd w:val="clear" w:color="auto" w:fill="auto"/>
            <w:noWrap/>
            <w:vAlign w:val="bottom"/>
            <w:hideMark/>
          </w:tcPr>
          <w:p w14:paraId="4B214058"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55AE4B4E"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1A8BD94A"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021B9938"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14:paraId="77D1A8B2"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4141AD14"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r>
      <w:tr w:rsidR="00750548" w:rsidRPr="00C82EE1" w14:paraId="542D9B48" w14:textId="77777777" w:rsidTr="00750548">
        <w:trPr>
          <w:trHeight w:val="300"/>
          <w:jc w:val="center"/>
        </w:trPr>
        <w:tc>
          <w:tcPr>
            <w:tcW w:w="9357" w:type="dxa"/>
            <w:gridSpan w:val="7"/>
            <w:tcBorders>
              <w:top w:val="nil"/>
              <w:left w:val="nil"/>
              <w:bottom w:val="single" w:sz="4" w:space="0" w:color="auto"/>
              <w:right w:val="nil"/>
            </w:tcBorders>
            <w:shd w:val="clear" w:color="auto" w:fill="auto"/>
            <w:noWrap/>
            <w:vAlign w:val="bottom"/>
            <w:hideMark/>
          </w:tcPr>
          <w:p w14:paraId="136CE8D9"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Panel C: Dependent, additional interest and control variables</w:t>
            </w:r>
          </w:p>
        </w:tc>
      </w:tr>
      <w:tr w:rsidR="00750548" w:rsidRPr="00C82EE1" w14:paraId="7A6B883B" w14:textId="77777777" w:rsidTr="00750548">
        <w:trPr>
          <w:trHeight w:val="300"/>
          <w:jc w:val="center"/>
        </w:trPr>
        <w:tc>
          <w:tcPr>
            <w:tcW w:w="3162" w:type="dxa"/>
            <w:tcBorders>
              <w:top w:val="nil"/>
              <w:left w:val="nil"/>
              <w:bottom w:val="single" w:sz="4" w:space="0" w:color="auto"/>
              <w:right w:val="nil"/>
            </w:tcBorders>
            <w:shd w:val="clear" w:color="auto" w:fill="auto"/>
            <w:noWrap/>
            <w:vAlign w:val="bottom"/>
            <w:hideMark/>
          </w:tcPr>
          <w:p w14:paraId="74AAF9D0" w14:textId="77777777"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Variable</w:t>
            </w:r>
          </w:p>
        </w:tc>
        <w:tc>
          <w:tcPr>
            <w:tcW w:w="756" w:type="dxa"/>
            <w:tcBorders>
              <w:top w:val="nil"/>
              <w:left w:val="nil"/>
              <w:bottom w:val="single" w:sz="4" w:space="0" w:color="auto"/>
              <w:right w:val="nil"/>
            </w:tcBorders>
            <w:shd w:val="clear" w:color="auto" w:fill="auto"/>
            <w:noWrap/>
            <w:vAlign w:val="bottom"/>
            <w:hideMark/>
          </w:tcPr>
          <w:p w14:paraId="5E3E868A" w14:textId="77777777"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N</w:t>
            </w:r>
          </w:p>
        </w:tc>
        <w:tc>
          <w:tcPr>
            <w:tcW w:w="1220" w:type="dxa"/>
            <w:tcBorders>
              <w:top w:val="nil"/>
              <w:left w:val="nil"/>
              <w:bottom w:val="single" w:sz="4" w:space="0" w:color="auto"/>
              <w:right w:val="nil"/>
            </w:tcBorders>
            <w:shd w:val="clear" w:color="auto" w:fill="auto"/>
            <w:noWrap/>
            <w:vAlign w:val="bottom"/>
            <w:hideMark/>
          </w:tcPr>
          <w:p w14:paraId="1FBC3E37" w14:textId="77777777"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Mean</w:t>
            </w:r>
          </w:p>
        </w:tc>
        <w:tc>
          <w:tcPr>
            <w:tcW w:w="998" w:type="dxa"/>
            <w:tcBorders>
              <w:top w:val="nil"/>
              <w:left w:val="nil"/>
              <w:bottom w:val="single" w:sz="4" w:space="0" w:color="auto"/>
              <w:right w:val="nil"/>
            </w:tcBorders>
            <w:shd w:val="clear" w:color="auto" w:fill="auto"/>
            <w:noWrap/>
            <w:vAlign w:val="bottom"/>
            <w:hideMark/>
          </w:tcPr>
          <w:p w14:paraId="13AB94E8" w14:textId="77777777"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St/Dev</w:t>
            </w:r>
          </w:p>
        </w:tc>
        <w:tc>
          <w:tcPr>
            <w:tcW w:w="1220" w:type="dxa"/>
            <w:tcBorders>
              <w:top w:val="nil"/>
              <w:left w:val="nil"/>
              <w:bottom w:val="single" w:sz="4" w:space="0" w:color="auto"/>
              <w:right w:val="nil"/>
            </w:tcBorders>
            <w:shd w:val="clear" w:color="auto" w:fill="auto"/>
            <w:noWrap/>
            <w:vAlign w:val="bottom"/>
            <w:hideMark/>
          </w:tcPr>
          <w:p w14:paraId="387C425A" w14:textId="77777777"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Min</w:t>
            </w:r>
          </w:p>
        </w:tc>
        <w:tc>
          <w:tcPr>
            <w:tcW w:w="1003" w:type="dxa"/>
            <w:tcBorders>
              <w:top w:val="nil"/>
              <w:left w:val="nil"/>
              <w:bottom w:val="single" w:sz="4" w:space="0" w:color="auto"/>
              <w:right w:val="nil"/>
            </w:tcBorders>
            <w:shd w:val="clear" w:color="auto" w:fill="auto"/>
            <w:noWrap/>
            <w:vAlign w:val="bottom"/>
            <w:hideMark/>
          </w:tcPr>
          <w:p w14:paraId="120A47C5" w14:textId="77777777"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Median</w:t>
            </w:r>
          </w:p>
        </w:tc>
        <w:tc>
          <w:tcPr>
            <w:tcW w:w="998" w:type="dxa"/>
            <w:tcBorders>
              <w:top w:val="nil"/>
              <w:left w:val="nil"/>
              <w:bottom w:val="single" w:sz="4" w:space="0" w:color="auto"/>
              <w:right w:val="nil"/>
            </w:tcBorders>
            <w:shd w:val="clear" w:color="auto" w:fill="auto"/>
            <w:noWrap/>
            <w:vAlign w:val="bottom"/>
            <w:hideMark/>
          </w:tcPr>
          <w:p w14:paraId="2F701893" w14:textId="77777777" w:rsidR="00750548" w:rsidRPr="00C82EE1" w:rsidRDefault="00750548" w:rsidP="00750548">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Max</w:t>
            </w:r>
          </w:p>
        </w:tc>
      </w:tr>
      <w:tr w:rsidR="00750548" w:rsidRPr="00C82EE1" w14:paraId="5F8DDA77" w14:textId="77777777" w:rsidTr="00750548">
        <w:trPr>
          <w:trHeight w:val="300"/>
          <w:jc w:val="center"/>
        </w:trPr>
        <w:tc>
          <w:tcPr>
            <w:tcW w:w="3918" w:type="dxa"/>
            <w:gridSpan w:val="2"/>
            <w:tcBorders>
              <w:top w:val="nil"/>
              <w:left w:val="nil"/>
              <w:bottom w:val="nil"/>
              <w:right w:val="nil"/>
            </w:tcBorders>
            <w:shd w:val="clear" w:color="auto" w:fill="auto"/>
            <w:noWrap/>
            <w:vAlign w:val="bottom"/>
            <w:hideMark/>
          </w:tcPr>
          <w:p w14:paraId="0A562E8E"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r w:rsidRPr="00C82EE1">
              <w:rPr>
                <w:rFonts w:ascii="Times New Roman" w:eastAsia="Times New Roman" w:hAnsi="Times New Roman" w:cs="Times New Roman"/>
                <w:b/>
                <w:bCs/>
                <w:i/>
                <w:iCs/>
                <w:color w:val="000000"/>
                <w:sz w:val="24"/>
                <w:szCs w:val="24"/>
              </w:rPr>
              <w:t>ICO Success proxies</w:t>
            </w:r>
          </w:p>
        </w:tc>
        <w:tc>
          <w:tcPr>
            <w:tcW w:w="1220" w:type="dxa"/>
            <w:tcBorders>
              <w:top w:val="nil"/>
              <w:left w:val="nil"/>
              <w:bottom w:val="nil"/>
              <w:right w:val="nil"/>
            </w:tcBorders>
            <w:shd w:val="clear" w:color="auto" w:fill="auto"/>
            <w:noWrap/>
            <w:vAlign w:val="bottom"/>
            <w:hideMark/>
          </w:tcPr>
          <w:p w14:paraId="2744BF73"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p>
        </w:tc>
        <w:tc>
          <w:tcPr>
            <w:tcW w:w="998" w:type="dxa"/>
            <w:tcBorders>
              <w:top w:val="nil"/>
              <w:left w:val="nil"/>
              <w:bottom w:val="nil"/>
              <w:right w:val="nil"/>
            </w:tcBorders>
            <w:shd w:val="clear" w:color="auto" w:fill="auto"/>
            <w:noWrap/>
            <w:vAlign w:val="bottom"/>
            <w:hideMark/>
          </w:tcPr>
          <w:p w14:paraId="13716BA8"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013BCD73"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14:paraId="6E4557D7"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7547D39B"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r>
      <w:tr w:rsidR="00750548" w:rsidRPr="00C82EE1" w14:paraId="5FAB4E92"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6002FC7E"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Amount raised</w:t>
            </w:r>
          </w:p>
        </w:tc>
        <w:tc>
          <w:tcPr>
            <w:tcW w:w="756" w:type="dxa"/>
            <w:tcBorders>
              <w:top w:val="nil"/>
              <w:left w:val="nil"/>
              <w:bottom w:val="nil"/>
              <w:right w:val="nil"/>
            </w:tcBorders>
            <w:shd w:val="clear" w:color="auto" w:fill="auto"/>
            <w:noWrap/>
            <w:vAlign w:val="bottom"/>
            <w:hideMark/>
          </w:tcPr>
          <w:p w14:paraId="6D9D51E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475AF1F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8,720</w:t>
            </w:r>
          </w:p>
        </w:tc>
        <w:tc>
          <w:tcPr>
            <w:tcW w:w="998" w:type="dxa"/>
            <w:tcBorders>
              <w:top w:val="nil"/>
              <w:left w:val="nil"/>
              <w:bottom w:val="nil"/>
              <w:right w:val="nil"/>
            </w:tcBorders>
            <w:shd w:val="clear" w:color="auto" w:fill="auto"/>
            <w:noWrap/>
            <w:vAlign w:val="bottom"/>
            <w:hideMark/>
          </w:tcPr>
          <w:p w14:paraId="07025B3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11,697</w:t>
            </w:r>
          </w:p>
        </w:tc>
        <w:tc>
          <w:tcPr>
            <w:tcW w:w="1220" w:type="dxa"/>
            <w:tcBorders>
              <w:top w:val="nil"/>
              <w:left w:val="nil"/>
              <w:bottom w:val="nil"/>
              <w:right w:val="nil"/>
            </w:tcBorders>
            <w:shd w:val="clear" w:color="auto" w:fill="auto"/>
            <w:noWrap/>
            <w:vAlign w:val="bottom"/>
            <w:hideMark/>
          </w:tcPr>
          <w:p w14:paraId="00731552" w14:textId="1A0F845D"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5,009</w:t>
            </w:r>
          </w:p>
        </w:tc>
        <w:tc>
          <w:tcPr>
            <w:tcW w:w="1003" w:type="dxa"/>
            <w:tcBorders>
              <w:top w:val="nil"/>
              <w:left w:val="nil"/>
              <w:bottom w:val="nil"/>
              <w:right w:val="nil"/>
            </w:tcBorders>
            <w:shd w:val="clear" w:color="auto" w:fill="auto"/>
            <w:noWrap/>
            <w:vAlign w:val="bottom"/>
            <w:hideMark/>
          </w:tcPr>
          <w:p w14:paraId="5A059C5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3,783</w:t>
            </w:r>
          </w:p>
        </w:tc>
        <w:tc>
          <w:tcPr>
            <w:tcW w:w="998" w:type="dxa"/>
            <w:tcBorders>
              <w:top w:val="nil"/>
              <w:left w:val="nil"/>
              <w:bottom w:val="nil"/>
              <w:right w:val="nil"/>
            </w:tcBorders>
            <w:shd w:val="clear" w:color="auto" w:fill="auto"/>
            <w:noWrap/>
            <w:vAlign w:val="bottom"/>
            <w:hideMark/>
          </w:tcPr>
          <w:p w14:paraId="244AABB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54,990</w:t>
            </w:r>
          </w:p>
        </w:tc>
      </w:tr>
      <w:tr w:rsidR="00750548" w:rsidRPr="00C82EE1" w14:paraId="46DA0DA3"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49F219DF"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Token traded</w:t>
            </w:r>
          </w:p>
        </w:tc>
        <w:tc>
          <w:tcPr>
            <w:tcW w:w="756" w:type="dxa"/>
            <w:tcBorders>
              <w:top w:val="nil"/>
              <w:left w:val="nil"/>
              <w:bottom w:val="nil"/>
              <w:right w:val="nil"/>
            </w:tcBorders>
            <w:shd w:val="clear" w:color="auto" w:fill="auto"/>
            <w:noWrap/>
            <w:vAlign w:val="bottom"/>
            <w:hideMark/>
          </w:tcPr>
          <w:p w14:paraId="67D749E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493A8D6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0.208</w:t>
            </w:r>
          </w:p>
        </w:tc>
        <w:tc>
          <w:tcPr>
            <w:tcW w:w="998" w:type="dxa"/>
            <w:tcBorders>
              <w:top w:val="nil"/>
              <w:left w:val="nil"/>
              <w:bottom w:val="nil"/>
              <w:right w:val="nil"/>
            </w:tcBorders>
            <w:shd w:val="clear" w:color="auto" w:fill="auto"/>
            <w:noWrap/>
            <w:vAlign w:val="bottom"/>
            <w:hideMark/>
          </w:tcPr>
          <w:p w14:paraId="664FF05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0.406</w:t>
            </w:r>
          </w:p>
        </w:tc>
        <w:tc>
          <w:tcPr>
            <w:tcW w:w="1220" w:type="dxa"/>
            <w:tcBorders>
              <w:top w:val="nil"/>
              <w:left w:val="nil"/>
              <w:bottom w:val="nil"/>
              <w:right w:val="nil"/>
            </w:tcBorders>
            <w:shd w:val="clear" w:color="auto" w:fill="auto"/>
            <w:noWrap/>
            <w:vAlign w:val="bottom"/>
            <w:hideMark/>
          </w:tcPr>
          <w:p w14:paraId="23C391A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20B82E1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998" w:type="dxa"/>
            <w:tcBorders>
              <w:top w:val="nil"/>
              <w:left w:val="nil"/>
              <w:bottom w:val="nil"/>
              <w:right w:val="nil"/>
            </w:tcBorders>
            <w:shd w:val="clear" w:color="auto" w:fill="auto"/>
            <w:noWrap/>
            <w:vAlign w:val="bottom"/>
            <w:hideMark/>
          </w:tcPr>
          <w:p w14:paraId="54CC90C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0B8B3936"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3649F1AB"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ICOCompletion</w:t>
            </w:r>
            <w:proofErr w:type="spellEnd"/>
          </w:p>
        </w:tc>
        <w:tc>
          <w:tcPr>
            <w:tcW w:w="756" w:type="dxa"/>
            <w:tcBorders>
              <w:top w:val="nil"/>
              <w:left w:val="nil"/>
              <w:bottom w:val="nil"/>
              <w:right w:val="nil"/>
            </w:tcBorders>
            <w:shd w:val="clear" w:color="auto" w:fill="auto"/>
            <w:noWrap/>
            <w:vAlign w:val="bottom"/>
            <w:hideMark/>
          </w:tcPr>
          <w:p w14:paraId="4DC9039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339B82D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0.311</w:t>
            </w:r>
          </w:p>
        </w:tc>
        <w:tc>
          <w:tcPr>
            <w:tcW w:w="998" w:type="dxa"/>
            <w:tcBorders>
              <w:top w:val="nil"/>
              <w:left w:val="nil"/>
              <w:bottom w:val="nil"/>
              <w:right w:val="nil"/>
            </w:tcBorders>
            <w:shd w:val="clear" w:color="auto" w:fill="auto"/>
            <w:noWrap/>
            <w:vAlign w:val="bottom"/>
            <w:hideMark/>
          </w:tcPr>
          <w:p w14:paraId="6FF804F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0.463</w:t>
            </w:r>
          </w:p>
        </w:tc>
        <w:tc>
          <w:tcPr>
            <w:tcW w:w="1220" w:type="dxa"/>
            <w:tcBorders>
              <w:top w:val="nil"/>
              <w:left w:val="nil"/>
              <w:bottom w:val="nil"/>
              <w:right w:val="nil"/>
            </w:tcBorders>
            <w:shd w:val="clear" w:color="auto" w:fill="auto"/>
            <w:noWrap/>
            <w:vAlign w:val="bottom"/>
            <w:hideMark/>
          </w:tcPr>
          <w:p w14:paraId="18E2754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42BA1C0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998" w:type="dxa"/>
            <w:tcBorders>
              <w:top w:val="nil"/>
              <w:left w:val="nil"/>
              <w:bottom w:val="nil"/>
              <w:right w:val="nil"/>
            </w:tcBorders>
            <w:shd w:val="clear" w:color="auto" w:fill="auto"/>
            <w:noWrap/>
            <w:vAlign w:val="bottom"/>
            <w:hideMark/>
          </w:tcPr>
          <w:p w14:paraId="78D12BD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15880493" w14:textId="77777777" w:rsidTr="00750548">
        <w:trPr>
          <w:trHeight w:val="300"/>
          <w:jc w:val="center"/>
        </w:trPr>
        <w:tc>
          <w:tcPr>
            <w:tcW w:w="3918" w:type="dxa"/>
            <w:gridSpan w:val="2"/>
            <w:tcBorders>
              <w:top w:val="nil"/>
              <w:left w:val="nil"/>
              <w:bottom w:val="nil"/>
              <w:right w:val="nil"/>
            </w:tcBorders>
            <w:shd w:val="clear" w:color="auto" w:fill="auto"/>
            <w:noWrap/>
            <w:vAlign w:val="bottom"/>
            <w:hideMark/>
          </w:tcPr>
          <w:p w14:paraId="771E9452"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r w:rsidRPr="00C82EE1">
              <w:rPr>
                <w:rFonts w:ascii="Times New Roman" w:eastAsia="Times New Roman" w:hAnsi="Times New Roman" w:cs="Times New Roman"/>
                <w:b/>
                <w:bCs/>
                <w:i/>
                <w:iCs/>
                <w:color w:val="000000"/>
                <w:sz w:val="24"/>
                <w:szCs w:val="24"/>
              </w:rPr>
              <w:t>Readability variables</w:t>
            </w:r>
          </w:p>
        </w:tc>
        <w:tc>
          <w:tcPr>
            <w:tcW w:w="1220" w:type="dxa"/>
            <w:tcBorders>
              <w:top w:val="nil"/>
              <w:left w:val="nil"/>
              <w:bottom w:val="nil"/>
              <w:right w:val="nil"/>
            </w:tcBorders>
            <w:shd w:val="clear" w:color="auto" w:fill="auto"/>
            <w:noWrap/>
            <w:vAlign w:val="bottom"/>
            <w:hideMark/>
          </w:tcPr>
          <w:p w14:paraId="6B2D0778"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p>
        </w:tc>
        <w:tc>
          <w:tcPr>
            <w:tcW w:w="998" w:type="dxa"/>
            <w:tcBorders>
              <w:top w:val="nil"/>
              <w:left w:val="nil"/>
              <w:bottom w:val="nil"/>
              <w:right w:val="nil"/>
            </w:tcBorders>
            <w:shd w:val="clear" w:color="auto" w:fill="auto"/>
            <w:noWrap/>
            <w:vAlign w:val="bottom"/>
            <w:hideMark/>
          </w:tcPr>
          <w:p w14:paraId="39848633"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2C1D12E4"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14:paraId="726A8FCA"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7D1B25DA"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r>
      <w:tr w:rsidR="00750548" w:rsidRPr="00C82EE1" w14:paraId="185BC128"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E242FEE"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Readability_Flesch</w:t>
            </w:r>
            <w:proofErr w:type="spellEnd"/>
          </w:p>
        </w:tc>
        <w:tc>
          <w:tcPr>
            <w:tcW w:w="756" w:type="dxa"/>
            <w:tcBorders>
              <w:top w:val="nil"/>
              <w:left w:val="nil"/>
              <w:bottom w:val="nil"/>
              <w:right w:val="nil"/>
            </w:tcBorders>
            <w:shd w:val="clear" w:color="auto" w:fill="auto"/>
            <w:noWrap/>
            <w:vAlign w:val="bottom"/>
            <w:hideMark/>
          </w:tcPr>
          <w:p w14:paraId="6D4F7D9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D92430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40.652</w:t>
            </w:r>
          </w:p>
        </w:tc>
        <w:tc>
          <w:tcPr>
            <w:tcW w:w="998" w:type="dxa"/>
            <w:tcBorders>
              <w:top w:val="nil"/>
              <w:left w:val="nil"/>
              <w:bottom w:val="nil"/>
              <w:right w:val="nil"/>
            </w:tcBorders>
            <w:shd w:val="clear" w:color="auto" w:fill="auto"/>
            <w:noWrap/>
            <w:vAlign w:val="bottom"/>
            <w:hideMark/>
          </w:tcPr>
          <w:p w14:paraId="0F2150E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8.416</w:t>
            </w:r>
          </w:p>
        </w:tc>
        <w:tc>
          <w:tcPr>
            <w:tcW w:w="1220" w:type="dxa"/>
            <w:tcBorders>
              <w:top w:val="nil"/>
              <w:left w:val="nil"/>
              <w:bottom w:val="nil"/>
              <w:right w:val="nil"/>
            </w:tcBorders>
            <w:shd w:val="clear" w:color="auto" w:fill="auto"/>
            <w:noWrap/>
            <w:vAlign w:val="bottom"/>
            <w:hideMark/>
          </w:tcPr>
          <w:p w14:paraId="0C29C26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8.013</w:t>
            </w:r>
          </w:p>
        </w:tc>
        <w:tc>
          <w:tcPr>
            <w:tcW w:w="1003" w:type="dxa"/>
            <w:tcBorders>
              <w:top w:val="nil"/>
              <w:left w:val="nil"/>
              <w:bottom w:val="nil"/>
              <w:right w:val="nil"/>
            </w:tcBorders>
            <w:shd w:val="clear" w:color="auto" w:fill="auto"/>
            <w:noWrap/>
            <w:vAlign w:val="bottom"/>
            <w:hideMark/>
          </w:tcPr>
          <w:p w14:paraId="3914A9E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40.739</w:t>
            </w:r>
          </w:p>
        </w:tc>
        <w:tc>
          <w:tcPr>
            <w:tcW w:w="998" w:type="dxa"/>
            <w:tcBorders>
              <w:top w:val="nil"/>
              <w:left w:val="nil"/>
              <w:bottom w:val="nil"/>
              <w:right w:val="nil"/>
            </w:tcBorders>
            <w:shd w:val="clear" w:color="auto" w:fill="auto"/>
            <w:noWrap/>
            <w:vAlign w:val="bottom"/>
            <w:hideMark/>
          </w:tcPr>
          <w:p w14:paraId="68C63E9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67.849</w:t>
            </w:r>
          </w:p>
        </w:tc>
      </w:tr>
      <w:tr w:rsidR="00750548" w:rsidRPr="00C82EE1" w14:paraId="78A62FCF"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30DEC02"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Readability_FOG</w:t>
            </w:r>
            <w:proofErr w:type="spellEnd"/>
          </w:p>
        </w:tc>
        <w:tc>
          <w:tcPr>
            <w:tcW w:w="756" w:type="dxa"/>
            <w:tcBorders>
              <w:top w:val="nil"/>
              <w:left w:val="nil"/>
              <w:bottom w:val="nil"/>
              <w:right w:val="nil"/>
            </w:tcBorders>
            <w:shd w:val="clear" w:color="auto" w:fill="auto"/>
            <w:noWrap/>
            <w:vAlign w:val="bottom"/>
            <w:hideMark/>
          </w:tcPr>
          <w:p w14:paraId="1823BF5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2E70A32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-15.516</w:t>
            </w:r>
          </w:p>
        </w:tc>
        <w:tc>
          <w:tcPr>
            <w:tcW w:w="998" w:type="dxa"/>
            <w:tcBorders>
              <w:top w:val="nil"/>
              <w:left w:val="nil"/>
              <w:bottom w:val="nil"/>
              <w:right w:val="nil"/>
            </w:tcBorders>
            <w:shd w:val="clear" w:color="auto" w:fill="auto"/>
            <w:noWrap/>
            <w:vAlign w:val="bottom"/>
            <w:hideMark/>
          </w:tcPr>
          <w:p w14:paraId="322F151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2.114</w:t>
            </w:r>
          </w:p>
        </w:tc>
        <w:tc>
          <w:tcPr>
            <w:tcW w:w="1220" w:type="dxa"/>
            <w:tcBorders>
              <w:top w:val="nil"/>
              <w:left w:val="nil"/>
              <w:bottom w:val="nil"/>
              <w:right w:val="nil"/>
            </w:tcBorders>
            <w:shd w:val="clear" w:color="auto" w:fill="auto"/>
            <w:noWrap/>
            <w:vAlign w:val="bottom"/>
            <w:hideMark/>
          </w:tcPr>
          <w:p w14:paraId="5349B12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-22.912</w:t>
            </w:r>
          </w:p>
        </w:tc>
        <w:tc>
          <w:tcPr>
            <w:tcW w:w="1003" w:type="dxa"/>
            <w:tcBorders>
              <w:top w:val="nil"/>
              <w:left w:val="nil"/>
              <w:bottom w:val="nil"/>
              <w:right w:val="nil"/>
            </w:tcBorders>
            <w:shd w:val="clear" w:color="auto" w:fill="auto"/>
            <w:noWrap/>
            <w:vAlign w:val="bottom"/>
            <w:hideMark/>
          </w:tcPr>
          <w:p w14:paraId="4D1D36A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-15.452</w:t>
            </w:r>
          </w:p>
        </w:tc>
        <w:tc>
          <w:tcPr>
            <w:tcW w:w="998" w:type="dxa"/>
            <w:tcBorders>
              <w:top w:val="nil"/>
              <w:left w:val="nil"/>
              <w:bottom w:val="nil"/>
              <w:right w:val="nil"/>
            </w:tcBorders>
            <w:shd w:val="clear" w:color="auto" w:fill="auto"/>
            <w:noWrap/>
            <w:vAlign w:val="bottom"/>
            <w:hideMark/>
          </w:tcPr>
          <w:p w14:paraId="74C65B3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-9.045</w:t>
            </w:r>
          </w:p>
        </w:tc>
      </w:tr>
      <w:tr w:rsidR="00750548" w:rsidRPr="00C82EE1" w14:paraId="07CB05D6"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A850885"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Readability_Size</w:t>
            </w:r>
            <w:proofErr w:type="spellEnd"/>
          </w:p>
        </w:tc>
        <w:tc>
          <w:tcPr>
            <w:tcW w:w="756" w:type="dxa"/>
            <w:tcBorders>
              <w:top w:val="nil"/>
              <w:left w:val="nil"/>
              <w:bottom w:val="nil"/>
              <w:right w:val="nil"/>
            </w:tcBorders>
            <w:shd w:val="clear" w:color="auto" w:fill="auto"/>
            <w:noWrap/>
            <w:vAlign w:val="bottom"/>
            <w:hideMark/>
          </w:tcPr>
          <w:p w14:paraId="7CA4949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50E4EFC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-34.631</w:t>
            </w:r>
          </w:p>
        </w:tc>
        <w:tc>
          <w:tcPr>
            <w:tcW w:w="998" w:type="dxa"/>
            <w:tcBorders>
              <w:top w:val="nil"/>
              <w:left w:val="nil"/>
              <w:bottom w:val="nil"/>
              <w:right w:val="nil"/>
            </w:tcBorders>
            <w:shd w:val="clear" w:color="auto" w:fill="auto"/>
            <w:noWrap/>
            <w:vAlign w:val="bottom"/>
            <w:hideMark/>
          </w:tcPr>
          <w:p w14:paraId="79D02CA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17.113</w:t>
            </w:r>
          </w:p>
        </w:tc>
        <w:tc>
          <w:tcPr>
            <w:tcW w:w="1220" w:type="dxa"/>
            <w:tcBorders>
              <w:top w:val="nil"/>
              <w:left w:val="nil"/>
              <w:bottom w:val="nil"/>
              <w:right w:val="nil"/>
            </w:tcBorders>
            <w:shd w:val="clear" w:color="auto" w:fill="auto"/>
            <w:noWrap/>
            <w:vAlign w:val="bottom"/>
            <w:hideMark/>
          </w:tcPr>
          <w:p w14:paraId="424E618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-167</w:t>
            </w:r>
          </w:p>
        </w:tc>
        <w:tc>
          <w:tcPr>
            <w:tcW w:w="1003" w:type="dxa"/>
            <w:tcBorders>
              <w:top w:val="nil"/>
              <w:left w:val="nil"/>
              <w:bottom w:val="nil"/>
              <w:right w:val="nil"/>
            </w:tcBorders>
            <w:shd w:val="clear" w:color="auto" w:fill="auto"/>
            <w:noWrap/>
            <w:vAlign w:val="bottom"/>
            <w:hideMark/>
          </w:tcPr>
          <w:p w14:paraId="53FF737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-32</w:t>
            </w:r>
          </w:p>
        </w:tc>
        <w:tc>
          <w:tcPr>
            <w:tcW w:w="998" w:type="dxa"/>
            <w:tcBorders>
              <w:top w:val="nil"/>
              <w:left w:val="nil"/>
              <w:bottom w:val="nil"/>
              <w:right w:val="nil"/>
            </w:tcBorders>
            <w:shd w:val="clear" w:color="auto" w:fill="auto"/>
            <w:noWrap/>
            <w:vAlign w:val="bottom"/>
            <w:hideMark/>
          </w:tcPr>
          <w:p w14:paraId="09FE9C9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w:t>
            </w:r>
          </w:p>
        </w:tc>
      </w:tr>
      <w:tr w:rsidR="00750548" w:rsidRPr="00C82EE1" w14:paraId="66CFDD02" w14:textId="77777777" w:rsidTr="00750548">
        <w:trPr>
          <w:trHeight w:val="300"/>
          <w:jc w:val="center"/>
        </w:trPr>
        <w:tc>
          <w:tcPr>
            <w:tcW w:w="3918" w:type="dxa"/>
            <w:gridSpan w:val="2"/>
            <w:tcBorders>
              <w:top w:val="nil"/>
              <w:left w:val="nil"/>
              <w:bottom w:val="nil"/>
              <w:right w:val="nil"/>
            </w:tcBorders>
            <w:shd w:val="clear" w:color="auto" w:fill="auto"/>
            <w:noWrap/>
            <w:vAlign w:val="bottom"/>
            <w:hideMark/>
          </w:tcPr>
          <w:p w14:paraId="12AB8B35"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r w:rsidRPr="00C82EE1">
              <w:rPr>
                <w:rFonts w:ascii="Times New Roman" w:eastAsia="Times New Roman" w:hAnsi="Times New Roman" w:cs="Times New Roman"/>
                <w:b/>
                <w:bCs/>
                <w:i/>
                <w:iCs/>
                <w:color w:val="000000"/>
                <w:sz w:val="24"/>
                <w:szCs w:val="24"/>
              </w:rPr>
              <w:t>Mechanism variables</w:t>
            </w:r>
          </w:p>
        </w:tc>
        <w:tc>
          <w:tcPr>
            <w:tcW w:w="1220" w:type="dxa"/>
            <w:tcBorders>
              <w:top w:val="nil"/>
              <w:left w:val="nil"/>
              <w:bottom w:val="nil"/>
              <w:right w:val="nil"/>
            </w:tcBorders>
            <w:shd w:val="clear" w:color="auto" w:fill="auto"/>
            <w:noWrap/>
            <w:vAlign w:val="bottom"/>
            <w:hideMark/>
          </w:tcPr>
          <w:p w14:paraId="5A082706"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p>
        </w:tc>
        <w:tc>
          <w:tcPr>
            <w:tcW w:w="998" w:type="dxa"/>
            <w:tcBorders>
              <w:top w:val="nil"/>
              <w:left w:val="nil"/>
              <w:bottom w:val="nil"/>
              <w:right w:val="nil"/>
            </w:tcBorders>
            <w:shd w:val="clear" w:color="auto" w:fill="auto"/>
            <w:noWrap/>
            <w:vAlign w:val="bottom"/>
            <w:hideMark/>
          </w:tcPr>
          <w:p w14:paraId="05CE08EB"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4C38DCE3"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14:paraId="3C7ECF2D"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67DEBB99"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r>
      <w:tr w:rsidR="00750548" w:rsidRPr="00C82EE1" w14:paraId="61A6BF98"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4F5E7C4E"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Rating</w:t>
            </w:r>
          </w:p>
        </w:tc>
        <w:tc>
          <w:tcPr>
            <w:tcW w:w="756" w:type="dxa"/>
            <w:tcBorders>
              <w:top w:val="nil"/>
              <w:left w:val="nil"/>
              <w:bottom w:val="nil"/>
              <w:right w:val="nil"/>
            </w:tcBorders>
            <w:shd w:val="clear" w:color="auto" w:fill="auto"/>
            <w:noWrap/>
            <w:vAlign w:val="bottom"/>
            <w:hideMark/>
          </w:tcPr>
          <w:p w14:paraId="76D3895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2C49842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0.372</w:t>
            </w:r>
          </w:p>
        </w:tc>
        <w:tc>
          <w:tcPr>
            <w:tcW w:w="998" w:type="dxa"/>
            <w:tcBorders>
              <w:top w:val="nil"/>
              <w:left w:val="nil"/>
              <w:bottom w:val="nil"/>
              <w:right w:val="nil"/>
            </w:tcBorders>
            <w:shd w:val="clear" w:color="auto" w:fill="auto"/>
            <w:noWrap/>
            <w:vAlign w:val="bottom"/>
            <w:hideMark/>
          </w:tcPr>
          <w:p w14:paraId="1B5EF3F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0.688</w:t>
            </w:r>
          </w:p>
        </w:tc>
        <w:tc>
          <w:tcPr>
            <w:tcW w:w="1220" w:type="dxa"/>
            <w:tcBorders>
              <w:top w:val="nil"/>
              <w:left w:val="nil"/>
              <w:bottom w:val="nil"/>
              <w:right w:val="nil"/>
            </w:tcBorders>
            <w:shd w:val="clear" w:color="auto" w:fill="auto"/>
            <w:noWrap/>
            <w:vAlign w:val="bottom"/>
            <w:hideMark/>
          </w:tcPr>
          <w:p w14:paraId="24C29FA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-1.920</w:t>
            </w:r>
          </w:p>
        </w:tc>
        <w:tc>
          <w:tcPr>
            <w:tcW w:w="1003" w:type="dxa"/>
            <w:tcBorders>
              <w:top w:val="nil"/>
              <w:left w:val="nil"/>
              <w:bottom w:val="nil"/>
              <w:right w:val="nil"/>
            </w:tcBorders>
            <w:shd w:val="clear" w:color="auto" w:fill="auto"/>
            <w:noWrap/>
            <w:vAlign w:val="bottom"/>
            <w:hideMark/>
          </w:tcPr>
          <w:p w14:paraId="5974923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0.426</w:t>
            </w:r>
          </w:p>
        </w:tc>
        <w:tc>
          <w:tcPr>
            <w:tcW w:w="998" w:type="dxa"/>
            <w:tcBorders>
              <w:top w:val="nil"/>
              <w:left w:val="nil"/>
              <w:bottom w:val="nil"/>
              <w:right w:val="nil"/>
            </w:tcBorders>
            <w:shd w:val="clear" w:color="auto" w:fill="auto"/>
            <w:noWrap/>
            <w:vAlign w:val="bottom"/>
            <w:hideMark/>
          </w:tcPr>
          <w:p w14:paraId="681AA7D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2.218</w:t>
            </w:r>
          </w:p>
        </w:tc>
      </w:tr>
      <w:tr w:rsidR="00750548" w:rsidRPr="00C82EE1" w14:paraId="317F76BA"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55112327"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Technicality</w:t>
            </w:r>
          </w:p>
        </w:tc>
        <w:tc>
          <w:tcPr>
            <w:tcW w:w="756" w:type="dxa"/>
            <w:tcBorders>
              <w:top w:val="nil"/>
              <w:left w:val="nil"/>
              <w:bottom w:val="nil"/>
              <w:right w:val="nil"/>
            </w:tcBorders>
            <w:shd w:val="clear" w:color="auto" w:fill="auto"/>
            <w:noWrap/>
            <w:vAlign w:val="bottom"/>
            <w:hideMark/>
          </w:tcPr>
          <w:p w14:paraId="0D7E6F7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4686784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0.357</w:t>
            </w:r>
          </w:p>
        </w:tc>
        <w:tc>
          <w:tcPr>
            <w:tcW w:w="998" w:type="dxa"/>
            <w:tcBorders>
              <w:top w:val="nil"/>
              <w:left w:val="nil"/>
              <w:bottom w:val="nil"/>
              <w:right w:val="nil"/>
            </w:tcBorders>
            <w:shd w:val="clear" w:color="auto" w:fill="auto"/>
            <w:noWrap/>
            <w:vAlign w:val="bottom"/>
            <w:hideMark/>
          </w:tcPr>
          <w:p w14:paraId="2FC10C0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0.247</w:t>
            </w:r>
          </w:p>
        </w:tc>
        <w:tc>
          <w:tcPr>
            <w:tcW w:w="1220" w:type="dxa"/>
            <w:tcBorders>
              <w:top w:val="nil"/>
              <w:left w:val="nil"/>
              <w:bottom w:val="nil"/>
              <w:right w:val="nil"/>
            </w:tcBorders>
            <w:shd w:val="clear" w:color="auto" w:fill="auto"/>
            <w:noWrap/>
            <w:vAlign w:val="bottom"/>
            <w:hideMark/>
          </w:tcPr>
          <w:p w14:paraId="1BF7CA1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0.040</w:t>
            </w:r>
          </w:p>
        </w:tc>
        <w:tc>
          <w:tcPr>
            <w:tcW w:w="1003" w:type="dxa"/>
            <w:tcBorders>
              <w:top w:val="nil"/>
              <w:left w:val="nil"/>
              <w:bottom w:val="nil"/>
              <w:right w:val="nil"/>
            </w:tcBorders>
            <w:shd w:val="clear" w:color="auto" w:fill="auto"/>
            <w:noWrap/>
            <w:vAlign w:val="bottom"/>
            <w:hideMark/>
          </w:tcPr>
          <w:p w14:paraId="0C10311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0.279</w:t>
            </w:r>
          </w:p>
        </w:tc>
        <w:tc>
          <w:tcPr>
            <w:tcW w:w="998" w:type="dxa"/>
            <w:tcBorders>
              <w:top w:val="nil"/>
              <w:left w:val="nil"/>
              <w:bottom w:val="nil"/>
              <w:right w:val="nil"/>
            </w:tcBorders>
            <w:shd w:val="clear" w:color="auto" w:fill="auto"/>
            <w:noWrap/>
            <w:vAlign w:val="bottom"/>
            <w:hideMark/>
          </w:tcPr>
          <w:p w14:paraId="64371DC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1.133</w:t>
            </w:r>
          </w:p>
        </w:tc>
      </w:tr>
      <w:tr w:rsidR="00750548" w:rsidRPr="00C82EE1" w14:paraId="26ABD665"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01FA7FF6"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Rating dispersion</w:t>
            </w:r>
          </w:p>
        </w:tc>
        <w:tc>
          <w:tcPr>
            <w:tcW w:w="756" w:type="dxa"/>
            <w:tcBorders>
              <w:top w:val="nil"/>
              <w:left w:val="nil"/>
              <w:bottom w:val="nil"/>
              <w:right w:val="nil"/>
            </w:tcBorders>
            <w:shd w:val="clear" w:color="auto" w:fill="auto"/>
            <w:noWrap/>
            <w:vAlign w:val="bottom"/>
            <w:hideMark/>
          </w:tcPr>
          <w:p w14:paraId="020BB14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59D7B8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0.035</w:t>
            </w:r>
          </w:p>
        </w:tc>
        <w:tc>
          <w:tcPr>
            <w:tcW w:w="998" w:type="dxa"/>
            <w:tcBorders>
              <w:top w:val="nil"/>
              <w:left w:val="nil"/>
              <w:bottom w:val="nil"/>
              <w:right w:val="nil"/>
            </w:tcBorders>
            <w:shd w:val="clear" w:color="auto" w:fill="auto"/>
            <w:noWrap/>
            <w:vAlign w:val="bottom"/>
            <w:hideMark/>
          </w:tcPr>
          <w:p w14:paraId="5599402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0.023</w:t>
            </w:r>
          </w:p>
        </w:tc>
        <w:tc>
          <w:tcPr>
            <w:tcW w:w="1220" w:type="dxa"/>
            <w:tcBorders>
              <w:top w:val="nil"/>
              <w:left w:val="nil"/>
              <w:bottom w:val="nil"/>
              <w:right w:val="nil"/>
            </w:tcBorders>
            <w:shd w:val="clear" w:color="auto" w:fill="auto"/>
            <w:noWrap/>
            <w:vAlign w:val="bottom"/>
            <w:hideMark/>
          </w:tcPr>
          <w:p w14:paraId="7340223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0.0001</w:t>
            </w:r>
          </w:p>
        </w:tc>
        <w:tc>
          <w:tcPr>
            <w:tcW w:w="1003" w:type="dxa"/>
            <w:tcBorders>
              <w:top w:val="nil"/>
              <w:left w:val="nil"/>
              <w:bottom w:val="nil"/>
              <w:right w:val="nil"/>
            </w:tcBorders>
            <w:shd w:val="clear" w:color="auto" w:fill="auto"/>
            <w:noWrap/>
            <w:vAlign w:val="bottom"/>
            <w:hideMark/>
          </w:tcPr>
          <w:p w14:paraId="7E6E334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0.033</w:t>
            </w:r>
          </w:p>
        </w:tc>
        <w:tc>
          <w:tcPr>
            <w:tcW w:w="998" w:type="dxa"/>
            <w:tcBorders>
              <w:top w:val="nil"/>
              <w:left w:val="nil"/>
              <w:bottom w:val="nil"/>
              <w:right w:val="nil"/>
            </w:tcBorders>
            <w:shd w:val="clear" w:color="auto" w:fill="auto"/>
            <w:noWrap/>
            <w:vAlign w:val="bottom"/>
            <w:hideMark/>
          </w:tcPr>
          <w:p w14:paraId="64B2491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0.112</w:t>
            </w:r>
          </w:p>
        </w:tc>
      </w:tr>
      <w:tr w:rsidR="00750548" w:rsidRPr="00C82EE1" w14:paraId="769F66D6"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294CBA02"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FundBacked</w:t>
            </w:r>
            <w:proofErr w:type="spellEnd"/>
          </w:p>
        </w:tc>
        <w:tc>
          <w:tcPr>
            <w:tcW w:w="756" w:type="dxa"/>
            <w:tcBorders>
              <w:top w:val="nil"/>
              <w:left w:val="nil"/>
              <w:bottom w:val="nil"/>
              <w:right w:val="nil"/>
            </w:tcBorders>
            <w:shd w:val="clear" w:color="auto" w:fill="auto"/>
            <w:noWrap/>
            <w:vAlign w:val="bottom"/>
            <w:hideMark/>
          </w:tcPr>
          <w:p w14:paraId="7F88A5F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3854846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0.076</w:t>
            </w:r>
          </w:p>
        </w:tc>
        <w:tc>
          <w:tcPr>
            <w:tcW w:w="998" w:type="dxa"/>
            <w:tcBorders>
              <w:top w:val="nil"/>
              <w:left w:val="nil"/>
              <w:bottom w:val="nil"/>
              <w:right w:val="nil"/>
            </w:tcBorders>
            <w:shd w:val="clear" w:color="auto" w:fill="auto"/>
            <w:noWrap/>
            <w:vAlign w:val="bottom"/>
            <w:hideMark/>
          </w:tcPr>
          <w:p w14:paraId="1D68EEF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0.265</w:t>
            </w:r>
          </w:p>
        </w:tc>
        <w:tc>
          <w:tcPr>
            <w:tcW w:w="1220" w:type="dxa"/>
            <w:tcBorders>
              <w:top w:val="nil"/>
              <w:left w:val="nil"/>
              <w:bottom w:val="nil"/>
              <w:right w:val="nil"/>
            </w:tcBorders>
            <w:shd w:val="clear" w:color="auto" w:fill="auto"/>
            <w:noWrap/>
            <w:vAlign w:val="bottom"/>
            <w:hideMark/>
          </w:tcPr>
          <w:p w14:paraId="5DA52BE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2491845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998" w:type="dxa"/>
            <w:tcBorders>
              <w:top w:val="nil"/>
              <w:left w:val="nil"/>
              <w:bottom w:val="nil"/>
              <w:right w:val="nil"/>
            </w:tcBorders>
            <w:shd w:val="clear" w:color="auto" w:fill="auto"/>
            <w:noWrap/>
            <w:vAlign w:val="bottom"/>
            <w:hideMark/>
          </w:tcPr>
          <w:p w14:paraId="7D8F1ED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4992B56E"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5C391142" w14:textId="7EF7945A"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7-day</w:t>
            </w:r>
            <w:r w:rsidR="007E5F1C">
              <w:rPr>
                <w:rFonts w:ascii="Times New Roman" w:eastAsia="Times New Roman" w:hAnsi="Times New Roman" w:cs="Times New Roman"/>
                <w:i/>
                <w:iCs/>
                <w:color w:val="000000"/>
                <w:sz w:val="24"/>
                <w:szCs w:val="24"/>
              </w:rPr>
              <w:t>s</w:t>
            </w:r>
            <w:r w:rsidRPr="00C82EE1">
              <w:rPr>
                <w:rFonts w:ascii="Times New Roman" w:eastAsia="Times New Roman" w:hAnsi="Times New Roman" w:cs="Times New Roman"/>
                <w:i/>
                <w:iCs/>
                <w:color w:val="000000"/>
                <w:sz w:val="24"/>
                <w:szCs w:val="24"/>
              </w:rPr>
              <w:t xml:space="preserve"> window growth rate</w:t>
            </w:r>
          </w:p>
        </w:tc>
        <w:tc>
          <w:tcPr>
            <w:tcW w:w="756" w:type="dxa"/>
            <w:tcBorders>
              <w:top w:val="nil"/>
              <w:left w:val="nil"/>
              <w:bottom w:val="nil"/>
              <w:right w:val="nil"/>
            </w:tcBorders>
            <w:shd w:val="clear" w:color="auto" w:fill="auto"/>
            <w:noWrap/>
            <w:vAlign w:val="bottom"/>
            <w:hideMark/>
          </w:tcPr>
          <w:p w14:paraId="1457F20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462</w:t>
            </w:r>
          </w:p>
        </w:tc>
        <w:tc>
          <w:tcPr>
            <w:tcW w:w="1220" w:type="dxa"/>
            <w:tcBorders>
              <w:top w:val="nil"/>
              <w:left w:val="nil"/>
              <w:bottom w:val="nil"/>
              <w:right w:val="nil"/>
            </w:tcBorders>
            <w:shd w:val="clear" w:color="auto" w:fill="auto"/>
            <w:noWrap/>
            <w:vAlign w:val="bottom"/>
            <w:hideMark/>
          </w:tcPr>
          <w:p w14:paraId="0CEC193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3.549</w:t>
            </w:r>
          </w:p>
        </w:tc>
        <w:tc>
          <w:tcPr>
            <w:tcW w:w="998" w:type="dxa"/>
            <w:tcBorders>
              <w:top w:val="nil"/>
              <w:left w:val="nil"/>
              <w:bottom w:val="nil"/>
              <w:right w:val="nil"/>
            </w:tcBorders>
            <w:shd w:val="clear" w:color="auto" w:fill="auto"/>
            <w:noWrap/>
            <w:vAlign w:val="bottom"/>
            <w:hideMark/>
          </w:tcPr>
          <w:p w14:paraId="588EED7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32.210</w:t>
            </w:r>
          </w:p>
        </w:tc>
        <w:tc>
          <w:tcPr>
            <w:tcW w:w="1220" w:type="dxa"/>
            <w:tcBorders>
              <w:top w:val="nil"/>
              <w:left w:val="nil"/>
              <w:bottom w:val="nil"/>
              <w:right w:val="nil"/>
            </w:tcBorders>
            <w:shd w:val="clear" w:color="auto" w:fill="auto"/>
            <w:noWrap/>
            <w:vAlign w:val="bottom"/>
            <w:hideMark/>
          </w:tcPr>
          <w:p w14:paraId="7E392D2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0.017</w:t>
            </w:r>
          </w:p>
        </w:tc>
        <w:tc>
          <w:tcPr>
            <w:tcW w:w="1003" w:type="dxa"/>
            <w:tcBorders>
              <w:top w:val="nil"/>
              <w:left w:val="nil"/>
              <w:bottom w:val="nil"/>
              <w:right w:val="nil"/>
            </w:tcBorders>
            <w:shd w:val="clear" w:color="auto" w:fill="auto"/>
            <w:noWrap/>
            <w:vAlign w:val="bottom"/>
            <w:hideMark/>
          </w:tcPr>
          <w:p w14:paraId="7285DDB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1.267</w:t>
            </w:r>
          </w:p>
        </w:tc>
        <w:tc>
          <w:tcPr>
            <w:tcW w:w="998" w:type="dxa"/>
            <w:tcBorders>
              <w:top w:val="nil"/>
              <w:left w:val="nil"/>
              <w:bottom w:val="nil"/>
              <w:right w:val="nil"/>
            </w:tcBorders>
            <w:shd w:val="clear" w:color="auto" w:fill="auto"/>
            <w:noWrap/>
            <w:vAlign w:val="bottom"/>
            <w:hideMark/>
          </w:tcPr>
          <w:p w14:paraId="1498EB9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689</w:t>
            </w:r>
          </w:p>
        </w:tc>
      </w:tr>
      <w:tr w:rsidR="00750548" w:rsidRPr="00C82EE1" w14:paraId="258CC7F8" w14:textId="77777777" w:rsidTr="00750548">
        <w:trPr>
          <w:trHeight w:val="300"/>
          <w:jc w:val="center"/>
        </w:trPr>
        <w:tc>
          <w:tcPr>
            <w:tcW w:w="3918" w:type="dxa"/>
            <w:gridSpan w:val="2"/>
            <w:tcBorders>
              <w:top w:val="nil"/>
              <w:left w:val="nil"/>
              <w:bottom w:val="nil"/>
              <w:right w:val="nil"/>
            </w:tcBorders>
            <w:shd w:val="clear" w:color="auto" w:fill="auto"/>
            <w:noWrap/>
            <w:vAlign w:val="bottom"/>
            <w:hideMark/>
          </w:tcPr>
          <w:p w14:paraId="1C4711EF"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r w:rsidRPr="00C82EE1">
              <w:rPr>
                <w:rFonts w:ascii="Times New Roman" w:eastAsia="Times New Roman" w:hAnsi="Times New Roman" w:cs="Times New Roman"/>
                <w:b/>
                <w:bCs/>
                <w:i/>
                <w:iCs/>
                <w:color w:val="000000"/>
                <w:sz w:val="24"/>
                <w:szCs w:val="24"/>
              </w:rPr>
              <w:t>Conditional variables</w:t>
            </w:r>
          </w:p>
        </w:tc>
        <w:tc>
          <w:tcPr>
            <w:tcW w:w="1220" w:type="dxa"/>
            <w:tcBorders>
              <w:top w:val="nil"/>
              <w:left w:val="nil"/>
              <w:bottom w:val="nil"/>
              <w:right w:val="nil"/>
            </w:tcBorders>
            <w:shd w:val="clear" w:color="auto" w:fill="auto"/>
            <w:noWrap/>
            <w:vAlign w:val="bottom"/>
            <w:hideMark/>
          </w:tcPr>
          <w:p w14:paraId="6D87B08C"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p>
        </w:tc>
        <w:tc>
          <w:tcPr>
            <w:tcW w:w="998" w:type="dxa"/>
            <w:tcBorders>
              <w:top w:val="nil"/>
              <w:left w:val="nil"/>
              <w:bottom w:val="nil"/>
              <w:right w:val="nil"/>
            </w:tcBorders>
            <w:shd w:val="clear" w:color="auto" w:fill="auto"/>
            <w:noWrap/>
            <w:vAlign w:val="bottom"/>
            <w:hideMark/>
          </w:tcPr>
          <w:p w14:paraId="098CE9F1"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7DF7786C"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14:paraId="19D3B814"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6A49A005"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r>
      <w:tr w:rsidR="00750548" w:rsidRPr="00C82EE1" w14:paraId="58E8BA77"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24E03B01"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Literacy rate</w:t>
            </w:r>
          </w:p>
        </w:tc>
        <w:tc>
          <w:tcPr>
            <w:tcW w:w="756" w:type="dxa"/>
            <w:tcBorders>
              <w:top w:val="nil"/>
              <w:left w:val="nil"/>
              <w:bottom w:val="nil"/>
              <w:right w:val="nil"/>
            </w:tcBorders>
            <w:shd w:val="clear" w:color="auto" w:fill="auto"/>
            <w:noWrap/>
            <w:vAlign w:val="bottom"/>
            <w:hideMark/>
          </w:tcPr>
          <w:p w14:paraId="49445AE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315</w:t>
            </w:r>
          </w:p>
        </w:tc>
        <w:tc>
          <w:tcPr>
            <w:tcW w:w="1220" w:type="dxa"/>
            <w:tcBorders>
              <w:top w:val="nil"/>
              <w:left w:val="nil"/>
              <w:bottom w:val="nil"/>
              <w:right w:val="nil"/>
            </w:tcBorders>
            <w:shd w:val="clear" w:color="auto" w:fill="auto"/>
            <w:noWrap/>
            <w:vAlign w:val="bottom"/>
            <w:hideMark/>
          </w:tcPr>
          <w:p w14:paraId="5E5FF29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95.475</w:t>
            </w:r>
          </w:p>
        </w:tc>
        <w:tc>
          <w:tcPr>
            <w:tcW w:w="998" w:type="dxa"/>
            <w:tcBorders>
              <w:top w:val="nil"/>
              <w:left w:val="nil"/>
              <w:bottom w:val="nil"/>
              <w:right w:val="nil"/>
            </w:tcBorders>
            <w:shd w:val="clear" w:color="auto" w:fill="auto"/>
            <w:noWrap/>
            <w:vAlign w:val="bottom"/>
            <w:hideMark/>
          </w:tcPr>
          <w:p w14:paraId="21EB285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7.734</w:t>
            </w:r>
          </w:p>
        </w:tc>
        <w:tc>
          <w:tcPr>
            <w:tcW w:w="1220" w:type="dxa"/>
            <w:tcBorders>
              <w:top w:val="nil"/>
              <w:left w:val="nil"/>
              <w:bottom w:val="nil"/>
              <w:right w:val="nil"/>
            </w:tcBorders>
            <w:shd w:val="clear" w:color="auto" w:fill="auto"/>
            <w:noWrap/>
            <w:vAlign w:val="bottom"/>
            <w:hideMark/>
          </w:tcPr>
          <w:p w14:paraId="557720A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43.020</w:t>
            </w:r>
          </w:p>
        </w:tc>
        <w:tc>
          <w:tcPr>
            <w:tcW w:w="1003" w:type="dxa"/>
            <w:tcBorders>
              <w:top w:val="nil"/>
              <w:left w:val="nil"/>
              <w:bottom w:val="nil"/>
              <w:right w:val="nil"/>
            </w:tcBorders>
            <w:shd w:val="clear" w:color="auto" w:fill="auto"/>
            <w:noWrap/>
            <w:vAlign w:val="bottom"/>
            <w:hideMark/>
          </w:tcPr>
          <w:p w14:paraId="562D072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97.345</w:t>
            </w:r>
          </w:p>
        </w:tc>
        <w:tc>
          <w:tcPr>
            <w:tcW w:w="998" w:type="dxa"/>
            <w:tcBorders>
              <w:top w:val="nil"/>
              <w:left w:val="nil"/>
              <w:bottom w:val="nil"/>
              <w:right w:val="nil"/>
            </w:tcBorders>
            <w:shd w:val="clear" w:color="auto" w:fill="auto"/>
            <w:noWrap/>
            <w:vAlign w:val="bottom"/>
            <w:hideMark/>
          </w:tcPr>
          <w:p w14:paraId="1878448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99.889</w:t>
            </w:r>
          </w:p>
        </w:tc>
      </w:tr>
      <w:tr w:rsidR="00750548" w:rsidRPr="00C82EE1" w14:paraId="597F2E31"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73464A82"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CEODegree</w:t>
            </w:r>
            <w:proofErr w:type="spellEnd"/>
          </w:p>
        </w:tc>
        <w:tc>
          <w:tcPr>
            <w:tcW w:w="756" w:type="dxa"/>
            <w:tcBorders>
              <w:top w:val="nil"/>
              <w:left w:val="nil"/>
              <w:bottom w:val="nil"/>
              <w:right w:val="nil"/>
            </w:tcBorders>
            <w:shd w:val="clear" w:color="auto" w:fill="auto"/>
            <w:noWrap/>
            <w:vAlign w:val="bottom"/>
            <w:hideMark/>
          </w:tcPr>
          <w:p w14:paraId="6AA550E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793</w:t>
            </w:r>
          </w:p>
        </w:tc>
        <w:tc>
          <w:tcPr>
            <w:tcW w:w="1220" w:type="dxa"/>
            <w:tcBorders>
              <w:top w:val="nil"/>
              <w:left w:val="nil"/>
              <w:bottom w:val="nil"/>
              <w:right w:val="nil"/>
            </w:tcBorders>
            <w:shd w:val="clear" w:color="auto" w:fill="auto"/>
            <w:noWrap/>
            <w:vAlign w:val="bottom"/>
            <w:hideMark/>
          </w:tcPr>
          <w:p w14:paraId="631E0C3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1.288</w:t>
            </w:r>
          </w:p>
        </w:tc>
        <w:tc>
          <w:tcPr>
            <w:tcW w:w="998" w:type="dxa"/>
            <w:tcBorders>
              <w:top w:val="nil"/>
              <w:left w:val="nil"/>
              <w:bottom w:val="nil"/>
              <w:right w:val="nil"/>
            </w:tcBorders>
            <w:shd w:val="clear" w:color="auto" w:fill="auto"/>
            <w:noWrap/>
            <w:vAlign w:val="bottom"/>
            <w:hideMark/>
          </w:tcPr>
          <w:p w14:paraId="12C80A8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0.863</w:t>
            </w:r>
          </w:p>
        </w:tc>
        <w:tc>
          <w:tcPr>
            <w:tcW w:w="1220" w:type="dxa"/>
            <w:tcBorders>
              <w:top w:val="nil"/>
              <w:left w:val="nil"/>
              <w:bottom w:val="nil"/>
              <w:right w:val="nil"/>
            </w:tcBorders>
            <w:shd w:val="clear" w:color="auto" w:fill="auto"/>
            <w:noWrap/>
            <w:vAlign w:val="bottom"/>
            <w:hideMark/>
          </w:tcPr>
          <w:p w14:paraId="1F47ACE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1BC058E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c>
          <w:tcPr>
            <w:tcW w:w="998" w:type="dxa"/>
            <w:tcBorders>
              <w:top w:val="nil"/>
              <w:left w:val="nil"/>
              <w:bottom w:val="nil"/>
              <w:right w:val="nil"/>
            </w:tcBorders>
            <w:shd w:val="clear" w:color="auto" w:fill="auto"/>
            <w:noWrap/>
            <w:vAlign w:val="bottom"/>
            <w:hideMark/>
          </w:tcPr>
          <w:p w14:paraId="3D1E967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w:t>
            </w:r>
          </w:p>
        </w:tc>
      </w:tr>
      <w:tr w:rsidR="00750548" w:rsidRPr="00C82EE1" w14:paraId="52619B15"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7F1BFB44"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Code</w:t>
            </w:r>
          </w:p>
        </w:tc>
        <w:tc>
          <w:tcPr>
            <w:tcW w:w="756" w:type="dxa"/>
            <w:tcBorders>
              <w:top w:val="nil"/>
              <w:left w:val="nil"/>
              <w:bottom w:val="nil"/>
              <w:right w:val="nil"/>
            </w:tcBorders>
            <w:shd w:val="clear" w:color="auto" w:fill="auto"/>
            <w:noWrap/>
            <w:vAlign w:val="bottom"/>
            <w:hideMark/>
          </w:tcPr>
          <w:p w14:paraId="6F836E5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202DDFF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0.256</w:t>
            </w:r>
          </w:p>
        </w:tc>
        <w:tc>
          <w:tcPr>
            <w:tcW w:w="998" w:type="dxa"/>
            <w:tcBorders>
              <w:top w:val="nil"/>
              <w:left w:val="nil"/>
              <w:bottom w:val="nil"/>
              <w:right w:val="nil"/>
            </w:tcBorders>
            <w:shd w:val="clear" w:color="auto" w:fill="auto"/>
            <w:noWrap/>
            <w:vAlign w:val="bottom"/>
            <w:hideMark/>
          </w:tcPr>
          <w:p w14:paraId="1AF6F70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0.437</w:t>
            </w:r>
          </w:p>
        </w:tc>
        <w:tc>
          <w:tcPr>
            <w:tcW w:w="1220" w:type="dxa"/>
            <w:tcBorders>
              <w:top w:val="nil"/>
              <w:left w:val="nil"/>
              <w:bottom w:val="nil"/>
              <w:right w:val="nil"/>
            </w:tcBorders>
            <w:shd w:val="clear" w:color="auto" w:fill="auto"/>
            <w:noWrap/>
            <w:vAlign w:val="bottom"/>
            <w:hideMark/>
          </w:tcPr>
          <w:p w14:paraId="0F6EB22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24B4BB3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998" w:type="dxa"/>
            <w:tcBorders>
              <w:top w:val="nil"/>
              <w:left w:val="nil"/>
              <w:bottom w:val="nil"/>
              <w:right w:val="nil"/>
            </w:tcBorders>
            <w:shd w:val="clear" w:color="auto" w:fill="auto"/>
            <w:noWrap/>
            <w:vAlign w:val="bottom"/>
            <w:hideMark/>
          </w:tcPr>
          <w:p w14:paraId="447EDFE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185B5D80" w14:textId="77777777" w:rsidTr="00750548">
        <w:trPr>
          <w:trHeight w:val="300"/>
          <w:jc w:val="center"/>
        </w:trPr>
        <w:tc>
          <w:tcPr>
            <w:tcW w:w="3918" w:type="dxa"/>
            <w:gridSpan w:val="2"/>
            <w:tcBorders>
              <w:top w:val="nil"/>
              <w:left w:val="nil"/>
              <w:bottom w:val="nil"/>
              <w:right w:val="nil"/>
            </w:tcBorders>
            <w:shd w:val="clear" w:color="auto" w:fill="auto"/>
            <w:noWrap/>
            <w:vAlign w:val="bottom"/>
            <w:hideMark/>
          </w:tcPr>
          <w:p w14:paraId="05874482"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r w:rsidRPr="00C82EE1">
              <w:rPr>
                <w:rFonts w:ascii="Times New Roman" w:eastAsia="Times New Roman" w:hAnsi="Times New Roman" w:cs="Times New Roman"/>
                <w:b/>
                <w:bCs/>
                <w:i/>
                <w:iCs/>
                <w:color w:val="000000"/>
                <w:sz w:val="24"/>
                <w:szCs w:val="24"/>
              </w:rPr>
              <w:t>Control variables</w:t>
            </w:r>
          </w:p>
        </w:tc>
        <w:tc>
          <w:tcPr>
            <w:tcW w:w="1220" w:type="dxa"/>
            <w:tcBorders>
              <w:top w:val="nil"/>
              <w:left w:val="nil"/>
              <w:bottom w:val="nil"/>
              <w:right w:val="nil"/>
            </w:tcBorders>
            <w:shd w:val="clear" w:color="auto" w:fill="auto"/>
            <w:noWrap/>
            <w:vAlign w:val="bottom"/>
            <w:hideMark/>
          </w:tcPr>
          <w:p w14:paraId="315BD478" w14:textId="77777777" w:rsidR="00750548" w:rsidRPr="00C82EE1" w:rsidRDefault="00750548" w:rsidP="00750548">
            <w:pPr>
              <w:spacing w:after="0" w:line="240" w:lineRule="auto"/>
              <w:jc w:val="both"/>
              <w:rPr>
                <w:rFonts w:ascii="Times New Roman" w:eastAsia="Times New Roman" w:hAnsi="Times New Roman" w:cs="Times New Roman"/>
                <w:b/>
                <w:bCs/>
                <w:i/>
                <w:iCs/>
                <w:color w:val="000000"/>
                <w:sz w:val="24"/>
                <w:szCs w:val="24"/>
              </w:rPr>
            </w:pPr>
          </w:p>
        </w:tc>
        <w:tc>
          <w:tcPr>
            <w:tcW w:w="998" w:type="dxa"/>
            <w:tcBorders>
              <w:top w:val="nil"/>
              <w:left w:val="nil"/>
              <w:bottom w:val="nil"/>
              <w:right w:val="nil"/>
            </w:tcBorders>
            <w:shd w:val="clear" w:color="auto" w:fill="auto"/>
            <w:noWrap/>
            <w:vAlign w:val="bottom"/>
            <w:hideMark/>
          </w:tcPr>
          <w:p w14:paraId="2AF2BDA3"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220" w:type="dxa"/>
            <w:tcBorders>
              <w:top w:val="nil"/>
              <w:left w:val="nil"/>
              <w:bottom w:val="nil"/>
              <w:right w:val="nil"/>
            </w:tcBorders>
            <w:shd w:val="clear" w:color="auto" w:fill="auto"/>
            <w:noWrap/>
            <w:vAlign w:val="bottom"/>
            <w:hideMark/>
          </w:tcPr>
          <w:p w14:paraId="3D61D8FA"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14:paraId="6DCDC296"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c>
          <w:tcPr>
            <w:tcW w:w="998" w:type="dxa"/>
            <w:tcBorders>
              <w:top w:val="nil"/>
              <w:left w:val="nil"/>
              <w:bottom w:val="nil"/>
              <w:right w:val="nil"/>
            </w:tcBorders>
            <w:shd w:val="clear" w:color="auto" w:fill="auto"/>
            <w:noWrap/>
            <w:vAlign w:val="bottom"/>
            <w:hideMark/>
          </w:tcPr>
          <w:p w14:paraId="09AEF78C" w14:textId="77777777" w:rsidR="00750548" w:rsidRPr="00C82EE1" w:rsidRDefault="00750548" w:rsidP="00750548">
            <w:pPr>
              <w:spacing w:after="0" w:line="240" w:lineRule="auto"/>
              <w:jc w:val="both"/>
              <w:rPr>
                <w:rFonts w:ascii="Times New Roman" w:eastAsia="Times New Roman" w:hAnsi="Times New Roman" w:cs="Times New Roman"/>
                <w:sz w:val="24"/>
                <w:szCs w:val="24"/>
              </w:rPr>
            </w:pPr>
          </w:p>
        </w:tc>
      </w:tr>
      <w:tr w:rsidR="00750548" w:rsidRPr="00C82EE1" w14:paraId="5FF8BF74"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041EAE5A"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Sentiment</w:t>
            </w:r>
          </w:p>
        </w:tc>
        <w:tc>
          <w:tcPr>
            <w:tcW w:w="756" w:type="dxa"/>
            <w:tcBorders>
              <w:top w:val="nil"/>
              <w:left w:val="nil"/>
              <w:bottom w:val="nil"/>
              <w:right w:val="nil"/>
            </w:tcBorders>
            <w:shd w:val="clear" w:color="auto" w:fill="auto"/>
            <w:noWrap/>
            <w:vAlign w:val="bottom"/>
            <w:hideMark/>
          </w:tcPr>
          <w:p w14:paraId="281364A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0B09FA3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0.002</w:t>
            </w:r>
          </w:p>
        </w:tc>
        <w:tc>
          <w:tcPr>
            <w:tcW w:w="998" w:type="dxa"/>
            <w:tcBorders>
              <w:top w:val="nil"/>
              <w:left w:val="nil"/>
              <w:bottom w:val="nil"/>
              <w:right w:val="nil"/>
            </w:tcBorders>
            <w:shd w:val="clear" w:color="auto" w:fill="auto"/>
            <w:noWrap/>
            <w:vAlign w:val="bottom"/>
            <w:hideMark/>
          </w:tcPr>
          <w:p w14:paraId="18D1FB9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0.006</w:t>
            </w:r>
          </w:p>
        </w:tc>
        <w:tc>
          <w:tcPr>
            <w:tcW w:w="1220" w:type="dxa"/>
            <w:tcBorders>
              <w:top w:val="nil"/>
              <w:left w:val="nil"/>
              <w:bottom w:val="nil"/>
              <w:right w:val="nil"/>
            </w:tcBorders>
            <w:shd w:val="clear" w:color="auto" w:fill="auto"/>
            <w:noWrap/>
            <w:vAlign w:val="bottom"/>
            <w:hideMark/>
          </w:tcPr>
          <w:p w14:paraId="4AAE566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-0.025</w:t>
            </w:r>
          </w:p>
        </w:tc>
        <w:tc>
          <w:tcPr>
            <w:tcW w:w="1003" w:type="dxa"/>
            <w:tcBorders>
              <w:top w:val="nil"/>
              <w:left w:val="nil"/>
              <w:bottom w:val="nil"/>
              <w:right w:val="nil"/>
            </w:tcBorders>
            <w:shd w:val="clear" w:color="auto" w:fill="auto"/>
            <w:noWrap/>
            <w:vAlign w:val="bottom"/>
            <w:hideMark/>
          </w:tcPr>
          <w:p w14:paraId="1D35993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0.003</w:t>
            </w:r>
          </w:p>
        </w:tc>
        <w:tc>
          <w:tcPr>
            <w:tcW w:w="998" w:type="dxa"/>
            <w:tcBorders>
              <w:top w:val="nil"/>
              <w:left w:val="nil"/>
              <w:bottom w:val="nil"/>
              <w:right w:val="nil"/>
            </w:tcBorders>
            <w:shd w:val="clear" w:color="auto" w:fill="auto"/>
            <w:noWrap/>
            <w:vAlign w:val="bottom"/>
            <w:hideMark/>
          </w:tcPr>
          <w:p w14:paraId="2C44A19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0.030</w:t>
            </w:r>
          </w:p>
        </w:tc>
      </w:tr>
      <w:tr w:rsidR="00750548" w:rsidRPr="00C82EE1" w14:paraId="71908B1E"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64D5A08D"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Institution</w:t>
            </w:r>
          </w:p>
        </w:tc>
        <w:tc>
          <w:tcPr>
            <w:tcW w:w="756" w:type="dxa"/>
            <w:tcBorders>
              <w:top w:val="nil"/>
              <w:left w:val="nil"/>
              <w:bottom w:val="nil"/>
              <w:right w:val="nil"/>
            </w:tcBorders>
            <w:shd w:val="clear" w:color="auto" w:fill="auto"/>
            <w:noWrap/>
            <w:vAlign w:val="bottom"/>
            <w:hideMark/>
          </w:tcPr>
          <w:p w14:paraId="727D322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47F95EA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2.354</w:t>
            </w:r>
          </w:p>
        </w:tc>
        <w:tc>
          <w:tcPr>
            <w:tcW w:w="998" w:type="dxa"/>
            <w:tcBorders>
              <w:top w:val="nil"/>
              <w:left w:val="nil"/>
              <w:bottom w:val="nil"/>
              <w:right w:val="nil"/>
            </w:tcBorders>
            <w:shd w:val="clear" w:color="auto" w:fill="auto"/>
            <w:noWrap/>
            <w:vAlign w:val="bottom"/>
            <w:hideMark/>
          </w:tcPr>
          <w:p w14:paraId="44B102E9"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1.851</w:t>
            </w:r>
          </w:p>
        </w:tc>
        <w:tc>
          <w:tcPr>
            <w:tcW w:w="1220" w:type="dxa"/>
            <w:tcBorders>
              <w:top w:val="nil"/>
              <w:left w:val="nil"/>
              <w:bottom w:val="nil"/>
              <w:right w:val="nil"/>
            </w:tcBorders>
            <w:shd w:val="clear" w:color="auto" w:fill="auto"/>
            <w:noWrap/>
            <w:vAlign w:val="bottom"/>
            <w:hideMark/>
          </w:tcPr>
          <w:p w14:paraId="55C9811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-3.847</w:t>
            </w:r>
          </w:p>
        </w:tc>
        <w:tc>
          <w:tcPr>
            <w:tcW w:w="1003" w:type="dxa"/>
            <w:tcBorders>
              <w:top w:val="nil"/>
              <w:left w:val="nil"/>
              <w:bottom w:val="nil"/>
              <w:right w:val="nil"/>
            </w:tcBorders>
            <w:shd w:val="clear" w:color="auto" w:fill="auto"/>
            <w:noWrap/>
            <w:vAlign w:val="bottom"/>
            <w:hideMark/>
          </w:tcPr>
          <w:p w14:paraId="2E6AC83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3.081</w:t>
            </w:r>
          </w:p>
        </w:tc>
        <w:tc>
          <w:tcPr>
            <w:tcW w:w="998" w:type="dxa"/>
            <w:tcBorders>
              <w:top w:val="nil"/>
              <w:left w:val="nil"/>
              <w:bottom w:val="nil"/>
              <w:right w:val="nil"/>
            </w:tcBorders>
            <w:shd w:val="clear" w:color="auto" w:fill="auto"/>
            <w:noWrap/>
            <w:vAlign w:val="bottom"/>
            <w:hideMark/>
          </w:tcPr>
          <w:p w14:paraId="518EE26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4.448</w:t>
            </w:r>
          </w:p>
        </w:tc>
      </w:tr>
      <w:tr w:rsidR="00750548" w:rsidRPr="00C82EE1" w14:paraId="44C1EDB0"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5135E7D9"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US restrict</w:t>
            </w:r>
          </w:p>
        </w:tc>
        <w:tc>
          <w:tcPr>
            <w:tcW w:w="756" w:type="dxa"/>
            <w:tcBorders>
              <w:top w:val="nil"/>
              <w:left w:val="nil"/>
              <w:bottom w:val="nil"/>
              <w:right w:val="nil"/>
            </w:tcBorders>
            <w:shd w:val="clear" w:color="auto" w:fill="auto"/>
            <w:noWrap/>
            <w:vAlign w:val="bottom"/>
            <w:hideMark/>
          </w:tcPr>
          <w:p w14:paraId="1C0C43A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D8D278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0.453</w:t>
            </w:r>
          </w:p>
        </w:tc>
        <w:tc>
          <w:tcPr>
            <w:tcW w:w="998" w:type="dxa"/>
            <w:tcBorders>
              <w:top w:val="nil"/>
              <w:left w:val="nil"/>
              <w:bottom w:val="nil"/>
              <w:right w:val="nil"/>
            </w:tcBorders>
            <w:shd w:val="clear" w:color="auto" w:fill="auto"/>
            <w:noWrap/>
            <w:vAlign w:val="bottom"/>
            <w:hideMark/>
          </w:tcPr>
          <w:p w14:paraId="4B3149A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0.498</w:t>
            </w:r>
          </w:p>
        </w:tc>
        <w:tc>
          <w:tcPr>
            <w:tcW w:w="1220" w:type="dxa"/>
            <w:tcBorders>
              <w:top w:val="nil"/>
              <w:left w:val="nil"/>
              <w:bottom w:val="nil"/>
              <w:right w:val="nil"/>
            </w:tcBorders>
            <w:shd w:val="clear" w:color="auto" w:fill="auto"/>
            <w:noWrap/>
            <w:vAlign w:val="bottom"/>
            <w:hideMark/>
          </w:tcPr>
          <w:p w14:paraId="3CE3FBB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113D5A9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998" w:type="dxa"/>
            <w:tcBorders>
              <w:top w:val="nil"/>
              <w:left w:val="nil"/>
              <w:bottom w:val="nil"/>
              <w:right w:val="nil"/>
            </w:tcBorders>
            <w:shd w:val="clear" w:color="auto" w:fill="auto"/>
            <w:noWrap/>
            <w:vAlign w:val="bottom"/>
            <w:hideMark/>
          </w:tcPr>
          <w:p w14:paraId="79C990B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63991D05"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5EC842BE"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Social media</w:t>
            </w:r>
          </w:p>
        </w:tc>
        <w:tc>
          <w:tcPr>
            <w:tcW w:w="756" w:type="dxa"/>
            <w:tcBorders>
              <w:top w:val="nil"/>
              <w:left w:val="nil"/>
              <w:bottom w:val="nil"/>
              <w:right w:val="nil"/>
            </w:tcBorders>
            <w:shd w:val="clear" w:color="auto" w:fill="auto"/>
            <w:noWrap/>
            <w:vAlign w:val="bottom"/>
            <w:hideMark/>
          </w:tcPr>
          <w:p w14:paraId="43B549A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CD6F18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6.888</w:t>
            </w:r>
          </w:p>
        </w:tc>
        <w:tc>
          <w:tcPr>
            <w:tcW w:w="998" w:type="dxa"/>
            <w:tcBorders>
              <w:top w:val="nil"/>
              <w:left w:val="nil"/>
              <w:bottom w:val="nil"/>
              <w:right w:val="nil"/>
            </w:tcBorders>
            <w:shd w:val="clear" w:color="auto" w:fill="auto"/>
            <w:noWrap/>
            <w:vAlign w:val="bottom"/>
            <w:hideMark/>
          </w:tcPr>
          <w:p w14:paraId="7CFC461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1.899</w:t>
            </w:r>
          </w:p>
        </w:tc>
        <w:tc>
          <w:tcPr>
            <w:tcW w:w="1220" w:type="dxa"/>
            <w:tcBorders>
              <w:top w:val="nil"/>
              <w:left w:val="nil"/>
              <w:bottom w:val="nil"/>
              <w:right w:val="nil"/>
            </w:tcBorders>
            <w:shd w:val="clear" w:color="auto" w:fill="auto"/>
            <w:noWrap/>
            <w:vAlign w:val="bottom"/>
            <w:hideMark/>
          </w:tcPr>
          <w:p w14:paraId="7519EB3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7E60CD5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7</w:t>
            </w:r>
          </w:p>
        </w:tc>
        <w:tc>
          <w:tcPr>
            <w:tcW w:w="998" w:type="dxa"/>
            <w:tcBorders>
              <w:top w:val="nil"/>
              <w:left w:val="nil"/>
              <w:bottom w:val="nil"/>
              <w:right w:val="nil"/>
            </w:tcBorders>
            <w:shd w:val="clear" w:color="auto" w:fill="auto"/>
            <w:noWrap/>
            <w:vAlign w:val="bottom"/>
            <w:hideMark/>
          </w:tcPr>
          <w:p w14:paraId="62B20C9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w:t>
            </w:r>
          </w:p>
        </w:tc>
      </w:tr>
      <w:tr w:rsidR="00750548" w:rsidRPr="00C82EE1" w14:paraId="3D9A9B5A"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03FB3CCF"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Eth</w:t>
            </w:r>
          </w:p>
        </w:tc>
        <w:tc>
          <w:tcPr>
            <w:tcW w:w="756" w:type="dxa"/>
            <w:tcBorders>
              <w:top w:val="nil"/>
              <w:left w:val="nil"/>
              <w:bottom w:val="nil"/>
              <w:right w:val="nil"/>
            </w:tcBorders>
            <w:shd w:val="clear" w:color="auto" w:fill="auto"/>
            <w:noWrap/>
            <w:vAlign w:val="bottom"/>
            <w:hideMark/>
          </w:tcPr>
          <w:p w14:paraId="58588B9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57EF269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0.887</w:t>
            </w:r>
          </w:p>
        </w:tc>
        <w:tc>
          <w:tcPr>
            <w:tcW w:w="998" w:type="dxa"/>
            <w:tcBorders>
              <w:top w:val="nil"/>
              <w:left w:val="nil"/>
              <w:bottom w:val="nil"/>
              <w:right w:val="nil"/>
            </w:tcBorders>
            <w:shd w:val="clear" w:color="auto" w:fill="auto"/>
            <w:noWrap/>
            <w:vAlign w:val="bottom"/>
            <w:hideMark/>
          </w:tcPr>
          <w:p w14:paraId="0CA97FA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0.317</w:t>
            </w:r>
          </w:p>
        </w:tc>
        <w:tc>
          <w:tcPr>
            <w:tcW w:w="1220" w:type="dxa"/>
            <w:tcBorders>
              <w:top w:val="nil"/>
              <w:left w:val="nil"/>
              <w:bottom w:val="nil"/>
              <w:right w:val="nil"/>
            </w:tcBorders>
            <w:shd w:val="clear" w:color="auto" w:fill="auto"/>
            <w:noWrap/>
            <w:vAlign w:val="bottom"/>
            <w:hideMark/>
          </w:tcPr>
          <w:p w14:paraId="5D92CDA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63E7A0E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c>
          <w:tcPr>
            <w:tcW w:w="998" w:type="dxa"/>
            <w:tcBorders>
              <w:top w:val="nil"/>
              <w:left w:val="nil"/>
              <w:bottom w:val="nil"/>
              <w:right w:val="nil"/>
            </w:tcBorders>
            <w:shd w:val="clear" w:color="auto" w:fill="auto"/>
            <w:noWrap/>
            <w:vAlign w:val="bottom"/>
            <w:hideMark/>
          </w:tcPr>
          <w:p w14:paraId="4813E08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69147961"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6F469785"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Video</w:t>
            </w:r>
          </w:p>
        </w:tc>
        <w:tc>
          <w:tcPr>
            <w:tcW w:w="756" w:type="dxa"/>
            <w:tcBorders>
              <w:top w:val="nil"/>
              <w:left w:val="nil"/>
              <w:bottom w:val="nil"/>
              <w:right w:val="nil"/>
            </w:tcBorders>
            <w:shd w:val="clear" w:color="auto" w:fill="auto"/>
            <w:noWrap/>
            <w:vAlign w:val="bottom"/>
            <w:hideMark/>
          </w:tcPr>
          <w:p w14:paraId="022FC2A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D4A50F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0.888</w:t>
            </w:r>
          </w:p>
        </w:tc>
        <w:tc>
          <w:tcPr>
            <w:tcW w:w="998" w:type="dxa"/>
            <w:tcBorders>
              <w:top w:val="nil"/>
              <w:left w:val="nil"/>
              <w:bottom w:val="nil"/>
              <w:right w:val="nil"/>
            </w:tcBorders>
            <w:shd w:val="clear" w:color="auto" w:fill="auto"/>
            <w:noWrap/>
            <w:vAlign w:val="bottom"/>
            <w:hideMark/>
          </w:tcPr>
          <w:p w14:paraId="2710C93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0.316</w:t>
            </w:r>
          </w:p>
        </w:tc>
        <w:tc>
          <w:tcPr>
            <w:tcW w:w="1220" w:type="dxa"/>
            <w:tcBorders>
              <w:top w:val="nil"/>
              <w:left w:val="nil"/>
              <w:bottom w:val="nil"/>
              <w:right w:val="nil"/>
            </w:tcBorders>
            <w:shd w:val="clear" w:color="auto" w:fill="auto"/>
            <w:noWrap/>
            <w:vAlign w:val="bottom"/>
            <w:hideMark/>
          </w:tcPr>
          <w:p w14:paraId="4A04C18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338099B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c>
          <w:tcPr>
            <w:tcW w:w="998" w:type="dxa"/>
            <w:tcBorders>
              <w:top w:val="nil"/>
              <w:left w:val="nil"/>
              <w:bottom w:val="nil"/>
              <w:right w:val="nil"/>
            </w:tcBorders>
            <w:shd w:val="clear" w:color="auto" w:fill="auto"/>
            <w:noWrap/>
            <w:vAlign w:val="bottom"/>
            <w:hideMark/>
          </w:tcPr>
          <w:p w14:paraId="6795636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516BFA6D"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51817932"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Token distribution</w:t>
            </w:r>
          </w:p>
        </w:tc>
        <w:tc>
          <w:tcPr>
            <w:tcW w:w="756" w:type="dxa"/>
            <w:tcBorders>
              <w:top w:val="nil"/>
              <w:left w:val="nil"/>
              <w:bottom w:val="nil"/>
              <w:right w:val="nil"/>
            </w:tcBorders>
            <w:shd w:val="clear" w:color="auto" w:fill="auto"/>
            <w:noWrap/>
            <w:vAlign w:val="bottom"/>
            <w:hideMark/>
          </w:tcPr>
          <w:p w14:paraId="6F134FC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52E84C4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0.971</w:t>
            </w:r>
          </w:p>
        </w:tc>
        <w:tc>
          <w:tcPr>
            <w:tcW w:w="998" w:type="dxa"/>
            <w:tcBorders>
              <w:top w:val="nil"/>
              <w:left w:val="nil"/>
              <w:bottom w:val="nil"/>
              <w:right w:val="nil"/>
            </w:tcBorders>
            <w:shd w:val="clear" w:color="auto" w:fill="auto"/>
            <w:noWrap/>
            <w:vAlign w:val="bottom"/>
            <w:hideMark/>
          </w:tcPr>
          <w:p w14:paraId="34C20DB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0.168</w:t>
            </w:r>
          </w:p>
        </w:tc>
        <w:tc>
          <w:tcPr>
            <w:tcW w:w="1220" w:type="dxa"/>
            <w:tcBorders>
              <w:top w:val="nil"/>
              <w:left w:val="nil"/>
              <w:bottom w:val="nil"/>
              <w:right w:val="nil"/>
            </w:tcBorders>
            <w:shd w:val="clear" w:color="auto" w:fill="auto"/>
            <w:noWrap/>
            <w:vAlign w:val="bottom"/>
            <w:hideMark/>
          </w:tcPr>
          <w:p w14:paraId="1393FBF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2F371E0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c>
          <w:tcPr>
            <w:tcW w:w="998" w:type="dxa"/>
            <w:tcBorders>
              <w:top w:val="nil"/>
              <w:left w:val="nil"/>
              <w:bottom w:val="nil"/>
              <w:right w:val="nil"/>
            </w:tcBorders>
            <w:shd w:val="clear" w:color="auto" w:fill="auto"/>
            <w:noWrap/>
            <w:vAlign w:val="bottom"/>
            <w:hideMark/>
          </w:tcPr>
          <w:p w14:paraId="7088F6A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1838956E"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36730EA0"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Minimum investment</w:t>
            </w:r>
          </w:p>
        </w:tc>
        <w:tc>
          <w:tcPr>
            <w:tcW w:w="756" w:type="dxa"/>
            <w:tcBorders>
              <w:top w:val="nil"/>
              <w:left w:val="nil"/>
              <w:bottom w:val="nil"/>
              <w:right w:val="nil"/>
            </w:tcBorders>
            <w:shd w:val="clear" w:color="auto" w:fill="auto"/>
            <w:noWrap/>
            <w:vAlign w:val="bottom"/>
            <w:hideMark/>
          </w:tcPr>
          <w:p w14:paraId="7704E09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1292A9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0.522</w:t>
            </w:r>
          </w:p>
        </w:tc>
        <w:tc>
          <w:tcPr>
            <w:tcW w:w="998" w:type="dxa"/>
            <w:tcBorders>
              <w:top w:val="nil"/>
              <w:left w:val="nil"/>
              <w:bottom w:val="nil"/>
              <w:right w:val="nil"/>
            </w:tcBorders>
            <w:shd w:val="clear" w:color="auto" w:fill="auto"/>
            <w:noWrap/>
            <w:vAlign w:val="bottom"/>
            <w:hideMark/>
          </w:tcPr>
          <w:p w14:paraId="7352E68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0.500</w:t>
            </w:r>
          </w:p>
        </w:tc>
        <w:tc>
          <w:tcPr>
            <w:tcW w:w="1220" w:type="dxa"/>
            <w:tcBorders>
              <w:top w:val="nil"/>
              <w:left w:val="nil"/>
              <w:bottom w:val="nil"/>
              <w:right w:val="nil"/>
            </w:tcBorders>
            <w:shd w:val="clear" w:color="auto" w:fill="auto"/>
            <w:noWrap/>
            <w:vAlign w:val="bottom"/>
            <w:hideMark/>
          </w:tcPr>
          <w:p w14:paraId="4E637BF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5996F31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c>
          <w:tcPr>
            <w:tcW w:w="998" w:type="dxa"/>
            <w:tcBorders>
              <w:top w:val="nil"/>
              <w:left w:val="nil"/>
              <w:bottom w:val="nil"/>
              <w:right w:val="nil"/>
            </w:tcBorders>
            <w:shd w:val="clear" w:color="auto" w:fill="auto"/>
            <w:noWrap/>
            <w:vAlign w:val="bottom"/>
            <w:hideMark/>
          </w:tcPr>
          <w:p w14:paraId="0EF9979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30227C24"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4DC96B30"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Fiat</w:t>
            </w:r>
          </w:p>
        </w:tc>
        <w:tc>
          <w:tcPr>
            <w:tcW w:w="756" w:type="dxa"/>
            <w:tcBorders>
              <w:top w:val="nil"/>
              <w:left w:val="nil"/>
              <w:bottom w:val="nil"/>
              <w:right w:val="nil"/>
            </w:tcBorders>
            <w:shd w:val="clear" w:color="auto" w:fill="auto"/>
            <w:noWrap/>
            <w:vAlign w:val="bottom"/>
            <w:hideMark/>
          </w:tcPr>
          <w:p w14:paraId="4321DC31"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05090FC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0.258</w:t>
            </w:r>
          </w:p>
        </w:tc>
        <w:tc>
          <w:tcPr>
            <w:tcW w:w="998" w:type="dxa"/>
            <w:tcBorders>
              <w:top w:val="nil"/>
              <w:left w:val="nil"/>
              <w:bottom w:val="nil"/>
              <w:right w:val="nil"/>
            </w:tcBorders>
            <w:shd w:val="clear" w:color="auto" w:fill="auto"/>
            <w:noWrap/>
            <w:vAlign w:val="bottom"/>
            <w:hideMark/>
          </w:tcPr>
          <w:p w14:paraId="47AF262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0.438</w:t>
            </w:r>
          </w:p>
        </w:tc>
        <w:tc>
          <w:tcPr>
            <w:tcW w:w="1220" w:type="dxa"/>
            <w:tcBorders>
              <w:top w:val="nil"/>
              <w:left w:val="nil"/>
              <w:bottom w:val="nil"/>
              <w:right w:val="nil"/>
            </w:tcBorders>
            <w:shd w:val="clear" w:color="auto" w:fill="auto"/>
            <w:noWrap/>
            <w:vAlign w:val="bottom"/>
            <w:hideMark/>
          </w:tcPr>
          <w:p w14:paraId="255860D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4A88FA4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998" w:type="dxa"/>
            <w:tcBorders>
              <w:top w:val="nil"/>
              <w:left w:val="nil"/>
              <w:bottom w:val="nil"/>
              <w:right w:val="nil"/>
            </w:tcBorders>
            <w:shd w:val="clear" w:color="auto" w:fill="auto"/>
            <w:noWrap/>
            <w:vAlign w:val="bottom"/>
            <w:hideMark/>
          </w:tcPr>
          <w:p w14:paraId="03F6DA5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67A2897F"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360150B0"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Hardcap</w:t>
            </w:r>
            <w:proofErr w:type="spellEnd"/>
          </w:p>
        </w:tc>
        <w:tc>
          <w:tcPr>
            <w:tcW w:w="756" w:type="dxa"/>
            <w:tcBorders>
              <w:top w:val="nil"/>
              <w:left w:val="nil"/>
              <w:bottom w:val="nil"/>
              <w:right w:val="nil"/>
            </w:tcBorders>
            <w:shd w:val="clear" w:color="auto" w:fill="auto"/>
            <w:noWrap/>
            <w:vAlign w:val="bottom"/>
            <w:hideMark/>
          </w:tcPr>
          <w:p w14:paraId="6B81411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58AAB7F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0.923</w:t>
            </w:r>
          </w:p>
        </w:tc>
        <w:tc>
          <w:tcPr>
            <w:tcW w:w="998" w:type="dxa"/>
            <w:tcBorders>
              <w:top w:val="nil"/>
              <w:left w:val="nil"/>
              <w:bottom w:val="nil"/>
              <w:right w:val="nil"/>
            </w:tcBorders>
            <w:shd w:val="clear" w:color="auto" w:fill="auto"/>
            <w:noWrap/>
            <w:vAlign w:val="bottom"/>
            <w:hideMark/>
          </w:tcPr>
          <w:p w14:paraId="286069F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0.267</w:t>
            </w:r>
          </w:p>
        </w:tc>
        <w:tc>
          <w:tcPr>
            <w:tcW w:w="1220" w:type="dxa"/>
            <w:tcBorders>
              <w:top w:val="nil"/>
              <w:left w:val="nil"/>
              <w:bottom w:val="nil"/>
              <w:right w:val="nil"/>
            </w:tcBorders>
            <w:shd w:val="clear" w:color="auto" w:fill="auto"/>
            <w:noWrap/>
            <w:vAlign w:val="bottom"/>
            <w:hideMark/>
          </w:tcPr>
          <w:p w14:paraId="15CD8CB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099BD82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c>
          <w:tcPr>
            <w:tcW w:w="998" w:type="dxa"/>
            <w:tcBorders>
              <w:top w:val="nil"/>
              <w:left w:val="nil"/>
              <w:bottom w:val="nil"/>
              <w:right w:val="nil"/>
            </w:tcBorders>
            <w:shd w:val="clear" w:color="auto" w:fill="auto"/>
            <w:noWrap/>
            <w:vAlign w:val="bottom"/>
            <w:hideMark/>
          </w:tcPr>
          <w:p w14:paraId="3ABFB57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685F0063"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6181CE76"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Softcap</w:t>
            </w:r>
            <w:proofErr w:type="spellEnd"/>
          </w:p>
        </w:tc>
        <w:tc>
          <w:tcPr>
            <w:tcW w:w="756" w:type="dxa"/>
            <w:tcBorders>
              <w:top w:val="nil"/>
              <w:left w:val="nil"/>
              <w:bottom w:val="nil"/>
              <w:right w:val="nil"/>
            </w:tcBorders>
            <w:shd w:val="clear" w:color="auto" w:fill="auto"/>
            <w:noWrap/>
            <w:vAlign w:val="bottom"/>
            <w:hideMark/>
          </w:tcPr>
          <w:p w14:paraId="4BDA725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1661358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0.829</w:t>
            </w:r>
          </w:p>
        </w:tc>
        <w:tc>
          <w:tcPr>
            <w:tcW w:w="998" w:type="dxa"/>
            <w:tcBorders>
              <w:top w:val="nil"/>
              <w:left w:val="nil"/>
              <w:bottom w:val="nil"/>
              <w:right w:val="nil"/>
            </w:tcBorders>
            <w:shd w:val="clear" w:color="auto" w:fill="auto"/>
            <w:noWrap/>
            <w:vAlign w:val="bottom"/>
            <w:hideMark/>
          </w:tcPr>
          <w:p w14:paraId="2A4FE95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0.376</w:t>
            </w:r>
          </w:p>
        </w:tc>
        <w:tc>
          <w:tcPr>
            <w:tcW w:w="1220" w:type="dxa"/>
            <w:tcBorders>
              <w:top w:val="nil"/>
              <w:left w:val="nil"/>
              <w:bottom w:val="nil"/>
              <w:right w:val="nil"/>
            </w:tcBorders>
            <w:shd w:val="clear" w:color="auto" w:fill="auto"/>
            <w:noWrap/>
            <w:vAlign w:val="bottom"/>
            <w:hideMark/>
          </w:tcPr>
          <w:p w14:paraId="56B7924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5B72DE25"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c>
          <w:tcPr>
            <w:tcW w:w="998" w:type="dxa"/>
            <w:tcBorders>
              <w:top w:val="nil"/>
              <w:left w:val="nil"/>
              <w:bottom w:val="nil"/>
              <w:right w:val="nil"/>
            </w:tcBorders>
            <w:shd w:val="clear" w:color="auto" w:fill="auto"/>
            <w:noWrap/>
            <w:vAlign w:val="bottom"/>
            <w:hideMark/>
          </w:tcPr>
          <w:p w14:paraId="60C1080F"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70D2F8A1"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1F9EC71C"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Bonus</w:t>
            </w:r>
          </w:p>
        </w:tc>
        <w:tc>
          <w:tcPr>
            <w:tcW w:w="756" w:type="dxa"/>
            <w:tcBorders>
              <w:top w:val="nil"/>
              <w:left w:val="nil"/>
              <w:bottom w:val="nil"/>
              <w:right w:val="nil"/>
            </w:tcBorders>
            <w:shd w:val="clear" w:color="auto" w:fill="auto"/>
            <w:noWrap/>
            <w:vAlign w:val="bottom"/>
            <w:hideMark/>
          </w:tcPr>
          <w:p w14:paraId="29493B4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79744F9C"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0.721</w:t>
            </w:r>
          </w:p>
        </w:tc>
        <w:tc>
          <w:tcPr>
            <w:tcW w:w="998" w:type="dxa"/>
            <w:tcBorders>
              <w:top w:val="nil"/>
              <w:left w:val="nil"/>
              <w:bottom w:val="nil"/>
              <w:right w:val="nil"/>
            </w:tcBorders>
            <w:shd w:val="clear" w:color="auto" w:fill="auto"/>
            <w:noWrap/>
            <w:vAlign w:val="bottom"/>
            <w:hideMark/>
          </w:tcPr>
          <w:p w14:paraId="7E1F09A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0.449</w:t>
            </w:r>
          </w:p>
        </w:tc>
        <w:tc>
          <w:tcPr>
            <w:tcW w:w="1220" w:type="dxa"/>
            <w:tcBorders>
              <w:top w:val="nil"/>
              <w:left w:val="nil"/>
              <w:bottom w:val="nil"/>
              <w:right w:val="nil"/>
            </w:tcBorders>
            <w:shd w:val="clear" w:color="auto" w:fill="auto"/>
            <w:noWrap/>
            <w:vAlign w:val="bottom"/>
            <w:hideMark/>
          </w:tcPr>
          <w:p w14:paraId="07C35BB7"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w:t>
            </w:r>
          </w:p>
        </w:tc>
        <w:tc>
          <w:tcPr>
            <w:tcW w:w="1003" w:type="dxa"/>
            <w:tcBorders>
              <w:top w:val="nil"/>
              <w:left w:val="nil"/>
              <w:bottom w:val="nil"/>
              <w:right w:val="nil"/>
            </w:tcBorders>
            <w:shd w:val="clear" w:color="auto" w:fill="auto"/>
            <w:noWrap/>
            <w:vAlign w:val="bottom"/>
            <w:hideMark/>
          </w:tcPr>
          <w:p w14:paraId="6CA2269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c>
          <w:tcPr>
            <w:tcW w:w="998" w:type="dxa"/>
            <w:tcBorders>
              <w:top w:val="nil"/>
              <w:left w:val="nil"/>
              <w:bottom w:val="nil"/>
              <w:right w:val="nil"/>
            </w:tcBorders>
            <w:shd w:val="clear" w:color="auto" w:fill="auto"/>
            <w:noWrap/>
            <w:vAlign w:val="bottom"/>
            <w:hideMark/>
          </w:tcPr>
          <w:p w14:paraId="23AE4D2A"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w:t>
            </w:r>
          </w:p>
        </w:tc>
      </w:tr>
      <w:tr w:rsidR="00750548" w:rsidRPr="00C82EE1" w14:paraId="629F77B1" w14:textId="77777777" w:rsidTr="00750548">
        <w:trPr>
          <w:trHeight w:val="300"/>
          <w:jc w:val="center"/>
        </w:trPr>
        <w:tc>
          <w:tcPr>
            <w:tcW w:w="3162" w:type="dxa"/>
            <w:tcBorders>
              <w:top w:val="nil"/>
              <w:left w:val="nil"/>
              <w:bottom w:val="nil"/>
              <w:right w:val="nil"/>
            </w:tcBorders>
            <w:shd w:val="clear" w:color="auto" w:fill="auto"/>
            <w:noWrap/>
            <w:vAlign w:val="bottom"/>
            <w:hideMark/>
          </w:tcPr>
          <w:p w14:paraId="6899376A"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hAnsi="Times New Roman" w:cs="Times New Roman"/>
                <w:i/>
                <w:iCs/>
                <w:color w:val="000000"/>
                <w:sz w:val="24"/>
                <w:szCs w:val="24"/>
              </w:rPr>
              <w:t>PriceBit</w:t>
            </w:r>
            <w:proofErr w:type="spellEnd"/>
          </w:p>
        </w:tc>
        <w:tc>
          <w:tcPr>
            <w:tcW w:w="756" w:type="dxa"/>
            <w:tcBorders>
              <w:top w:val="nil"/>
              <w:left w:val="nil"/>
              <w:bottom w:val="nil"/>
              <w:right w:val="nil"/>
            </w:tcBorders>
            <w:shd w:val="clear" w:color="auto" w:fill="auto"/>
            <w:noWrap/>
            <w:vAlign w:val="bottom"/>
            <w:hideMark/>
          </w:tcPr>
          <w:p w14:paraId="58EFD25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sz w:val="24"/>
                <w:szCs w:val="24"/>
              </w:rPr>
              <w:t>1,202</w:t>
            </w:r>
          </w:p>
        </w:tc>
        <w:tc>
          <w:tcPr>
            <w:tcW w:w="1220" w:type="dxa"/>
            <w:tcBorders>
              <w:top w:val="nil"/>
              <w:left w:val="nil"/>
              <w:bottom w:val="nil"/>
              <w:right w:val="nil"/>
            </w:tcBorders>
            <w:shd w:val="clear" w:color="auto" w:fill="auto"/>
            <w:noWrap/>
            <w:vAlign w:val="bottom"/>
            <w:hideMark/>
          </w:tcPr>
          <w:p w14:paraId="03647473"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sz w:val="24"/>
                <w:szCs w:val="24"/>
              </w:rPr>
              <w:t xml:space="preserve">7,678 </w:t>
            </w:r>
          </w:p>
        </w:tc>
        <w:tc>
          <w:tcPr>
            <w:tcW w:w="998" w:type="dxa"/>
            <w:tcBorders>
              <w:top w:val="nil"/>
              <w:left w:val="nil"/>
              <w:bottom w:val="nil"/>
              <w:right w:val="nil"/>
            </w:tcBorders>
            <w:shd w:val="clear" w:color="auto" w:fill="auto"/>
            <w:noWrap/>
            <w:vAlign w:val="bottom"/>
            <w:hideMark/>
          </w:tcPr>
          <w:p w14:paraId="3FD41F64"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sz w:val="24"/>
                <w:szCs w:val="24"/>
              </w:rPr>
              <w:t>2,845</w:t>
            </w:r>
          </w:p>
        </w:tc>
        <w:tc>
          <w:tcPr>
            <w:tcW w:w="1220" w:type="dxa"/>
            <w:tcBorders>
              <w:top w:val="nil"/>
              <w:left w:val="nil"/>
              <w:bottom w:val="nil"/>
              <w:right w:val="nil"/>
            </w:tcBorders>
            <w:shd w:val="clear" w:color="auto" w:fill="auto"/>
            <w:noWrap/>
            <w:vAlign w:val="bottom"/>
            <w:hideMark/>
          </w:tcPr>
          <w:p w14:paraId="47C5215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sz w:val="24"/>
                <w:szCs w:val="24"/>
              </w:rPr>
              <w:t>231</w:t>
            </w:r>
          </w:p>
        </w:tc>
        <w:tc>
          <w:tcPr>
            <w:tcW w:w="1003" w:type="dxa"/>
            <w:tcBorders>
              <w:top w:val="nil"/>
              <w:left w:val="nil"/>
              <w:bottom w:val="nil"/>
              <w:right w:val="nil"/>
            </w:tcBorders>
            <w:shd w:val="clear" w:color="auto" w:fill="auto"/>
            <w:noWrap/>
            <w:vAlign w:val="bottom"/>
            <w:hideMark/>
          </w:tcPr>
          <w:p w14:paraId="709CAA32"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sz w:val="24"/>
                <w:szCs w:val="24"/>
              </w:rPr>
              <w:t>7,276</w:t>
            </w:r>
          </w:p>
        </w:tc>
        <w:tc>
          <w:tcPr>
            <w:tcW w:w="998" w:type="dxa"/>
            <w:tcBorders>
              <w:top w:val="nil"/>
              <w:left w:val="nil"/>
              <w:bottom w:val="nil"/>
              <w:right w:val="nil"/>
            </w:tcBorders>
            <w:shd w:val="clear" w:color="auto" w:fill="auto"/>
            <w:noWrap/>
            <w:vAlign w:val="bottom"/>
            <w:hideMark/>
          </w:tcPr>
          <w:p w14:paraId="453A24B8"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hAnsi="Times New Roman" w:cs="Times New Roman"/>
                <w:color w:val="000000"/>
                <w:sz w:val="24"/>
                <w:szCs w:val="24"/>
              </w:rPr>
              <w:t>37,108</w:t>
            </w:r>
          </w:p>
        </w:tc>
      </w:tr>
      <w:tr w:rsidR="00750548" w:rsidRPr="00C82EE1" w14:paraId="0B39A2C0" w14:textId="77777777" w:rsidTr="00750548">
        <w:trPr>
          <w:trHeight w:val="300"/>
          <w:jc w:val="center"/>
        </w:trPr>
        <w:tc>
          <w:tcPr>
            <w:tcW w:w="3162" w:type="dxa"/>
            <w:tcBorders>
              <w:top w:val="nil"/>
              <w:left w:val="nil"/>
              <w:bottom w:val="single" w:sz="4" w:space="0" w:color="auto"/>
              <w:right w:val="nil"/>
            </w:tcBorders>
            <w:shd w:val="clear" w:color="auto" w:fill="auto"/>
            <w:noWrap/>
            <w:vAlign w:val="bottom"/>
            <w:hideMark/>
          </w:tcPr>
          <w:p w14:paraId="1ABF9AC5" w14:textId="77777777" w:rsidR="00750548" w:rsidRPr="00C82EE1" w:rsidRDefault="00750548" w:rsidP="00750548">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Topic diversity</w:t>
            </w:r>
          </w:p>
        </w:tc>
        <w:tc>
          <w:tcPr>
            <w:tcW w:w="756" w:type="dxa"/>
            <w:tcBorders>
              <w:top w:val="nil"/>
              <w:left w:val="nil"/>
              <w:bottom w:val="single" w:sz="4" w:space="0" w:color="auto"/>
              <w:right w:val="nil"/>
            </w:tcBorders>
            <w:shd w:val="clear" w:color="auto" w:fill="auto"/>
            <w:noWrap/>
            <w:vAlign w:val="bottom"/>
            <w:hideMark/>
          </w:tcPr>
          <w:p w14:paraId="43A12666"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1,202</w:t>
            </w:r>
          </w:p>
        </w:tc>
        <w:tc>
          <w:tcPr>
            <w:tcW w:w="1220" w:type="dxa"/>
            <w:tcBorders>
              <w:top w:val="nil"/>
              <w:left w:val="nil"/>
              <w:bottom w:val="single" w:sz="4" w:space="0" w:color="auto"/>
              <w:right w:val="nil"/>
            </w:tcBorders>
            <w:shd w:val="clear" w:color="auto" w:fill="auto"/>
            <w:noWrap/>
            <w:vAlign w:val="bottom"/>
            <w:hideMark/>
          </w:tcPr>
          <w:p w14:paraId="184ADEB0"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2.246</w:t>
            </w:r>
          </w:p>
        </w:tc>
        <w:tc>
          <w:tcPr>
            <w:tcW w:w="998" w:type="dxa"/>
            <w:tcBorders>
              <w:top w:val="nil"/>
              <w:left w:val="nil"/>
              <w:bottom w:val="single" w:sz="4" w:space="0" w:color="auto"/>
              <w:right w:val="nil"/>
            </w:tcBorders>
            <w:shd w:val="clear" w:color="auto" w:fill="auto"/>
            <w:noWrap/>
            <w:vAlign w:val="bottom"/>
            <w:hideMark/>
          </w:tcPr>
          <w:p w14:paraId="0B4DD24B"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0.382</w:t>
            </w:r>
          </w:p>
        </w:tc>
        <w:tc>
          <w:tcPr>
            <w:tcW w:w="1220" w:type="dxa"/>
            <w:tcBorders>
              <w:top w:val="nil"/>
              <w:left w:val="nil"/>
              <w:bottom w:val="single" w:sz="4" w:space="0" w:color="auto"/>
              <w:right w:val="nil"/>
            </w:tcBorders>
            <w:shd w:val="clear" w:color="auto" w:fill="auto"/>
            <w:noWrap/>
            <w:vAlign w:val="bottom"/>
            <w:hideMark/>
          </w:tcPr>
          <w:p w14:paraId="43893E3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0.000</w:t>
            </w:r>
          </w:p>
        </w:tc>
        <w:tc>
          <w:tcPr>
            <w:tcW w:w="1003" w:type="dxa"/>
            <w:tcBorders>
              <w:top w:val="nil"/>
              <w:left w:val="nil"/>
              <w:bottom w:val="single" w:sz="4" w:space="0" w:color="auto"/>
              <w:right w:val="nil"/>
            </w:tcBorders>
            <w:shd w:val="clear" w:color="auto" w:fill="auto"/>
            <w:noWrap/>
            <w:vAlign w:val="bottom"/>
            <w:hideMark/>
          </w:tcPr>
          <w:p w14:paraId="0325B6CE"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2.318</w:t>
            </w:r>
          </w:p>
        </w:tc>
        <w:tc>
          <w:tcPr>
            <w:tcW w:w="998" w:type="dxa"/>
            <w:tcBorders>
              <w:top w:val="nil"/>
              <w:left w:val="nil"/>
              <w:bottom w:val="single" w:sz="4" w:space="0" w:color="auto"/>
              <w:right w:val="nil"/>
            </w:tcBorders>
            <w:shd w:val="clear" w:color="auto" w:fill="auto"/>
            <w:noWrap/>
            <w:vAlign w:val="bottom"/>
            <w:hideMark/>
          </w:tcPr>
          <w:p w14:paraId="58E2ADFD" w14:textId="77777777"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3.030</w:t>
            </w:r>
          </w:p>
        </w:tc>
      </w:tr>
      <w:tr w:rsidR="00750548" w:rsidRPr="00C82EE1" w14:paraId="5B7DEF2C" w14:textId="77777777" w:rsidTr="00A10973">
        <w:trPr>
          <w:trHeight w:val="827"/>
          <w:jc w:val="center"/>
        </w:trPr>
        <w:tc>
          <w:tcPr>
            <w:tcW w:w="9357" w:type="dxa"/>
            <w:gridSpan w:val="7"/>
            <w:tcBorders>
              <w:top w:val="single" w:sz="4" w:space="0" w:color="auto"/>
              <w:left w:val="nil"/>
              <w:bottom w:val="nil"/>
              <w:right w:val="nil"/>
            </w:tcBorders>
            <w:shd w:val="clear" w:color="auto" w:fill="auto"/>
            <w:vAlign w:val="bottom"/>
            <w:hideMark/>
          </w:tcPr>
          <w:p w14:paraId="3D255014" w14:textId="76DB9989" w:rsidR="00750548" w:rsidRPr="00C82EE1" w:rsidRDefault="00750548" w:rsidP="00750548">
            <w:pPr>
              <w:spacing w:after="0" w:line="240" w:lineRule="auto"/>
              <w:jc w:val="both"/>
              <w:rPr>
                <w:rFonts w:ascii="Times New Roman" w:eastAsia="Times New Roman" w:hAnsi="Times New Roman" w:cs="Times New Roman"/>
                <w:color w:val="000000"/>
                <w:sz w:val="24"/>
                <w:szCs w:val="24"/>
              </w:rPr>
            </w:pPr>
            <w:r w:rsidRPr="00A10973">
              <w:rPr>
                <w:rFonts w:ascii="Times New Roman" w:eastAsia="Times New Roman" w:hAnsi="Times New Roman" w:cs="Times New Roman"/>
                <w:i/>
                <w:iCs/>
                <w:color w:val="000000"/>
                <w:sz w:val="20"/>
                <w:szCs w:val="24"/>
              </w:rPr>
              <w:t xml:space="preserve">Notes. </w:t>
            </w:r>
            <w:r w:rsidRPr="00A10973">
              <w:rPr>
                <w:rFonts w:ascii="Times New Roman" w:eastAsia="Times New Roman" w:hAnsi="Times New Roman" w:cs="Times New Roman"/>
                <w:color w:val="000000"/>
                <w:sz w:val="20"/>
                <w:szCs w:val="24"/>
              </w:rPr>
              <w:t xml:space="preserve">This table reports the summary statistics of the variables used in our study. Variables are defined in Table 1. Panel A reports the statistics for the 25 individual lexical metrics defined in </w:t>
            </w:r>
            <w:r w:rsidRPr="00A10973">
              <w:rPr>
                <w:rFonts w:ascii="Times New Roman" w:hAnsi="Times New Roman" w:cs="Times New Roman"/>
                <w:sz w:val="20"/>
              </w:rPr>
              <w:t>(Lu, 2012)</w:t>
            </w:r>
            <w:r w:rsidRPr="00A10973">
              <w:rPr>
                <w:rFonts w:ascii="Times New Roman" w:eastAsia="Times New Roman" w:hAnsi="Times New Roman" w:cs="Times New Roman"/>
                <w:color w:val="000000"/>
                <w:sz w:val="20"/>
                <w:szCs w:val="24"/>
              </w:rPr>
              <w:t>. Panel B reports the statistics for the variables computed using PCA (see Section 4.2.2.) and Panel C reports statistics for other dependent</w:t>
            </w:r>
            <w:r w:rsidR="00A10973">
              <w:rPr>
                <w:rFonts w:ascii="Times New Roman" w:eastAsia="Times New Roman" w:hAnsi="Times New Roman" w:cs="Times New Roman"/>
                <w:color w:val="000000"/>
                <w:sz w:val="20"/>
                <w:szCs w:val="24"/>
              </w:rPr>
              <w:t xml:space="preserve">, </w:t>
            </w:r>
            <w:r w:rsidRPr="00A10973">
              <w:rPr>
                <w:rFonts w:ascii="Times New Roman" w:eastAsia="Times New Roman" w:hAnsi="Times New Roman" w:cs="Times New Roman"/>
                <w:color w:val="000000"/>
                <w:sz w:val="20"/>
                <w:szCs w:val="24"/>
              </w:rPr>
              <w:t>interest variables, mechanism</w:t>
            </w:r>
            <w:r w:rsidR="00A10973">
              <w:rPr>
                <w:rFonts w:ascii="Times New Roman" w:eastAsia="Times New Roman" w:hAnsi="Times New Roman" w:cs="Times New Roman"/>
                <w:color w:val="000000"/>
                <w:sz w:val="20"/>
                <w:szCs w:val="24"/>
              </w:rPr>
              <w:t>,</w:t>
            </w:r>
            <w:r w:rsidRPr="00A10973">
              <w:rPr>
                <w:rFonts w:ascii="Times New Roman" w:eastAsia="Times New Roman" w:hAnsi="Times New Roman" w:cs="Times New Roman"/>
                <w:color w:val="000000"/>
                <w:sz w:val="20"/>
                <w:szCs w:val="24"/>
              </w:rPr>
              <w:t xml:space="preserve"> conditional and control variables.</w:t>
            </w:r>
          </w:p>
        </w:tc>
      </w:tr>
    </w:tbl>
    <w:p w14:paraId="094D5802" w14:textId="77777777" w:rsidR="0093472B" w:rsidRPr="00C82EE1" w:rsidRDefault="0093472B" w:rsidP="00026FCB">
      <w:pPr>
        <w:jc w:val="both"/>
        <w:rPr>
          <w:rFonts w:ascii="Times New Roman" w:hAnsi="Times New Roman" w:cs="Times New Roman"/>
          <w:sz w:val="24"/>
          <w:szCs w:val="24"/>
        </w:rPr>
      </w:pPr>
    </w:p>
    <w:p w14:paraId="77360337" w14:textId="77777777" w:rsidR="0093472B" w:rsidRPr="00C82EE1" w:rsidRDefault="0093472B" w:rsidP="00026FCB">
      <w:pPr>
        <w:jc w:val="both"/>
        <w:rPr>
          <w:rFonts w:ascii="Times New Roman" w:hAnsi="Times New Roman" w:cs="Times New Roman"/>
          <w:sz w:val="24"/>
          <w:szCs w:val="24"/>
        </w:rPr>
      </w:pPr>
    </w:p>
    <w:p w14:paraId="6E26418D" w14:textId="77777777" w:rsidR="0093472B" w:rsidRPr="00C82EE1" w:rsidRDefault="0093472B" w:rsidP="00026FCB">
      <w:pPr>
        <w:jc w:val="both"/>
        <w:rPr>
          <w:rFonts w:ascii="Times New Roman" w:hAnsi="Times New Roman" w:cs="Times New Roman"/>
          <w:sz w:val="24"/>
          <w:szCs w:val="24"/>
        </w:rPr>
      </w:pPr>
    </w:p>
    <w:p w14:paraId="6765D227" w14:textId="77777777" w:rsidR="0093472B" w:rsidRPr="00C82EE1" w:rsidRDefault="0093472B" w:rsidP="00026FCB">
      <w:pPr>
        <w:jc w:val="both"/>
        <w:rPr>
          <w:rFonts w:ascii="Times New Roman" w:hAnsi="Times New Roman" w:cs="Times New Roman"/>
          <w:sz w:val="24"/>
          <w:szCs w:val="24"/>
        </w:rPr>
        <w:sectPr w:rsidR="0093472B" w:rsidRPr="00C82EE1" w:rsidSect="0093472B">
          <w:pgSz w:w="11906" w:h="16838"/>
          <w:pgMar w:top="1417" w:right="1417" w:bottom="1417" w:left="1417" w:header="708" w:footer="708" w:gutter="0"/>
          <w:cols w:space="708"/>
          <w:docGrid w:linePitch="360"/>
        </w:sectPr>
      </w:pPr>
    </w:p>
    <w:tbl>
      <w:tblPr>
        <w:tblW w:w="13420" w:type="dxa"/>
        <w:jc w:val="center"/>
        <w:tblLook w:val="04A0" w:firstRow="1" w:lastRow="0" w:firstColumn="1" w:lastColumn="0" w:noHBand="0" w:noVBand="1"/>
      </w:tblPr>
      <w:tblGrid>
        <w:gridCol w:w="2744"/>
        <w:gridCol w:w="1143"/>
        <w:gridCol w:w="1143"/>
        <w:gridCol w:w="1142"/>
        <w:gridCol w:w="1241"/>
        <w:gridCol w:w="1241"/>
        <w:gridCol w:w="1241"/>
        <w:gridCol w:w="1241"/>
        <w:gridCol w:w="1142"/>
        <w:gridCol w:w="1142"/>
      </w:tblGrid>
      <w:tr w:rsidR="0093472B" w:rsidRPr="00C82EE1" w14:paraId="439E039A" w14:textId="77777777" w:rsidTr="00F62B5C">
        <w:trPr>
          <w:trHeight w:val="57"/>
          <w:jc w:val="center"/>
        </w:trPr>
        <w:tc>
          <w:tcPr>
            <w:tcW w:w="13420" w:type="dxa"/>
            <w:gridSpan w:val="10"/>
            <w:tcBorders>
              <w:top w:val="nil"/>
              <w:left w:val="nil"/>
              <w:bottom w:val="nil"/>
              <w:right w:val="nil"/>
            </w:tcBorders>
            <w:shd w:val="clear" w:color="auto" w:fill="auto"/>
            <w:noWrap/>
            <w:vAlign w:val="bottom"/>
            <w:hideMark/>
          </w:tcPr>
          <w:p w14:paraId="0E2C83F4" w14:textId="679C63AC" w:rsidR="003C73FB" w:rsidRPr="00C82EE1" w:rsidRDefault="0093472B" w:rsidP="00E223E9">
            <w:pPr>
              <w:spacing w:after="240" w:line="240" w:lineRule="auto"/>
              <w:jc w:val="center"/>
              <w:rPr>
                <w:rFonts w:ascii="Times New Roman" w:eastAsia="Times New Roman" w:hAnsi="Times New Roman" w:cs="Times New Roman"/>
                <w:b/>
                <w:bCs/>
                <w:color w:val="000000"/>
                <w:sz w:val="28"/>
                <w:szCs w:val="24"/>
              </w:rPr>
            </w:pPr>
            <w:r w:rsidRPr="00C82EE1">
              <w:rPr>
                <w:rFonts w:ascii="Times New Roman" w:eastAsia="Times New Roman" w:hAnsi="Times New Roman" w:cs="Times New Roman"/>
                <w:b/>
                <w:bCs/>
                <w:color w:val="000000"/>
                <w:sz w:val="28"/>
                <w:szCs w:val="24"/>
              </w:rPr>
              <w:lastRenderedPageBreak/>
              <w:t>Table 3: Correlations table.</w:t>
            </w:r>
          </w:p>
          <w:p w14:paraId="483C127C" w14:textId="7516F60B" w:rsidR="00225E62" w:rsidRPr="00C82EE1" w:rsidRDefault="00225E62" w:rsidP="00225E62">
            <w:pPr>
              <w:spacing w:after="0" w:line="240" w:lineRule="auto"/>
              <w:jc w:val="center"/>
              <w:rPr>
                <w:rFonts w:ascii="Times New Roman" w:eastAsia="Times New Roman" w:hAnsi="Times New Roman" w:cs="Times New Roman"/>
                <w:b/>
                <w:bCs/>
                <w:color w:val="000000"/>
                <w:sz w:val="24"/>
                <w:szCs w:val="24"/>
              </w:rPr>
            </w:pPr>
          </w:p>
        </w:tc>
      </w:tr>
      <w:tr w:rsidR="0093472B" w:rsidRPr="00C82EE1" w14:paraId="473AE483" w14:textId="77777777" w:rsidTr="00F62B5C">
        <w:trPr>
          <w:trHeight w:val="57"/>
          <w:jc w:val="center"/>
        </w:trPr>
        <w:tc>
          <w:tcPr>
            <w:tcW w:w="2744" w:type="dxa"/>
            <w:tcBorders>
              <w:top w:val="single" w:sz="4" w:space="0" w:color="auto"/>
              <w:left w:val="nil"/>
              <w:bottom w:val="single" w:sz="4" w:space="0" w:color="auto"/>
              <w:right w:val="nil"/>
            </w:tcBorders>
            <w:shd w:val="clear" w:color="auto" w:fill="auto"/>
            <w:noWrap/>
            <w:vAlign w:val="bottom"/>
            <w:hideMark/>
          </w:tcPr>
          <w:p w14:paraId="1FFCFBA5"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Variables</w:t>
            </w:r>
          </w:p>
        </w:tc>
        <w:tc>
          <w:tcPr>
            <w:tcW w:w="1143" w:type="dxa"/>
            <w:tcBorders>
              <w:top w:val="single" w:sz="4" w:space="0" w:color="auto"/>
              <w:left w:val="nil"/>
              <w:bottom w:val="single" w:sz="4" w:space="0" w:color="auto"/>
              <w:right w:val="nil"/>
            </w:tcBorders>
            <w:shd w:val="clear" w:color="auto" w:fill="auto"/>
            <w:noWrap/>
            <w:vAlign w:val="bottom"/>
            <w:hideMark/>
          </w:tcPr>
          <w:p w14:paraId="474EB478"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(1)</w:t>
            </w:r>
          </w:p>
        </w:tc>
        <w:tc>
          <w:tcPr>
            <w:tcW w:w="1143" w:type="dxa"/>
            <w:tcBorders>
              <w:top w:val="single" w:sz="4" w:space="0" w:color="auto"/>
              <w:left w:val="nil"/>
              <w:bottom w:val="single" w:sz="4" w:space="0" w:color="auto"/>
              <w:right w:val="nil"/>
            </w:tcBorders>
            <w:shd w:val="clear" w:color="auto" w:fill="auto"/>
            <w:noWrap/>
            <w:vAlign w:val="bottom"/>
            <w:hideMark/>
          </w:tcPr>
          <w:p w14:paraId="316E3D08"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(2)</w:t>
            </w:r>
          </w:p>
        </w:tc>
        <w:tc>
          <w:tcPr>
            <w:tcW w:w="1142" w:type="dxa"/>
            <w:tcBorders>
              <w:top w:val="single" w:sz="4" w:space="0" w:color="auto"/>
              <w:left w:val="nil"/>
              <w:bottom w:val="single" w:sz="4" w:space="0" w:color="auto"/>
              <w:right w:val="nil"/>
            </w:tcBorders>
            <w:shd w:val="clear" w:color="auto" w:fill="auto"/>
            <w:noWrap/>
            <w:vAlign w:val="bottom"/>
            <w:hideMark/>
          </w:tcPr>
          <w:p w14:paraId="6D2822C9"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(3)</w:t>
            </w:r>
          </w:p>
        </w:tc>
        <w:tc>
          <w:tcPr>
            <w:tcW w:w="1241" w:type="dxa"/>
            <w:tcBorders>
              <w:top w:val="single" w:sz="4" w:space="0" w:color="auto"/>
              <w:left w:val="nil"/>
              <w:bottom w:val="single" w:sz="4" w:space="0" w:color="auto"/>
              <w:right w:val="nil"/>
            </w:tcBorders>
            <w:shd w:val="clear" w:color="auto" w:fill="auto"/>
            <w:noWrap/>
            <w:vAlign w:val="bottom"/>
            <w:hideMark/>
          </w:tcPr>
          <w:p w14:paraId="37CB72C7"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(4)</w:t>
            </w:r>
          </w:p>
        </w:tc>
        <w:tc>
          <w:tcPr>
            <w:tcW w:w="1241" w:type="dxa"/>
            <w:tcBorders>
              <w:top w:val="single" w:sz="4" w:space="0" w:color="auto"/>
              <w:left w:val="nil"/>
              <w:bottom w:val="single" w:sz="4" w:space="0" w:color="auto"/>
              <w:right w:val="nil"/>
            </w:tcBorders>
            <w:shd w:val="clear" w:color="auto" w:fill="auto"/>
            <w:noWrap/>
            <w:vAlign w:val="bottom"/>
            <w:hideMark/>
          </w:tcPr>
          <w:p w14:paraId="12FF1C94"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(5)</w:t>
            </w:r>
          </w:p>
        </w:tc>
        <w:tc>
          <w:tcPr>
            <w:tcW w:w="1241" w:type="dxa"/>
            <w:tcBorders>
              <w:top w:val="single" w:sz="4" w:space="0" w:color="auto"/>
              <w:left w:val="nil"/>
              <w:bottom w:val="single" w:sz="4" w:space="0" w:color="auto"/>
              <w:right w:val="nil"/>
            </w:tcBorders>
            <w:shd w:val="clear" w:color="auto" w:fill="auto"/>
            <w:noWrap/>
            <w:vAlign w:val="bottom"/>
            <w:hideMark/>
          </w:tcPr>
          <w:p w14:paraId="5FF81CE6"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(6)</w:t>
            </w:r>
          </w:p>
        </w:tc>
        <w:tc>
          <w:tcPr>
            <w:tcW w:w="1241" w:type="dxa"/>
            <w:tcBorders>
              <w:top w:val="single" w:sz="4" w:space="0" w:color="auto"/>
              <w:left w:val="nil"/>
              <w:bottom w:val="single" w:sz="4" w:space="0" w:color="auto"/>
              <w:right w:val="nil"/>
            </w:tcBorders>
            <w:shd w:val="clear" w:color="auto" w:fill="auto"/>
            <w:noWrap/>
            <w:vAlign w:val="bottom"/>
            <w:hideMark/>
          </w:tcPr>
          <w:p w14:paraId="4C799A2A"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(7)</w:t>
            </w:r>
          </w:p>
        </w:tc>
        <w:tc>
          <w:tcPr>
            <w:tcW w:w="1142" w:type="dxa"/>
            <w:tcBorders>
              <w:top w:val="single" w:sz="4" w:space="0" w:color="auto"/>
              <w:left w:val="nil"/>
              <w:bottom w:val="single" w:sz="4" w:space="0" w:color="auto"/>
              <w:right w:val="nil"/>
            </w:tcBorders>
            <w:shd w:val="clear" w:color="auto" w:fill="auto"/>
            <w:noWrap/>
            <w:vAlign w:val="bottom"/>
            <w:hideMark/>
          </w:tcPr>
          <w:p w14:paraId="701C2BB3"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(8)</w:t>
            </w:r>
          </w:p>
        </w:tc>
        <w:tc>
          <w:tcPr>
            <w:tcW w:w="1142" w:type="dxa"/>
            <w:tcBorders>
              <w:top w:val="single" w:sz="4" w:space="0" w:color="auto"/>
              <w:left w:val="nil"/>
              <w:bottom w:val="single" w:sz="4" w:space="0" w:color="auto"/>
              <w:right w:val="nil"/>
            </w:tcBorders>
            <w:shd w:val="clear" w:color="auto" w:fill="auto"/>
            <w:noWrap/>
            <w:vAlign w:val="bottom"/>
            <w:hideMark/>
          </w:tcPr>
          <w:p w14:paraId="03C56831" w14:textId="77777777" w:rsidR="0093472B" w:rsidRPr="00C82EE1" w:rsidRDefault="0093472B" w:rsidP="00026FCB">
            <w:pPr>
              <w:spacing w:after="0" w:line="240" w:lineRule="auto"/>
              <w:jc w:val="both"/>
              <w:rPr>
                <w:rFonts w:ascii="Times New Roman" w:eastAsia="Times New Roman" w:hAnsi="Times New Roman" w:cs="Times New Roman"/>
                <w:b/>
                <w:color w:val="000000"/>
                <w:sz w:val="24"/>
                <w:szCs w:val="24"/>
              </w:rPr>
            </w:pPr>
            <w:r w:rsidRPr="00C82EE1">
              <w:rPr>
                <w:rFonts w:ascii="Times New Roman" w:eastAsia="Times New Roman" w:hAnsi="Times New Roman" w:cs="Times New Roman"/>
                <w:b/>
                <w:color w:val="000000"/>
                <w:sz w:val="24"/>
                <w:szCs w:val="24"/>
              </w:rPr>
              <w:t>(9)</w:t>
            </w:r>
          </w:p>
        </w:tc>
      </w:tr>
      <w:tr w:rsidR="0093472B" w:rsidRPr="00C82EE1" w14:paraId="1BE3C0A9"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395D3EB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Amount raised (1)</w:t>
            </w:r>
          </w:p>
        </w:tc>
        <w:tc>
          <w:tcPr>
            <w:tcW w:w="1143" w:type="dxa"/>
            <w:tcBorders>
              <w:top w:val="nil"/>
              <w:left w:val="nil"/>
              <w:bottom w:val="nil"/>
              <w:right w:val="nil"/>
            </w:tcBorders>
            <w:shd w:val="clear" w:color="auto" w:fill="auto"/>
            <w:noWrap/>
            <w:vAlign w:val="bottom"/>
            <w:hideMark/>
          </w:tcPr>
          <w:p w14:paraId="493BFD79"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p>
        </w:tc>
        <w:tc>
          <w:tcPr>
            <w:tcW w:w="1143" w:type="dxa"/>
            <w:tcBorders>
              <w:top w:val="nil"/>
              <w:left w:val="nil"/>
              <w:bottom w:val="nil"/>
              <w:right w:val="nil"/>
            </w:tcBorders>
            <w:shd w:val="clear" w:color="auto" w:fill="auto"/>
            <w:noWrap/>
            <w:vAlign w:val="bottom"/>
            <w:hideMark/>
          </w:tcPr>
          <w:p w14:paraId="1D77E2A0"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1B3DDB89"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2F1BCE38"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58C2FDB4"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4B8BC78B"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4C730194"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73105BAF"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559A4F5F"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r>
      <w:tr w:rsidR="0093472B" w:rsidRPr="00C82EE1" w14:paraId="7E633EDE"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0B62E25F"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Token traded (2)</w:t>
            </w:r>
          </w:p>
        </w:tc>
        <w:tc>
          <w:tcPr>
            <w:tcW w:w="1143" w:type="dxa"/>
            <w:tcBorders>
              <w:top w:val="nil"/>
              <w:left w:val="nil"/>
              <w:bottom w:val="nil"/>
              <w:right w:val="nil"/>
            </w:tcBorders>
            <w:shd w:val="clear" w:color="auto" w:fill="auto"/>
            <w:noWrap/>
            <w:vAlign w:val="bottom"/>
            <w:hideMark/>
          </w:tcPr>
          <w:p w14:paraId="6B931B38"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0.319***</w:t>
            </w:r>
          </w:p>
        </w:tc>
        <w:tc>
          <w:tcPr>
            <w:tcW w:w="1143" w:type="dxa"/>
            <w:tcBorders>
              <w:top w:val="nil"/>
              <w:left w:val="nil"/>
              <w:bottom w:val="nil"/>
              <w:right w:val="nil"/>
            </w:tcBorders>
            <w:shd w:val="clear" w:color="auto" w:fill="auto"/>
            <w:noWrap/>
            <w:vAlign w:val="bottom"/>
            <w:hideMark/>
          </w:tcPr>
          <w:p w14:paraId="058822D7"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142" w:type="dxa"/>
            <w:tcBorders>
              <w:top w:val="nil"/>
              <w:left w:val="nil"/>
              <w:bottom w:val="nil"/>
              <w:right w:val="nil"/>
            </w:tcBorders>
            <w:shd w:val="clear" w:color="auto" w:fill="auto"/>
            <w:noWrap/>
            <w:vAlign w:val="bottom"/>
            <w:hideMark/>
          </w:tcPr>
          <w:p w14:paraId="52AD505F"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5DF1242D"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0705C01F"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02A81CB6"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0662357B"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00AA6E7B"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255D1109"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r>
      <w:tr w:rsidR="0093472B" w:rsidRPr="00C82EE1" w14:paraId="47F51561"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406FBCBA"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ICOCompletion</w:t>
            </w:r>
            <w:proofErr w:type="spellEnd"/>
            <w:r w:rsidRPr="00C82EE1">
              <w:rPr>
                <w:rFonts w:ascii="Times New Roman" w:eastAsia="Times New Roman" w:hAnsi="Times New Roman" w:cs="Times New Roman"/>
                <w:i/>
                <w:iCs/>
                <w:color w:val="000000"/>
                <w:sz w:val="24"/>
                <w:szCs w:val="24"/>
              </w:rPr>
              <w:t xml:space="preserve"> (3)</w:t>
            </w:r>
          </w:p>
        </w:tc>
        <w:tc>
          <w:tcPr>
            <w:tcW w:w="1143" w:type="dxa"/>
            <w:tcBorders>
              <w:top w:val="nil"/>
              <w:left w:val="nil"/>
              <w:bottom w:val="nil"/>
              <w:right w:val="nil"/>
            </w:tcBorders>
            <w:shd w:val="clear" w:color="auto" w:fill="auto"/>
            <w:noWrap/>
            <w:vAlign w:val="bottom"/>
            <w:hideMark/>
          </w:tcPr>
          <w:p w14:paraId="19A8075C"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0.300***</w:t>
            </w:r>
          </w:p>
        </w:tc>
        <w:tc>
          <w:tcPr>
            <w:tcW w:w="1143" w:type="dxa"/>
            <w:tcBorders>
              <w:top w:val="nil"/>
              <w:left w:val="nil"/>
              <w:bottom w:val="nil"/>
              <w:right w:val="nil"/>
            </w:tcBorders>
            <w:shd w:val="clear" w:color="auto" w:fill="auto"/>
            <w:noWrap/>
            <w:vAlign w:val="bottom"/>
            <w:hideMark/>
          </w:tcPr>
          <w:p w14:paraId="5E2F1B74"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0.749***</w:t>
            </w:r>
          </w:p>
        </w:tc>
        <w:tc>
          <w:tcPr>
            <w:tcW w:w="1142" w:type="dxa"/>
            <w:tcBorders>
              <w:top w:val="nil"/>
              <w:left w:val="nil"/>
              <w:bottom w:val="nil"/>
              <w:right w:val="nil"/>
            </w:tcBorders>
            <w:shd w:val="clear" w:color="auto" w:fill="auto"/>
            <w:noWrap/>
            <w:vAlign w:val="bottom"/>
            <w:hideMark/>
          </w:tcPr>
          <w:p w14:paraId="503D1279"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241" w:type="dxa"/>
            <w:tcBorders>
              <w:top w:val="nil"/>
              <w:left w:val="nil"/>
              <w:bottom w:val="nil"/>
              <w:right w:val="nil"/>
            </w:tcBorders>
            <w:shd w:val="clear" w:color="auto" w:fill="auto"/>
            <w:noWrap/>
            <w:vAlign w:val="bottom"/>
            <w:hideMark/>
          </w:tcPr>
          <w:p w14:paraId="51FA83EC"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12A3D804"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32A2DEC8"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2D496384"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737B9604"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67371A33"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r>
      <w:tr w:rsidR="0093472B" w:rsidRPr="00C82EE1" w14:paraId="70C71F17"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204217F0"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LC (4)</w:t>
            </w:r>
          </w:p>
        </w:tc>
        <w:tc>
          <w:tcPr>
            <w:tcW w:w="1143" w:type="dxa"/>
            <w:tcBorders>
              <w:top w:val="nil"/>
              <w:left w:val="nil"/>
              <w:bottom w:val="nil"/>
              <w:right w:val="nil"/>
            </w:tcBorders>
            <w:shd w:val="clear" w:color="auto" w:fill="auto"/>
            <w:noWrap/>
            <w:vAlign w:val="bottom"/>
            <w:hideMark/>
          </w:tcPr>
          <w:p w14:paraId="229D02AB"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0.166***</w:t>
            </w:r>
          </w:p>
        </w:tc>
        <w:tc>
          <w:tcPr>
            <w:tcW w:w="1143" w:type="dxa"/>
            <w:tcBorders>
              <w:top w:val="nil"/>
              <w:left w:val="nil"/>
              <w:bottom w:val="nil"/>
              <w:right w:val="nil"/>
            </w:tcBorders>
            <w:shd w:val="clear" w:color="auto" w:fill="auto"/>
            <w:noWrap/>
            <w:vAlign w:val="bottom"/>
            <w:hideMark/>
          </w:tcPr>
          <w:p w14:paraId="7C7C2199"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0.155***</w:t>
            </w:r>
          </w:p>
        </w:tc>
        <w:tc>
          <w:tcPr>
            <w:tcW w:w="1142" w:type="dxa"/>
            <w:tcBorders>
              <w:top w:val="nil"/>
              <w:left w:val="nil"/>
              <w:bottom w:val="nil"/>
              <w:right w:val="nil"/>
            </w:tcBorders>
            <w:shd w:val="clear" w:color="auto" w:fill="auto"/>
            <w:noWrap/>
            <w:vAlign w:val="bottom"/>
            <w:hideMark/>
          </w:tcPr>
          <w:p w14:paraId="4121F5B9"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0.087**</w:t>
            </w:r>
          </w:p>
        </w:tc>
        <w:tc>
          <w:tcPr>
            <w:tcW w:w="1241" w:type="dxa"/>
            <w:tcBorders>
              <w:top w:val="nil"/>
              <w:left w:val="nil"/>
              <w:bottom w:val="nil"/>
              <w:right w:val="nil"/>
            </w:tcBorders>
            <w:shd w:val="clear" w:color="auto" w:fill="auto"/>
            <w:noWrap/>
            <w:vAlign w:val="bottom"/>
            <w:hideMark/>
          </w:tcPr>
          <w:p w14:paraId="4EDC9FE2"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241" w:type="dxa"/>
            <w:tcBorders>
              <w:top w:val="nil"/>
              <w:left w:val="nil"/>
              <w:bottom w:val="nil"/>
              <w:right w:val="nil"/>
            </w:tcBorders>
            <w:shd w:val="clear" w:color="auto" w:fill="auto"/>
            <w:noWrap/>
            <w:vAlign w:val="bottom"/>
            <w:hideMark/>
          </w:tcPr>
          <w:p w14:paraId="00EE8D9A"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5ABB0105"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5322FFDF"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00BEF844"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3946EB8C"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r>
      <w:tr w:rsidR="0093472B" w:rsidRPr="00C82EE1" w14:paraId="12037CEA"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2200BABB"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Density (5)</w:t>
            </w:r>
          </w:p>
        </w:tc>
        <w:tc>
          <w:tcPr>
            <w:tcW w:w="1143" w:type="dxa"/>
            <w:tcBorders>
              <w:top w:val="nil"/>
              <w:left w:val="nil"/>
              <w:bottom w:val="nil"/>
              <w:right w:val="nil"/>
            </w:tcBorders>
            <w:shd w:val="clear" w:color="auto" w:fill="auto"/>
            <w:noWrap/>
            <w:vAlign w:val="bottom"/>
            <w:hideMark/>
          </w:tcPr>
          <w:p w14:paraId="110857B3"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0.112***</w:t>
            </w:r>
          </w:p>
        </w:tc>
        <w:tc>
          <w:tcPr>
            <w:tcW w:w="1143" w:type="dxa"/>
            <w:tcBorders>
              <w:top w:val="nil"/>
              <w:left w:val="nil"/>
              <w:bottom w:val="nil"/>
              <w:right w:val="nil"/>
            </w:tcBorders>
            <w:shd w:val="clear" w:color="auto" w:fill="auto"/>
            <w:noWrap/>
            <w:vAlign w:val="bottom"/>
            <w:hideMark/>
          </w:tcPr>
          <w:p w14:paraId="0819379C"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0.061*</w:t>
            </w:r>
          </w:p>
        </w:tc>
        <w:tc>
          <w:tcPr>
            <w:tcW w:w="1142" w:type="dxa"/>
            <w:tcBorders>
              <w:top w:val="nil"/>
              <w:left w:val="nil"/>
              <w:bottom w:val="nil"/>
              <w:right w:val="nil"/>
            </w:tcBorders>
            <w:shd w:val="clear" w:color="auto" w:fill="auto"/>
            <w:noWrap/>
            <w:vAlign w:val="bottom"/>
            <w:hideMark/>
          </w:tcPr>
          <w:p w14:paraId="4A771D62"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0.068*</w:t>
            </w:r>
          </w:p>
        </w:tc>
        <w:tc>
          <w:tcPr>
            <w:tcW w:w="1241" w:type="dxa"/>
            <w:tcBorders>
              <w:top w:val="nil"/>
              <w:left w:val="nil"/>
              <w:bottom w:val="nil"/>
              <w:right w:val="nil"/>
            </w:tcBorders>
            <w:shd w:val="clear" w:color="auto" w:fill="auto"/>
            <w:noWrap/>
            <w:vAlign w:val="bottom"/>
            <w:hideMark/>
          </w:tcPr>
          <w:p w14:paraId="56AF1DE7"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0.093**</w:t>
            </w:r>
          </w:p>
        </w:tc>
        <w:tc>
          <w:tcPr>
            <w:tcW w:w="1241" w:type="dxa"/>
            <w:tcBorders>
              <w:top w:val="nil"/>
              <w:left w:val="nil"/>
              <w:bottom w:val="nil"/>
              <w:right w:val="nil"/>
            </w:tcBorders>
            <w:shd w:val="clear" w:color="auto" w:fill="auto"/>
            <w:noWrap/>
            <w:vAlign w:val="bottom"/>
            <w:hideMark/>
          </w:tcPr>
          <w:p w14:paraId="171B16F0"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241" w:type="dxa"/>
            <w:tcBorders>
              <w:top w:val="nil"/>
              <w:left w:val="nil"/>
              <w:bottom w:val="nil"/>
              <w:right w:val="nil"/>
            </w:tcBorders>
            <w:shd w:val="clear" w:color="auto" w:fill="auto"/>
            <w:noWrap/>
            <w:vAlign w:val="bottom"/>
            <w:hideMark/>
          </w:tcPr>
          <w:p w14:paraId="054BBDDF"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241" w:type="dxa"/>
            <w:tcBorders>
              <w:top w:val="nil"/>
              <w:left w:val="nil"/>
              <w:bottom w:val="nil"/>
              <w:right w:val="nil"/>
            </w:tcBorders>
            <w:shd w:val="clear" w:color="auto" w:fill="auto"/>
            <w:noWrap/>
            <w:vAlign w:val="bottom"/>
            <w:hideMark/>
          </w:tcPr>
          <w:p w14:paraId="45BFCED5"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6A6E8B68"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2DE7004E"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r>
      <w:tr w:rsidR="0093472B" w:rsidRPr="00C82EE1" w14:paraId="70B4D9B2"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2ADBE8E9"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Diversity (6)</w:t>
            </w:r>
          </w:p>
        </w:tc>
        <w:tc>
          <w:tcPr>
            <w:tcW w:w="1143" w:type="dxa"/>
            <w:tcBorders>
              <w:top w:val="nil"/>
              <w:left w:val="nil"/>
              <w:bottom w:val="nil"/>
              <w:right w:val="nil"/>
            </w:tcBorders>
            <w:shd w:val="clear" w:color="auto" w:fill="auto"/>
            <w:noWrap/>
            <w:vAlign w:val="bottom"/>
            <w:hideMark/>
          </w:tcPr>
          <w:p w14:paraId="51830C8F"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0.142***</w:t>
            </w:r>
          </w:p>
        </w:tc>
        <w:tc>
          <w:tcPr>
            <w:tcW w:w="1143" w:type="dxa"/>
            <w:tcBorders>
              <w:top w:val="nil"/>
              <w:left w:val="nil"/>
              <w:bottom w:val="nil"/>
              <w:right w:val="nil"/>
            </w:tcBorders>
            <w:shd w:val="clear" w:color="auto" w:fill="auto"/>
            <w:noWrap/>
            <w:vAlign w:val="bottom"/>
            <w:hideMark/>
          </w:tcPr>
          <w:p w14:paraId="2B85A297"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0.148***</w:t>
            </w:r>
          </w:p>
        </w:tc>
        <w:tc>
          <w:tcPr>
            <w:tcW w:w="1142" w:type="dxa"/>
            <w:tcBorders>
              <w:top w:val="nil"/>
              <w:left w:val="nil"/>
              <w:bottom w:val="nil"/>
              <w:right w:val="nil"/>
            </w:tcBorders>
            <w:shd w:val="clear" w:color="auto" w:fill="auto"/>
            <w:noWrap/>
            <w:vAlign w:val="bottom"/>
            <w:hideMark/>
          </w:tcPr>
          <w:p w14:paraId="40BB5020"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0.083**</w:t>
            </w:r>
          </w:p>
        </w:tc>
        <w:tc>
          <w:tcPr>
            <w:tcW w:w="1241" w:type="dxa"/>
            <w:tcBorders>
              <w:top w:val="nil"/>
              <w:left w:val="nil"/>
              <w:bottom w:val="nil"/>
              <w:right w:val="nil"/>
            </w:tcBorders>
            <w:shd w:val="clear" w:color="auto" w:fill="auto"/>
            <w:noWrap/>
            <w:vAlign w:val="bottom"/>
            <w:hideMark/>
          </w:tcPr>
          <w:p w14:paraId="6CFDAA39"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0.973***</w:t>
            </w:r>
          </w:p>
        </w:tc>
        <w:tc>
          <w:tcPr>
            <w:tcW w:w="1241" w:type="dxa"/>
            <w:tcBorders>
              <w:top w:val="nil"/>
              <w:left w:val="nil"/>
              <w:bottom w:val="nil"/>
              <w:right w:val="nil"/>
            </w:tcBorders>
            <w:shd w:val="clear" w:color="auto" w:fill="auto"/>
            <w:noWrap/>
            <w:vAlign w:val="bottom"/>
            <w:hideMark/>
          </w:tcPr>
          <w:p w14:paraId="5A783B4D"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0.022</w:t>
            </w:r>
          </w:p>
        </w:tc>
        <w:tc>
          <w:tcPr>
            <w:tcW w:w="1241" w:type="dxa"/>
            <w:tcBorders>
              <w:top w:val="nil"/>
              <w:left w:val="nil"/>
              <w:bottom w:val="nil"/>
              <w:right w:val="nil"/>
            </w:tcBorders>
            <w:shd w:val="clear" w:color="auto" w:fill="auto"/>
            <w:noWrap/>
            <w:vAlign w:val="bottom"/>
            <w:hideMark/>
          </w:tcPr>
          <w:p w14:paraId="5187D6B5"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241" w:type="dxa"/>
            <w:tcBorders>
              <w:top w:val="nil"/>
              <w:left w:val="nil"/>
              <w:bottom w:val="nil"/>
              <w:right w:val="nil"/>
            </w:tcBorders>
            <w:shd w:val="clear" w:color="auto" w:fill="auto"/>
            <w:noWrap/>
            <w:vAlign w:val="bottom"/>
            <w:hideMark/>
          </w:tcPr>
          <w:p w14:paraId="6344C082"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5F9A2480"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37772435"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r>
      <w:tr w:rsidR="0093472B" w:rsidRPr="00C82EE1" w14:paraId="3B67EB16"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651076B3"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r w:rsidRPr="00C82EE1">
              <w:rPr>
                <w:rFonts w:ascii="Times New Roman" w:eastAsia="Times New Roman" w:hAnsi="Times New Roman" w:cs="Times New Roman"/>
                <w:i/>
                <w:iCs/>
                <w:color w:val="000000"/>
                <w:sz w:val="24"/>
                <w:szCs w:val="24"/>
              </w:rPr>
              <w:t>Sophistication (7)</w:t>
            </w:r>
          </w:p>
        </w:tc>
        <w:tc>
          <w:tcPr>
            <w:tcW w:w="1143" w:type="dxa"/>
            <w:tcBorders>
              <w:top w:val="nil"/>
              <w:left w:val="nil"/>
              <w:bottom w:val="nil"/>
              <w:right w:val="nil"/>
            </w:tcBorders>
            <w:shd w:val="clear" w:color="auto" w:fill="auto"/>
            <w:noWrap/>
            <w:vAlign w:val="bottom"/>
            <w:hideMark/>
          </w:tcPr>
          <w:p w14:paraId="43A6A6BD"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0.227***</w:t>
            </w:r>
          </w:p>
        </w:tc>
        <w:tc>
          <w:tcPr>
            <w:tcW w:w="1143" w:type="dxa"/>
            <w:tcBorders>
              <w:top w:val="nil"/>
              <w:left w:val="nil"/>
              <w:bottom w:val="nil"/>
              <w:right w:val="nil"/>
            </w:tcBorders>
            <w:shd w:val="clear" w:color="auto" w:fill="auto"/>
            <w:noWrap/>
            <w:vAlign w:val="bottom"/>
            <w:hideMark/>
          </w:tcPr>
          <w:p w14:paraId="6B578835"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0.173***</w:t>
            </w:r>
          </w:p>
        </w:tc>
        <w:tc>
          <w:tcPr>
            <w:tcW w:w="1142" w:type="dxa"/>
            <w:tcBorders>
              <w:top w:val="nil"/>
              <w:left w:val="nil"/>
              <w:bottom w:val="nil"/>
              <w:right w:val="nil"/>
            </w:tcBorders>
            <w:shd w:val="clear" w:color="auto" w:fill="auto"/>
            <w:noWrap/>
            <w:vAlign w:val="bottom"/>
            <w:hideMark/>
          </w:tcPr>
          <w:p w14:paraId="18115A82"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0.101***</w:t>
            </w:r>
          </w:p>
        </w:tc>
        <w:tc>
          <w:tcPr>
            <w:tcW w:w="1241" w:type="dxa"/>
            <w:tcBorders>
              <w:top w:val="nil"/>
              <w:left w:val="nil"/>
              <w:bottom w:val="nil"/>
              <w:right w:val="nil"/>
            </w:tcBorders>
            <w:shd w:val="clear" w:color="auto" w:fill="auto"/>
            <w:noWrap/>
            <w:vAlign w:val="bottom"/>
            <w:hideMark/>
          </w:tcPr>
          <w:p w14:paraId="6CC9ED70"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0.786***</w:t>
            </w:r>
          </w:p>
        </w:tc>
        <w:tc>
          <w:tcPr>
            <w:tcW w:w="1241" w:type="dxa"/>
            <w:tcBorders>
              <w:top w:val="nil"/>
              <w:left w:val="nil"/>
              <w:bottom w:val="nil"/>
              <w:right w:val="nil"/>
            </w:tcBorders>
            <w:shd w:val="clear" w:color="auto" w:fill="auto"/>
            <w:noWrap/>
            <w:vAlign w:val="bottom"/>
            <w:hideMark/>
          </w:tcPr>
          <w:p w14:paraId="19A6D514"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0.252***</w:t>
            </w:r>
          </w:p>
        </w:tc>
        <w:tc>
          <w:tcPr>
            <w:tcW w:w="1241" w:type="dxa"/>
            <w:tcBorders>
              <w:top w:val="nil"/>
              <w:left w:val="nil"/>
              <w:bottom w:val="nil"/>
              <w:right w:val="nil"/>
            </w:tcBorders>
            <w:shd w:val="clear" w:color="auto" w:fill="auto"/>
            <w:noWrap/>
            <w:vAlign w:val="bottom"/>
            <w:hideMark/>
          </w:tcPr>
          <w:p w14:paraId="30492F9E"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0.648***</w:t>
            </w:r>
          </w:p>
        </w:tc>
        <w:tc>
          <w:tcPr>
            <w:tcW w:w="1241" w:type="dxa"/>
            <w:tcBorders>
              <w:top w:val="nil"/>
              <w:left w:val="nil"/>
              <w:bottom w:val="nil"/>
              <w:right w:val="nil"/>
            </w:tcBorders>
            <w:shd w:val="clear" w:color="auto" w:fill="auto"/>
            <w:noWrap/>
            <w:vAlign w:val="bottom"/>
            <w:hideMark/>
          </w:tcPr>
          <w:p w14:paraId="02B48197"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142" w:type="dxa"/>
            <w:tcBorders>
              <w:top w:val="nil"/>
              <w:left w:val="nil"/>
              <w:bottom w:val="nil"/>
              <w:right w:val="nil"/>
            </w:tcBorders>
            <w:shd w:val="clear" w:color="auto" w:fill="auto"/>
            <w:noWrap/>
            <w:vAlign w:val="bottom"/>
            <w:hideMark/>
          </w:tcPr>
          <w:p w14:paraId="61DC3261"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c>
          <w:tcPr>
            <w:tcW w:w="1142" w:type="dxa"/>
            <w:tcBorders>
              <w:top w:val="nil"/>
              <w:left w:val="nil"/>
              <w:bottom w:val="nil"/>
              <w:right w:val="nil"/>
            </w:tcBorders>
            <w:shd w:val="clear" w:color="auto" w:fill="auto"/>
            <w:noWrap/>
            <w:vAlign w:val="bottom"/>
            <w:hideMark/>
          </w:tcPr>
          <w:p w14:paraId="578599BE"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r>
      <w:tr w:rsidR="0093472B" w:rsidRPr="00C82EE1" w14:paraId="2C1B35E2"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1CB2756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Readability_Flesch</w:t>
            </w:r>
            <w:proofErr w:type="spellEnd"/>
            <w:r w:rsidRPr="00C82EE1">
              <w:rPr>
                <w:rFonts w:ascii="Times New Roman" w:eastAsia="Times New Roman" w:hAnsi="Times New Roman" w:cs="Times New Roman"/>
                <w:i/>
                <w:iCs/>
                <w:color w:val="000000"/>
                <w:sz w:val="24"/>
                <w:szCs w:val="24"/>
              </w:rPr>
              <w:t xml:space="preserve"> (8)</w:t>
            </w:r>
          </w:p>
        </w:tc>
        <w:tc>
          <w:tcPr>
            <w:tcW w:w="1143" w:type="dxa"/>
            <w:tcBorders>
              <w:top w:val="nil"/>
              <w:left w:val="nil"/>
              <w:bottom w:val="nil"/>
              <w:right w:val="nil"/>
            </w:tcBorders>
            <w:shd w:val="clear" w:color="auto" w:fill="auto"/>
            <w:noWrap/>
            <w:vAlign w:val="bottom"/>
            <w:hideMark/>
          </w:tcPr>
          <w:p w14:paraId="054E8BB2"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0.019*</w:t>
            </w:r>
          </w:p>
        </w:tc>
        <w:tc>
          <w:tcPr>
            <w:tcW w:w="1143" w:type="dxa"/>
            <w:tcBorders>
              <w:top w:val="nil"/>
              <w:left w:val="nil"/>
              <w:bottom w:val="nil"/>
              <w:right w:val="nil"/>
            </w:tcBorders>
            <w:shd w:val="clear" w:color="auto" w:fill="auto"/>
            <w:noWrap/>
            <w:vAlign w:val="bottom"/>
            <w:hideMark/>
          </w:tcPr>
          <w:p w14:paraId="3151E3A3"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-0.048</w:t>
            </w:r>
          </w:p>
        </w:tc>
        <w:tc>
          <w:tcPr>
            <w:tcW w:w="1142" w:type="dxa"/>
            <w:tcBorders>
              <w:top w:val="nil"/>
              <w:left w:val="nil"/>
              <w:bottom w:val="nil"/>
              <w:right w:val="nil"/>
            </w:tcBorders>
            <w:shd w:val="clear" w:color="auto" w:fill="auto"/>
            <w:noWrap/>
            <w:vAlign w:val="bottom"/>
            <w:hideMark/>
          </w:tcPr>
          <w:p w14:paraId="2D96B1FE"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-0.056</w:t>
            </w:r>
          </w:p>
        </w:tc>
        <w:tc>
          <w:tcPr>
            <w:tcW w:w="1241" w:type="dxa"/>
            <w:tcBorders>
              <w:top w:val="nil"/>
              <w:left w:val="nil"/>
              <w:bottom w:val="nil"/>
              <w:right w:val="nil"/>
            </w:tcBorders>
            <w:shd w:val="clear" w:color="auto" w:fill="auto"/>
            <w:noWrap/>
            <w:vAlign w:val="bottom"/>
            <w:hideMark/>
          </w:tcPr>
          <w:p w14:paraId="09372595"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-0.218***</w:t>
            </w:r>
          </w:p>
        </w:tc>
        <w:tc>
          <w:tcPr>
            <w:tcW w:w="1241" w:type="dxa"/>
            <w:tcBorders>
              <w:top w:val="nil"/>
              <w:left w:val="nil"/>
              <w:bottom w:val="nil"/>
              <w:right w:val="nil"/>
            </w:tcBorders>
            <w:shd w:val="clear" w:color="auto" w:fill="auto"/>
            <w:noWrap/>
            <w:vAlign w:val="bottom"/>
            <w:hideMark/>
          </w:tcPr>
          <w:p w14:paraId="23A98379"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-0.346***</w:t>
            </w:r>
          </w:p>
        </w:tc>
        <w:tc>
          <w:tcPr>
            <w:tcW w:w="1241" w:type="dxa"/>
            <w:tcBorders>
              <w:top w:val="nil"/>
              <w:left w:val="nil"/>
              <w:bottom w:val="nil"/>
              <w:right w:val="nil"/>
            </w:tcBorders>
            <w:shd w:val="clear" w:color="auto" w:fill="auto"/>
            <w:noWrap/>
            <w:vAlign w:val="bottom"/>
            <w:hideMark/>
          </w:tcPr>
          <w:p w14:paraId="3925713B"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-0.140***</w:t>
            </w:r>
          </w:p>
        </w:tc>
        <w:tc>
          <w:tcPr>
            <w:tcW w:w="1241" w:type="dxa"/>
            <w:tcBorders>
              <w:top w:val="nil"/>
              <w:left w:val="nil"/>
              <w:bottom w:val="nil"/>
              <w:right w:val="nil"/>
            </w:tcBorders>
            <w:shd w:val="clear" w:color="auto" w:fill="auto"/>
            <w:noWrap/>
            <w:vAlign w:val="bottom"/>
            <w:hideMark/>
          </w:tcPr>
          <w:p w14:paraId="6C75A7B8"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-0.355***</w:t>
            </w:r>
          </w:p>
        </w:tc>
        <w:tc>
          <w:tcPr>
            <w:tcW w:w="1142" w:type="dxa"/>
            <w:tcBorders>
              <w:top w:val="nil"/>
              <w:left w:val="nil"/>
              <w:bottom w:val="nil"/>
              <w:right w:val="nil"/>
            </w:tcBorders>
            <w:shd w:val="clear" w:color="auto" w:fill="auto"/>
            <w:noWrap/>
            <w:vAlign w:val="bottom"/>
            <w:hideMark/>
          </w:tcPr>
          <w:p w14:paraId="78B01C07"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c>
          <w:tcPr>
            <w:tcW w:w="1142" w:type="dxa"/>
            <w:tcBorders>
              <w:top w:val="nil"/>
              <w:left w:val="nil"/>
              <w:bottom w:val="nil"/>
              <w:right w:val="nil"/>
            </w:tcBorders>
            <w:shd w:val="clear" w:color="auto" w:fill="auto"/>
            <w:noWrap/>
            <w:vAlign w:val="bottom"/>
            <w:hideMark/>
          </w:tcPr>
          <w:p w14:paraId="17301ED3" w14:textId="77777777" w:rsidR="0093472B" w:rsidRPr="00C82EE1" w:rsidRDefault="0093472B" w:rsidP="00026FCB">
            <w:pPr>
              <w:spacing w:after="0" w:line="240" w:lineRule="auto"/>
              <w:jc w:val="both"/>
              <w:rPr>
                <w:rFonts w:ascii="Times New Roman" w:eastAsia="Times New Roman" w:hAnsi="Times New Roman" w:cs="Times New Roman"/>
                <w:sz w:val="24"/>
                <w:szCs w:val="24"/>
              </w:rPr>
            </w:pPr>
          </w:p>
        </w:tc>
      </w:tr>
      <w:tr w:rsidR="0093472B" w:rsidRPr="00C82EE1" w14:paraId="6A53B57E" w14:textId="77777777" w:rsidTr="00F62B5C">
        <w:trPr>
          <w:trHeight w:val="454"/>
          <w:jc w:val="center"/>
        </w:trPr>
        <w:tc>
          <w:tcPr>
            <w:tcW w:w="2744" w:type="dxa"/>
            <w:tcBorders>
              <w:top w:val="nil"/>
              <w:left w:val="nil"/>
              <w:bottom w:val="nil"/>
              <w:right w:val="nil"/>
            </w:tcBorders>
            <w:shd w:val="clear" w:color="auto" w:fill="auto"/>
            <w:noWrap/>
            <w:vAlign w:val="bottom"/>
            <w:hideMark/>
          </w:tcPr>
          <w:p w14:paraId="2AEEDF8B"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Readability_FOG</w:t>
            </w:r>
            <w:proofErr w:type="spellEnd"/>
            <w:r w:rsidRPr="00C82EE1">
              <w:rPr>
                <w:rFonts w:ascii="Times New Roman" w:eastAsia="Times New Roman" w:hAnsi="Times New Roman" w:cs="Times New Roman"/>
                <w:i/>
                <w:iCs/>
                <w:color w:val="000000"/>
                <w:sz w:val="24"/>
                <w:szCs w:val="24"/>
              </w:rPr>
              <w:t xml:space="preserve"> (9)</w:t>
            </w:r>
          </w:p>
        </w:tc>
        <w:tc>
          <w:tcPr>
            <w:tcW w:w="1143" w:type="dxa"/>
            <w:tcBorders>
              <w:top w:val="nil"/>
              <w:left w:val="nil"/>
              <w:bottom w:val="nil"/>
              <w:right w:val="nil"/>
            </w:tcBorders>
            <w:shd w:val="clear" w:color="auto" w:fill="auto"/>
            <w:noWrap/>
            <w:vAlign w:val="bottom"/>
            <w:hideMark/>
          </w:tcPr>
          <w:p w14:paraId="29029311"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0.012*</w:t>
            </w:r>
          </w:p>
        </w:tc>
        <w:tc>
          <w:tcPr>
            <w:tcW w:w="1143" w:type="dxa"/>
            <w:tcBorders>
              <w:top w:val="nil"/>
              <w:left w:val="nil"/>
              <w:bottom w:val="nil"/>
              <w:right w:val="nil"/>
            </w:tcBorders>
            <w:shd w:val="clear" w:color="auto" w:fill="auto"/>
            <w:noWrap/>
            <w:vAlign w:val="bottom"/>
            <w:hideMark/>
          </w:tcPr>
          <w:p w14:paraId="62D0B629"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-0.032</w:t>
            </w:r>
          </w:p>
        </w:tc>
        <w:tc>
          <w:tcPr>
            <w:tcW w:w="1142" w:type="dxa"/>
            <w:tcBorders>
              <w:top w:val="nil"/>
              <w:left w:val="nil"/>
              <w:bottom w:val="nil"/>
              <w:right w:val="nil"/>
            </w:tcBorders>
            <w:shd w:val="clear" w:color="auto" w:fill="auto"/>
            <w:noWrap/>
            <w:vAlign w:val="bottom"/>
            <w:hideMark/>
          </w:tcPr>
          <w:p w14:paraId="7BE92B91"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-0.034</w:t>
            </w:r>
          </w:p>
        </w:tc>
        <w:tc>
          <w:tcPr>
            <w:tcW w:w="1241" w:type="dxa"/>
            <w:tcBorders>
              <w:top w:val="nil"/>
              <w:left w:val="nil"/>
              <w:bottom w:val="nil"/>
              <w:right w:val="nil"/>
            </w:tcBorders>
            <w:shd w:val="clear" w:color="auto" w:fill="auto"/>
            <w:noWrap/>
            <w:vAlign w:val="bottom"/>
            <w:hideMark/>
          </w:tcPr>
          <w:p w14:paraId="3B39505D"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-0.226***</w:t>
            </w:r>
          </w:p>
        </w:tc>
        <w:tc>
          <w:tcPr>
            <w:tcW w:w="1241" w:type="dxa"/>
            <w:tcBorders>
              <w:top w:val="nil"/>
              <w:left w:val="nil"/>
              <w:bottom w:val="nil"/>
              <w:right w:val="nil"/>
            </w:tcBorders>
            <w:shd w:val="clear" w:color="auto" w:fill="auto"/>
            <w:noWrap/>
            <w:vAlign w:val="bottom"/>
            <w:hideMark/>
          </w:tcPr>
          <w:p w14:paraId="20CCCED6"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-0.172***</w:t>
            </w:r>
          </w:p>
        </w:tc>
        <w:tc>
          <w:tcPr>
            <w:tcW w:w="1241" w:type="dxa"/>
            <w:tcBorders>
              <w:top w:val="nil"/>
              <w:left w:val="nil"/>
              <w:bottom w:val="nil"/>
              <w:right w:val="nil"/>
            </w:tcBorders>
            <w:shd w:val="clear" w:color="auto" w:fill="auto"/>
            <w:noWrap/>
            <w:vAlign w:val="bottom"/>
            <w:hideMark/>
          </w:tcPr>
          <w:p w14:paraId="6C27B36B"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-0.168***</w:t>
            </w:r>
          </w:p>
        </w:tc>
        <w:tc>
          <w:tcPr>
            <w:tcW w:w="1241" w:type="dxa"/>
            <w:tcBorders>
              <w:top w:val="nil"/>
              <w:left w:val="nil"/>
              <w:bottom w:val="nil"/>
              <w:right w:val="nil"/>
            </w:tcBorders>
            <w:shd w:val="clear" w:color="auto" w:fill="auto"/>
            <w:noWrap/>
            <w:vAlign w:val="bottom"/>
            <w:hideMark/>
          </w:tcPr>
          <w:p w14:paraId="4A1AFB3E"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-0.315***</w:t>
            </w:r>
          </w:p>
        </w:tc>
        <w:tc>
          <w:tcPr>
            <w:tcW w:w="1142" w:type="dxa"/>
            <w:tcBorders>
              <w:top w:val="nil"/>
              <w:left w:val="nil"/>
              <w:bottom w:val="nil"/>
              <w:right w:val="nil"/>
            </w:tcBorders>
            <w:shd w:val="clear" w:color="auto" w:fill="auto"/>
            <w:noWrap/>
            <w:vAlign w:val="bottom"/>
            <w:hideMark/>
          </w:tcPr>
          <w:p w14:paraId="08255E9B"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0.894***</w:t>
            </w:r>
          </w:p>
        </w:tc>
        <w:tc>
          <w:tcPr>
            <w:tcW w:w="1142" w:type="dxa"/>
            <w:tcBorders>
              <w:top w:val="nil"/>
              <w:left w:val="nil"/>
              <w:bottom w:val="nil"/>
              <w:right w:val="nil"/>
            </w:tcBorders>
            <w:shd w:val="clear" w:color="auto" w:fill="auto"/>
            <w:noWrap/>
            <w:vAlign w:val="bottom"/>
            <w:hideMark/>
          </w:tcPr>
          <w:p w14:paraId="1CAB1510"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p>
        </w:tc>
      </w:tr>
      <w:tr w:rsidR="0093472B" w:rsidRPr="00C82EE1" w14:paraId="77758604" w14:textId="77777777" w:rsidTr="00F62B5C">
        <w:trPr>
          <w:trHeight w:val="454"/>
          <w:jc w:val="center"/>
        </w:trPr>
        <w:tc>
          <w:tcPr>
            <w:tcW w:w="2744" w:type="dxa"/>
            <w:tcBorders>
              <w:top w:val="nil"/>
              <w:left w:val="nil"/>
              <w:bottom w:val="single" w:sz="4" w:space="0" w:color="auto"/>
              <w:right w:val="nil"/>
            </w:tcBorders>
            <w:shd w:val="clear" w:color="auto" w:fill="auto"/>
            <w:noWrap/>
            <w:vAlign w:val="bottom"/>
            <w:hideMark/>
          </w:tcPr>
          <w:p w14:paraId="286682D5"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4"/>
                <w:szCs w:val="24"/>
              </w:rPr>
            </w:pPr>
            <w:proofErr w:type="spellStart"/>
            <w:r w:rsidRPr="00C82EE1">
              <w:rPr>
                <w:rFonts w:ascii="Times New Roman" w:eastAsia="Times New Roman" w:hAnsi="Times New Roman" w:cs="Times New Roman"/>
                <w:i/>
                <w:iCs/>
                <w:color w:val="000000"/>
                <w:sz w:val="24"/>
                <w:szCs w:val="24"/>
              </w:rPr>
              <w:t>Readability_Size</w:t>
            </w:r>
            <w:proofErr w:type="spellEnd"/>
            <w:r w:rsidRPr="00C82EE1">
              <w:rPr>
                <w:rFonts w:ascii="Times New Roman" w:eastAsia="Times New Roman" w:hAnsi="Times New Roman" w:cs="Times New Roman"/>
                <w:i/>
                <w:iCs/>
                <w:color w:val="000000"/>
                <w:sz w:val="24"/>
                <w:szCs w:val="24"/>
              </w:rPr>
              <w:t xml:space="preserve"> (10)</w:t>
            </w:r>
          </w:p>
        </w:tc>
        <w:tc>
          <w:tcPr>
            <w:tcW w:w="1143" w:type="dxa"/>
            <w:tcBorders>
              <w:top w:val="nil"/>
              <w:left w:val="nil"/>
              <w:bottom w:val="single" w:sz="4" w:space="0" w:color="auto"/>
              <w:right w:val="nil"/>
            </w:tcBorders>
            <w:shd w:val="clear" w:color="auto" w:fill="auto"/>
            <w:noWrap/>
            <w:vAlign w:val="bottom"/>
            <w:hideMark/>
          </w:tcPr>
          <w:p w14:paraId="7FB5F9F8"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0.011*</w:t>
            </w:r>
          </w:p>
        </w:tc>
        <w:tc>
          <w:tcPr>
            <w:tcW w:w="1143" w:type="dxa"/>
            <w:tcBorders>
              <w:top w:val="nil"/>
              <w:left w:val="nil"/>
              <w:bottom w:val="single" w:sz="4" w:space="0" w:color="auto"/>
              <w:right w:val="nil"/>
            </w:tcBorders>
            <w:shd w:val="clear" w:color="auto" w:fill="auto"/>
            <w:noWrap/>
            <w:vAlign w:val="bottom"/>
            <w:hideMark/>
          </w:tcPr>
          <w:p w14:paraId="0343A213"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-0.061*</w:t>
            </w:r>
          </w:p>
        </w:tc>
        <w:tc>
          <w:tcPr>
            <w:tcW w:w="1142" w:type="dxa"/>
            <w:tcBorders>
              <w:top w:val="nil"/>
              <w:left w:val="nil"/>
              <w:bottom w:val="single" w:sz="4" w:space="0" w:color="auto"/>
              <w:right w:val="nil"/>
            </w:tcBorders>
            <w:shd w:val="clear" w:color="auto" w:fill="auto"/>
            <w:noWrap/>
            <w:vAlign w:val="bottom"/>
            <w:hideMark/>
          </w:tcPr>
          <w:p w14:paraId="54AD537F"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-0.010</w:t>
            </w:r>
          </w:p>
        </w:tc>
        <w:tc>
          <w:tcPr>
            <w:tcW w:w="1241" w:type="dxa"/>
            <w:tcBorders>
              <w:top w:val="nil"/>
              <w:left w:val="nil"/>
              <w:bottom w:val="single" w:sz="4" w:space="0" w:color="auto"/>
              <w:right w:val="nil"/>
            </w:tcBorders>
            <w:shd w:val="clear" w:color="auto" w:fill="auto"/>
            <w:noWrap/>
            <w:vAlign w:val="bottom"/>
            <w:hideMark/>
          </w:tcPr>
          <w:p w14:paraId="18690981"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-0.706***</w:t>
            </w:r>
          </w:p>
        </w:tc>
        <w:tc>
          <w:tcPr>
            <w:tcW w:w="1241" w:type="dxa"/>
            <w:tcBorders>
              <w:top w:val="nil"/>
              <w:left w:val="nil"/>
              <w:bottom w:val="single" w:sz="4" w:space="0" w:color="auto"/>
              <w:right w:val="nil"/>
            </w:tcBorders>
            <w:shd w:val="clear" w:color="auto" w:fill="auto"/>
            <w:noWrap/>
            <w:vAlign w:val="bottom"/>
            <w:hideMark/>
          </w:tcPr>
          <w:p w14:paraId="109E6698"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-0.085**</w:t>
            </w:r>
          </w:p>
        </w:tc>
        <w:tc>
          <w:tcPr>
            <w:tcW w:w="1241" w:type="dxa"/>
            <w:tcBorders>
              <w:top w:val="nil"/>
              <w:left w:val="nil"/>
              <w:bottom w:val="single" w:sz="4" w:space="0" w:color="auto"/>
              <w:right w:val="nil"/>
            </w:tcBorders>
            <w:shd w:val="clear" w:color="auto" w:fill="auto"/>
            <w:noWrap/>
            <w:vAlign w:val="bottom"/>
            <w:hideMark/>
          </w:tcPr>
          <w:p w14:paraId="27D288B2"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-0.686***</w:t>
            </w:r>
          </w:p>
        </w:tc>
        <w:tc>
          <w:tcPr>
            <w:tcW w:w="1241" w:type="dxa"/>
            <w:tcBorders>
              <w:top w:val="nil"/>
              <w:left w:val="nil"/>
              <w:bottom w:val="single" w:sz="4" w:space="0" w:color="auto"/>
              <w:right w:val="nil"/>
            </w:tcBorders>
            <w:shd w:val="clear" w:color="auto" w:fill="auto"/>
            <w:noWrap/>
            <w:vAlign w:val="bottom"/>
            <w:hideMark/>
          </w:tcPr>
          <w:p w14:paraId="52D2E656"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-0.528***</w:t>
            </w:r>
          </w:p>
        </w:tc>
        <w:tc>
          <w:tcPr>
            <w:tcW w:w="1142" w:type="dxa"/>
            <w:tcBorders>
              <w:top w:val="nil"/>
              <w:left w:val="nil"/>
              <w:bottom w:val="single" w:sz="4" w:space="0" w:color="auto"/>
              <w:right w:val="nil"/>
            </w:tcBorders>
            <w:shd w:val="clear" w:color="auto" w:fill="auto"/>
            <w:noWrap/>
            <w:vAlign w:val="bottom"/>
            <w:hideMark/>
          </w:tcPr>
          <w:p w14:paraId="7FDB4AA1"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0.124***</w:t>
            </w:r>
          </w:p>
        </w:tc>
        <w:tc>
          <w:tcPr>
            <w:tcW w:w="1142" w:type="dxa"/>
            <w:tcBorders>
              <w:top w:val="nil"/>
              <w:left w:val="nil"/>
              <w:bottom w:val="single" w:sz="4" w:space="0" w:color="auto"/>
              <w:right w:val="nil"/>
            </w:tcBorders>
            <w:shd w:val="clear" w:color="auto" w:fill="auto"/>
            <w:noWrap/>
            <w:vAlign w:val="bottom"/>
            <w:hideMark/>
          </w:tcPr>
          <w:p w14:paraId="1ACAF714" w14:textId="77777777" w:rsidR="0093472B" w:rsidRPr="00C82EE1" w:rsidRDefault="0093472B" w:rsidP="00026FCB">
            <w:pPr>
              <w:spacing w:after="0" w:line="240" w:lineRule="auto"/>
              <w:jc w:val="both"/>
              <w:rPr>
                <w:rFonts w:ascii="Times New Roman" w:eastAsia="Times New Roman" w:hAnsi="Times New Roman" w:cs="Times New Roman"/>
                <w:color w:val="000000"/>
                <w:sz w:val="24"/>
                <w:szCs w:val="24"/>
              </w:rPr>
            </w:pPr>
            <w:r w:rsidRPr="00C82EE1">
              <w:rPr>
                <w:rFonts w:ascii="Times New Roman" w:eastAsia="Times New Roman" w:hAnsi="Times New Roman" w:cs="Times New Roman"/>
                <w:color w:val="000000"/>
                <w:sz w:val="24"/>
                <w:szCs w:val="24"/>
              </w:rPr>
              <w:t>0.133***</w:t>
            </w:r>
          </w:p>
        </w:tc>
      </w:tr>
      <w:tr w:rsidR="0093472B" w:rsidRPr="00C82EE1" w14:paraId="4473E560" w14:textId="77777777" w:rsidTr="00F62B5C">
        <w:trPr>
          <w:trHeight w:val="57"/>
          <w:jc w:val="center"/>
        </w:trPr>
        <w:tc>
          <w:tcPr>
            <w:tcW w:w="13420" w:type="dxa"/>
            <w:gridSpan w:val="10"/>
            <w:tcBorders>
              <w:top w:val="single" w:sz="4" w:space="0" w:color="auto"/>
              <w:left w:val="nil"/>
              <w:bottom w:val="nil"/>
              <w:right w:val="nil"/>
            </w:tcBorders>
            <w:shd w:val="clear" w:color="auto" w:fill="auto"/>
            <w:vAlign w:val="bottom"/>
            <w:hideMark/>
          </w:tcPr>
          <w:p w14:paraId="72A339C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Notes. This table presents Pearson correlations between the ICO success, LC and readability variables. Variables are defined in Table 1. Significance levels: * indicates p&lt;0.1, ** indicates p&lt;0.05, *** indicates p&lt;0.01.</w:t>
            </w:r>
          </w:p>
          <w:p w14:paraId="7AED01C6" w14:textId="77777777" w:rsidR="0093472B" w:rsidRPr="00C82EE1" w:rsidRDefault="0093472B" w:rsidP="00026FCB">
            <w:pPr>
              <w:spacing w:after="0" w:line="240" w:lineRule="auto"/>
              <w:jc w:val="both"/>
              <w:rPr>
                <w:rFonts w:ascii="Times New Roman" w:eastAsia="Times New Roman" w:hAnsi="Times New Roman" w:cs="Times New Roman"/>
                <w:color w:val="000000"/>
                <w:szCs w:val="24"/>
              </w:rPr>
            </w:pPr>
          </w:p>
          <w:p w14:paraId="716A11D2" w14:textId="77777777" w:rsidR="0093472B" w:rsidRPr="00C82EE1" w:rsidRDefault="0093472B" w:rsidP="00026FCB">
            <w:pPr>
              <w:spacing w:after="0" w:line="240" w:lineRule="auto"/>
              <w:jc w:val="both"/>
              <w:rPr>
                <w:rFonts w:ascii="Times New Roman" w:eastAsia="Times New Roman" w:hAnsi="Times New Roman" w:cs="Times New Roman"/>
                <w:color w:val="000000"/>
                <w:szCs w:val="24"/>
              </w:rPr>
            </w:pPr>
          </w:p>
          <w:p w14:paraId="0D3AA01A" w14:textId="77777777" w:rsidR="0093472B" w:rsidRPr="00C82EE1" w:rsidRDefault="0093472B" w:rsidP="00026FCB">
            <w:pPr>
              <w:spacing w:after="0" w:line="240" w:lineRule="auto"/>
              <w:jc w:val="both"/>
              <w:rPr>
                <w:rFonts w:ascii="Times New Roman" w:eastAsia="Times New Roman" w:hAnsi="Times New Roman" w:cs="Times New Roman"/>
                <w:color w:val="000000"/>
                <w:szCs w:val="24"/>
              </w:rPr>
            </w:pPr>
          </w:p>
          <w:p w14:paraId="328010D4" w14:textId="77777777" w:rsidR="0093472B" w:rsidRPr="00C82EE1" w:rsidRDefault="0093472B" w:rsidP="00026FCB">
            <w:pPr>
              <w:spacing w:after="0" w:line="240" w:lineRule="auto"/>
              <w:jc w:val="both"/>
              <w:rPr>
                <w:rFonts w:ascii="Times New Roman" w:eastAsia="Times New Roman" w:hAnsi="Times New Roman" w:cs="Times New Roman"/>
                <w:color w:val="000000"/>
                <w:szCs w:val="24"/>
              </w:rPr>
            </w:pPr>
          </w:p>
          <w:p w14:paraId="76125D65" w14:textId="77777777" w:rsidR="0093472B" w:rsidRPr="00C82EE1" w:rsidRDefault="0093472B" w:rsidP="00026FCB">
            <w:pPr>
              <w:spacing w:after="0" w:line="240" w:lineRule="auto"/>
              <w:jc w:val="both"/>
              <w:rPr>
                <w:rFonts w:ascii="Times New Roman" w:eastAsia="Times New Roman" w:hAnsi="Times New Roman" w:cs="Times New Roman"/>
                <w:color w:val="000000"/>
                <w:szCs w:val="24"/>
              </w:rPr>
            </w:pPr>
          </w:p>
          <w:p w14:paraId="3995D75D" w14:textId="77777777" w:rsidR="0093472B" w:rsidRPr="00C82EE1" w:rsidRDefault="0093472B" w:rsidP="00026FCB">
            <w:pPr>
              <w:spacing w:after="0" w:line="240" w:lineRule="auto"/>
              <w:jc w:val="both"/>
              <w:rPr>
                <w:rFonts w:ascii="Times New Roman" w:eastAsia="Times New Roman" w:hAnsi="Times New Roman" w:cs="Times New Roman"/>
                <w:color w:val="000000"/>
                <w:szCs w:val="24"/>
              </w:rPr>
            </w:pPr>
          </w:p>
        </w:tc>
      </w:tr>
    </w:tbl>
    <w:p w14:paraId="2D335E81" w14:textId="77777777" w:rsidR="0093472B" w:rsidRPr="00C82EE1" w:rsidRDefault="0093472B" w:rsidP="00026FCB">
      <w:pPr>
        <w:jc w:val="both"/>
        <w:rPr>
          <w:rFonts w:ascii="Times New Roman" w:hAnsi="Times New Roman" w:cs="Times New Roman"/>
          <w:sz w:val="24"/>
          <w:szCs w:val="24"/>
        </w:rPr>
        <w:sectPr w:rsidR="0093472B" w:rsidRPr="00C82EE1" w:rsidSect="0093472B">
          <w:pgSz w:w="16838" w:h="11906" w:orient="landscape"/>
          <w:pgMar w:top="1417" w:right="1417" w:bottom="1417" w:left="1417" w:header="708" w:footer="708" w:gutter="0"/>
          <w:cols w:space="708"/>
          <w:docGrid w:linePitch="360"/>
        </w:sectPr>
      </w:pPr>
    </w:p>
    <w:tbl>
      <w:tblPr>
        <w:tblW w:w="10893" w:type="dxa"/>
        <w:jc w:val="center"/>
        <w:tblLook w:val="04A0" w:firstRow="1" w:lastRow="0" w:firstColumn="1" w:lastColumn="0" w:noHBand="0" w:noVBand="1"/>
      </w:tblPr>
      <w:tblGrid>
        <w:gridCol w:w="1721"/>
        <w:gridCol w:w="811"/>
        <w:gridCol w:w="811"/>
        <w:gridCol w:w="811"/>
        <w:gridCol w:w="811"/>
        <w:gridCol w:w="811"/>
        <w:gridCol w:w="811"/>
        <w:gridCol w:w="251"/>
        <w:gridCol w:w="811"/>
        <w:gridCol w:w="811"/>
        <w:gridCol w:w="811"/>
        <w:gridCol w:w="811"/>
        <w:gridCol w:w="811"/>
      </w:tblGrid>
      <w:tr w:rsidR="0093472B" w:rsidRPr="00C82EE1" w14:paraId="4A36BF03" w14:textId="77777777" w:rsidTr="008355AB">
        <w:trPr>
          <w:trHeight w:val="180"/>
          <w:jc w:val="center"/>
        </w:trPr>
        <w:tc>
          <w:tcPr>
            <w:tcW w:w="10893" w:type="dxa"/>
            <w:gridSpan w:val="13"/>
            <w:tcBorders>
              <w:top w:val="nil"/>
              <w:left w:val="nil"/>
              <w:bottom w:val="nil"/>
              <w:right w:val="nil"/>
            </w:tcBorders>
            <w:shd w:val="clear" w:color="auto" w:fill="auto"/>
            <w:noWrap/>
            <w:vAlign w:val="bottom"/>
            <w:hideMark/>
          </w:tcPr>
          <w:p w14:paraId="26BD5168" w14:textId="1A4F3D86" w:rsidR="0093472B" w:rsidRPr="00C82EE1" w:rsidRDefault="0093472B" w:rsidP="00E223E9">
            <w:pPr>
              <w:spacing w:after="240" w:line="240" w:lineRule="auto"/>
              <w:jc w:val="center"/>
              <w:rPr>
                <w:rFonts w:ascii="Times New Roman" w:eastAsia="Times New Roman" w:hAnsi="Times New Roman" w:cs="Times New Roman"/>
                <w:b/>
                <w:bCs/>
                <w:color w:val="000000"/>
                <w:sz w:val="28"/>
                <w:szCs w:val="14"/>
              </w:rPr>
            </w:pPr>
            <w:r w:rsidRPr="00C82EE1">
              <w:rPr>
                <w:rFonts w:ascii="Times New Roman" w:eastAsia="Times New Roman" w:hAnsi="Times New Roman" w:cs="Times New Roman"/>
                <w:b/>
                <w:bCs/>
                <w:color w:val="000000"/>
                <w:sz w:val="28"/>
                <w:szCs w:val="14"/>
              </w:rPr>
              <w:lastRenderedPageBreak/>
              <w:t>Table 4: The impact of LC on the ICO funding outcome.</w:t>
            </w:r>
          </w:p>
          <w:p w14:paraId="6CF7EE61" w14:textId="77777777" w:rsidR="003C73FB" w:rsidRPr="00C82EE1" w:rsidRDefault="003C73FB" w:rsidP="00225E62">
            <w:pPr>
              <w:spacing w:after="0" w:line="240" w:lineRule="auto"/>
              <w:jc w:val="center"/>
              <w:rPr>
                <w:rFonts w:ascii="Times New Roman" w:eastAsia="Times New Roman" w:hAnsi="Times New Roman" w:cs="Times New Roman"/>
                <w:b/>
                <w:bCs/>
                <w:color w:val="000000"/>
                <w:sz w:val="28"/>
                <w:szCs w:val="14"/>
              </w:rPr>
            </w:pPr>
          </w:p>
          <w:p w14:paraId="47E8D4C1" w14:textId="77777777" w:rsidR="0093472B" w:rsidRPr="00C82EE1" w:rsidRDefault="0093472B" w:rsidP="00026FCB">
            <w:pPr>
              <w:spacing w:after="0" w:line="240" w:lineRule="auto"/>
              <w:ind w:left="459"/>
              <w:jc w:val="both"/>
              <w:rPr>
                <w:rFonts w:ascii="Times New Roman" w:eastAsia="Times New Roman" w:hAnsi="Times New Roman" w:cs="Times New Roman"/>
                <w:b/>
                <w:bCs/>
                <w:color w:val="000000"/>
                <w:sz w:val="14"/>
                <w:szCs w:val="14"/>
              </w:rPr>
            </w:pPr>
          </w:p>
        </w:tc>
      </w:tr>
      <w:tr w:rsidR="008355AB" w:rsidRPr="00C82EE1" w14:paraId="199C0FC4" w14:textId="77777777" w:rsidTr="008355AB">
        <w:trPr>
          <w:trHeight w:val="180"/>
          <w:jc w:val="center"/>
        </w:trPr>
        <w:tc>
          <w:tcPr>
            <w:tcW w:w="1721" w:type="dxa"/>
            <w:tcBorders>
              <w:top w:val="single" w:sz="4" w:space="0" w:color="auto"/>
              <w:left w:val="nil"/>
              <w:bottom w:val="single" w:sz="4" w:space="0" w:color="auto"/>
              <w:right w:val="nil"/>
            </w:tcBorders>
            <w:shd w:val="clear" w:color="auto" w:fill="auto"/>
            <w:noWrap/>
            <w:vAlign w:val="bottom"/>
            <w:hideMark/>
          </w:tcPr>
          <w:p w14:paraId="314ABA32" w14:textId="1B61241C" w:rsidR="008355AB" w:rsidRPr="00C82EE1" w:rsidRDefault="008355AB" w:rsidP="008355AB">
            <w:pPr>
              <w:spacing w:after="0" w:line="240" w:lineRule="auto"/>
              <w:jc w:val="both"/>
              <w:rPr>
                <w:rFonts w:ascii="Times New Roman" w:eastAsia="Times New Roman" w:hAnsi="Times New Roman" w:cs="Times New Roman"/>
                <w:b/>
                <w:bCs/>
                <w:color w:val="000000"/>
                <w:sz w:val="14"/>
                <w:szCs w:val="14"/>
              </w:rPr>
            </w:pPr>
            <w:r w:rsidRPr="00C82EE1">
              <w:rPr>
                <w:rFonts w:ascii="Times New Roman" w:hAnsi="Times New Roman" w:cs="Times New Roman"/>
                <w:b/>
                <w:bCs/>
                <w:color w:val="000000"/>
                <w:sz w:val="14"/>
                <w:szCs w:val="14"/>
              </w:rPr>
              <w:t>Dependent variable</w:t>
            </w:r>
          </w:p>
        </w:tc>
        <w:tc>
          <w:tcPr>
            <w:tcW w:w="9172" w:type="dxa"/>
            <w:gridSpan w:val="12"/>
            <w:tcBorders>
              <w:top w:val="single" w:sz="4" w:space="0" w:color="auto"/>
              <w:left w:val="nil"/>
              <w:bottom w:val="single" w:sz="4" w:space="0" w:color="auto"/>
              <w:right w:val="nil"/>
            </w:tcBorders>
            <w:shd w:val="clear" w:color="auto" w:fill="auto"/>
            <w:noWrap/>
            <w:vAlign w:val="bottom"/>
            <w:hideMark/>
          </w:tcPr>
          <w:p w14:paraId="1AD5DD6B" w14:textId="0514A77F" w:rsidR="008355AB" w:rsidRPr="00C82EE1" w:rsidRDefault="008355AB" w:rsidP="008355AB">
            <w:pPr>
              <w:spacing w:after="0" w:line="240" w:lineRule="auto"/>
              <w:jc w:val="center"/>
              <w:rPr>
                <w:rFonts w:ascii="Times New Roman" w:eastAsia="Times New Roman" w:hAnsi="Times New Roman" w:cs="Times New Roman"/>
                <w:b/>
                <w:i/>
                <w:iCs/>
                <w:color w:val="000000"/>
                <w:sz w:val="14"/>
                <w:szCs w:val="14"/>
              </w:rPr>
            </w:pPr>
            <w:r w:rsidRPr="00C82EE1">
              <w:rPr>
                <w:rFonts w:ascii="Times New Roman" w:hAnsi="Times New Roman" w:cs="Times New Roman"/>
                <w:b/>
                <w:i/>
                <w:iCs/>
                <w:color w:val="000000"/>
                <w:sz w:val="14"/>
                <w:szCs w:val="14"/>
              </w:rPr>
              <w:t xml:space="preserve">Amount raised </w:t>
            </w:r>
          </w:p>
        </w:tc>
      </w:tr>
      <w:tr w:rsidR="008355AB" w:rsidRPr="00C82EE1" w14:paraId="77E93367"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315870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4"/>
                <w:szCs w:val="14"/>
              </w:rPr>
            </w:pPr>
          </w:p>
        </w:tc>
        <w:tc>
          <w:tcPr>
            <w:tcW w:w="811" w:type="dxa"/>
            <w:tcBorders>
              <w:top w:val="nil"/>
              <w:left w:val="nil"/>
              <w:bottom w:val="nil"/>
              <w:right w:val="nil"/>
            </w:tcBorders>
            <w:shd w:val="clear" w:color="auto" w:fill="auto"/>
            <w:noWrap/>
            <w:vAlign w:val="bottom"/>
            <w:hideMark/>
          </w:tcPr>
          <w:p w14:paraId="3BE9F38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4055" w:type="dxa"/>
            <w:gridSpan w:val="5"/>
            <w:tcBorders>
              <w:top w:val="single" w:sz="4" w:space="0" w:color="auto"/>
              <w:left w:val="nil"/>
              <w:bottom w:val="single" w:sz="4" w:space="0" w:color="auto"/>
              <w:right w:val="nil"/>
            </w:tcBorders>
            <w:shd w:val="clear" w:color="auto" w:fill="auto"/>
            <w:noWrap/>
            <w:vAlign w:val="bottom"/>
            <w:hideMark/>
          </w:tcPr>
          <w:p w14:paraId="19316A87" w14:textId="77777777" w:rsidR="0093472B" w:rsidRPr="00C82EE1" w:rsidRDefault="0093472B" w:rsidP="00086E4A">
            <w:pPr>
              <w:spacing w:after="0" w:line="240" w:lineRule="auto"/>
              <w:jc w:val="center"/>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Panel A: Linear impact</w:t>
            </w:r>
          </w:p>
        </w:tc>
        <w:tc>
          <w:tcPr>
            <w:tcW w:w="251" w:type="dxa"/>
            <w:tcBorders>
              <w:top w:val="nil"/>
              <w:left w:val="nil"/>
              <w:bottom w:val="nil"/>
              <w:right w:val="nil"/>
            </w:tcBorders>
            <w:shd w:val="clear" w:color="auto" w:fill="auto"/>
            <w:noWrap/>
            <w:vAlign w:val="bottom"/>
            <w:hideMark/>
          </w:tcPr>
          <w:p w14:paraId="17D06BA7" w14:textId="77777777" w:rsidR="0093472B" w:rsidRPr="00C82EE1" w:rsidRDefault="0093472B" w:rsidP="008355AB">
            <w:pPr>
              <w:spacing w:after="0" w:line="240" w:lineRule="auto"/>
              <w:rPr>
                <w:rFonts w:ascii="Times New Roman" w:eastAsia="Times New Roman" w:hAnsi="Times New Roman" w:cs="Times New Roman"/>
                <w:i/>
                <w:iCs/>
                <w:color w:val="000000"/>
                <w:sz w:val="14"/>
                <w:szCs w:val="14"/>
              </w:rPr>
            </w:pPr>
          </w:p>
        </w:tc>
        <w:tc>
          <w:tcPr>
            <w:tcW w:w="4055" w:type="dxa"/>
            <w:gridSpan w:val="5"/>
            <w:tcBorders>
              <w:top w:val="single" w:sz="4" w:space="0" w:color="auto"/>
              <w:left w:val="nil"/>
              <w:bottom w:val="single" w:sz="4" w:space="0" w:color="auto"/>
              <w:right w:val="nil"/>
            </w:tcBorders>
            <w:shd w:val="clear" w:color="auto" w:fill="auto"/>
            <w:noWrap/>
            <w:vAlign w:val="bottom"/>
            <w:hideMark/>
          </w:tcPr>
          <w:p w14:paraId="31BE9865" w14:textId="15269AA2" w:rsidR="0093472B" w:rsidRPr="00C82EE1" w:rsidRDefault="0093472B" w:rsidP="00086E4A">
            <w:pPr>
              <w:spacing w:after="0" w:line="240" w:lineRule="auto"/>
              <w:jc w:val="center"/>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Panel B: Curvilinear impact</w:t>
            </w:r>
          </w:p>
        </w:tc>
      </w:tr>
      <w:tr w:rsidR="008355AB" w:rsidRPr="00C82EE1" w14:paraId="2CA8C6C4"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4865F905"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14"/>
                <w:szCs w:val="14"/>
              </w:rPr>
            </w:pPr>
          </w:p>
        </w:tc>
        <w:tc>
          <w:tcPr>
            <w:tcW w:w="811" w:type="dxa"/>
            <w:tcBorders>
              <w:top w:val="nil"/>
              <w:left w:val="nil"/>
              <w:bottom w:val="nil"/>
              <w:right w:val="nil"/>
            </w:tcBorders>
            <w:shd w:val="clear" w:color="auto" w:fill="auto"/>
            <w:noWrap/>
            <w:vAlign w:val="bottom"/>
            <w:hideMark/>
          </w:tcPr>
          <w:p w14:paraId="0B0EFF6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967AF1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9B4B515"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493DB85"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7593E9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5C295A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roofErr w:type="spellStart"/>
            <w:r w:rsidRPr="00C82EE1">
              <w:rPr>
                <w:rFonts w:ascii="Times New Roman" w:eastAsia="Times New Roman" w:hAnsi="Times New Roman" w:cs="Times New Roman"/>
                <w:color w:val="000000"/>
                <w:sz w:val="14"/>
                <w:szCs w:val="14"/>
              </w:rPr>
              <w:t>rCF</w:t>
            </w:r>
            <w:proofErr w:type="spellEnd"/>
          </w:p>
        </w:tc>
        <w:tc>
          <w:tcPr>
            <w:tcW w:w="251" w:type="dxa"/>
            <w:tcBorders>
              <w:top w:val="nil"/>
              <w:left w:val="nil"/>
              <w:bottom w:val="nil"/>
              <w:right w:val="nil"/>
            </w:tcBorders>
            <w:shd w:val="clear" w:color="auto" w:fill="auto"/>
            <w:noWrap/>
            <w:vAlign w:val="bottom"/>
            <w:hideMark/>
          </w:tcPr>
          <w:p w14:paraId="64F2D72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53346CE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D419D5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93D4BB8"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F8ED87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6141CF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roofErr w:type="spellStart"/>
            <w:r w:rsidRPr="00C82EE1">
              <w:rPr>
                <w:rFonts w:ascii="Times New Roman" w:eastAsia="Times New Roman" w:hAnsi="Times New Roman" w:cs="Times New Roman"/>
                <w:color w:val="000000"/>
                <w:sz w:val="14"/>
                <w:szCs w:val="14"/>
              </w:rPr>
              <w:t>rCF</w:t>
            </w:r>
            <w:proofErr w:type="spellEnd"/>
          </w:p>
        </w:tc>
      </w:tr>
      <w:tr w:rsidR="008355AB" w:rsidRPr="00C82EE1" w14:paraId="53EDB8B9" w14:textId="77777777" w:rsidTr="008355AB">
        <w:trPr>
          <w:trHeight w:val="180"/>
          <w:jc w:val="center"/>
        </w:trPr>
        <w:tc>
          <w:tcPr>
            <w:tcW w:w="1721" w:type="dxa"/>
            <w:tcBorders>
              <w:top w:val="nil"/>
              <w:left w:val="nil"/>
              <w:bottom w:val="single" w:sz="4" w:space="0" w:color="auto"/>
              <w:right w:val="nil"/>
            </w:tcBorders>
            <w:shd w:val="clear" w:color="auto" w:fill="auto"/>
            <w:noWrap/>
            <w:vAlign w:val="bottom"/>
            <w:hideMark/>
          </w:tcPr>
          <w:p w14:paraId="61DE112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Model</w:t>
            </w:r>
          </w:p>
        </w:tc>
        <w:tc>
          <w:tcPr>
            <w:tcW w:w="811" w:type="dxa"/>
            <w:tcBorders>
              <w:top w:val="nil"/>
              <w:left w:val="nil"/>
              <w:bottom w:val="single" w:sz="4" w:space="0" w:color="auto"/>
              <w:right w:val="nil"/>
            </w:tcBorders>
            <w:shd w:val="clear" w:color="auto" w:fill="auto"/>
            <w:noWrap/>
            <w:vAlign w:val="bottom"/>
            <w:hideMark/>
          </w:tcPr>
          <w:p w14:paraId="1F45486F"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w:t>
            </w:r>
          </w:p>
        </w:tc>
        <w:tc>
          <w:tcPr>
            <w:tcW w:w="811" w:type="dxa"/>
            <w:tcBorders>
              <w:top w:val="nil"/>
              <w:left w:val="nil"/>
              <w:bottom w:val="single" w:sz="4" w:space="0" w:color="auto"/>
              <w:right w:val="nil"/>
            </w:tcBorders>
            <w:shd w:val="clear" w:color="auto" w:fill="auto"/>
            <w:noWrap/>
            <w:vAlign w:val="bottom"/>
            <w:hideMark/>
          </w:tcPr>
          <w:p w14:paraId="3FF88B70"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w:t>
            </w:r>
          </w:p>
        </w:tc>
        <w:tc>
          <w:tcPr>
            <w:tcW w:w="811" w:type="dxa"/>
            <w:tcBorders>
              <w:top w:val="nil"/>
              <w:left w:val="nil"/>
              <w:bottom w:val="single" w:sz="4" w:space="0" w:color="auto"/>
              <w:right w:val="nil"/>
            </w:tcBorders>
            <w:shd w:val="clear" w:color="auto" w:fill="auto"/>
            <w:noWrap/>
            <w:vAlign w:val="bottom"/>
            <w:hideMark/>
          </w:tcPr>
          <w:p w14:paraId="3D0A1B9C"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(3)</w:t>
            </w:r>
          </w:p>
        </w:tc>
        <w:tc>
          <w:tcPr>
            <w:tcW w:w="811" w:type="dxa"/>
            <w:tcBorders>
              <w:top w:val="nil"/>
              <w:left w:val="nil"/>
              <w:bottom w:val="single" w:sz="4" w:space="0" w:color="auto"/>
              <w:right w:val="nil"/>
            </w:tcBorders>
            <w:shd w:val="clear" w:color="auto" w:fill="auto"/>
            <w:noWrap/>
            <w:vAlign w:val="bottom"/>
            <w:hideMark/>
          </w:tcPr>
          <w:p w14:paraId="47D1F3EE"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(4)</w:t>
            </w:r>
          </w:p>
        </w:tc>
        <w:tc>
          <w:tcPr>
            <w:tcW w:w="811" w:type="dxa"/>
            <w:tcBorders>
              <w:top w:val="nil"/>
              <w:left w:val="nil"/>
              <w:bottom w:val="single" w:sz="4" w:space="0" w:color="auto"/>
              <w:right w:val="nil"/>
            </w:tcBorders>
            <w:shd w:val="clear" w:color="auto" w:fill="auto"/>
            <w:noWrap/>
            <w:vAlign w:val="bottom"/>
            <w:hideMark/>
          </w:tcPr>
          <w:p w14:paraId="5C87DD82"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(5)</w:t>
            </w:r>
          </w:p>
        </w:tc>
        <w:tc>
          <w:tcPr>
            <w:tcW w:w="811" w:type="dxa"/>
            <w:tcBorders>
              <w:top w:val="nil"/>
              <w:left w:val="nil"/>
              <w:bottom w:val="single" w:sz="4" w:space="0" w:color="auto"/>
              <w:right w:val="nil"/>
            </w:tcBorders>
            <w:shd w:val="clear" w:color="auto" w:fill="auto"/>
            <w:noWrap/>
            <w:vAlign w:val="bottom"/>
            <w:hideMark/>
          </w:tcPr>
          <w:p w14:paraId="63499B37"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(6)</w:t>
            </w:r>
          </w:p>
        </w:tc>
        <w:tc>
          <w:tcPr>
            <w:tcW w:w="251" w:type="dxa"/>
            <w:tcBorders>
              <w:top w:val="nil"/>
              <w:left w:val="nil"/>
              <w:bottom w:val="single" w:sz="4" w:space="0" w:color="auto"/>
              <w:right w:val="nil"/>
            </w:tcBorders>
            <w:shd w:val="clear" w:color="auto" w:fill="auto"/>
            <w:noWrap/>
            <w:vAlign w:val="bottom"/>
            <w:hideMark/>
          </w:tcPr>
          <w:p w14:paraId="19D488C4" w14:textId="078A7709" w:rsidR="0093472B" w:rsidRPr="00C82EE1" w:rsidRDefault="0093472B" w:rsidP="00FA76CA">
            <w:pPr>
              <w:spacing w:after="0" w:line="240" w:lineRule="auto"/>
              <w:rPr>
                <w:rFonts w:ascii="Times New Roman" w:eastAsia="Times New Roman" w:hAnsi="Times New Roman" w:cs="Times New Roman"/>
                <w:color w:val="000000"/>
                <w:sz w:val="14"/>
                <w:szCs w:val="14"/>
              </w:rPr>
            </w:pPr>
          </w:p>
        </w:tc>
        <w:tc>
          <w:tcPr>
            <w:tcW w:w="811" w:type="dxa"/>
            <w:tcBorders>
              <w:top w:val="nil"/>
              <w:left w:val="nil"/>
              <w:bottom w:val="single" w:sz="4" w:space="0" w:color="auto"/>
              <w:right w:val="nil"/>
            </w:tcBorders>
            <w:shd w:val="clear" w:color="auto" w:fill="auto"/>
            <w:noWrap/>
            <w:vAlign w:val="bottom"/>
            <w:hideMark/>
          </w:tcPr>
          <w:p w14:paraId="098F7D61"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(7)</w:t>
            </w:r>
          </w:p>
        </w:tc>
        <w:tc>
          <w:tcPr>
            <w:tcW w:w="811" w:type="dxa"/>
            <w:tcBorders>
              <w:top w:val="nil"/>
              <w:left w:val="nil"/>
              <w:bottom w:val="single" w:sz="4" w:space="0" w:color="auto"/>
              <w:right w:val="nil"/>
            </w:tcBorders>
            <w:shd w:val="clear" w:color="auto" w:fill="auto"/>
            <w:noWrap/>
            <w:vAlign w:val="bottom"/>
            <w:hideMark/>
          </w:tcPr>
          <w:p w14:paraId="60C9B23A"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(8)</w:t>
            </w:r>
          </w:p>
        </w:tc>
        <w:tc>
          <w:tcPr>
            <w:tcW w:w="811" w:type="dxa"/>
            <w:tcBorders>
              <w:top w:val="nil"/>
              <w:left w:val="nil"/>
              <w:bottom w:val="single" w:sz="4" w:space="0" w:color="auto"/>
              <w:right w:val="nil"/>
            </w:tcBorders>
            <w:shd w:val="clear" w:color="auto" w:fill="auto"/>
            <w:noWrap/>
            <w:vAlign w:val="bottom"/>
            <w:hideMark/>
          </w:tcPr>
          <w:p w14:paraId="34C7398E"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(9)</w:t>
            </w:r>
          </w:p>
        </w:tc>
        <w:tc>
          <w:tcPr>
            <w:tcW w:w="811" w:type="dxa"/>
            <w:tcBorders>
              <w:top w:val="nil"/>
              <w:left w:val="nil"/>
              <w:bottom w:val="single" w:sz="4" w:space="0" w:color="auto"/>
              <w:right w:val="nil"/>
            </w:tcBorders>
            <w:shd w:val="clear" w:color="auto" w:fill="auto"/>
            <w:noWrap/>
            <w:vAlign w:val="bottom"/>
            <w:hideMark/>
          </w:tcPr>
          <w:p w14:paraId="59F7D84C"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w:t>
            </w:r>
          </w:p>
        </w:tc>
        <w:tc>
          <w:tcPr>
            <w:tcW w:w="811" w:type="dxa"/>
            <w:tcBorders>
              <w:top w:val="nil"/>
              <w:left w:val="nil"/>
              <w:bottom w:val="single" w:sz="4" w:space="0" w:color="auto"/>
              <w:right w:val="nil"/>
            </w:tcBorders>
            <w:shd w:val="clear" w:color="auto" w:fill="auto"/>
            <w:noWrap/>
            <w:vAlign w:val="bottom"/>
            <w:hideMark/>
          </w:tcPr>
          <w:p w14:paraId="1431C20A" w14:textId="77777777" w:rsidR="0093472B" w:rsidRPr="00C82EE1" w:rsidRDefault="0093472B" w:rsidP="00FA76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w:t>
            </w:r>
          </w:p>
        </w:tc>
      </w:tr>
      <w:tr w:rsidR="008355AB" w:rsidRPr="00C82EE1" w14:paraId="3438A594"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61D468CC"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Constant</w:t>
            </w:r>
          </w:p>
        </w:tc>
        <w:tc>
          <w:tcPr>
            <w:tcW w:w="811" w:type="dxa"/>
            <w:tcBorders>
              <w:top w:val="nil"/>
              <w:left w:val="nil"/>
              <w:bottom w:val="nil"/>
              <w:right w:val="nil"/>
            </w:tcBorders>
            <w:shd w:val="clear" w:color="auto" w:fill="auto"/>
            <w:noWrap/>
            <w:vAlign w:val="bottom"/>
            <w:hideMark/>
          </w:tcPr>
          <w:p w14:paraId="2CC540E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11.152***</w:t>
            </w:r>
          </w:p>
        </w:tc>
        <w:tc>
          <w:tcPr>
            <w:tcW w:w="811" w:type="dxa"/>
            <w:tcBorders>
              <w:top w:val="nil"/>
              <w:left w:val="nil"/>
              <w:bottom w:val="nil"/>
              <w:right w:val="nil"/>
            </w:tcBorders>
            <w:shd w:val="clear" w:color="auto" w:fill="auto"/>
            <w:noWrap/>
            <w:vAlign w:val="bottom"/>
            <w:hideMark/>
          </w:tcPr>
          <w:p w14:paraId="26580C9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12.395***</w:t>
            </w:r>
          </w:p>
        </w:tc>
        <w:tc>
          <w:tcPr>
            <w:tcW w:w="811" w:type="dxa"/>
            <w:tcBorders>
              <w:top w:val="nil"/>
              <w:left w:val="nil"/>
              <w:bottom w:val="nil"/>
              <w:right w:val="nil"/>
            </w:tcBorders>
            <w:shd w:val="clear" w:color="auto" w:fill="auto"/>
            <w:noWrap/>
            <w:vAlign w:val="bottom"/>
            <w:hideMark/>
          </w:tcPr>
          <w:p w14:paraId="1AE74CC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10.690***</w:t>
            </w:r>
          </w:p>
        </w:tc>
        <w:tc>
          <w:tcPr>
            <w:tcW w:w="811" w:type="dxa"/>
            <w:tcBorders>
              <w:top w:val="nil"/>
              <w:left w:val="nil"/>
              <w:bottom w:val="nil"/>
              <w:right w:val="nil"/>
            </w:tcBorders>
            <w:shd w:val="clear" w:color="auto" w:fill="auto"/>
            <w:noWrap/>
            <w:vAlign w:val="bottom"/>
            <w:hideMark/>
          </w:tcPr>
          <w:p w14:paraId="36784A6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11.605***</w:t>
            </w:r>
          </w:p>
        </w:tc>
        <w:tc>
          <w:tcPr>
            <w:tcW w:w="811" w:type="dxa"/>
            <w:tcBorders>
              <w:top w:val="nil"/>
              <w:left w:val="nil"/>
              <w:bottom w:val="nil"/>
              <w:right w:val="nil"/>
            </w:tcBorders>
            <w:shd w:val="clear" w:color="auto" w:fill="auto"/>
            <w:noWrap/>
            <w:vAlign w:val="bottom"/>
            <w:hideMark/>
          </w:tcPr>
          <w:p w14:paraId="3FCC07E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12.238***</w:t>
            </w:r>
          </w:p>
        </w:tc>
        <w:tc>
          <w:tcPr>
            <w:tcW w:w="811" w:type="dxa"/>
            <w:tcBorders>
              <w:top w:val="nil"/>
              <w:left w:val="nil"/>
              <w:bottom w:val="nil"/>
              <w:right w:val="nil"/>
            </w:tcBorders>
            <w:shd w:val="clear" w:color="auto" w:fill="auto"/>
            <w:noWrap/>
            <w:vAlign w:val="bottom"/>
            <w:hideMark/>
          </w:tcPr>
          <w:p w14:paraId="1158B7C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12.156***</w:t>
            </w:r>
          </w:p>
        </w:tc>
        <w:tc>
          <w:tcPr>
            <w:tcW w:w="251" w:type="dxa"/>
            <w:tcBorders>
              <w:top w:val="nil"/>
              <w:left w:val="nil"/>
              <w:bottom w:val="nil"/>
              <w:right w:val="nil"/>
            </w:tcBorders>
            <w:shd w:val="clear" w:color="auto" w:fill="auto"/>
            <w:noWrap/>
            <w:vAlign w:val="bottom"/>
            <w:hideMark/>
          </w:tcPr>
          <w:p w14:paraId="138F65B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7F3D490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12.785***</w:t>
            </w:r>
          </w:p>
        </w:tc>
        <w:tc>
          <w:tcPr>
            <w:tcW w:w="811" w:type="dxa"/>
            <w:tcBorders>
              <w:top w:val="nil"/>
              <w:left w:val="nil"/>
              <w:bottom w:val="nil"/>
              <w:right w:val="nil"/>
            </w:tcBorders>
            <w:shd w:val="clear" w:color="auto" w:fill="auto"/>
            <w:noWrap/>
            <w:vAlign w:val="bottom"/>
            <w:hideMark/>
          </w:tcPr>
          <w:p w14:paraId="6D27C34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11.223***</w:t>
            </w:r>
          </w:p>
        </w:tc>
        <w:tc>
          <w:tcPr>
            <w:tcW w:w="811" w:type="dxa"/>
            <w:tcBorders>
              <w:top w:val="nil"/>
              <w:left w:val="nil"/>
              <w:bottom w:val="nil"/>
              <w:right w:val="nil"/>
            </w:tcBorders>
            <w:shd w:val="clear" w:color="auto" w:fill="auto"/>
            <w:noWrap/>
            <w:vAlign w:val="bottom"/>
            <w:hideMark/>
          </w:tcPr>
          <w:p w14:paraId="297B289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11.983***</w:t>
            </w:r>
          </w:p>
        </w:tc>
        <w:tc>
          <w:tcPr>
            <w:tcW w:w="811" w:type="dxa"/>
            <w:tcBorders>
              <w:top w:val="nil"/>
              <w:left w:val="nil"/>
              <w:bottom w:val="nil"/>
              <w:right w:val="nil"/>
            </w:tcBorders>
            <w:shd w:val="clear" w:color="auto" w:fill="auto"/>
            <w:noWrap/>
            <w:vAlign w:val="bottom"/>
            <w:hideMark/>
          </w:tcPr>
          <w:p w14:paraId="74D068A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12.503***</w:t>
            </w:r>
          </w:p>
        </w:tc>
        <w:tc>
          <w:tcPr>
            <w:tcW w:w="811" w:type="dxa"/>
            <w:tcBorders>
              <w:top w:val="nil"/>
              <w:left w:val="nil"/>
              <w:bottom w:val="nil"/>
              <w:right w:val="nil"/>
            </w:tcBorders>
            <w:shd w:val="clear" w:color="auto" w:fill="auto"/>
            <w:noWrap/>
            <w:vAlign w:val="bottom"/>
            <w:hideMark/>
          </w:tcPr>
          <w:p w14:paraId="7A4B423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12.460***</w:t>
            </w:r>
          </w:p>
        </w:tc>
      </w:tr>
      <w:tr w:rsidR="008355AB" w:rsidRPr="00C82EE1" w14:paraId="55904ED2"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C34F800"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171B250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(3.016)</w:t>
            </w:r>
          </w:p>
        </w:tc>
        <w:tc>
          <w:tcPr>
            <w:tcW w:w="811" w:type="dxa"/>
            <w:tcBorders>
              <w:top w:val="nil"/>
              <w:left w:val="nil"/>
              <w:bottom w:val="nil"/>
              <w:right w:val="nil"/>
            </w:tcBorders>
            <w:shd w:val="clear" w:color="auto" w:fill="auto"/>
            <w:noWrap/>
            <w:vAlign w:val="bottom"/>
            <w:hideMark/>
          </w:tcPr>
          <w:p w14:paraId="0767DE9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(2.043)</w:t>
            </w:r>
          </w:p>
        </w:tc>
        <w:tc>
          <w:tcPr>
            <w:tcW w:w="811" w:type="dxa"/>
            <w:tcBorders>
              <w:top w:val="nil"/>
              <w:left w:val="nil"/>
              <w:bottom w:val="nil"/>
              <w:right w:val="nil"/>
            </w:tcBorders>
            <w:shd w:val="clear" w:color="auto" w:fill="auto"/>
            <w:noWrap/>
            <w:vAlign w:val="bottom"/>
            <w:hideMark/>
          </w:tcPr>
          <w:p w14:paraId="36D36CB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(1.866)</w:t>
            </w:r>
          </w:p>
        </w:tc>
        <w:tc>
          <w:tcPr>
            <w:tcW w:w="811" w:type="dxa"/>
            <w:tcBorders>
              <w:top w:val="nil"/>
              <w:left w:val="nil"/>
              <w:bottom w:val="nil"/>
              <w:right w:val="nil"/>
            </w:tcBorders>
            <w:shd w:val="clear" w:color="auto" w:fill="auto"/>
            <w:noWrap/>
            <w:vAlign w:val="bottom"/>
            <w:hideMark/>
          </w:tcPr>
          <w:p w14:paraId="67FFBB1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(2.110)</w:t>
            </w:r>
          </w:p>
        </w:tc>
        <w:tc>
          <w:tcPr>
            <w:tcW w:w="811" w:type="dxa"/>
            <w:tcBorders>
              <w:top w:val="nil"/>
              <w:left w:val="nil"/>
              <w:bottom w:val="nil"/>
              <w:right w:val="nil"/>
            </w:tcBorders>
            <w:shd w:val="clear" w:color="auto" w:fill="auto"/>
            <w:noWrap/>
            <w:vAlign w:val="bottom"/>
            <w:hideMark/>
          </w:tcPr>
          <w:p w14:paraId="58B879A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(1.996)</w:t>
            </w:r>
          </w:p>
        </w:tc>
        <w:tc>
          <w:tcPr>
            <w:tcW w:w="811" w:type="dxa"/>
            <w:tcBorders>
              <w:top w:val="nil"/>
              <w:left w:val="nil"/>
              <w:bottom w:val="nil"/>
              <w:right w:val="nil"/>
            </w:tcBorders>
            <w:shd w:val="clear" w:color="auto" w:fill="auto"/>
            <w:noWrap/>
            <w:vAlign w:val="bottom"/>
            <w:hideMark/>
          </w:tcPr>
          <w:p w14:paraId="381FECE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(2.037)</w:t>
            </w:r>
          </w:p>
        </w:tc>
        <w:tc>
          <w:tcPr>
            <w:tcW w:w="251" w:type="dxa"/>
            <w:tcBorders>
              <w:top w:val="nil"/>
              <w:left w:val="nil"/>
              <w:bottom w:val="nil"/>
              <w:right w:val="nil"/>
            </w:tcBorders>
            <w:shd w:val="clear" w:color="auto" w:fill="auto"/>
            <w:noWrap/>
            <w:vAlign w:val="bottom"/>
            <w:hideMark/>
          </w:tcPr>
          <w:p w14:paraId="3BCF858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34337D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(2.110)</w:t>
            </w:r>
          </w:p>
        </w:tc>
        <w:tc>
          <w:tcPr>
            <w:tcW w:w="811" w:type="dxa"/>
            <w:tcBorders>
              <w:top w:val="nil"/>
              <w:left w:val="nil"/>
              <w:bottom w:val="nil"/>
              <w:right w:val="nil"/>
            </w:tcBorders>
            <w:shd w:val="clear" w:color="auto" w:fill="auto"/>
            <w:noWrap/>
            <w:vAlign w:val="bottom"/>
            <w:hideMark/>
          </w:tcPr>
          <w:p w14:paraId="64C1B66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(1.931)</w:t>
            </w:r>
          </w:p>
        </w:tc>
        <w:tc>
          <w:tcPr>
            <w:tcW w:w="811" w:type="dxa"/>
            <w:tcBorders>
              <w:top w:val="nil"/>
              <w:left w:val="nil"/>
              <w:bottom w:val="nil"/>
              <w:right w:val="nil"/>
            </w:tcBorders>
            <w:shd w:val="clear" w:color="auto" w:fill="auto"/>
            <w:noWrap/>
            <w:vAlign w:val="bottom"/>
            <w:hideMark/>
          </w:tcPr>
          <w:p w14:paraId="767F66F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(1.966)</w:t>
            </w:r>
          </w:p>
        </w:tc>
        <w:tc>
          <w:tcPr>
            <w:tcW w:w="811" w:type="dxa"/>
            <w:tcBorders>
              <w:top w:val="nil"/>
              <w:left w:val="nil"/>
              <w:bottom w:val="nil"/>
              <w:right w:val="nil"/>
            </w:tcBorders>
            <w:shd w:val="clear" w:color="auto" w:fill="auto"/>
            <w:noWrap/>
            <w:vAlign w:val="bottom"/>
            <w:hideMark/>
          </w:tcPr>
          <w:p w14:paraId="109DA12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(2.018)</w:t>
            </w:r>
          </w:p>
        </w:tc>
        <w:tc>
          <w:tcPr>
            <w:tcW w:w="811" w:type="dxa"/>
            <w:tcBorders>
              <w:top w:val="nil"/>
              <w:left w:val="nil"/>
              <w:bottom w:val="nil"/>
              <w:right w:val="nil"/>
            </w:tcBorders>
            <w:shd w:val="clear" w:color="auto" w:fill="auto"/>
            <w:noWrap/>
            <w:vAlign w:val="bottom"/>
            <w:hideMark/>
          </w:tcPr>
          <w:p w14:paraId="0A3CB24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(2.062)</w:t>
            </w:r>
          </w:p>
        </w:tc>
      </w:tr>
      <w:tr w:rsidR="008355AB" w:rsidRPr="00C82EE1" w14:paraId="0928D29C"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C2C9FE3"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LC</w:t>
            </w:r>
          </w:p>
        </w:tc>
        <w:tc>
          <w:tcPr>
            <w:tcW w:w="811" w:type="dxa"/>
            <w:tcBorders>
              <w:top w:val="nil"/>
              <w:left w:val="nil"/>
              <w:bottom w:val="nil"/>
              <w:right w:val="nil"/>
            </w:tcBorders>
            <w:shd w:val="clear" w:color="auto" w:fill="auto"/>
            <w:noWrap/>
            <w:vAlign w:val="bottom"/>
            <w:hideMark/>
          </w:tcPr>
          <w:p w14:paraId="76FE99E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0.137***</w:t>
            </w:r>
          </w:p>
        </w:tc>
        <w:tc>
          <w:tcPr>
            <w:tcW w:w="811" w:type="dxa"/>
            <w:tcBorders>
              <w:top w:val="nil"/>
              <w:left w:val="nil"/>
              <w:bottom w:val="nil"/>
              <w:right w:val="nil"/>
            </w:tcBorders>
            <w:shd w:val="clear" w:color="auto" w:fill="auto"/>
            <w:noWrap/>
            <w:vAlign w:val="bottom"/>
            <w:hideMark/>
          </w:tcPr>
          <w:p w14:paraId="20626BD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0.129***</w:t>
            </w:r>
          </w:p>
        </w:tc>
        <w:tc>
          <w:tcPr>
            <w:tcW w:w="811" w:type="dxa"/>
            <w:tcBorders>
              <w:top w:val="nil"/>
              <w:left w:val="nil"/>
              <w:bottom w:val="nil"/>
              <w:right w:val="nil"/>
            </w:tcBorders>
            <w:shd w:val="clear" w:color="auto" w:fill="auto"/>
            <w:noWrap/>
            <w:vAlign w:val="bottom"/>
            <w:hideMark/>
          </w:tcPr>
          <w:p w14:paraId="7ACED60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6BF52DEB"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7EF81E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A56C27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0.111***</w:t>
            </w:r>
          </w:p>
        </w:tc>
        <w:tc>
          <w:tcPr>
            <w:tcW w:w="251" w:type="dxa"/>
            <w:tcBorders>
              <w:top w:val="nil"/>
              <w:left w:val="nil"/>
              <w:bottom w:val="nil"/>
              <w:right w:val="nil"/>
            </w:tcBorders>
            <w:shd w:val="clear" w:color="auto" w:fill="auto"/>
            <w:noWrap/>
            <w:vAlign w:val="bottom"/>
            <w:hideMark/>
          </w:tcPr>
          <w:p w14:paraId="6D70649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BCFE8C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0.129***</w:t>
            </w:r>
          </w:p>
        </w:tc>
        <w:tc>
          <w:tcPr>
            <w:tcW w:w="811" w:type="dxa"/>
            <w:tcBorders>
              <w:top w:val="nil"/>
              <w:left w:val="nil"/>
              <w:bottom w:val="nil"/>
              <w:right w:val="nil"/>
            </w:tcBorders>
            <w:shd w:val="clear" w:color="auto" w:fill="auto"/>
            <w:noWrap/>
            <w:vAlign w:val="bottom"/>
            <w:hideMark/>
          </w:tcPr>
          <w:p w14:paraId="4221A76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0201275"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970C589"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656C0A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0.101***</w:t>
            </w:r>
          </w:p>
        </w:tc>
      </w:tr>
      <w:tr w:rsidR="008355AB" w:rsidRPr="00C82EE1" w14:paraId="1B28C4AF"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E245048"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5228E16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(0.027)</w:t>
            </w:r>
          </w:p>
        </w:tc>
        <w:tc>
          <w:tcPr>
            <w:tcW w:w="811" w:type="dxa"/>
            <w:tcBorders>
              <w:top w:val="nil"/>
              <w:left w:val="nil"/>
              <w:bottom w:val="nil"/>
              <w:right w:val="nil"/>
            </w:tcBorders>
            <w:shd w:val="clear" w:color="auto" w:fill="auto"/>
            <w:noWrap/>
            <w:vAlign w:val="bottom"/>
            <w:hideMark/>
          </w:tcPr>
          <w:p w14:paraId="055C010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(0.025)</w:t>
            </w:r>
          </w:p>
        </w:tc>
        <w:tc>
          <w:tcPr>
            <w:tcW w:w="811" w:type="dxa"/>
            <w:tcBorders>
              <w:top w:val="nil"/>
              <w:left w:val="nil"/>
              <w:bottom w:val="nil"/>
              <w:right w:val="nil"/>
            </w:tcBorders>
            <w:shd w:val="clear" w:color="auto" w:fill="auto"/>
            <w:noWrap/>
            <w:vAlign w:val="bottom"/>
            <w:hideMark/>
          </w:tcPr>
          <w:p w14:paraId="359FACB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9B13C59"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F64FCB2"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03F14C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(0.030)</w:t>
            </w:r>
          </w:p>
        </w:tc>
        <w:tc>
          <w:tcPr>
            <w:tcW w:w="251" w:type="dxa"/>
            <w:tcBorders>
              <w:top w:val="nil"/>
              <w:left w:val="nil"/>
              <w:bottom w:val="nil"/>
              <w:right w:val="nil"/>
            </w:tcBorders>
            <w:shd w:val="clear" w:color="auto" w:fill="auto"/>
            <w:noWrap/>
            <w:vAlign w:val="bottom"/>
            <w:hideMark/>
          </w:tcPr>
          <w:p w14:paraId="1F0BECA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782B9E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(0.025)</w:t>
            </w:r>
          </w:p>
        </w:tc>
        <w:tc>
          <w:tcPr>
            <w:tcW w:w="811" w:type="dxa"/>
            <w:tcBorders>
              <w:top w:val="nil"/>
              <w:left w:val="nil"/>
              <w:bottom w:val="nil"/>
              <w:right w:val="nil"/>
            </w:tcBorders>
            <w:shd w:val="clear" w:color="auto" w:fill="auto"/>
            <w:noWrap/>
            <w:vAlign w:val="bottom"/>
            <w:hideMark/>
          </w:tcPr>
          <w:p w14:paraId="5D21C63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73BD8E15"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A00A9A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6782B7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(0.029)</w:t>
            </w:r>
          </w:p>
        </w:tc>
      </w:tr>
      <w:tr w:rsidR="008355AB" w:rsidRPr="00C82EE1" w14:paraId="782EB80D"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060E2D7E"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Density</w:t>
            </w:r>
          </w:p>
        </w:tc>
        <w:tc>
          <w:tcPr>
            <w:tcW w:w="811" w:type="dxa"/>
            <w:tcBorders>
              <w:top w:val="nil"/>
              <w:left w:val="nil"/>
              <w:bottom w:val="nil"/>
              <w:right w:val="nil"/>
            </w:tcBorders>
            <w:shd w:val="clear" w:color="auto" w:fill="auto"/>
            <w:noWrap/>
            <w:vAlign w:val="bottom"/>
            <w:hideMark/>
          </w:tcPr>
          <w:p w14:paraId="68F3EBE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70AEC2E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B790A8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0.211***</w:t>
            </w:r>
          </w:p>
        </w:tc>
        <w:tc>
          <w:tcPr>
            <w:tcW w:w="811" w:type="dxa"/>
            <w:tcBorders>
              <w:top w:val="nil"/>
              <w:left w:val="nil"/>
              <w:bottom w:val="nil"/>
              <w:right w:val="nil"/>
            </w:tcBorders>
            <w:shd w:val="clear" w:color="auto" w:fill="auto"/>
            <w:noWrap/>
            <w:vAlign w:val="bottom"/>
            <w:hideMark/>
          </w:tcPr>
          <w:p w14:paraId="6D952CB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EE13C5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1D41FE1"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71D7F1D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466F10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C39342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0.232***</w:t>
            </w:r>
          </w:p>
        </w:tc>
        <w:tc>
          <w:tcPr>
            <w:tcW w:w="811" w:type="dxa"/>
            <w:tcBorders>
              <w:top w:val="nil"/>
              <w:left w:val="nil"/>
              <w:bottom w:val="nil"/>
              <w:right w:val="nil"/>
            </w:tcBorders>
            <w:shd w:val="clear" w:color="auto" w:fill="auto"/>
            <w:noWrap/>
            <w:vAlign w:val="bottom"/>
            <w:hideMark/>
          </w:tcPr>
          <w:p w14:paraId="3992356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918634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7A4611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r>
      <w:tr w:rsidR="008355AB" w:rsidRPr="00C82EE1" w14:paraId="3890E7AF"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3357CA2D" w14:textId="77777777" w:rsidR="0093472B" w:rsidRPr="00C82EE1" w:rsidRDefault="0093472B" w:rsidP="00026FCB">
            <w:pPr>
              <w:spacing w:after="0" w:line="240" w:lineRule="auto"/>
              <w:jc w:val="both"/>
              <w:rPr>
                <w:rFonts w:ascii="Times New Roman" w:eastAsia="Times New Roman" w:hAnsi="Times New Roman" w:cs="Times New Roman"/>
                <w:i/>
                <w:sz w:val="14"/>
                <w:szCs w:val="14"/>
              </w:rPr>
            </w:pPr>
          </w:p>
        </w:tc>
        <w:tc>
          <w:tcPr>
            <w:tcW w:w="811" w:type="dxa"/>
            <w:tcBorders>
              <w:top w:val="nil"/>
              <w:left w:val="nil"/>
              <w:bottom w:val="nil"/>
              <w:right w:val="nil"/>
            </w:tcBorders>
            <w:shd w:val="clear" w:color="auto" w:fill="auto"/>
            <w:noWrap/>
            <w:vAlign w:val="bottom"/>
            <w:hideMark/>
          </w:tcPr>
          <w:p w14:paraId="49F3F92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FA996E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80FA21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(0.040)</w:t>
            </w:r>
          </w:p>
        </w:tc>
        <w:tc>
          <w:tcPr>
            <w:tcW w:w="811" w:type="dxa"/>
            <w:tcBorders>
              <w:top w:val="nil"/>
              <w:left w:val="nil"/>
              <w:bottom w:val="nil"/>
              <w:right w:val="nil"/>
            </w:tcBorders>
            <w:shd w:val="clear" w:color="auto" w:fill="auto"/>
            <w:noWrap/>
            <w:vAlign w:val="bottom"/>
            <w:hideMark/>
          </w:tcPr>
          <w:p w14:paraId="2ACA3BB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B6118B9"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6FE2AC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1FBAF4C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24D0E6B"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12F0B7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(0.043)</w:t>
            </w:r>
          </w:p>
        </w:tc>
        <w:tc>
          <w:tcPr>
            <w:tcW w:w="811" w:type="dxa"/>
            <w:tcBorders>
              <w:top w:val="nil"/>
              <w:left w:val="nil"/>
              <w:bottom w:val="nil"/>
              <w:right w:val="nil"/>
            </w:tcBorders>
            <w:shd w:val="clear" w:color="auto" w:fill="auto"/>
            <w:noWrap/>
            <w:vAlign w:val="bottom"/>
            <w:hideMark/>
          </w:tcPr>
          <w:p w14:paraId="44D6CF7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7FE19A6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CEE99D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r>
      <w:tr w:rsidR="008355AB" w:rsidRPr="00C82EE1" w14:paraId="4DEA941D"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2A14F3DA"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Sophistication</w:t>
            </w:r>
          </w:p>
        </w:tc>
        <w:tc>
          <w:tcPr>
            <w:tcW w:w="811" w:type="dxa"/>
            <w:tcBorders>
              <w:top w:val="nil"/>
              <w:left w:val="nil"/>
              <w:bottom w:val="nil"/>
              <w:right w:val="nil"/>
            </w:tcBorders>
            <w:shd w:val="clear" w:color="auto" w:fill="auto"/>
            <w:noWrap/>
            <w:vAlign w:val="bottom"/>
            <w:hideMark/>
          </w:tcPr>
          <w:p w14:paraId="00DBAC6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6723D85"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7AED71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97E15B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0.274***</w:t>
            </w:r>
          </w:p>
        </w:tc>
        <w:tc>
          <w:tcPr>
            <w:tcW w:w="811" w:type="dxa"/>
            <w:tcBorders>
              <w:top w:val="nil"/>
              <w:left w:val="nil"/>
              <w:bottom w:val="nil"/>
              <w:right w:val="nil"/>
            </w:tcBorders>
            <w:shd w:val="clear" w:color="auto" w:fill="auto"/>
            <w:noWrap/>
            <w:vAlign w:val="bottom"/>
            <w:hideMark/>
          </w:tcPr>
          <w:p w14:paraId="3513898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98F286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140CD72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BA6925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048DCA9"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6461D0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0.301***</w:t>
            </w:r>
          </w:p>
        </w:tc>
        <w:tc>
          <w:tcPr>
            <w:tcW w:w="811" w:type="dxa"/>
            <w:tcBorders>
              <w:top w:val="nil"/>
              <w:left w:val="nil"/>
              <w:bottom w:val="nil"/>
              <w:right w:val="nil"/>
            </w:tcBorders>
            <w:shd w:val="clear" w:color="auto" w:fill="auto"/>
            <w:noWrap/>
            <w:vAlign w:val="bottom"/>
            <w:hideMark/>
          </w:tcPr>
          <w:p w14:paraId="1AD57DE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B4AC169"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r>
      <w:tr w:rsidR="008355AB" w:rsidRPr="00C82EE1" w14:paraId="74C0C3A1"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3B40F480" w14:textId="77777777" w:rsidR="0093472B" w:rsidRPr="00C82EE1" w:rsidRDefault="0093472B" w:rsidP="00026FCB">
            <w:pPr>
              <w:spacing w:after="0" w:line="240" w:lineRule="auto"/>
              <w:jc w:val="both"/>
              <w:rPr>
                <w:rFonts w:ascii="Times New Roman" w:eastAsia="Times New Roman" w:hAnsi="Times New Roman" w:cs="Times New Roman"/>
                <w:i/>
                <w:sz w:val="14"/>
                <w:szCs w:val="14"/>
              </w:rPr>
            </w:pPr>
          </w:p>
        </w:tc>
        <w:tc>
          <w:tcPr>
            <w:tcW w:w="811" w:type="dxa"/>
            <w:tcBorders>
              <w:top w:val="nil"/>
              <w:left w:val="nil"/>
              <w:bottom w:val="nil"/>
              <w:right w:val="nil"/>
            </w:tcBorders>
            <w:shd w:val="clear" w:color="auto" w:fill="auto"/>
            <w:noWrap/>
            <w:vAlign w:val="bottom"/>
            <w:hideMark/>
          </w:tcPr>
          <w:p w14:paraId="45F0B5C8"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E7A86F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D993667"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9C90AD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(0.039)</w:t>
            </w:r>
          </w:p>
        </w:tc>
        <w:tc>
          <w:tcPr>
            <w:tcW w:w="811" w:type="dxa"/>
            <w:tcBorders>
              <w:top w:val="nil"/>
              <w:left w:val="nil"/>
              <w:bottom w:val="nil"/>
              <w:right w:val="nil"/>
            </w:tcBorders>
            <w:shd w:val="clear" w:color="auto" w:fill="auto"/>
            <w:noWrap/>
            <w:vAlign w:val="bottom"/>
            <w:hideMark/>
          </w:tcPr>
          <w:p w14:paraId="30B2035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838139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5A53D3DB"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CF3502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D56A89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08F243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(0.044)</w:t>
            </w:r>
          </w:p>
        </w:tc>
        <w:tc>
          <w:tcPr>
            <w:tcW w:w="811" w:type="dxa"/>
            <w:tcBorders>
              <w:top w:val="nil"/>
              <w:left w:val="nil"/>
              <w:bottom w:val="nil"/>
              <w:right w:val="nil"/>
            </w:tcBorders>
            <w:shd w:val="clear" w:color="auto" w:fill="auto"/>
            <w:noWrap/>
            <w:vAlign w:val="bottom"/>
            <w:hideMark/>
          </w:tcPr>
          <w:p w14:paraId="0E6E219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20B40C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r>
      <w:tr w:rsidR="008355AB" w:rsidRPr="00C82EE1" w14:paraId="115E7DAC"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221DFBED"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Diversity</w:t>
            </w:r>
          </w:p>
        </w:tc>
        <w:tc>
          <w:tcPr>
            <w:tcW w:w="811" w:type="dxa"/>
            <w:tcBorders>
              <w:top w:val="nil"/>
              <w:left w:val="nil"/>
              <w:bottom w:val="nil"/>
              <w:right w:val="nil"/>
            </w:tcBorders>
            <w:shd w:val="clear" w:color="auto" w:fill="auto"/>
            <w:noWrap/>
            <w:vAlign w:val="bottom"/>
            <w:hideMark/>
          </w:tcPr>
          <w:p w14:paraId="73567BB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57D4829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EA3427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8396DA7"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E306FC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0.126***</w:t>
            </w:r>
          </w:p>
        </w:tc>
        <w:tc>
          <w:tcPr>
            <w:tcW w:w="811" w:type="dxa"/>
            <w:tcBorders>
              <w:top w:val="nil"/>
              <w:left w:val="nil"/>
              <w:bottom w:val="nil"/>
              <w:right w:val="nil"/>
            </w:tcBorders>
            <w:shd w:val="clear" w:color="auto" w:fill="auto"/>
            <w:noWrap/>
            <w:vAlign w:val="bottom"/>
            <w:hideMark/>
          </w:tcPr>
          <w:p w14:paraId="633C92B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251" w:type="dxa"/>
            <w:tcBorders>
              <w:top w:val="nil"/>
              <w:left w:val="nil"/>
              <w:bottom w:val="nil"/>
              <w:right w:val="nil"/>
            </w:tcBorders>
            <w:shd w:val="clear" w:color="auto" w:fill="auto"/>
            <w:noWrap/>
            <w:vAlign w:val="bottom"/>
            <w:hideMark/>
          </w:tcPr>
          <w:p w14:paraId="25D52829"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D7270C7"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A5D71DD"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DE5F098"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94BD1B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0.118***</w:t>
            </w:r>
          </w:p>
        </w:tc>
        <w:tc>
          <w:tcPr>
            <w:tcW w:w="811" w:type="dxa"/>
            <w:tcBorders>
              <w:top w:val="nil"/>
              <w:left w:val="nil"/>
              <w:bottom w:val="nil"/>
              <w:right w:val="nil"/>
            </w:tcBorders>
            <w:shd w:val="clear" w:color="auto" w:fill="auto"/>
            <w:noWrap/>
            <w:vAlign w:val="bottom"/>
            <w:hideMark/>
          </w:tcPr>
          <w:p w14:paraId="4CB9DCF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r>
      <w:tr w:rsidR="008355AB" w:rsidRPr="00C82EE1" w14:paraId="375C9D75"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107DAB7" w14:textId="77777777" w:rsidR="0093472B" w:rsidRPr="00C82EE1" w:rsidRDefault="0093472B" w:rsidP="00026FCB">
            <w:pPr>
              <w:spacing w:after="0" w:line="240" w:lineRule="auto"/>
              <w:jc w:val="both"/>
              <w:rPr>
                <w:rFonts w:ascii="Times New Roman" w:eastAsia="Times New Roman" w:hAnsi="Times New Roman" w:cs="Times New Roman"/>
                <w:i/>
                <w:sz w:val="14"/>
                <w:szCs w:val="14"/>
              </w:rPr>
            </w:pPr>
          </w:p>
        </w:tc>
        <w:tc>
          <w:tcPr>
            <w:tcW w:w="811" w:type="dxa"/>
            <w:tcBorders>
              <w:top w:val="nil"/>
              <w:left w:val="nil"/>
              <w:bottom w:val="nil"/>
              <w:right w:val="nil"/>
            </w:tcBorders>
            <w:shd w:val="clear" w:color="auto" w:fill="auto"/>
            <w:noWrap/>
            <w:vAlign w:val="bottom"/>
            <w:hideMark/>
          </w:tcPr>
          <w:p w14:paraId="555E974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8DDDE0D"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29C6419"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4B908F2"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998FB0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(0.027)</w:t>
            </w:r>
          </w:p>
        </w:tc>
        <w:tc>
          <w:tcPr>
            <w:tcW w:w="811" w:type="dxa"/>
            <w:tcBorders>
              <w:top w:val="nil"/>
              <w:left w:val="nil"/>
              <w:bottom w:val="nil"/>
              <w:right w:val="nil"/>
            </w:tcBorders>
            <w:shd w:val="clear" w:color="auto" w:fill="auto"/>
            <w:noWrap/>
            <w:vAlign w:val="bottom"/>
            <w:hideMark/>
          </w:tcPr>
          <w:p w14:paraId="2CE3814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251" w:type="dxa"/>
            <w:tcBorders>
              <w:top w:val="nil"/>
              <w:left w:val="nil"/>
              <w:bottom w:val="nil"/>
              <w:right w:val="nil"/>
            </w:tcBorders>
            <w:shd w:val="clear" w:color="auto" w:fill="auto"/>
            <w:noWrap/>
            <w:vAlign w:val="bottom"/>
            <w:hideMark/>
          </w:tcPr>
          <w:p w14:paraId="2EE3680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51B535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45A5A7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94EA50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91F120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(0.025)</w:t>
            </w:r>
          </w:p>
        </w:tc>
        <w:tc>
          <w:tcPr>
            <w:tcW w:w="811" w:type="dxa"/>
            <w:tcBorders>
              <w:top w:val="nil"/>
              <w:left w:val="nil"/>
              <w:bottom w:val="nil"/>
              <w:right w:val="nil"/>
            </w:tcBorders>
            <w:shd w:val="clear" w:color="auto" w:fill="auto"/>
            <w:noWrap/>
            <w:vAlign w:val="bottom"/>
            <w:hideMark/>
          </w:tcPr>
          <w:p w14:paraId="18029D6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r>
      <w:tr w:rsidR="008355AB" w:rsidRPr="00C82EE1" w14:paraId="0AE23BC1"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71157B5"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LC.square</w:t>
            </w:r>
            <w:proofErr w:type="spellEnd"/>
          </w:p>
        </w:tc>
        <w:tc>
          <w:tcPr>
            <w:tcW w:w="811" w:type="dxa"/>
            <w:tcBorders>
              <w:top w:val="nil"/>
              <w:left w:val="nil"/>
              <w:bottom w:val="nil"/>
              <w:right w:val="nil"/>
            </w:tcBorders>
            <w:shd w:val="clear" w:color="auto" w:fill="auto"/>
            <w:noWrap/>
            <w:vAlign w:val="bottom"/>
            <w:hideMark/>
          </w:tcPr>
          <w:p w14:paraId="6F5EC28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1596D9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ECEFF4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623CEB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6BEE608"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48B6B5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53A0D4E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C153B0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-0.010*</w:t>
            </w:r>
          </w:p>
        </w:tc>
        <w:tc>
          <w:tcPr>
            <w:tcW w:w="811" w:type="dxa"/>
            <w:tcBorders>
              <w:top w:val="nil"/>
              <w:left w:val="nil"/>
              <w:bottom w:val="nil"/>
              <w:right w:val="nil"/>
            </w:tcBorders>
            <w:shd w:val="clear" w:color="auto" w:fill="auto"/>
            <w:noWrap/>
            <w:vAlign w:val="bottom"/>
            <w:hideMark/>
          </w:tcPr>
          <w:p w14:paraId="358728F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1D3BF50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0350C0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E1C332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r>
      <w:tr w:rsidR="008355AB" w:rsidRPr="00C82EE1" w14:paraId="572074B2"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241B0886"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3C22B301"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A39FB4B"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D6A1C2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AC5D417"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2662F61"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534587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6433420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D78BAC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(0.006)</w:t>
            </w:r>
          </w:p>
        </w:tc>
        <w:tc>
          <w:tcPr>
            <w:tcW w:w="811" w:type="dxa"/>
            <w:tcBorders>
              <w:top w:val="nil"/>
              <w:left w:val="nil"/>
              <w:bottom w:val="nil"/>
              <w:right w:val="nil"/>
            </w:tcBorders>
            <w:shd w:val="clear" w:color="auto" w:fill="auto"/>
            <w:noWrap/>
            <w:vAlign w:val="bottom"/>
            <w:hideMark/>
          </w:tcPr>
          <w:p w14:paraId="3BA1E23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C6F6EB5"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9F6E7B9"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024997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(0.006)</w:t>
            </w:r>
          </w:p>
        </w:tc>
      </w:tr>
      <w:tr w:rsidR="008355AB" w:rsidRPr="00C82EE1" w14:paraId="2F0BA582"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329C448"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Density.square</w:t>
            </w:r>
            <w:proofErr w:type="spellEnd"/>
          </w:p>
        </w:tc>
        <w:tc>
          <w:tcPr>
            <w:tcW w:w="811" w:type="dxa"/>
            <w:tcBorders>
              <w:top w:val="nil"/>
              <w:left w:val="nil"/>
              <w:bottom w:val="nil"/>
              <w:right w:val="nil"/>
            </w:tcBorders>
            <w:shd w:val="clear" w:color="auto" w:fill="auto"/>
            <w:noWrap/>
            <w:vAlign w:val="bottom"/>
            <w:hideMark/>
          </w:tcPr>
          <w:p w14:paraId="445BBC0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E49F38D"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6111DD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9B3CFF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23D724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A54B3F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0E89568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5C9A202"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358F13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-0.081</w:t>
            </w:r>
          </w:p>
        </w:tc>
        <w:tc>
          <w:tcPr>
            <w:tcW w:w="811" w:type="dxa"/>
            <w:tcBorders>
              <w:top w:val="nil"/>
              <w:left w:val="nil"/>
              <w:bottom w:val="nil"/>
              <w:right w:val="nil"/>
            </w:tcBorders>
            <w:shd w:val="clear" w:color="auto" w:fill="auto"/>
            <w:noWrap/>
            <w:vAlign w:val="bottom"/>
            <w:hideMark/>
          </w:tcPr>
          <w:p w14:paraId="662A46D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7EED4022"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EC24CDD"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r>
      <w:tr w:rsidR="008355AB" w:rsidRPr="00C82EE1" w14:paraId="63B6E0AD"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6CD9435E" w14:textId="77777777" w:rsidR="0093472B" w:rsidRPr="00C82EE1" w:rsidRDefault="0093472B" w:rsidP="00026FCB">
            <w:pPr>
              <w:spacing w:after="0" w:line="240" w:lineRule="auto"/>
              <w:jc w:val="both"/>
              <w:rPr>
                <w:rFonts w:ascii="Times New Roman" w:eastAsia="Times New Roman" w:hAnsi="Times New Roman" w:cs="Times New Roman"/>
                <w:i/>
                <w:sz w:val="14"/>
                <w:szCs w:val="14"/>
              </w:rPr>
            </w:pPr>
          </w:p>
        </w:tc>
        <w:tc>
          <w:tcPr>
            <w:tcW w:w="811" w:type="dxa"/>
            <w:tcBorders>
              <w:top w:val="nil"/>
              <w:left w:val="nil"/>
              <w:bottom w:val="nil"/>
              <w:right w:val="nil"/>
            </w:tcBorders>
            <w:shd w:val="clear" w:color="auto" w:fill="auto"/>
            <w:noWrap/>
            <w:vAlign w:val="bottom"/>
            <w:hideMark/>
          </w:tcPr>
          <w:p w14:paraId="65FA508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EEF394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A765A6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975E41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ABB868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724591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187A607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9D33C9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7C7A59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(0.055)</w:t>
            </w:r>
          </w:p>
        </w:tc>
        <w:tc>
          <w:tcPr>
            <w:tcW w:w="811" w:type="dxa"/>
            <w:tcBorders>
              <w:top w:val="nil"/>
              <w:left w:val="nil"/>
              <w:bottom w:val="nil"/>
              <w:right w:val="nil"/>
            </w:tcBorders>
            <w:shd w:val="clear" w:color="auto" w:fill="auto"/>
            <w:noWrap/>
            <w:vAlign w:val="bottom"/>
            <w:hideMark/>
          </w:tcPr>
          <w:p w14:paraId="3128C26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3B627B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E1E192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r>
      <w:tr w:rsidR="008355AB" w:rsidRPr="00C82EE1" w14:paraId="7F36B0A7"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9D63705"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Sophistication.square</w:t>
            </w:r>
            <w:proofErr w:type="spellEnd"/>
          </w:p>
        </w:tc>
        <w:tc>
          <w:tcPr>
            <w:tcW w:w="811" w:type="dxa"/>
            <w:tcBorders>
              <w:top w:val="nil"/>
              <w:left w:val="nil"/>
              <w:bottom w:val="nil"/>
              <w:right w:val="nil"/>
            </w:tcBorders>
            <w:shd w:val="clear" w:color="auto" w:fill="auto"/>
            <w:noWrap/>
            <w:vAlign w:val="bottom"/>
            <w:hideMark/>
          </w:tcPr>
          <w:p w14:paraId="2A09A36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ECF093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7A1C93D"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4B21AD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FBBFFA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A4A50F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501154F8"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3F5993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004AF9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ED2474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-0.047***</w:t>
            </w:r>
          </w:p>
        </w:tc>
        <w:tc>
          <w:tcPr>
            <w:tcW w:w="811" w:type="dxa"/>
            <w:tcBorders>
              <w:top w:val="nil"/>
              <w:left w:val="nil"/>
              <w:bottom w:val="nil"/>
              <w:right w:val="nil"/>
            </w:tcBorders>
            <w:shd w:val="clear" w:color="auto" w:fill="auto"/>
            <w:noWrap/>
            <w:vAlign w:val="bottom"/>
            <w:hideMark/>
          </w:tcPr>
          <w:p w14:paraId="3404FA1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DFBC80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r>
      <w:tr w:rsidR="008355AB" w:rsidRPr="00C82EE1" w14:paraId="77A38592"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023E243" w14:textId="77777777" w:rsidR="0093472B" w:rsidRPr="00C82EE1" w:rsidRDefault="0093472B" w:rsidP="00026FCB">
            <w:pPr>
              <w:spacing w:after="0" w:line="240" w:lineRule="auto"/>
              <w:jc w:val="both"/>
              <w:rPr>
                <w:rFonts w:ascii="Times New Roman" w:eastAsia="Times New Roman" w:hAnsi="Times New Roman" w:cs="Times New Roman"/>
                <w:i/>
                <w:sz w:val="14"/>
                <w:szCs w:val="14"/>
              </w:rPr>
            </w:pPr>
          </w:p>
        </w:tc>
        <w:tc>
          <w:tcPr>
            <w:tcW w:w="811" w:type="dxa"/>
            <w:tcBorders>
              <w:top w:val="nil"/>
              <w:left w:val="nil"/>
              <w:bottom w:val="nil"/>
              <w:right w:val="nil"/>
            </w:tcBorders>
            <w:shd w:val="clear" w:color="auto" w:fill="auto"/>
            <w:noWrap/>
            <w:vAlign w:val="bottom"/>
            <w:hideMark/>
          </w:tcPr>
          <w:p w14:paraId="2BAC1E4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511451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294FE12"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8E3A32D"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FF7B66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D1CD7E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7694380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F3710DB"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E8E7BF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B37C8B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(0.013)</w:t>
            </w:r>
          </w:p>
        </w:tc>
        <w:tc>
          <w:tcPr>
            <w:tcW w:w="811" w:type="dxa"/>
            <w:tcBorders>
              <w:top w:val="nil"/>
              <w:left w:val="nil"/>
              <w:bottom w:val="nil"/>
              <w:right w:val="nil"/>
            </w:tcBorders>
            <w:shd w:val="clear" w:color="auto" w:fill="auto"/>
            <w:noWrap/>
            <w:vAlign w:val="bottom"/>
            <w:hideMark/>
          </w:tcPr>
          <w:p w14:paraId="561B0D3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66D79607"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r>
      <w:tr w:rsidR="008355AB" w:rsidRPr="00C82EE1" w14:paraId="116F8020"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57483BFB"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Diversity.square</w:t>
            </w:r>
            <w:proofErr w:type="spellEnd"/>
          </w:p>
        </w:tc>
        <w:tc>
          <w:tcPr>
            <w:tcW w:w="811" w:type="dxa"/>
            <w:tcBorders>
              <w:top w:val="nil"/>
              <w:left w:val="nil"/>
              <w:bottom w:val="nil"/>
              <w:right w:val="nil"/>
            </w:tcBorders>
            <w:shd w:val="clear" w:color="auto" w:fill="auto"/>
            <w:noWrap/>
            <w:vAlign w:val="bottom"/>
            <w:hideMark/>
          </w:tcPr>
          <w:p w14:paraId="0931F57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5CA26B35"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DF7CB0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635F37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ECAD19C"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5D8274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7067FEA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0A10C0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D5868B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3B57F48"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4E0C85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-0.010*</w:t>
            </w:r>
          </w:p>
        </w:tc>
        <w:tc>
          <w:tcPr>
            <w:tcW w:w="811" w:type="dxa"/>
            <w:tcBorders>
              <w:top w:val="nil"/>
              <w:left w:val="nil"/>
              <w:bottom w:val="nil"/>
              <w:right w:val="nil"/>
            </w:tcBorders>
            <w:shd w:val="clear" w:color="auto" w:fill="auto"/>
            <w:noWrap/>
            <w:vAlign w:val="bottom"/>
            <w:hideMark/>
          </w:tcPr>
          <w:p w14:paraId="7E72B3F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r>
      <w:tr w:rsidR="008355AB" w:rsidRPr="00C82EE1" w14:paraId="16FE5397"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D92FA4D" w14:textId="77777777" w:rsidR="0093472B" w:rsidRPr="00C82EE1" w:rsidRDefault="0093472B" w:rsidP="00026FCB">
            <w:pPr>
              <w:spacing w:after="0" w:line="240" w:lineRule="auto"/>
              <w:jc w:val="both"/>
              <w:rPr>
                <w:rFonts w:ascii="Times New Roman" w:eastAsia="Times New Roman" w:hAnsi="Times New Roman" w:cs="Times New Roman"/>
                <w:i/>
                <w:sz w:val="14"/>
                <w:szCs w:val="14"/>
              </w:rPr>
            </w:pPr>
          </w:p>
        </w:tc>
        <w:tc>
          <w:tcPr>
            <w:tcW w:w="811" w:type="dxa"/>
            <w:tcBorders>
              <w:top w:val="nil"/>
              <w:left w:val="nil"/>
              <w:bottom w:val="nil"/>
              <w:right w:val="nil"/>
            </w:tcBorders>
            <w:shd w:val="clear" w:color="auto" w:fill="auto"/>
            <w:noWrap/>
            <w:vAlign w:val="bottom"/>
            <w:hideMark/>
          </w:tcPr>
          <w:p w14:paraId="0A996266"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9609170"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8B839DF"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E910517"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C7D1E77"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706B6A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07996B5A"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3B810E5"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76CF9AE"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AB375E8"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1BF1C2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(0.005)</w:t>
            </w:r>
          </w:p>
        </w:tc>
        <w:tc>
          <w:tcPr>
            <w:tcW w:w="811" w:type="dxa"/>
            <w:tcBorders>
              <w:top w:val="nil"/>
              <w:left w:val="nil"/>
              <w:bottom w:val="nil"/>
              <w:right w:val="nil"/>
            </w:tcBorders>
            <w:shd w:val="clear" w:color="auto" w:fill="auto"/>
            <w:noWrap/>
            <w:vAlign w:val="bottom"/>
            <w:hideMark/>
          </w:tcPr>
          <w:p w14:paraId="0BA6BF1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r>
      <w:tr w:rsidR="008355AB" w:rsidRPr="00C82EE1" w14:paraId="5D8D6AF0"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35D98719"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Readability_Flesch</w:t>
            </w:r>
            <w:proofErr w:type="spellEnd"/>
          </w:p>
        </w:tc>
        <w:tc>
          <w:tcPr>
            <w:tcW w:w="811" w:type="dxa"/>
            <w:tcBorders>
              <w:top w:val="nil"/>
              <w:left w:val="nil"/>
              <w:bottom w:val="nil"/>
              <w:right w:val="nil"/>
            </w:tcBorders>
            <w:shd w:val="clear" w:color="auto" w:fill="auto"/>
            <w:noWrap/>
            <w:vAlign w:val="bottom"/>
            <w:hideMark/>
          </w:tcPr>
          <w:p w14:paraId="7520893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7C3E147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0.052</w:t>
            </w:r>
          </w:p>
        </w:tc>
        <w:tc>
          <w:tcPr>
            <w:tcW w:w="811" w:type="dxa"/>
            <w:tcBorders>
              <w:top w:val="nil"/>
              <w:left w:val="nil"/>
              <w:bottom w:val="nil"/>
              <w:right w:val="nil"/>
            </w:tcBorders>
            <w:shd w:val="clear" w:color="auto" w:fill="auto"/>
            <w:noWrap/>
            <w:vAlign w:val="bottom"/>
            <w:hideMark/>
          </w:tcPr>
          <w:p w14:paraId="74A33C3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0.080*</w:t>
            </w:r>
          </w:p>
        </w:tc>
        <w:tc>
          <w:tcPr>
            <w:tcW w:w="811" w:type="dxa"/>
            <w:tcBorders>
              <w:top w:val="nil"/>
              <w:left w:val="nil"/>
              <w:bottom w:val="nil"/>
              <w:right w:val="nil"/>
            </w:tcBorders>
            <w:shd w:val="clear" w:color="auto" w:fill="auto"/>
            <w:noWrap/>
            <w:vAlign w:val="bottom"/>
            <w:hideMark/>
          </w:tcPr>
          <w:p w14:paraId="354B06D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0.065*</w:t>
            </w:r>
          </w:p>
        </w:tc>
        <w:tc>
          <w:tcPr>
            <w:tcW w:w="811" w:type="dxa"/>
            <w:tcBorders>
              <w:top w:val="nil"/>
              <w:left w:val="nil"/>
              <w:bottom w:val="nil"/>
              <w:right w:val="nil"/>
            </w:tcBorders>
            <w:shd w:val="clear" w:color="auto" w:fill="auto"/>
            <w:noWrap/>
            <w:vAlign w:val="bottom"/>
            <w:hideMark/>
          </w:tcPr>
          <w:p w14:paraId="1A524AB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0.054</w:t>
            </w:r>
          </w:p>
        </w:tc>
        <w:tc>
          <w:tcPr>
            <w:tcW w:w="811" w:type="dxa"/>
            <w:tcBorders>
              <w:top w:val="nil"/>
              <w:left w:val="nil"/>
              <w:bottom w:val="nil"/>
              <w:right w:val="nil"/>
            </w:tcBorders>
            <w:shd w:val="clear" w:color="auto" w:fill="auto"/>
            <w:noWrap/>
            <w:vAlign w:val="bottom"/>
            <w:hideMark/>
          </w:tcPr>
          <w:p w14:paraId="6209E5F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0.055</w:t>
            </w:r>
          </w:p>
        </w:tc>
        <w:tc>
          <w:tcPr>
            <w:tcW w:w="251" w:type="dxa"/>
            <w:tcBorders>
              <w:top w:val="nil"/>
              <w:left w:val="nil"/>
              <w:bottom w:val="nil"/>
              <w:right w:val="nil"/>
            </w:tcBorders>
            <w:shd w:val="clear" w:color="auto" w:fill="auto"/>
            <w:noWrap/>
            <w:vAlign w:val="bottom"/>
            <w:hideMark/>
          </w:tcPr>
          <w:p w14:paraId="30C7FC2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320A88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0.049</w:t>
            </w:r>
          </w:p>
        </w:tc>
        <w:tc>
          <w:tcPr>
            <w:tcW w:w="811" w:type="dxa"/>
            <w:tcBorders>
              <w:top w:val="nil"/>
              <w:left w:val="nil"/>
              <w:bottom w:val="nil"/>
              <w:right w:val="nil"/>
            </w:tcBorders>
            <w:shd w:val="clear" w:color="auto" w:fill="auto"/>
            <w:noWrap/>
            <w:vAlign w:val="bottom"/>
            <w:hideMark/>
          </w:tcPr>
          <w:p w14:paraId="16EE066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0.066</w:t>
            </w:r>
          </w:p>
        </w:tc>
        <w:tc>
          <w:tcPr>
            <w:tcW w:w="811" w:type="dxa"/>
            <w:tcBorders>
              <w:top w:val="nil"/>
              <w:left w:val="nil"/>
              <w:bottom w:val="nil"/>
              <w:right w:val="nil"/>
            </w:tcBorders>
            <w:shd w:val="clear" w:color="auto" w:fill="auto"/>
            <w:noWrap/>
            <w:vAlign w:val="bottom"/>
            <w:hideMark/>
          </w:tcPr>
          <w:p w14:paraId="4478829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0.053</w:t>
            </w:r>
          </w:p>
        </w:tc>
        <w:tc>
          <w:tcPr>
            <w:tcW w:w="811" w:type="dxa"/>
            <w:tcBorders>
              <w:top w:val="nil"/>
              <w:left w:val="nil"/>
              <w:bottom w:val="nil"/>
              <w:right w:val="nil"/>
            </w:tcBorders>
            <w:shd w:val="clear" w:color="auto" w:fill="auto"/>
            <w:noWrap/>
            <w:vAlign w:val="bottom"/>
            <w:hideMark/>
          </w:tcPr>
          <w:p w14:paraId="5E36141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0.053</w:t>
            </w:r>
          </w:p>
        </w:tc>
        <w:tc>
          <w:tcPr>
            <w:tcW w:w="811" w:type="dxa"/>
            <w:tcBorders>
              <w:top w:val="nil"/>
              <w:left w:val="nil"/>
              <w:bottom w:val="nil"/>
              <w:right w:val="nil"/>
            </w:tcBorders>
            <w:shd w:val="clear" w:color="auto" w:fill="auto"/>
            <w:noWrap/>
            <w:vAlign w:val="bottom"/>
            <w:hideMark/>
          </w:tcPr>
          <w:p w14:paraId="5BAED77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0.053</w:t>
            </w:r>
          </w:p>
        </w:tc>
      </w:tr>
      <w:tr w:rsidR="008355AB" w:rsidRPr="00C82EE1" w14:paraId="2BA59152"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54C708D"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30869243"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5A5E14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(0.045)</w:t>
            </w:r>
          </w:p>
        </w:tc>
        <w:tc>
          <w:tcPr>
            <w:tcW w:w="811" w:type="dxa"/>
            <w:tcBorders>
              <w:top w:val="nil"/>
              <w:left w:val="nil"/>
              <w:bottom w:val="nil"/>
              <w:right w:val="nil"/>
            </w:tcBorders>
            <w:shd w:val="clear" w:color="auto" w:fill="auto"/>
            <w:noWrap/>
            <w:vAlign w:val="bottom"/>
            <w:hideMark/>
          </w:tcPr>
          <w:p w14:paraId="37C0C2A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(0.043)</w:t>
            </w:r>
          </w:p>
        </w:tc>
        <w:tc>
          <w:tcPr>
            <w:tcW w:w="811" w:type="dxa"/>
            <w:tcBorders>
              <w:top w:val="nil"/>
              <w:left w:val="nil"/>
              <w:bottom w:val="nil"/>
              <w:right w:val="nil"/>
            </w:tcBorders>
            <w:shd w:val="clear" w:color="auto" w:fill="auto"/>
            <w:noWrap/>
            <w:vAlign w:val="bottom"/>
            <w:hideMark/>
          </w:tcPr>
          <w:p w14:paraId="78F75FC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(0.036)</w:t>
            </w:r>
          </w:p>
        </w:tc>
        <w:tc>
          <w:tcPr>
            <w:tcW w:w="811" w:type="dxa"/>
            <w:tcBorders>
              <w:top w:val="nil"/>
              <w:left w:val="nil"/>
              <w:bottom w:val="nil"/>
              <w:right w:val="nil"/>
            </w:tcBorders>
            <w:shd w:val="clear" w:color="auto" w:fill="auto"/>
            <w:noWrap/>
            <w:vAlign w:val="bottom"/>
            <w:hideMark/>
          </w:tcPr>
          <w:p w14:paraId="4522EF9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(0.046)</w:t>
            </w:r>
          </w:p>
        </w:tc>
        <w:tc>
          <w:tcPr>
            <w:tcW w:w="811" w:type="dxa"/>
            <w:tcBorders>
              <w:top w:val="nil"/>
              <w:left w:val="nil"/>
              <w:bottom w:val="nil"/>
              <w:right w:val="nil"/>
            </w:tcBorders>
            <w:shd w:val="clear" w:color="auto" w:fill="auto"/>
            <w:noWrap/>
            <w:vAlign w:val="bottom"/>
            <w:hideMark/>
          </w:tcPr>
          <w:p w14:paraId="684F90C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(0.047)</w:t>
            </w:r>
          </w:p>
        </w:tc>
        <w:tc>
          <w:tcPr>
            <w:tcW w:w="251" w:type="dxa"/>
            <w:tcBorders>
              <w:top w:val="nil"/>
              <w:left w:val="nil"/>
              <w:bottom w:val="nil"/>
              <w:right w:val="nil"/>
            </w:tcBorders>
            <w:shd w:val="clear" w:color="auto" w:fill="auto"/>
            <w:noWrap/>
            <w:vAlign w:val="bottom"/>
            <w:hideMark/>
          </w:tcPr>
          <w:p w14:paraId="4F7249A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6E81902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(0.044)</w:t>
            </w:r>
          </w:p>
        </w:tc>
        <w:tc>
          <w:tcPr>
            <w:tcW w:w="811" w:type="dxa"/>
            <w:tcBorders>
              <w:top w:val="nil"/>
              <w:left w:val="nil"/>
              <w:bottom w:val="nil"/>
              <w:right w:val="nil"/>
            </w:tcBorders>
            <w:shd w:val="clear" w:color="auto" w:fill="auto"/>
            <w:noWrap/>
            <w:vAlign w:val="bottom"/>
            <w:hideMark/>
          </w:tcPr>
          <w:p w14:paraId="7B84BA6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(0.042)</w:t>
            </w:r>
          </w:p>
        </w:tc>
        <w:tc>
          <w:tcPr>
            <w:tcW w:w="811" w:type="dxa"/>
            <w:tcBorders>
              <w:top w:val="nil"/>
              <w:left w:val="nil"/>
              <w:bottom w:val="nil"/>
              <w:right w:val="nil"/>
            </w:tcBorders>
            <w:shd w:val="clear" w:color="auto" w:fill="auto"/>
            <w:noWrap/>
            <w:vAlign w:val="bottom"/>
            <w:hideMark/>
          </w:tcPr>
          <w:p w14:paraId="2DEFFA2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(0.036)</w:t>
            </w:r>
          </w:p>
        </w:tc>
        <w:tc>
          <w:tcPr>
            <w:tcW w:w="811" w:type="dxa"/>
            <w:tcBorders>
              <w:top w:val="nil"/>
              <w:left w:val="nil"/>
              <w:bottom w:val="nil"/>
              <w:right w:val="nil"/>
            </w:tcBorders>
            <w:shd w:val="clear" w:color="auto" w:fill="auto"/>
            <w:noWrap/>
            <w:vAlign w:val="bottom"/>
            <w:hideMark/>
          </w:tcPr>
          <w:p w14:paraId="6A5B8F7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(0.045)</w:t>
            </w:r>
          </w:p>
        </w:tc>
        <w:tc>
          <w:tcPr>
            <w:tcW w:w="811" w:type="dxa"/>
            <w:tcBorders>
              <w:top w:val="nil"/>
              <w:left w:val="nil"/>
              <w:bottom w:val="nil"/>
              <w:right w:val="nil"/>
            </w:tcBorders>
            <w:shd w:val="clear" w:color="auto" w:fill="auto"/>
            <w:noWrap/>
            <w:vAlign w:val="bottom"/>
            <w:hideMark/>
          </w:tcPr>
          <w:p w14:paraId="559AB88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(0.047)</w:t>
            </w:r>
          </w:p>
        </w:tc>
      </w:tr>
      <w:tr w:rsidR="008355AB" w:rsidRPr="00C82EE1" w14:paraId="39509A3B"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09C4C9D0"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Readability_Flesch.square</w:t>
            </w:r>
            <w:proofErr w:type="spellEnd"/>
          </w:p>
        </w:tc>
        <w:tc>
          <w:tcPr>
            <w:tcW w:w="811" w:type="dxa"/>
            <w:tcBorders>
              <w:top w:val="nil"/>
              <w:left w:val="nil"/>
              <w:bottom w:val="nil"/>
              <w:right w:val="nil"/>
            </w:tcBorders>
            <w:shd w:val="clear" w:color="auto" w:fill="auto"/>
            <w:noWrap/>
            <w:vAlign w:val="bottom"/>
            <w:hideMark/>
          </w:tcPr>
          <w:p w14:paraId="5D7EEDE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697A943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1E95944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6B66DA8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63DB8D9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78D2E9F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4E67617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6F138C1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5BF32BF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1AEAB79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3992D8C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5194175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r>
      <w:tr w:rsidR="008355AB" w:rsidRPr="00C82EE1" w14:paraId="3B99B78B"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6439AEA9"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13EE7272"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DA94C3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22DDBAC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2F53A4E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(0.0004)</w:t>
            </w:r>
          </w:p>
        </w:tc>
        <w:tc>
          <w:tcPr>
            <w:tcW w:w="811" w:type="dxa"/>
            <w:tcBorders>
              <w:top w:val="nil"/>
              <w:left w:val="nil"/>
              <w:bottom w:val="nil"/>
              <w:right w:val="nil"/>
            </w:tcBorders>
            <w:shd w:val="clear" w:color="auto" w:fill="auto"/>
            <w:noWrap/>
            <w:vAlign w:val="bottom"/>
            <w:hideMark/>
          </w:tcPr>
          <w:p w14:paraId="36EB3E9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79CCF18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465BD87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C8BF4B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3038061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704F8D7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(0.0004)</w:t>
            </w:r>
          </w:p>
        </w:tc>
        <w:tc>
          <w:tcPr>
            <w:tcW w:w="811" w:type="dxa"/>
            <w:tcBorders>
              <w:top w:val="nil"/>
              <w:left w:val="nil"/>
              <w:bottom w:val="nil"/>
              <w:right w:val="nil"/>
            </w:tcBorders>
            <w:shd w:val="clear" w:color="auto" w:fill="auto"/>
            <w:noWrap/>
            <w:vAlign w:val="bottom"/>
            <w:hideMark/>
          </w:tcPr>
          <w:p w14:paraId="36F386B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37831A6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r>
      <w:tr w:rsidR="008355AB" w:rsidRPr="00C82EE1" w14:paraId="2F874804"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3231136"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Sentiment</w:t>
            </w:r>
          </w:p>
        </w:tc>
        <w:tc>
          <w:tcPr>
            <w:tcW w:w="811" w:type="dxa"/>
            <w:tcBorders>
              <w:top w:val="nil"/>
              <w:left w:val="nil"/>
              <w:bottom w:val="nil"/>
              <w:right w:val="nil"/>
            </w:tcBorders>
            <w:shd w:val="clear" w:color="auto" w:fill="auto"/>
            <w:noWrap/>
            <w:vAlign w:val="bottom"/>
            <w:hideMark/>
          </w:tcPr>
          <w:p w14:paraId="4358038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2.805</w:t>
            </w:r>
          </w:p>
        </w:tc>
        <w:tc>
          <w:tcPr>
            <w:tcW w:w="811" w:type="dxa"/>
            <w:tcBorders>
              <w:top w:val="nil"/>
              <w:left w:val="nil"/>
              <w:bottom w:val="nil"/>
              <w:right w:val="nil"/>
            </w:tcBorders>
            <w:shd w:val="clear" w:color="auto" w:fill="auto"/>
            <w:noWrap/>
            <w:vAlign w:val="bottom"/>
            <w:hideMark/>
          </w:tcPr>
          <w:p w14:paraId="228D4E9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-0.084</w:t>
            </w:r>
          </w:p>
        </w:tc>
        <w:tc>
          <w:tcPr>
            <w:tcW w:w="811" w:type="dxa"/>
            <w:tcBorders>
              <w:top w:val="nil"/>
              <w:left w:val="nil"/>
              <w:bottom w:val="nil"/>
              <w:right w:val="nil"/>
            </w:tcBorders>
            <w:shd w:val="clear" w:color="auto" w:fill="auto"/>
            <w:noWrap/>
            <w:vAlign w:val="bottom"/>
            <w:hideMark/>
          </w:tcPr>
          <w:p w14:paraId="220D58F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-11.184</w:t>
            </w:r>
          </w:p>
        </w:tc>
        <w:tc>
          <w:tcPr>
            <w:tcW w:w="811" w:type="dxa"/>
            <w:tcBorders>
              <w:top w:val="nil"/>
              <w:left w:val="nil"/>
              <w:bottom w:val="nil"/>
              <w:right w:val="nil"/>
            </w:tcBorders>
            <w:shd w:val="clear" w:color="auto" w:fill="auto"/>
            <w:noWrap/>
            <w:vAlign w:val="bottom"/>
            <w:hideMark/>
          </w:tcPr>
          <w:p w14:paraId="751BC31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1.938</w:t>
            </w:r>
          </w:p>
        </w:tc>
        <w:tc>
          <w:tcPr>
            <w:tcW w:w="811" w:type="dxa"/>
            <w:tcBorders>
              <w:top w:val="nil"/>
              <w:left w:val="nil"/>
              <w:bottom w:val="nil"/>
              <w:right w:val="nil"/>
            </w:tcBorders>
            <w:shd w:val="clear" w:color="auto" w:fill="auto"/>
            <w:noWrap/>
            <w:vAlign w:val="bottom"/>
            <w:hideMark/>
          </w:tcPr>
          <w:p w14:paraId="451839B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-1.361</w:t>
            </w:r>
          </w:p>
        </w:tc>
        <w:tc>
          <w:tcPr>
            <w:tcW w:w="811" w:type="dxa"/>
            <w:tcBorders>
              <w:top w:val="nil"/>
              <w:left w:val="nil"/>
              <w:bottom w:val="nil"/>
              <w:right w:val="nil"/>
            </w:tcBorders>
            <w:shd w:val="clear" w:color="auto" w:fill="auto"/>
            <w:noWrap/>
            <w:vAlign w:val="bottom"/>
            <w:hideMark/>
          </w:tcPr>
          <w:p w14:paraId="4D6C3FE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-0.802</w:t>
            </w:r>
          </w:p>
        </w:tc>
        <w:tc>
          <w:tcPr>
            <w:tcW w:w="251" w:type="dxa"/>
            <w:tcBorders>
              <w:top w:val="nil"/>
              <w:left w:val="nil"/>
              <w:bottom w:val="nil"/>
              <w:right w:val="nil"/>
            </w:tcBorders>
            <w:shd w:val="clear" w:color="auto" w:fill="auto"/>
            <w:noWrap/>
            <w:vAlign w:val="bottom"/>
            <w:hideMark/>
          </w:tcPr>
          <w:p w14:paraId="4CDC9A3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615489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0.156</w:t>
            </w:r>
          </w:p>
        </w:tc>
        <w:tc>
          <w:tcPr>
            <w:tcW w:w="811" w:type="dxa"/>
            <w:tcBorders>
              <w:top w:val="nil"/>
              <w:left w:val="nil"/>
              <w:bottom w:val="nil"/>
              <w:right w:val="nil"/>
            </w:tcBorders>
            <w:shd w:val="clear" w:color="auto" w:fill="auto"/>
            <w:noWrap/>
            <w:vAlign w:val="bottom"/>
            <w:hideMark/>
          </w:tcPr>
          <w:p w14:paraId="398F629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-10.386</w:t>
            </w:r>
          </w:p>
        </w:tc>
        <w:tc>
          <w:tcPr>
            <w:tcW w:w="811" w:type="dxa"/>
            <w:tcBorders>
              <w:top w:val="nil"/>
              <w:left w:val="nil"/>
              <w:bottom w:val="nil"/>
              <w:right w:val="nil"/>
            </w:tcBorders>
            <w:shd w:val="clear" w:color="auto" w:fill="auto"/>
            <w:noWrap/>
            <w:vAlign w:val="bottom"/>
            <w:hideMark/>
          </w:tcPr>
          <w:p w14:paraId="4CC5ED2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2.176</w:t>
            </w:r>
          </w:p>
        </w:tc>
        <w:tc>
          <w:tcPr>
            <w:tcW w:w="811" w:type="dxa"/>
            <w:tcBorders>
              <w:top w:val="nil"/>
              <w:left w:val="nil"/>
              <w:bottom w:val="nil"/>
              <w:right w:val="nil"/>
            </w:tcBorders>
            <w:shd w:val="clear" w:color="auto" w:fill="auto"/>
            <w:noWrap/>
            <w:vAlign w:val="bottom"/>
            <w:hideMark/>
          </w:tcPr>
          <w:p w14:paraId="6027069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-1.320</w:t>
            </w:r>
          </w:p>
        </w:tc>
        <w:tc>
          <w:tcPr>
            <w:tcW w:w="811" w:type="dxa"/>
            <w:tcBorders>
              <w:top w:val="nil"/>
              <w:left w:val="nil"/>
              <w:bottom w:val="nil"/>
              <w:right w:val="nil"/>
            </w:tcBorders>
            <w:shd w:val="clear" w:color="auto" w:fill="auto"/>
            <w:noWrap/>
            <w:vAlign w:val="bottom"/>
            <w:hideMark/>
          </w:tcPr>
          <w:p w14:paraId="5435D05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-0.920</w:t>
            </w:r>
          </w:p>
        </w:tc>
      </w:tr>
      <w:tr w:rsidR="008355AB" w:rsidRPr="00C82EE1" w14:paraId="06ECA4CA"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3E29F30"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5801D73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(11.112)</w:t>
            </w:r>
          </w:p>
        </w:tc>
        <w:tc>
          <w:tcPr>
            <w:tcW w:w="811" w:type="dxa"/>
            <w:tcBorders>
              <w:top w:val="nil"/>
              <w:left w:val="nil"/>
              <w:bottom w:val="nil"/>
              <w:right w:val="nil"/>
            </w:tcBorders>
            <w:shd w:val="clear" w:color="auto" w:fill="auto"/>
            <w:noWrap/>
            <w:vAlign w:val="bottom"/>
            <w:hideMark/>
          </w:tcPr>
          <w:p w14:paraId="59A95C3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(11.196)</w:t>
            </w:r>
          </w:p>
        </w:tc>
        <w:tc>
          <w:tcPr>
            <w:tcW w:w="811" w:type="dxa"/>
            <w:tcBorders>
              <w:top w:val="nil"/>
              <w:left w:val="nil"/>
              <w:bottom w:val="nil"/>
              <w:right w:val="nil"/>
            </w:tcBorders>
            <w:shd w:val="clear" w:color="auto" w:fill="auto"/>
            <w:noWrap/>
            <w:vAlign w:val="bottom"/>
            <w:hideMark/>
          </w:tcPr>
          <w:p w14:paraId="5143E65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(10.431)</w:t>
            </w:r>
          </w:p>
        </w:tc>
        <w:tc>
          <w:tcPr>
            <w:tcW w:w="811" w:type="dxa"/>
            <w:tcBorders>
              <w:top w:val="nil"/>
              <w:left w:val="nil"/>
              <w:bottom w:val="nil"/>
              <w:right w:val="nil"/>
            </w:tcBorders>
            <w:shd w:val="clear" w:color="auto" w:fill="auto"/>
            <w:noWrap/>
            <w:vAlign w:val="bottom"/>
            <w:hideMark/>
          </w:tcPr>
          <w:p w14:paraId="34E8D6E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(11.334)</w:t>
            </w:r>
          </w:p>
        </w:tc>
        <w:tc>
          <w:tcPr>
            <w:tcW w:w="811" w:type="dxa"/>
            <w:tcBorders>
              <w:top w:val="nil"/>
              <w:left w:val="nil"/>
              <w:bottom w:val="nil"/>
              <w:right w:val="nil"/>
            </w:tcBorders>
            <w:shd w:val="clear" w:color="auto" w:fill="auto"/>
            <w:noWrap/>
            <w:vAlign w:val="bottom"/>
            <w:hideMark/>
          </w:tcPr>
          <w:p w14:paraId="638904F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(11.010)</w:t>
            </w:r>
          </w:p>
        </w:tc>
        <w:tc>
          <w:tcPr>
            <w:tcW w:w="811" w:type="dxa"/>
            <w:tcBorders>
              <w:top w:val="nil"/>
              <w:left w:val="nil"/>
              <w:bottom w:val="nil"/>
              <w:right w:val="nil"/>
            </w:tcBorders>
            <w:shd w:val="clear" w:color="auto" w:fill="auto"/>
            <w:noWrap/>
            <w:vAlign w:val="bottom"/>
            <w:hideMark/>
          </w:tcPr>
          <w:p w14:paraId="1A90D95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(11.299)</w:t>
            </w:r>
          </w:p>
        </w:tc>
        <w:tc>
          <w:tcPr>
            <w:tcW w:w="251" w:type="dxa"/>
            <w:tcBorders>
              <w:top w:val="nil"/>
              <w:left w:val="nil"/>
              <w:bottom w:val="nil"/>
              <w:right w:val="nil"/>
            </w:tcBorders>
            <w:shd w:val="clear" w:color="auto" w:fill="auto"/>
            <w:noWrap/>
            <w:vAlign w:val="bottom"/>
            <w:hideMark/>
          </w:tcPr>
          <w:p w14:paraId="41EEB55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7DB0E46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(11.102)</w:t>
            </w:r>
          </w:p>
        </w:tc>
        <w:tc>
          <w:tcPr>
            <w:tcW w:w="811" w:type="dxa"/>
            <w:tcBorders>
              <w:top w:val="nil"/>
              <w:left w:val="nil"/>
              <w:bottom w:val="nil"/>
              <w:right w:val="nil"/>
            </w:tcBorders>
            <w:shd w:val="clear" w:color="auto" w:fill="auto"/>
            <w:noWrap/>
            <w:vAlign w:val="bottom"/>
            <w:hideMark/>
          </w:tcPr>
          <w:p w14:paraId="063692D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(10.838)</w:t>
            </w:r>
          </w:p>
        </w:tc>
        <w:tc>
          <w:tcPr>
            <w:tcW w:w="811" w:type="dxa"/>
            <w:tcBorders>
              <w:top w:val="nil"/>
              <w:left w:val="nil"/>
              <w:bottom w:val="nil"/>
              <w:right w:val="nil"/>
            </w:tcBorders>
            <w:shd w:val="clear" w:color="auto" w:fill="auto"/>
            <w:noWrap/>
            <w:vAlign w:val="bottom"/>
            <w:hideMark/>
          </w:tcPr>
          <w:p w14:paraId="76AD0D8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(11.169)</w:t>
            </w:r>
          </w:p>
        </w:tc>
        <w:tc>
          <w:tcPr>
            <w:tcW w:w="811" w:type="dxa"/>
            <w:tcBorders>
              <w:top w:val="nil"/>
              <w:left w:val="nil"/>
              <w:bottom w:val="nil"/>
              <w:right w:val="nil"/>
            </w:tcBorders>
            <w:shd w:val="clear" w:color="auto" w:fill="auto"/>
            <w:noWrap/>
            <w:vAlign w:val="bottom"/>
            <w:hideMark/>
          </w:tcPr>
          <w:p w14:paraId="67EC43A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(11.027)</w:t>
            </w:r>
          </w:p>
        </w:tc>
        <w:tc>
          <w:tcPr>
            <w:tcW w:w="811" w:type="dxa"/>
            <w:tcBorders>
              <w:top w:val="nil"/>
              <w:left w:val="nil"/>
              <w:bottom w:val="nil"/>
              <w:right w:val="nil"/>
            </w:tcBorders>
            <w:shd w:val="clear" w:color="auto" w:fill="auto"/>
            <w:noWrap/>
            <w:vAlign w:val="bottom"/>
            <w:hideMark/>
          </w:tcPr>
          <w:p w14:paraId="6DEBB78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(11.177)</w:t>
            </w:r>
          </w:p>
        </w:tc>
      </w:tr>
      <w:tr w:rsidR="008355AB" w:rsidRPr="00C82EE1" w14:paraId="7BC940BB"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3F7A9ED7"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Institution</w:t>
            </w:r>
          </w:p>
        </w:tc>
        <w:tc>
          <w:tcPr>
            <w:tcW w:w="811" w:type="dxa"/>
            <w:tcBorders>
              <w:top w:val="nil"/>
              <w:left w:val="nil"/>
              <w:bottom w:val="nil"/>
              <w:right w:val="nil"/>
            </w:tcBorders>
            <w:shd w:val="clear" w:color="auto" w:fill="auto"/>
            <w:noWrap/>
            <w:vAlign w:val="bottom"/>
            <w:hideMark/>
          </w:tcPr>
          <w:p w14:paraId="5E2C868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0.155***</w:t>
            </w:r>
          </w:p>
        </w:tc>
        <w:tc>
          <w:tcPr>
            <w:tcW w:w="811" w:type="dxa"/>
            <w:tcBorders>
              <w:top w:val="nil"/>
              <w:left w:val="nil"/>
              <w:bottom w:val="nil"/>
              <w:right w:val="nil"/>
            </w:tcBorders>
            <w:shd w:val="clear" w:color="auto" w:fill="auto"/>
            <w:noWrap/>
            <w:vAlign w:val="bottom"/>
            <w:hideMark/>
          </w:tcPr>
          <w:p w14:paraId="6D32D75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0.171***</w:t>
            </w:r>
          </w:p>
        </w:tc>
        <w:tc>
          <w:tcPr>
            <w:tcW w:w="811" w:type="dxa"/>
            <w:tcBorders>
              <w:top w:val="nil"/>
              <w:left w:val="nil"/>
              <w:bottom w:val="nil"/>
              <w:right w:val="nil"/>
            </w:tcBorders>
            <w:shd w:val="clear" w:color="auto" w:fill="auto"/>
            <w:noWrap/>
            <w:vAlign w:val="bottom"/>
            <w:hideMark/>
          </w:tcPr>
          <w:p w14:paraId="527D0C8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0.179***</w:t>
            </w:r>
          </w:p>
        </w:tc>
        <w:tc>
          <w:tcPr>
            <w:tcW w:w="811" w:type="dxa"/>
            <w:tcBorders>
              <w:top w:val="nil"/>
              <w:left w:val="nil"/>
              <w:bottom w:val="nil"/>
              <w:right w:val="nil"/>
            </w:tcBorders>
            <w:shd w:val="clear" w:color="auto" w:fill="auto"/>
            <w:noWrap/>
            <w:vAlign w:val="bottom"/>
            <w:hideMark/>
          </w:tcPr>
          <w:p w14:paraId="2257BAD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0.148***</w:t>
            </w:r>
          </w:p>
        </w:tc>
        <w:tc>
          <w:tcPr>
            <w:tcW w:w="811" w:type="dxa"/>
            <w:tcBorders>
              <w:top w:val="nil"/>
              <w:left w:val="nil"/>
              <w:bottom w:val="nil"/>
              <w:right w:val="nil"/>
            </w:tcBorders>
            <w:shd w:val="clear" w:color="auto" w:fill="auto"/>
            <w:noWrap/>
            <w:vAlign w:val="bottom"/>
            <w:hideMark/>
          </w:tcPr>
          <w:p w14:paraId="1AA8A63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0.179***</w:t>
            </w:r>
          </w:p>
        </w:tc>
        <w:tc>
          <w:tcPr>
            <w:tcW w:w="811" w:type="dxa"/>
            <w:tcBorders>
              <w:top w:val="nil"/>
              <w:left w:val="nil"/>
              <w:bottom w:val="nil"/>
              <w:right w:val="nil"/>
            </w:tcBorders>
            <w:shd w:val="clear" w:color="auto" w:fill="auto"/>
            <w:noWrap/>
            <w:vAlign w:val="bottom"/>
            <w:hideMark/>
          </w:tcPr>
          <w:p w14:paraId="52FDAEC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0.173***</w:t>
            </w:r>
          </w:p>
        </w:tc>
        <w:tc>
          <w:tcPr>
            <w:tcW w:w="251" w:type="dxa"/>
            <w:tcBorders>
              <w:top w:val="nil"/>
              <w:left w:val="nil"/>
              <w:bottom w:val="nil"/>
              <w:right w:val="nil"/>
            </w:tcBorders>
            <w:shd w:val="clear" w:color="auto" w:fill="auto"/>
            <w:noWrap/>
            <w:vAlign w:val="bottom"/>
            <w:hideMark/>
          </w:tcPr>
          <w:p w14:paraId="6927BCF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48A6A4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0.172***</w:t>
            </w:r>
          </w:p>
        </w:tc>
        <w:tc>
          <w:tcPr>
            <w:tcW w:w="811" w:type="dxa"/>
            <w:tcBorders>
              <w:top w:val="nil"/>
              <w:left w:val="nil"/>
              <w:bottom w:val="nil"/>
              <w:right w:val="nil"/>
            </w:tcBorders>
            <w:shd w:val="clear" w:color="auto" w:fill="auto"/>
            <w:noWrap/>
            <w:vAlign w:val="bottom"/>
            <w:hideMark/>
          </w:tcPr>
          <w:p w14:paraId="3D1B6E3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0.177***</w:t>
            </w:r>
          </w:p>
        </w:tc>
        <w:tc>
          <w:tcPr>
            <w:tcW w:w="811" w:type="dxa"/>
            <w:tcBorders>
              <w:top w:val="nil"/>
              <w:left w:val="nil"/>
              <w:bottom w:val="nil"/>
              <w:right w:val="nil"/>
            </w:tcBorders>
            <w:shd w:val="clear" w:color="auto" w:fill="auto"/>
            <w:noWrap/>
            <w:vAlign w:val="bottom"/>
            <w:hideMark/>
          </w:tcPr>
          <w:p w14:paraId="605F568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0.143***</w:t>
            </w:r>
          </w:p>
        </w:tc>
        <w:tc>
          <w:tcPr>
            <w:tcW w:w="811" w:type="dxa"/>
            <w:tcBorders>
              <w:top w:val="nil"/>
              <w:left w:val="nil"/>
              <w:bottom w:val="nil"/>
              <w:right w:val="nil"/>
            </w:tcBorders>
            <w:shd w:val="clear" w:color="auto" w:fill="auto"/>
            <w:noWrap/>
            <w:vAlign w:val="bottom"/>
            <w:hideMark/>
          </w:tcPr>
          <w:p w14:paraId="4487FF4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0.180***</w:t>
            </w:r>
          </w:p>
        </w:tc>
        <w:tc>
          <w:tcPr>
            <w:tcW w:w="811" w:type="dxa"/>
            <w:tcBorders>
              <w:top w:val="nil"/>
              <w:left w:val="nil"/>
              <w:bottom w:val="nil"/>
              <w:right w:val="nil"/>
            </w:tcBorders>
            <w:shd w:val="clear" w:color="auto" w:fill="auto"/>
            <w:noWrap/>
            <w:vAlign w:val="bottom"/>
            <w:hideMark/>
          </w:tcPr>
          <w:p w14:paraId="3059B03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0.175***</w:t>
            </w:r>
          </w:p>
        </w:tc>
      </w:tr>
      <w:tr w:rsidR="008355AB" w:rsidRPr="00C82EE1" w14:paraId="446483E5"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2C54C94"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1617B35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c>
          <w:tcPr>
            <w:tcW w:w="811" w:type="dxa"/>
            <w:tcBorders>
              <w:top w:val="nil"/>
              <w:left w:val="nil"/>
              <w:bottom w:val="nil"/>
              <w:right w:val="nil"/>
            </w:tcBorders>
            <w:shd w:val="clear" w:color="auto" w:fill="auto"/>
            <w:noWrap/>
            <w:vAlign w:val="bottom"/>
            <w:hideMark/>
          </w:tcPr>
          <w:p w14:paraId="2647E7E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811" w:type="dxa"/>
            <w:tcBorders>
              <w:top w:val="nil"/>
              <w:left w:val="nil"/>
              <w:bottom w:val="nil"/>
              <w:right w:val="nil"/>
            </w:tcBorders>
            <w:shd w:val="clear" w:color="auto" w:fill="auto"/>
            <w:noWrap/>
            <w:vAlign w:val="bottom"/>
            <w:hideMark/>
          </w:tcPr>
          <w:p w14:paraId="2F982D7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c>
          <w:tcPr>
            <w:tcW w:w="811" w:type="dxa"/>
            <w:tcBorders>
              <w:top w:val="nil"/>
              <w:left w:val="nil"/>
              <w:bottom w:val="nil"/>
              <w:right w:val="nil"/>
            </w:tcBorders>
            <w:shd w:val="clear" w:color="auto" w:fill="auto"/>
            <w:noWrap/>
            <w:vAlign w:val="bottom"/>
            <w:hideMark/>
          </w:tcPr>
          <w:p w14:paraId="7C15BA1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c>
          <w:tcPr>
            <w:tcW w:w="811" w:type="dxa"/>
            <w:tcBorders>
              <w:top w:val="nil"/>
              <w:left w:val="nil"/>
              <w:bottom w:val="nil"/>
              <w:right w:val="nil"/>
            </w:tcBorders>
            <w:shd w:val="clear" w:color="auto" w:fill="auto"/>
            <w:noWrap/>
            <w:vAlign w:val="bottom"/>
            <w:hideMark/>
          </w:tcPr>
          <w:p w14:paraId="689138E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811" w:type="dxa"/>
            <w:tcBorders>
              <w:top w:val="nil"/>
              <w:left w:val="nil"/>
              <w:bottom w:val="nil"/>
              <w:right w:val="nil"/>
            </w:tcBorders>
            <w:shd w:val="clear" w:color="auto" w:fill="auto"/>
            <w:noWrap/>
            <w:vAlign w:val="bottom"/>
            <w:hideMark/>
          </w:tcPr>
          <w:p w14:paraId="2641F96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251" w:type="dxa"/>
            <w:tcBorders>
              <w:top w:val="nil"/>
              <w:left w:val="nil"/>
              <w:bottom w:val="nil"/>
              <w:right w:val="nil"/>
            </w:tcBorders>
            <w:shd w:val="clear" w:color="auto" w:fill="auto"/>
            <w:noWrap/>
            <w:vAlign w:val="bottom"/>
            <w:hideMark/>
          </w:tcPr>
          <w:p w14:paraId="4C08957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05ADBE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811" w:type="dxa"/>
            <w:tcBorders>
              <w:top w:val="nil"/>
              <w:left w:val="nil"/>
              <w:bottom w:val="nil"/>
              <w:right w:val="nil"/>
            </w:tcBorders>
            <w:shd w:val="clear" w:color="auto" w:fill="auto"/>
            <w:noWrap/>
            <w:vAlign w:val="bottom"/>
            <w:hideMark/>
          </w:tcPr>
          <w:p w14:paraId="38B33FC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c>
          <w:tcPr>
            <w:tcW w:w="811" w:type="dxa"/>
            <w:tcBorders>
              <w:top w:val="nil"/>
              <w:left w:val="nil"/>
              <w:bottom w:val="nil"/>
              <w:right w:val="nil"/>
            </w:tcBorders>
            <w:shd w:val="clear" w:color="auto" w:fill="auto"/>
            <w:noWrap/>
            <w:vAlign w:val="bottom"/>
            <w:hideMark/>
          </w:tcPr>
          <w:p w14:paraId="4FA28FB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(0.013)</w:t>
            </w:r>
          </w:p>
        </w:tc>
        <w:tc>
          <w:tcPr>
            <w:tcW w:w="811" w:type="dxa"/>
            <w:tcBorders>
              <w:top w:val="nil"/>
              <w:left w:val="nil"/>
              <w:bottom w:val="nil"/>
              <w:right w:val="nil"/>
            </w:tcBorders>
            <w:shd w:val="clear" w:color="auto" w:fill="auto"/>
            <w:noWrap/>
            <w:vAlign w:val="bottom"/>
            <w:hideMark/>
          </w:tcPr>
          <w:p w14:paraId="2A70EA6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811" w:type="dxa"/>
            <w:tcBorders>
              <w:top w:val="nil"/>
              <w:left w:val="nil"/>
              <w:bottom w:val="nil"/>
              <w:right w:val="nil"/>
            </w:tcBorders>
            <w:shd w:val="clear" w:color="auto" w:fill="auto"/>
            <w:noWrap/>
            <w:vAlign w:val="bottom"/>
            <w:hideMark/>
          </w:tcPr>
          <w:p w14:paraId="48DC3ED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r>
      <w:tr w:rsidR="008355AB" w:rsidRPr="00C82EE1" w14:paraId="63AF09B9"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5F24B956"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US restrict</w:t>
            </w:r>
          </w:p>
        </w:tc>
        <w:tc>
          <w:tcPr>
            <w:tcW w:w="811" w:type="dxa"/>
            <w:tcBorders>
              <w:top w:val="nil"/>
              <w:left w:val="nil"/>
              <w:bottom w:val="nil"/>
              <w:right w:val="nil"/>
            </w:tcBorders>
            <w:shd w:val="clear" w:color="auto" w:fill="auto"/>
            <w:noWrap/>
            <w:vAlign w:val="bottom"/>
            <w:hideMark/>
          </w:tcPr>
          <w:p w14:paraId="1EE70D9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0.067</w:t>
            </w:r>
          </w:p>
        </w:tc>
        <w:tc>
          <w:tcPr>
            <w:tcW w:w="811" w:type="dxa"/>
            <w:tcBorders>
              <w:top w:val="nil"/>
              <w:left w:val="nil"/>
              <w:bottom w:val="nil"/>
              <w:right w:val="nil"/>
            </w:tcBorders>
            <w:shd w:val="clear" w:color="auto" w:fill="auto"/>
            <w:noWrap/>
            <w:vAlign w:val="bottom"/>
            <w:hideMark/>
          </w:tcPr>
          <w:p w14:paraId="2100D1D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0.210***</w:t>
            </w:r>
          </w:p>
        </w:tc>
        <w:tc>
          <w:tcPr>
            <w:tcW w:w="811" w:type="dxa"/>
            <w:tcBorders>
              <w:top w:val="nil"/>
              <w:left w:val="nil"/>
              <w:bottom w:val="nil"/>
              <w:right w:val="nil"/>
            </w:tcBorders>
            <w:shd w:val="clear" w:color="auto" w:fill="auto"/>
            <w:noWrap/>
            <w:vAlign w:val="bottom"/>
            <w:hideMark/>
          </w:tcPr>
          <w:p w14:paraId="377EEE3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0.273***</w:t>
            </w:r>
          </w:p>
        </w:tc>
        <w:tc>
          <w:tcPr>
            <w:tcW w:w="811" w:type="dxa"/>
            <w:tcBorders>
              <w:top w:val="nil"/>
              <w:left w:val="nil"/>
              <w:bottom w:val="nil"/>
              <w:right w:val="nil"/>
            </w:tcBorders>
            <w:shd w:val="clear" w:color="auto" w:fill="auto"/>
            <w:noWrap/>
            <w:vAlign w:val="bottom"/>
            <w:hideMark/>
          </w:tcPr>
          <w:p w14:paraId="1B86586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0.215***</w:t>
            </w:r>
          </w:p>
        </w:tc>
        <w:tc>
          <w:tcPr>
            <w:tcW w:w="811" w:type="dxa"/>
            <w:tcBorders>
              <w:top w:val="nil"/>
              <w:left w:val="nil"/>
              <w:bottom w:val="nil"/>
              <w:right w:val="nil"/>
            </w:tcBorders>
            <w:shd w:val="clear" w:color="auto" w:fill="auto"/>
            <w:noWrap/>
            <w:vAlign w:val="bottom"/>
            <w:hideMark/>
          </w:tcPr>
          <w:p w14:paraId="0BFB254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0.211***</w:t>
            </w:r>
          </w:p>
        </w:tc>
        <w:tc>
          <w:tcPr>
            <w:tcW w:w="811" w:type="dxa"/>
            <w:tcBorders>
              <w:top w:val="nil"/>
              <w:left w:val="nil"/>
              <w:bottom w:val="nil"/>
              <w:right w:val="nil"/>
            </w:tcBorders>
            <w:shd w:val="clear" w:color="auto" w:fill="auto"/>
            <w:noWrap/>
            <w:vAlign w:val="bottom"/>
            <w:hideMark/>
          </w:tcPr>
          <w:p w14:paraId="3CD1691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0.218***</w:t>
            </w:r>
          </w:p>
        </w:tc>
        <w:tc>
          <w:tcPr>
            <w:tcW w:w="251" w:type="dxa"/>
            <w:tcBorders>
              <w:top w:val="nil"/>
              <w:left w:val="nil"/>
              <w:bottom w:val="nil"/>
              <w:right w:val="nil"/>
            </w:tcBorders>
            <w:shd w:val="clear" w:color="auto" w:fill="auto"/>
            <w:noWrap/>
            <w:vAlign w:val="bottom"/>
            <w:hideMark/>
          </w:tcPr>
          <w:p w14:paraId="48BA34F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A8F6AE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0.220***</w:t>
            </w:r>
          </w:p>
        </w:tc>
        <w:tc>
          <w:tcPr>
            <w:tcW w:w="811" w:type="dxa"/>
            <w:tcBorders>
              <w:top w:val="nil"/>
              <w:left w:val="nil"/>
              <w:bottom w:val="nil"/>
              <w:right w:val="nil"/>
            </w:tcBorders>
            <w:shd w:val="clear" w:color="auto" w:fill="auto"/>
            <w:noWrap/>
            <w:vAlign w:val="bottom"/>
            <w:hideMark/>
          </w:tcPr>
          <w:p w14:paraId="5B052B6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0.265***</w:t>
            </w:r>
          </w:p>
        </w:tc>
        <w:tc>
          <w:tcPr>
            <w:tcW w:w="811" w:type="dxa"/>
            <w:tcBorders>
              <w:top w:val="nil"/>
              <w:left w:val="nil"/>
              <w:bottom w:val="nil"/>
              <w:right w:val="nil"/>
            </w:tcBorders>
            <w:shd w:val="clear" w:color="auto" w:fill="auto"/>
            <w:noWrap/>
            <w:vAlign w:val="bottom"/>
            <w:hideMark/>
          </w:tcPr>
          <w:p w14:paraId="7060236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0.227***</w:t>
            </w:r>
          </w:p>
        </w:tc>
        <w:tc>
          <w:tcPr>
            <w:tcW w:w="811" w:type="dxa"/>
            <w:tcBorders>
              <w:top w:val="nil"/>
              <w:left w:val="nil"/>
              <w:bottom w:val="nil"/>
              <w:right w:val="nil"/>
            </w:tcBorders>
            <w:shd w:val="clear" w:color="auto" w:fill="auto"/>
            <w:noWrap/>
            <w:vAlign w:val="bottom"/>
            <w:hideMark/>
          </w:tcPr>
          <w:p w14:paraId="333B1DB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0.218***</w:t>
            </w:r>
          </w:p>
        </w:tc>
        <w:tc>
          <w:tcPr>
            <w:tcW w:w="811" w:type="dxa"/>
            <w:tcBorders>
              <w:top w:val="nil"/>
              <w:left w:val="nil"/>
              <w:bottom w:val="nil"/>
              <w:right w:val="nil"/>
            </w:tcBorders>
            <w:shd w:val="clear" w:color="auto" w:fill="auto"/>
            <w:noWrap/>
            <w:vAlign w:val="bottom"/>
            <w:hideMark/>
          </w:tcPr>
          <w:p w14:paraId="7DEF62D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0.233***</w:t>
            </w:r>
          </w:p>
        </w:tc>
      </w:tr>
      <w:tr w:rsidR="008355AB" w:rsidRPr="00C82EE1" w14:paraId="17323DBF"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4D14ECBA"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36CA725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(0.095)</w:t>
            </w:r>
          </w:p>
        </w:tc>
        <w:tc>
          <w:tcPr>
            <w:tcW w:w="811" w:type="dxa"/>
            <w:tcBorders>
              <w:top w:val="nil"/>
              <w:left w:val="nil"/>
              <w:bottom w:val="nil"/>
              <w:right w:val="nil"/>
            </w:tcBorders>
            <w:shd w:val="clear" w:color="auto" w:fill="auto"/>
            <w:noWrap/>
            <w:vAlign w:val="bottom"/>
            <w:hideMark/>
          </w:tcPr>
          <w:p w14:paraId="0F91341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(0.060)</w:t>
            </w:r>
          </w:p>
        </w:tc>
        <w:tc>
          <w:tcPr>
            <w:tcW w:w="811" w:type="dxa"/>
            <w:tcBorders>
              <w:top w:val="nil"/>
              <w:left w:val="nil"/>
              <w:bottom w:val="nil"/>
              <w:right w:val="nil"/>
            </w:tcBorders>
            <w:shd w:val="clear" w:color="auto" w:fill="auto"/>
            <w:noWrap/>
            <w:vAlign w:val="bottom"/>
            <w:hideMark/>
          </w:tcPr>
          <w:p w14:paraId="50894BC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(0.054)</w:t>
            </w:r>
          </w:p>
        </w:tc>
        <w:tc>
          <w:tcPr>
            <w:tcW w:w="811" w:type="dxa"/>
            <w:tcBorders>
              <w:top w:val="nil"/>
              <w:left w:val="nil"/>
              <w:bottom w:val="nil"/>
              <w:right w:val="nil"/>
            </w:tcBorders>
            <w:shd w:val="clear" w:color="auto" w:fill="auto"/>
            <w:noWrap/>
            <w:vAlign w:val="bottom"/>
            <w:hideMark/>
          </w:tcPr>
          <w:p w14:paraId="3E2DB65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(0.058)</w:t>
            </w:r>
          </w:p>
        </w:tc>
        <w:tc>
          <w:tcPr>
            <w:tcW w:w="811" w:type="dxa"/>
            <w:tcBorders>
              <w:top w:val="nil"/>
              <w:left w:val="nil"/>
              <w:bottom w:val="nil"/>
              <w:right w:val="nil"/>
            </w:tcBorders>
            <w:shd w:val="clear" w:color="auto" w:fill="auto"/>
            <w:noWrap/>
            <w:vAlign w:val="bottom"/>
            <w:hideMark/>
          </w:tcPr>
          <w:p w14:paraId="7AB8EA4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(0.060)</w:t>
            </w:r>
          </w:p>
        </w:tc>
        <w:tc>
          <w:tcPr>
            <w:tcW w:w="811" w:type="dxa"/>
            <w:tcBorders>
              <w:top w:val="nil"/>
              <w:left w:val="nil"/>
              <w:bottom w:val="nil"/>
              <w:right w:val="nil"/>
            </w:tcBorders>
            <w:shd w:val="clear" w:color="auto" w:fill="auto"/>
            <w:noWrap/>
            <w:vAlign w:val="bottom"/>
            <w:hideMark/>
          </w:tcPr>
          <w:p w14:paraId="23010C0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(0.058)</w:t>
            </w:r>
          </w:p>
        </w:tc>
        <w:tc>
          <w:tcPr>
            <w:tcW w:w="251" w:type="dxa"/>
            <w:tcBorders>
              <w:top w:val="nil"/>
              <w:left w:val="nil"/>
              <w:bottom w:val="nil"/>
              <w:right w:val="nil"/>
            </w:tcBorders>
            <w:shd w:val="clear" w:color="auto" w:fill="auto"/>
            <w:noWrap/>
            <w:vAlign w:val="bottom"/>
            <w:hideMark/>
          </w:tcPr>
          <w:p w14:paraId="7A38093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52C7640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(0.060)</w:t>
            </w:r>
          </w:p>
        </w:tc>
        <w:tc>
          <w:tcPr>
            <w:tcW w:w="811" w:type="dxa"/>
            <w:tcBorders>
              <w:top w:val="nil"/>
              <w:left w:val="nil"/>
              <w:bottom w:val="nil"/>
              <w:right w:val="nil"/>
            </w:tcBorders>
            <w:shd w:val="clear" w:color="auto" w:fill="auto"/>
            <w:noWrap/>
            <w:vAlign w:val="bottom"/>
            <w:hideMark/>
          </w:tcPr>
          <w:p w14:paraId="4655CFA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(0.055)</w:t>
            </w:r>
          </w:p>
        </w:tc>
        <w:tc>
          <w:tcPr>
            <w:tcW w:w="811" w:type="dxa"/>
            <w:tcBorders>
              <w:top w:val="nil"/>
              <w:left w:val="nil"/>
              <w:bottom w:val="nil"/>
              <w:right w:val="nil"/>
            </w:tcBorders>
            <w:shd w:val="clear" w:color="auto" w:fill="auto"/>
            <w:noWrap/>
            <w:vAlign w:val="bottom"/>
            <w:hideMark/>
          </w:tcPr>
          <w:p w14:paraId="650B91A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(0.052)</w:t>
            </w:r>
          </w:p>
        </w:tc>
        <w:tc>
          <w:tcPr>
            <w:tcW w:w="811" w:type="dxa"/>
            <w:tcBorders>
              <w:top w:val="nil"/>
              <w:left w:val="nil"/>
              <w:bottom w:val="nil"/>
              <w:right w:val="nil"/>
            </w:tcBorders>
            <w:shd w:val="clear" w:color="auto" w:fill="auto"/>
            <w:noWrap/>
            <w:vAlign w:val="bottom"/>
            <w:hideMark/>
          </w:tcPr>
          <w:p w14:paraId="07DFB40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(0.061)</w:t>
            </w:r>
          </w:p>
        </w:tc>
        <w:tc>
          <w:tcPr>
            <w:tcW w:w="811" w:type="dxa"/>
            <w:tcBorders>
              <w:top w:val="nil"/>
              <w:left w:val="nil"/>
              <w:bottom w:val="nil"/>
              <w:right w:val="nil"/>
            </w:tcBorders>
            <w:shd w:val="clear" w:color="auto" w:fill="auto"/>
            <w:noWrap/>
            <w:vAlign w:val="bottom"/>
            <w:hideMark/>
          </w:tcPr>
          <w:p w14:paraId="2C0A036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(0.058)</w:t>
            </w:r>
          </w:p>
        </w:tc>
      </w:tr>
      <w:tr w:rsidR="008355AB" w:rsidRPr="00C82EE1" w14:paraId="4C9F8ADA"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D77975C"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Social media</w:t>
            </w:r>
          </w:p>
        </w:tc>
        <w:tc>
          <w:tcPr>
            <w:tcW w:w="811" w:type="dxa"/>
            <w:tcBorders>
              <w:top w:val="nil"/>
              <w:left w:val="nil"/>
              <w:bottom w:val="nil"/>
              <w:right w:val="nil"/>
            </w:tcBorders>
            <w:shd w:val="clear" w:color="auto" w:fill="auto"/>
            <w:noWrap/>
            <w:vAlign w:val="bottom"/>
            <w:hideMark/>
          </w:tcPr>
          <w:p w14:paraId="6FF68F7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-0.0005</w:t>
            </w:r>
          </w:p>
        </w:tc>
        <w:tc>
          <w:tcPr>
            <w:tcW w:w="811" w:type="dxa"/>
            <w:tcBorders>
              <w:top w:val="nil"/>
              <w:left w:val="nil"/>
              <w:bottom w:val="nil"/>
              <w:right w:val="nil"/>
            </w:tcBorders>
            <w:shd w:val="clear" w:color="auto" w:fill="auto"/>
            <w:noWrap/>
            <w:vAlign w:val="bottom"/>
            <w:hideMark/>
          </w:tcPr>
          <w:p w14:paraId="60EBC45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c>
          <w:tcPr>
            <w:tcW w:w="811" w:type="dxa"/>
            <w:tcBorders>
              <w:top w:val="nil"/>
              <w:left w:val="nil"/>
              <w:bottom w:val="nil"/>
              <w:right w:val="nil"/>
            </w:tcBorders>
            <w:shd w:val="clear" w:color="auto" w:fill="auto"/>
            <w:noWrap/>
            <w:vAlign w:val="bottom"/>
            <w:hideMark/>
          </w:tcPr>
          <w:p w14:paraId="4FD8294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0.018</w:t>
            </w:r>
          </w:p>
        </w:tc>
        <w:tc>
          <w:tcPr>
            <w:tcW w:w="811" w:type="dxa"/>
            <w:tcBorders>
              <w:top w:val="nil"/>
              <w:left w:val="nil"/>
              <w:bottom w:val="nil"/>
              <w:right w:val="nil"/>
            </w:tcBorders>
            <w:shd w:val="clear" w:color="auto" w:fill="auto"/>
            <w:noWrap/>
            <w:vAlign w:val="bottom"/>
            <w:hideMark/>
          </w:tcPr>
          <w:p w14:paraId="32B4634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c>
          <w:tcPr>
            <w:tcW w:w="811" w:type="dxa"/>
            <w:tcBorders>
              <w:top w:val="nil"/>
              <w:left w:val="nil"/>
              <w:bottom w:val="nil"/>
              <w:right w:val="nil"/>
            </w:tcBorders>
            <w:shd w:val="clear" w:color="auto" w:fill="auto"/>
            <w:noWrap/>
            <w:vAlign w:val="bottom"/>
            <w:hideMark/>
          </w:tcPr>
          <w:p w14:paraId="4D52915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c>
          <w:tcPr>
            <w:tcW w:w="811" w:type="dxa"/>
            <w:tcBorders>
              <w:top w:val="nil"/>
              <w:left w:val="nil"/>
              <w:bottom w:val="nil"/>
              <w:right w:val="nil"/>
            </w:tcBorders>
            <w:shd w:val="clear" w:color="auto" w:fill="auto"/>
            <w:noWrap/>
            <w:vAlign w:val="bottom"/>
            <w:hideMark/>
          </w:tcPr>
          <w:p w14:paraId="739F511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c>
          <w:tcPr>
            <w:tcW w:w="251" w:type="dxa"/>
            <w:tcBorders>
              <w:top w:val="nil"/>
              <w:left w:val="nil"/>
              <w:bottom w:val="nil"/>
              <w:right w:val="nil"/>
            </w:tcBorders>
            <w:shd w:val="clear" w:color="auto" w:fill="auto"/>
            <w:noWrap/>
            <w:vAlign w:val="bottom"/>
            <w:hideMark/>
          </w:tcPr>
          <w:p w14:paraId="41F68A9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A2F955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0.011</w:t>
            </w:r>
          </w:p>
        </w:tc>
        <w:tc>
          <w:tcPr>
            <w:tcW w:w="811" w:type="dxa"/>
            <w:tcBorders>
              <w:top w:val="nil"/>
              <w:left w:val="nil"/>
              <w:bottom w:val="nil"/>
              <w:right w:val="nil"/>
            </w:tcBorders>
            <w:shd w:val="clear" w:color="auto" w:fill="auto"/>
            <w:noWrap/>
            <w:vAlign w:val="bottom"/>
            <w:hideMark/>
          </w:tcPr>
          <w:p w14:paraId="7E81770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811" w:type="dxa"/>
            <w:tcBorders>
              <w:top w:val="nil"/>
              <w:left w:val="nil"/>
              <w:bottom w:val="nil"/>
              <w:right w:val="nil"/>
            </w:tcBorders>
            <w:shd w:val="clear" w:color="auto" w:fill="auto"/>
            <w:noWrap/>
            <w:vAlign w:val="bottom"/>
            <w:hideMark/>
          </w:tcPr>
          <w:p w14:paraId="47BF755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0.011</w:t>
            </w:r>
          </w:p>
        </w:tc>
        <w:tc>
          <w:tcPr>
            <w:tcW w:w="811" w:type="dxa"/>
            <w:tcBorders>
              <w:top w:val="nil"/>
              <w:left w:val="nil"/>
              <w:bottom w:val="nil"/>
              <w:right w:val="nil"/>
            </w:tcBorders>
            <w:shd w:val="clear" w:color="auto" w:fill="auto"/>
            <w:noWrap/>
            <w:vAlign w:val="bottom"/>
            <w:hideMark/>
          </w:tcPr>
          <w:p w14:paraId="1705A74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c>
          <w:tcPr>
            <w:tcW w:w="811" w:type="dxa"/>
            <w:tcBorders>
              <w:top w:val="nil"/>
              <w:left w:val="nil"/>
              <w:bottom w:val="nil"/>
              <w:right w:val="nil"/>
            </w:tcBorders>
            <w:shd w:val="clear" w:color="auto" w:fill="auto"/>
            <w:noWrap/>
            <w:vAlign w:val="bottom"/>
            <w:hideMark/>
          </w:tcPr>
          <w:p w14:paraId="4EEF47B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r>
      <w:tr w:rsidR="008355AB" w:rsidRPr="00C82EE1" w14:paraId="0ED56E73"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F9EB6B2"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26D39AE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(0.045)</w:t>
            </w:r>
          </w:p>
        </w:tc>
        <w:tc>
          <w:tcPr>
            <w:tcW w:w="811" w:type="dxa"/>
            <w:tcBorders>
              <w:top w:val="nil"/>
              <w:left w:val="nil"/>
              <w:bottom w:val="nil"/>
              <w:right w:val="nil"/>
            </w:tcBorders>
            <w:shd w:val="clear" w:color="auto" w:fill="auto"/>
            <w:noWrap/>
            <w:vAlign w:val="bottom"/>
            <w:hideMark/>
          </w:tcPr>
          <w:p w14:paraId="1EEACB1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(0.043)</w:t>
            </w:r>
          </w:p>
        </w:tc>
        <w:tc>
          <w:tcPr>
            <w:tcW w:w="811" w:type="dxa"/>
            <w:tcBorders>
              <w:top w:val="nil"/>
              <w:left w:val="nil"/>
              <w:bottom w:val="nil"/>
              <w:right w:val="nil"/>
            </w:tcBorders>
            <w:shd w:val="clear" w:color="auto" w:fill="auto"/>
            <w:noWrap/>
            <w:vAlign w:val="bottom"/>
            <w:hideMark/>
          </w:tcPr>
          <w:p w14:paraId="307E012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(0.044)</w:t>
            </w:r>
          </w:p>
        </w:tc>
        <w:tc>
          <w:tcPr>
            <w:tcW w:w="811" w:type="dxa"/>
            <w:tcBorders>
              <w:top w:val="nil"/>
              <w:left w:val="nil"/>
              <w:bottom w:val="nil"/>
              <w:right w:val="nil"/>
            </w:tcBorders>
            <w:shd w:val="clear" w:color="auto" w:fill="auto"/>
            <w:noWrap/>
            <w:vAlign w:val="bottom"/>
            <w:hideMark/>
          </w:tcPr>
          <w:p w14:paraId="6CFF202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(0.045)</w:t>
            </w:r>
          </w:p>
        </w:tc>
        <w:tc>
          <w:tcPr>
            <w:tcW w:w="811" w:type="dxa"/>
            <w:tcBorders>
              <w:top w:val="nil"/>
              <w:left w:val="nil"/>
              <w:bottom w:val="nil"/>
              <w:right w:val="nil"/>
            </w:tcBorders>
            <w:shd w:val="clear" w:color="auto" w:fill="auto"/>
            <w:noWrap/>
            <w:vAlign w:val="bottom"/>
            <w:hideMark/>
          </w:tcPr>
          <w:p w14:paraId="1281D3C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(0.043)</w:t>
            </w:r>
          </w:p>
        </w:tc>
        <w:tc>
          <w:tcPr>
            <w:tcW w:w="811" w:type="dxa"/>
            <w:tcBorders>
              <w:top w:val="nil"/>
              <w:left w:val="nil"/>
              <w:bottom w:val="nil"/>
              <w:right w:val="nil"/>
            </w:tcBorders>
            <w:shd w:val="clear" w:color="auto" w:fill="auto"/>
            <w:noWrap/>
            <w:vAlign w:val="bottom"/>
            <w:hideMark/>
          </w:tcPr>
          <w:p w14:paraId="19A6887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(0.042)</w:t>
            </w:r>
          </w:p>
        </w:tc>
        <w:tc>
          <w:tcPr>
            <w:tcW w:w="251" w:type="dxa"/>
            <w:tcBorders>
              <w:top w:val="nil"/>
              <w:left w:val="nil"/>
              <w:bottom w:val="nil"/>
              <w:right w:val="nil"/>
            </w:tcBorders>
            <w:shd w:val="clear" w:color="auto" w:fill="auto"/>
            <w:noWrap/>
            <w:vAlign w:val="bottom"/>
            <w:hideMark/>
          </w:tcPr>
          <w:p w14:paraId="24CEB4F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9006EB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(0.043)</w:t>
            </w:r>
          </w:p>
        </w:tc>
        <w:tc>
          <w:tcPr>
            <w:tcW w:w="811" w:type="dxa"/>
            <w:tcBorders>
              <w:top w:val="nil"/>
              <w:left w:val="nil"/>
              <w:bottom w:val="nil"/>
              <w:right w:val="nil"/>
            </w:tcBorders>
            <w:shd w:val="clear" w:color="auto" w:fill="auto"/>
            <w:noWrap/>
            <w:vAlign w:val="bottom"/>
            <w:hideMark/>
          </w:tcPr>
          <w:p w14:paraId="10A47BA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(0.044)</w:t>
            </w:r>
          </w:p>
        </w:tc>
        <w:tc>
          <w:tcPr>
            <w:tcW w:w="811" w:type="dxa"/>
            <w:tcBorders>
              <w:top w:val="nil"/>
              <w:left w:val="nil"/>
              <w:bottom w:val="nil"/>
              <w:right w:val="nil"/>
            </w:tcBorders>
            <w:shd w:val="clear" w:color="auto" w:fill="auto"/>
            <w:noWrap/>
            <w:vAlign w:val="bottom"/>
            <w:hideMark/>
          </w:tcPr>
          <w:p w14:paraId="1127DA2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(0.042)</w:t>
            </w:r>
          </w:p>
        </w:tc>
        <w:tc>
          <w:tcPr>
            <w:tcW w:w="811" w:type="dxa"/>
            <w:tcBorders>
              <w:top w:val="nil"/>
              <w:left w:val="nil"/>
              <w:bottom w:val="nil"/>
              <w:right w:val="nil"/>
            </w:tcBorders>
            <w:shd w:val="clear" w:color="auto" w:fill="auto"/>
            <w:noWrap/>
            <w:vAlign w:val="bottom"/>
            <w:hideMark/>
          </w:tcPr>
          <w:p w14:paraId="40E9F8D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(0.043)</w:t>
            </w:r>
          </w:p>
        </w:tc>
        <w:tc>
          <w:tcPr>
            <w:tcW w:w="811" w:type="dxa"/>
            <w:tcBorders>
              <w:top w:val="nil"/>
              <w:left w:val="nil"/>
              <w:bottom w:val="nil"/>
              <w:right w:val="nil"/>
            </w:tcBorders>
            <w:shd w:val="clear" w:color="auto" w:fill="auto"/>
            <w:noWrap/>
            <w:vAlign w:val="bottom"/>
            <w:hideMark/>
          </w:tcPr>
          <w:p w14:paraId="6AFD348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(0.042)</w:t>
            </w:r>
          </w:p>
        </w:tc>
      </w:tr>
      <w:tr w:rsidR="008355AB" w:rsidRPr="00C82EE1" w14:paraId="3A6E708E"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2CFADCDD"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Video</w:t>
            </w:r>
          </w:p>
        </w:tc>
        <w:tc>
          <w:tcPr>
            <w:tcW w:w="811" w:type="dxa"/>
            <w:tcBorders>
              <w:top w:val="nil"/>
              <w:left w:val="nil"/>
              <w:bottom w:val="nil"/>
              <w:right w:val="nil"/>
            </w:tcBorders>
            <w:shd w:val="clear" w:color="auto" w:fill="auto"/>
            <w:noWrap/>
            <w:vAlign w:val="bottom"/>
            <w:hideMark/>
          </w:tcPr>
          <w:p w14:paraId="2EF7CEC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0.248*</w:t>
            </w:r>
          </w:p>
        </w:tc>
        <w:tc>
          <w:tcPr>
            <w:tcW w:w="811" w:type="dxa"/>
            <w:tcBorders>
              <w:top w:val="nil"/>
              <w:left w:val="nil"/>
              <w:bottom w:val="nil"/>
              <w:right w:val="nil"/>
            </w:tcBorders>
            <w:shd w:val="clear" w:color="auto" w:fill="auto"/>
            <w:noWrap/>
            <w:vAlign w:val="bottom"/>
            <w:hideMark/>
          </w:tcPr>
          <w:p w14:paraId="73C4362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0.270**</w:t>
            </w:r>
          </w:p>
        </w:tc>
        <w:tc>
          <w:tcPr>
            <w:tcW w:w="811" w:type="dxa"/>
            <w:tcBorders>
              <w:top w:val="nil"/>
              <w:left w:val="nil"/>
              <w:bottom w:val="nil"/>
              <w:right w:val="nil"/>
            </w:tcBorders>
            <w:shd w:val="clear" w:color="auto" w:fill="auto"/>
            <w:noWrap/>
            <w:vAlign w:val="bottom"/>
            <w:hideMark/>
          </w:tcPr>
          <w:p w14:paraId="495E672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0.409**</w:t>
            </w:r>
          </w:p>
        </w:tc>
        <w:tc>
          <w:tcPr>
            <w:tcW w:w="811" w:type="dxa"/>
            <w:tcBorders>
              <w:top w:val="nil"/>
              <w:left w:val="nil"/>
              <w:bottom w:val="nil"/>
              <w:right w:val="nil"/>
            </w:tcBorders>
            <w:shd w:val="clear" w:color="auto" w:fill="auto"/>
            <w:noWrap/>
            <w:vAlign w:val="bottom"/>
            <w:hideMark/>
          </w:tcPr>
          <w:p w14:paraId="45A8667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0.262**</w:t>
            </w:r>
          </w:p>
        </w:tc>
        <w:tc>
          <w:tcPr>
            <w:tcW w:w="811" w:type="dxa"/>
            <w:tcBorders>
              <w:top w:val="nil"/>
              <w:left w:val="nil"/>
              <w:bottom w:val="nil"/>
              <w:right w:val="nil"/>
            </w:tcBorders>
            <w:shd w:val="clear" w:color="auto" w:fill="auto"/>
            <w:noWrap/>
            <w:vAlign w:val="bottom"/>
            <w:hideMark/>
          </w:tcPr>
          <w:p w14:paraId="686EA8A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0.291**</w:t>
            </w:r>
          </w:p>
        </w:tc>
        <w:tc>
          <w:tcPr>
            <w:tcW w:w="811" w:type="dxa"/>
            <w:tcBorders>
              <w:top w:val="nil"/>
              <w:left w:val="nil"/>
              <w:bottom w:val="nil"/>
              <w:right w:val="nil"/>
            </w:tcBorders>
            <w:shd w:val="clear" w:color="auto" w:fill="auto"/>
            <w:noWrap/>
            <w:vAlign w:val="bottom"/>
            <w:hideMark/>
          </w:tcPr>
          <w:p w14:paraId="78492A4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0.293**</w:t>
            </w:r>
          </w:p>
        </w:tc>
        <w:tc>
          <w:tcPr>
            <w:tcW w:w="251" w:type="dxa"/>
            <w:tcBorders>
              <w:top w:val="nil"/>
              <w:left w:val="nil"/>
              <w:bottom w:val="nil"/>
              <w:right w:val="nil"/>
            </w:tcBorders>
            <w:shd w:val="clear" w:color="auto" w:fill="auto"/>
            <w:noWrap/>
            <w:vAlign w:val="bottom"/>
            <w:hideMark/>
          </w:tcPr>
          <w:p w14:paraId="29E8635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533840F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0.252**</w:t>
            </w:r>
          </w:p>
        </w:tc>
        <w:tc>
          <w:tcPr>
            <w:tcW w:w="811" w:type="dxa"/>
            <w:tcBorders>
              <w:top w:val="nil"/>
              <w:left w:val="nil"/>
              <w:bottom w:val="nil"/>
              <w:right w:val="nil"/>
            </w:tcBorders>
            <w:shd w:val="clear" w:color="auto" w:fill="auto"/>
            <w:noWrap/>
            <w:vAlign w:val="bottom"/>
            <w:hideMark/>
          </w:tcPr>
          <w:p w14:paraId="3020682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0.410**</w:t>
            </w:r>
          </w:p>
        </w:tc>
        <w:tc>
          <w:tcPr>
            <w:tcW w:w="811" w:type="dxa"/>
            <w:tcBorders>
              <w:top w:val="nil"/>
              <w:left w:val="nil"/>
              <w:bottom w:val="nil"/>
              <w:right w:val="nil"/>
            </w:tcBorders>
            <w:shd w:val="clear" w:color="auto" w:fill="auto"/>
            <w:noWrap/>
            <w:vAlign w:val="bottom"/>
            <w:hideMark/>
          </w:tcPr>
          <w:p w14:paraId="664914C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0.233*</w:t>
            </w:r>
          </w:p>
        </w:tc>
        <w:tc>
          <w:tcPr>
            <w:tcW w:w="811" w:type="dxa"/>
            <w:tcBorders>
              <w:top w:val="nil"/>
              <w:left w:val="nil"/>
              <w:bottom w:val="nil"/>
              <w:right w:val="nil"/>
            </w:tcBorders>
            <w:shd w:val="clear" w:color="auto" w:fill="auto"/>
            <w:noWrap/>
            <w:vAlign w:val="bottom"/>
            <w:hideMark/>
          </w:tcPr>
          <w:p w14:paraId="1CB0253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0.285**</w:t>
            </w:r>
          </w:p>
        </w:tc>
        <w:tc>
          <w:tcPr>
            <w:tcW w:w="811" w:type="dxa"/>
            <w:tcBorders>
              <w:top w:val="nil"/>
              <w:left w:val="nil"/>
              <w:bottom w:val="nil"/>
              <w:right w:val="nil"/>
            </w:tcBorders>
            <w:shd w:val="clear" w:color="auto" w:fill="auto"/>
            <w:noWrap/>
            <w:vAlign w:val="bottom"/>
            <w:hideMark/>
          </w:tcPr>
          <w:p w14:paraId="2C90648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0.285***</w:t>
            </w:r>
          </w:p>
        </w:tc>
      </w:tr>
      <w:tr w:rsidR="008355AB" w:rsidRPr="00C82EE1" w14:paraId="706E17E0"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39E0D0AD"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00B2559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(0.128)</w:t>
            </w:r>
          </w:p>
        </w:tc>
        <w:tc>
          <w:tcPr>
            <w:tcW w:w="811" w:type="dxa"/>
            <w:tcBorders>
              <w:top w:val="nil"/>
              <w:left w:val="nil"/>
              <w:bottom w:val="nil"/>
              <w:right w:val="nil"/>
            </w:tcBorders>
            <w:shd w:val="clear" w:color="auto" w:fill="auto"/>
            <w:noWrap/>
            <w:vAlign w:val="bottom"/>
            <w:hideMark/>
          </w:tcPr>
          <w:p w14:paraId="5489518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(0.122)</w:t>
            </w:r>
          </w:p>
        </w:tc>
        <w:tc>
          <w:tcPr>
            <w:tcW w:w="811" w:type="dxa"/>
            <w:tcBorders>
              <w:top w:val="nil"/>
              <w:left w:val="nil"/>
              <w:bottom w:val="nil"/>
              <w:right w:val="nil"/>
            </w:tcBorders>
            <w:shd w:val="clear" w:color="auto" w:fill="auto"/>
            <w:noWrap/>
            <w:vAlign w:val="bottom"/>
            <w:hideMark/>
          </w:tcPr>
          <w:p w14:paraId="330A58B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(0.178)</w:t>
            </w:r>
          </w:p>
        </w:tc>
        <w:tc>
          <w:tcPr>
            <w:tcW w:w="811" w:type="dxa"/>
            <w:tcBorders>
              <w:top w:val="nil"/>
              <w:left w:val="nil"/>
              <w:bottom w:val="nil"/>
              <w:right w:val="nil"/>
            </w:tcBorders>
            <w:shd w:val="clear" w:color="auto" w:fill="auto"/>
            <w:noWrap/>
            <w:vAlign w:val="bottom"/>
            <w:hideMark/>
          </w:tcPr>
          <w:p w14:paraId="2EF9C57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(0.133)</w:t>
            </w:r>
          </w:p>
        </w:tc>
        <w:tc>
          <w:tcPr>
            <w:tcW w:w="811" w:type="dxa"/>
            <w:tcBorders>
              <w:top w:val="nil"/>
              <w:left w:val="nil"/>
              <w:bottom w:val="nil"/>
              <w:right w:val="nil"/>
            </w:tcBorders>
            <w:shd w:val="clear" w:color="auto" w:fill="auto"/>
            <w:noWrap/>
            <w:vAlign w:val="bottom"/>
            <w:hideMark/>
          </w:tcPr>
          <w:p w14:paraId="3F19121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(0.126)</w:t>
            </w:r>
          </w:p>
        </w:tc>
        <w:tc>
          <w:tcPr>
            <w:tcW w:w="811" w:type="dxa"/>
            <w:tcBorders>
              <w:top w:val="nil"/>
              <w:left w:val="nil"/>
              <w:bottom w:val="nil"/>
              <w:right w:val="nil"/>
            </w:tcBorders>
            <w:shd w:val="clear" w:color="auto" w:fill="auto"/>
            <w:noWrap/>
            <w:vAlign w:val="bottom"/>
            <w:hideMark/>
          </w:tcPr>
          <w:p w14:paraId="3FD6D39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(0.117)</w:t>
            </w:r>
          </w:p>
        </w:tc>
        <w:tc>
          <w:tcPr>
            <w:tcW w:w="251" w:type="dxa"/>
            <w:tcBorders>
              <w:top w:val="nil"/>
              <w:left w:val="nil"/>
              <w:bottom w:val="nil"/>
              <w:right w:val="nil"/>
            </w:tcBorders>
            <w:shd w:val="clear" w:color="auto" w:fill="auto"/>
            <w:noWrap/>
            <w:vAlign w:val="bottom"/>
            <w:hideMark/>
          </w:tcPr>
          <w:p w14:paraId="2F812C2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9872F7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(0.111)</w:t>
            </w:r>
          </w:p>
        </w:tc>
        <w:tc>
          <w:tcPr>
            <w:tcW w:w="811" w:type="dxa"/>
            <w:tcBorders>
              <w:top w:val="nil"/>
              <w:left w:val="nil"/>
              <w:bottom w:val="nil"/>
              <w:right w:val="nil"/>
            </w:tcBorders>
            <w:shd w:val="clear" w:color="auto" w:fill="auto"/>
            <w:noWrap/>
            <w:vAlign w:val="bottom"/>
            <w:hideMark/>
          </w:tcPr>
          <w:p w14:paraId="22344ED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(0.183)</w:t>
            </w:r>
          </w:p>
        </w:tc>
        <w:tc>
          <w:tcPr>
            <w:tcW w:w="811" w:type="dxa"/>
            <w:tcBorders>
              <w:top w:val="nil"/>
              <w:left w:val="nil"/>
              <w:bottom w:val="nil"/>
              <w:right w:val="nil"/>
            </w:tcBorders>
            <w:shd w:val="clear" w:color="auto" w:fill="auto"/>
            <w:noWrap/>
            <w:vAlign w:val="bottom"/>
            <w:hideMark/>
          </w:tcPr>
          <w:p w14:paraId="4BC1051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(0.126)</w:t>
            </w:r>
          </w:p>
        </w:tc>
        <w:tc>
          <w:tcPr>
            <w:tcW w:w="811" w:type="dxa"/>
            <w:tcBorders>
              <w:top w:val="nil"/>
              <w:left w:val="nil"/>
              <w:bottom w:val="nil"/>
              <w:right w:val="nil"/>
            </w:tcBorders>
            <w:shd w:val="clear" w:color="auto" w:fill="auto"/>
            <w:noWrap/>
            <w:vAlign w:val="bottom"/>
            <w:hideMark/>
          </w:tcPr>
          <w:p w14:paraId="46EE0B2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(0.121)</w:t>
            </w:r>
          </w:p>
        </w:tc>
        <w:tc>
          <w:tcPr>
            <w:tcW w:w="811" w:type="dxa"/>
            <w:tcBorders>
              <w:top w:val="nil"/>
              <w:left w:val="nil"/>
              <w:bottom w:val="nil"/>
              <w:right w:val="nil"/>
            </w:tcBorders>
            <w:shd w:val="clear" w:color="auto" w:fill="auto"/>
            <w:noWrap/>
            <w:vAlign w:val="bottom"/>
            <w:hideMark/>
          </w:tcPr>
          <w:p w14:paraId="352F3E1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(0.110)</w:t>
            </w:r>
          </w:p>
        </w:tc>
      </w:tr>
      <w:tr w:rsidR="008355AB" w:rsidRPr="00C82EE1" w14:paraId="5C2ED634"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4A96E190"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Eth</w:t>
            </w:r>
          </w:p>
        </w:tc>
        <w:tc>
          <w:tcPr>
            <w:tcW w:w="811" w:type="dxa"/>
            <w:tcBorders>
              <w:top w:val="nil"/>
              <w:left w:val="nil"/>
              <w:bottom w:val="nil"/>
              <w:right w:val="nil"/>
            </w:tcBorders>
            <w:shd w:val="clear" w:color="auto" w:fill="auto"/>
            <w:noWrap/>
            <w:vAlign w:val="bottom"/>
            <w:hideMark/>
          </w:tcPr>
          <w:p w14:paraId="19582E7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-0.121</w:t>
            </w:r>
          </w:p>
        </w:tc>
        <w:tc>
          <w:tcPr>
            <w:tcW w:w="811" w:type="dxa"/>
            <w:tcBorders>
              <w:top w:val="nil"/>
              <w:left w:val="nil"/>
              <w:bottom w:val="nil"/>
              <w:right w:val="nil"/>
            </w:tcBorders>
            <w:shd w:val="clear" w:color="auto" w:fill="auto"/>
            <w:noWrap/>
            <w:vAlign w:val="bottom"/>
            <w:hideMark/>
          </w:tcPr>
          <w:p w14:paraId="66FAC32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-0.211</w:t>
            </w:r>
          </w:p>
        </w:tc>
        <w:tc>
          <w:tcPr>
            <w:tcW w:w="811" w:type="dxa"/>
            <w:tcBorders>
              <w:top w:val="nil"/>
              <w:left w:val="nil"/>
              <w:bottom w:val="nil"/>
              <w:right w:val="nil"/>
            </w:tcBorders>
            <w:shd w:val="clear" w:color="auto" w:fill="auto"/>
            <w:noWrap/>
            <w:vAlign w:val="bottom"/>
            <w:hideMark/>
          </w:tcPr>
          <w:p w14:paraId="3D1D6CA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-0.207</w:t>
            </w:r>
          </w:p>
        </w:tc>
        <w:tc>
          <w:tcPr>
            <w:tcW w:w="811" w:type="dxa"/>
            <w:tcBorders>
              <w:top w:val="nil"/>
              <w:left w:val="nil"/>
              <w:bottom w:val="nil"/>
              <w:right w:val="nil"/>
            </w:tcBorders>
            <w:shd w:val="clear" w:color="auto" w:fill="auto"/>
            <w:noWrap/>
            <w:vAlign w:val="bottom"/>
            <w:hideMark/>
          </w:tcPr>
          <w:p w14:paraId="2CDF544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-0.141</w:t>
            </w:r>
          </w:p>
        </w:tc>
        <w:tc>
          <w:tcPr>
            <w:tcW w:w="811" w:type="dxa"/>
            <w:tcBorders>
              <w:top w:val="nil"/>
              <w:left w:val="nil"/>
              <w:bottom w:val="nil"/>
              <w:right w:val="nil"/>
            </w:tcBorders>
            <w:shd w:val="clear" w:color="auto" w:fill="auto"/>
            <w:noWrap/>
            <w:vAlign w:val="bottom"/>
            <w:hideMark/>
          </w:tcPr>
          <w:p w14:paraId="0EB13EC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-0.227</w:t>
            </w:r>
          </w:p>
        </w:tc>
        <w:tc>
          <w:tcPr>
            <w:tcW w:w="811" w:type="dxa"/>
            <w:tcBorders>
              <w:top w:val="nil"/>
              <w:left w:val="nil"/>
              <w:bottom w:val="nil"/>
              <w:right w:val="nil"/>
            </w:tcBorders>
            <w:shd w:val="clear" w:color="auto" w:fill="auto"/>
            <w:noWrap/>
            <w:vAlign w:val="bottom"/>
            <w:hideMark/>
          </w:tcPr>
          <w:p w14:paraId="40C20BF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-0.206</w:t>
            </w:r>
          </w:p>
        </w:tc>
        <w:tc>
          <w:tcPr>
            <w:tcW w:w="251" w:type="dxa"/>
            <w:tcBorders>
              <w:top w:val="nil"/>
              <w:left w:val="nil"/>
              <w:bottom w:val="nil"/>
              <w:right w:val="nil"/>
            </w:tcBorders>
            <w:shd w:val="clear" w:color="auto" w:fill="auto"/>
            <w:noWrap/>
            <w:vAlign w:val="bottom"/>
            <w:hideMark/>
          </w:tcPr>
          <w:p w14:paraId="6F52F5D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5CAE793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-0.235</w:t>
            </w:r>
          </w:p>
        </w:tc>
        <w:tc>
          <w:tcPr>
            <w:tcW w:w="811" w:type="dxa"/>
            <w:tcBorders>
              <w:top w:val="nil"/>
              <w:left w:val="nil"/>
              <w:bottom w:val="nil"/>
              <w:right w:val="nil"/>
            </w:tcBorders>
            <w:shd w:val="clear" w:color="auto" w:fill="auto"/>
            <w:noWrap/>
            <w:vAlign w:val="bottom"/>
            <w:hideMark/>
          </w:tcPr>
          <w:p w14:paraId="2C6D4F0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-0.216</w:t>
            </w:r>
          </w:p>
        </w:tc>
        <w:tc>
          <w:tcPr>
            <w:tcW w:w="811" w:type="dxa"/>
            <w:tcBorders>
              <w:top w:val="nil"/>
              <w:left w:val="nil"/>
              <w:bottom w:val="nil"/>
              <w:right w:val="nil"/>
            </w:tcBorders>
            <w:shd w:val="clear" w:color="auto" w:fill="auto"/>
            <w:noWrap/>
            <w:vAlign w:val="bottom"/>
            <w:hideMark/>
          </w:tcPr>
          <w:p w14:paraId="787EB3A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-0.146</w:t>
            </w:r>
          </w:p>
        </w:tc>
        <w:tc>
          <w:tcPr>
            <w:tcW w:w="811" w:type="dxa"/>
            <w:tcBorders>
              <w:top w:val="nil"/>
              <w:left w:val="nil"/>
              <w:bottom w:val="nil"/>
              <w:right w:val="nil"/>
            </w:tcBorders>
            <w:shd w:val="clear" w:color="auto" w:fill="auto"/>
            <w:noWrap/>
            <w:vAlign w:val="bottom"/>
            <w:hideMark/>
          </w:tcPr>
          <w:p w14:paraId="2FBE4F1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-0.249</w:t>
            </w:r>
          </w:p>
        </w:tc>
        <w:tc>
          <w:tcPr>
            <w:tcW w:w="811" w:type="dxa"/>
            <w:tcBorders>
              <w:top w:val="nil"/>
              <w:left w:val="nil"/>
              <w:bottom w:val="nil"/>
              <w:right w:val="nil"/>
            </w:tcBorders>
            <w:shd w:val="clear" w:color="auto" w:fill="auto"/>
            <w:noWrap/>
            <w:vAlign w:val="bottom"/>
            <w:hideMark/>
          </w:tcPr>
          <w:p w14:paraId="32ED7F0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-0.229</w:t>
            </w:r>
          </w:p>
        </w:tc>
      </w:tr>
      <w:tr w:rsidR="008355AB" w:rsidRPr="00C82EE1" w14:paraId="029B4E15"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0BDC7E9B"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24F1C18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(0.165)</w:t>
            </w:r>
          </w:p>
        </w:tc>
        <w:tc>
          <w:tcPr>
            <w:tcW w:w="811" w:type="dxa"/>
            <w:tcBorders>
              <w:top w:val="nil"/>
              <w:left w:val="nil"/>
              <w:bottom w:val="nil"/>
              <w:right w:val="nil"/>
            </w:tcBorders>
            <w:shd w:val="clear" w:color="auto" w:fill="auto"/>
            <w:noWrap/>
            <w:vAlign w:val="bottom"/>
            <w:hideMark/>
          </w:tcPr>
          <w:p w14:paraId="6999000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(0.173)</w:t>
            </w:r>
          </w:p>
        </w:tc>
        <w:tc>
          <w:tcPr>
            <w:tcW w:w="811" w:type="dxa"/>
            <w:tcBorders>
              <w:top w:val="nil"/>
              <w:left w:val="nil"/>
              <w:bottom w:val="nil"/>
              <w:right w:val="nil"/>
            </w:tcBorders>
            <w:shd w:val="clear" w:color="auto" w:fill="auto"/>
            <w:noWrap/>
            <w:vAlign w:val="bottom"/>
            <w:hideMark/>
          </w:tcPr>
          <w:p w14:paraId="2DA2CCA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(0.187)</w:t>
            </w:r>
          </w:p>
        </w:tc>
        <w:tc>
          <w:tcPr>
            <w:tcW w:w="811" w:type="dxa"/>
            <w:tcBorders>
              <w:top w:val="nil"/>
              <w:left w:val="nil"/>
              <w:bottom w:val="nil"/>
              <w:right w:val="nil"/>
            </w:tcBorders>
            <w:shd w:val="clear" w:color="auto" w:fill="auto"/>
            <w:noWrap/>
            <w:vAlign w:val="bottom"/>
            <w:hideMark/>
          </w:tcPr>
          <w:p w14:paraId="59931BA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(0.178)</w:t>
            </w:r>
          </w:p>
        </w:tc>
        <w:tc>
          <w:tcPr>
            <w:tcW w:w="811" w:type="dxa"/>
            <w:tcBorders>
              <w:top w:val="nil"/>
              <w:left w:val="nil"/>
              <w:bottom w:val="nil"/>
              <w:right w:val="nil"/>
            </w:tcBorders>
            <w:shd w:val="clear" w:color="auto" w:fill="auto"/>
            <w:noWrap/>
            <w:vAlign w:val="bottom"/>
            <w:hideMark/>
          </w:tcPr>
          <w:p w14:paraId="7B97E95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(0.174)</w:t>
            </w:r>
          </w:p>
        </w:tc>
        <w:tc>
          <w:tcPr>
            <w:tcW w:w="811" w:type="dxa"/>
            <w:tcBorders>
              <w:top w:val="nil"/>
              <w:left w:val="nil"/>
              <w:bottom w:val="nil"/>
              <w:right w:val="nil"/>
            </w:tcBorders>
            <w:shd w:val="clear" w:color="auto" w:fill="auto"/>
            <w:noWrap/>
            <w:vAlign w:val="bottom"/>
            <w:hideMark/>
          </w:tcPr>
          <w:p w14:paraId="0DDED5F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(0.170)</w:t>
            </w:r>
          </w:p>
        </w:tc>
        <w:tc>
          <w:tcPr>
            <w:tcW w:w="251" w:type="dxa"/>
            <w:tcBorders>
              <w:top w:val="nil"/>
              <w:left w:val="nil"/>
              <w:bottom w:val="nil"/>
              <w:right w:val="nil"/>
            </w:tcBorders>
            <w:shd w:val="clear" w:color="auto" w:fill="auto"/>
            <w:noWrap/>
            <w:vAlign w:val="bottom"/>
            <w:hideMark/>
          </w:tcPr>
          <w:p w14:paraId="38C3433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5F670B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(0.162)</w:t>
            </w:r>
          </w:p>
        </w:tc>
        <w:tc>
          <w:tcPr>
            <w:tcW w:w="811" w:type="dxa"/>
            <w:tcBorders>
              <w:top w:val="nil"/>
              <w:left w:val="nil"/>
              <w:bottom w:val="nil"/>
              <w:right w:val="nil"/>
            </w:tcBorders>
            <w:shd w:val="clear" w:color="auto" w:fill="auto"/>
            <w:noWrap/>
            <w:vAlign w:val="bottom"/>
            <w:hideMark/>
          </w:tcPr>
          <w:p w14:paraId="4A4E1CB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(0.186)</w:t>
            </w:r>
          </w:p>
        </w:tc>
        <w:tc>
          <w:tcPr>
            <w:tcW w:w="811" w:type="dxa"/>
            <w:tcBorders>
              <w:top w:val="nil"/>
              <w:left w:val="nil"/>
              <w:bottom w:val="nil"/>
              <w:right w:val="nil"/>
            </w:tcBorders>
            <w:shd w:val="clear" w:color="auto" w:fill="auto"/>
            <w:noWrap/>
            <w:vAlign w:val="bottom"/>
            <w:hideMark/>
          </w:tcPr>
          <w:p w14:paraId="31B0F10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(0.163)</w:t>
            </w:r>
          </w:p>
        </w:tc>
        <w:tc>
          <w:tcPr>
            <w:tcW w:w="811" w:type="dxa"/>
            <w:tcBorders>
              <w:top w:val="nil"/>
              <w:left w:val="nil"/>
              <w:bottom w:val="nil"/>
              <w:right w:val="nil"/>
            </w:tcBorders>
            <w:shd w:val="clear" w:color="auto" w:fill="auto"/>
            <w:noWrap/>
            <w:vAlign w:val="bottom"/>
            <w:hideMark/>
          </w:tcPr>
          <w:p w14:paraId="6C1B4AC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(0.165)</w:t>
            </w:r>
          </w:p>
        </w:tc>
        <w:tc>
          <w:tcPr>
            <w:tcW w:w="811" w:type="dxa"/>
            <w:tcBorders>
              <w:top w:val="nil"/>
              <w:left w:val="nil"/>
              <w:bottom w:val="nil"/>
              <w:right w:val="nil"/>
            </w:tcBorders>
            <w:shd w:val="clear" w:color="auto" w:fill="auto"/>
            <w:noWrap/>
            <w:vAlign w:val="bottom"/>
            <w:hideMark/>
          </w:tcPr>
          <w:p w14:paraId="6E104E5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(0.157)</w:t>
            </w:r>
          </w:p>
        </w:tc>
      </w:tr>
      <w:tr w:rsidR="008355AB" w:rsidRPr="00C82EE1" w14:paraId="0DF3909E"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B0F3EB1"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Token distribution</w:t>
            </w:r>
          </w:p>
        </w:tc>
        <w:tc>
          <w:tcPr>
            <w:tcW w:w="811" w:type="dxa"/>
            <w:tcBorders>
              <w:top w:val="nil"/>
              <w:left w:val="nil"/>
              <w:bottom w:val="nil"/>
              <w:right w:val="nil"/>
            </w:tcBorders>
            <w:shd w:val="clear" w:color="auto" w:fill="auto"/>
            <w:noWrap/>
            <w:vAlign w:val="bottom"/>
            <w:hideMark/>
          </w:tcPr>
          <w:p w14:paraId="32E4D59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-0.091</w:t>
            </w:r>
          </w:p>
        </w:tc>
        <w:tc>
          <w:tcPr>
            <w:tcW w:w="811" w:type="dxa"/>
            <w:tcBorders>
              <w:top w:val="nil"/>
              <w:left w:val="nil"/>
              <w:bottom w:val="nil"/>
              <w:right w:val="nil"/>
            </w:tcBorders>
            <w:shd w:val="clear" w:color="auto" w:fill="auto"/>
            <w:noWrap/>
            <w:vAlign w:val="bottom"/>
            <w:hideMark/>
          </w:tcPr>
          <w:p w14:paraId="0FE2985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-0.036</w:t>
            </w:r>
          </w:p>
        </w:tc>
        <w:tc>
          <w:tcPr>
            <w:tcW w:w="811" w:type="dxa"/>
            <w:tcBorders>
              <w:top w:val="nil"/>
              <w:left w:val="nil"/>
              <w:bottom w:val="nil"/>
              <w:right w:val="nil"/>
            </w:tcBorders>
            <w:shd w:val="clear" w:color="auto" w:fill="auto"/>
            <w:noWrap/>
            <w:vAlign w:val="bottom"/>
            <w:hideMark/>
          </w:tcPr>
          <w:p w14:paraId="02FAE19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-0.031</w:t>
            </w:r>
          </w:p>
        </w:tc>
        <w:tc>
          <w:tcPr>
            <w:tcW w:w="811" w:type="dxa"/>
            <w:tcBorders>
              <w:top w:val="nil"/>
              <w:left w:val="nil"/>
              <w:bottom w:val="nil"/>
              <w:right w:val="nil"/>
            </w:tcBorders>
            <w:shd w:val="clear" w:color="auto" w:fill="auto"/>
            <w:noWrap/>
            <w:vAlign w:val="bottom"/>
            <w:hideMark/>
          </w:tcPr>
          <w:p w14:paraId="6DAD99E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-0.042</w:t>
            </w:r>
          </w:p>
        </w:tc>
        <w:tc>
          <w:tcPr>
            <w:tcW w:w="811" w:type="dxa"/>
            <w:tcBorders>
              <w:top w:val="nil"/>
              <w:left w:val="nil"/>
              <w:bottom w:val="nil"/>
              <w:right w:val="nil"/>
            </w:tcBorders>
            <w:shd w:val="clear" w:color="auto" w:fill="auto"/>
            <w:noWrap/>
            <w:vAlign w:val="bottom"/>
            <w:hideMark/>
          </w:tcPr>
          <w:p w14:paraId="37F6EFC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-0.032</w:t>
            </w:r>
          </w:p>
        </w:tc>
        <w:tc>
          <w:tcPr>
            <w:tcW w:w="811" w:type="dxa"/>
            <w:tcBorders>
              <w:top w:val="nil"/>
              <w:left w:val="nil"/>
              <w:bottom w:val="nil"/>
              <w:right w:val="nil"/>
            </w:tcBorders>
            <w:shd w:val="clear" w:color="auto" w:fill="auto"/>
            <w:noWrap/>
            <w:vAlign w:val="bottom"/>
            <w:hideMark/>
          </w:tcPr>
          <w:p w14:paraId="175A0F4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-0.038</w:t>
            </w:r>
          </w:p>
        </w:tc>
        <w:tc>
          <w:tcPr>
            <w:tcW w:w="251" w:type="dxa"/>
            <w:tcBorders>
              <w:top w:val="nil"/>
              <w:left w:val="nil"/>
              <w:bottom w:val="nil"/>
              <w:right w:val="nil"/>
            </w:tcBorders>
            <w:shd w:val="clear" w:color="auto" w:fill="auto"/>
            <w:noWrap/>
            <w:vAlign w:val="bottom"/>
            <w:hideMark/>
          </w:tcPr>
          <w:p w14:paraId="7509943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B874E3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-0.028</w:t>
            </w:r>
          </w:p>
        </w:tc>
        <w:tc>
          <w:tcPr>
            <w:tcW w:w="811" w:type="dxa"/>
            <w:tcBorders>
              <w:top w:val="nil"/>
              <w:left w:val="nil"/>
              <w:bottom w:val="nil"/>
              <w:right w:val="nil"/>
            </w:tcBorders>
            <w:shd w:val="clear" w:color="auto" w:fill="auto"/>
            <w:noWrap/>
            <w:vAlign w:val="bottom"/>
            <w:hideMark/>
          </w:tcPr>
          <w:p w14:paraId="60D00D7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-0.031</w:t>
            </w:r>
          </w:p>
        </w:tc>
        <w:tc>
          <w:tcPr>
            <w:tcW w:w="811" w:type="dxa"/>
            <w:tcBorders>
              <w:top w:val="nil"/>
              <w:left w:val="nil"/>
              <w:bottom w:val="nil"/>
              <w:right w:val="nil"/>
            </w:tcBorders>
            <w:shd w:val="clear" w:color="auto" w:fill="auto"/>
            <w:noWrap/>
            <w:vAlign w:val="bottom"/>
            <w:hideMark/>
          </w:tcPr>
          <w:p w14:paraId="28A1494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811" w:type="dxa"/>
            <w:tcBorders>
              <w:top w:val="nil"/>
              <w:left w:val="nil"/>
              <w:bottom w:val="nil"/>
              <w:right w:val="nil"/>
            </w:tcBorders>
            <w:shd w:val="clear" w:color="auto" w:fill="auto"/>
            <w:noWrap/>
            <w:vAlign w:val="bottom"/>
            <w:hideMark/>
          </w:tcPr>
          <w:p w14:paraId="4E84E15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-0.023</w:t>
            </w:r>
          </w:p>
        </w:tc>
        <w:tc>
          <w:tcPr>
            <w:tcW w:w="811" w:type="dxa"/>
            <w:tcBorders>
              <w:top w:val="nil"/>
              <w:left w:val="nil"/>
              <w:bottom w:val="nil"/>
              <w:right w:val="nil"/>
            </w:tcBorders>
            <w:shd w:val="clear" w:color="auto" w:fill="auto"/>
            <w:noWrap/>
            <w:vAlign w:val="bottom"/>
            <w:hideMark/>
          </w:tcPr>
          <w:p w14:paraId="5AC68BF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-0.031</w:t>
            </w:r>
          </w:p>
        </w:tc>
      </w:tr>
      <w:tr w:rsidR="008355AB" w:rsidRPr="00C82EE1" w14:paraId="3DA6EB8D"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53FFBEBC"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15451B2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(0.573)</w:t>
            </w:r>
          </w:p>
        </w:tc>
        <w:tc>
          <w:tcPr>
            <w:tcW w:w="811" w:type="dxa"/>
            <w:tcBorders>
              <w:top w:val="nil"/>
              <w:left w:val="nil"/>
              <w:bottom w:val="nil"/>
              <w:right w:val="nil"/>
            </w:tcBorders>
            <w:shd w:val="clear" w:color="auto" w:fill="auto"/>
            <w:noWrap/>
            <w:vAlign w:val="bottom"/>
            <w:hideMark/>
          </w:tcPr>
          <w:p w14:paraId="172E528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(0.572)</w:t>
            </w:r>
          </w:p>
        </w:tc>
        <w:tc>
          <w:tcPr>
            <w:tcW w:w="811" w:type="dxa"/>
            <w:tcBorders>
              <w:top w:val="nil"/>
              <w:left w:val="nil"/>
              <w:bottom w:val="nil"/>
              <w:right w:val="nil"/>
            </w:tcBorders>
            <w:shd w:val="clear" w:color="auto" w:fill="auto"/>
            <w:noWrap/>
            <w:vAlign w:val="bottom"/>
            <w:hideMark/>
          </w:tcPr>
          <w:p w14:paraId="6720A57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(0.544)</w:t>
            </w:r>
          </w:p>
        </w:tc>
        <w:tc>
          <w:tcPr>
            <w:tcW w:w="811" w:type="dxa"/>
            <w:tcBorders>
              <w:top w:val="nil"/>
              <w:left w:val="nil"/>
              <w:bottom w:val="nil"/>
              <w:right w:val="nil"/>
            </w:tcBorders>
            <w:shd w:val="clear" w:color="auto" w:fill="auto"/>
            <w:noWrap/>
            <w:vAlign w:val="bottom"/>
            <w:hideMark/>
          </w:tcPr>
          <w:p w14:paraId="6A7978D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(0.561)</w:t>
            </w:r>
          </w:p>
        </w:tc>
        <w:tc>
          <w:tcPr>
            <w:tcW w:w="811" w:type="dxa"/>
            <w:tcBorders>
              <w:top w:val="nil"/>
              <w:left w:val="nil"/>
              <w:bottom w:val="nil"/>
              <w:right w:val="nil"/>
            </w:tcBorders>
            <w:shd w:val="clear" w:color="auto" w:fill="auto"/>
            <w:noWrap/>
            <w:vAlign w:val="bottom"/>
            <w:hideMark/>
          </w:tcPr>
          <w:p w14:paraId="511D8E1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(0.564)</w:t>
            </w:r>
          </w:p>
        </w:tc>
        <w:tc>
          <w:tcPr>
            <w:tcW w:w="811" w:type="dxa"/>
            <w:tcBorders>
              <w:top w:val="nil"/>
              <w:left w:val="nil"/>
              <w:bottom w:val="nil"/>
              <w:right w:val="nil"/>
            </w:tcBorders>
            <w:shd w:val="clear" w:color="auto" w:fill="auto"/>
            <w:noWrap/>
            <w:vAlign w:val="bottom"/>
            <w:hideMark/>
          </w:tcPr>
          <w:p w14:paraId="75E02AB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(0.566)</w:t>
            </w:r>
          </w:p>
        </w:tc>
        <w:tc>
          <w:tcPr>
            <w:tcW w:w="251" w:type="dxa"/>
            <w:tcBorders>
              <w:top w:val="nil"/>
              <w:left w:val="nil"/>
              <w:bottom w:val="nil"/>
              <w:right w:val="nil"/>
            </w:tcBorders>
            <w:shd w:val="clear" w:color="auto" w:fill="auto"/>
            <w:noWrap/>
            <w:vAlign w:val="bottom"/>
            <w:hideMark/>
          </w:tcPr>
          <w:p w14:paraId="33D2C68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81811F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(0.574)</w:t>
            </w:r>
          </w:p>
        </w:tc>
        <w:tc>
          <w:tcPr>
            <w:tcW w:w="811" w:type="dxa"/>
            <w:tcBorders>
              <w:top w:val="nil"/>
              <w:left w:val="nil"/>
              <w:bottom w:val="nil"/>
              <w:right w:val="nil"/>
            </w:tcBorders>
            <w:shd w:val="clear" w:color="auto" w:fill="auto"/>
            <w:noWrap/>
            <w:vAlign w:val="bottom"/>
            <w:hideMark/>
          </w:tcPr>
          <w:p w14:paraId="0E7655E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(0.543)</w:t>
            </w:r>
          </w:p>
        </w:tc>
        <w:tc>
          <w:tcPr>
            <w:tcW w:w="811" w:type="dxa"/>
            <w:tcBorders>
              <w:top w:val="nil"/>
              <w:left w:val="nil"/>
              <w:bottom w:val="nil"/>
              <w:right w:val="nil"/>
            </w:tcBorders>
            <w:shd w:val="clear" w:color="auto" w:fill="auto"/>
            <w:noWrap/>
            <w:vAlign w:val="bottom"/>
            <w:hideMark/>
          </w:tcPr>
          <w:p w14:paraId="6CC932B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(0.571)</w:t>
            </w:r>
          </w:p>
        </w:tc>
        <w:tc>
          <w:tcPr>
            <w:tcW w:w="811" w:type="dxa"/>
            <w:tcBorders>
              <w:top w:val="nil"/>
              <w:left w:val="nil"/>
              <w:bottom w:val="nil"/>
              <w:right w:val="nil"/>
            </w:tcBorders>
            <w:shd w:val="clear" w:color="auto" w:fill="auto"/>
            <w:noWrap/>
            <w:vAlign w:val="bottom"/>
            <w:hideMark/>
          </w:tcPr>
          <w:p w14:paraId="7DAC579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(0.558)</w:t>
            </w:r>
          </w:p>
        </w:tc>
        <w:tc>
          <w:tcPr>
            <w:tcW w:w="811" w:type="dxa"/>
            <w:tcBorders>
              <w:top w:val="nil"/>
              <w:left w:val="nil"/>
              <w:bottom w:val="nil"/>
              <w:right w:val="nil"/>
            </w:tcBorders>
            <w:shd w:val="clear" w:color="auto" w:fill="auto"/>
            <w:noWrap/>
            <w:vAlign w:val="bottom"/>
            <w:hideMark/>
          </w:tcPr>
          <w:p w14:paraId="57AA5C6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(0.565)</w:t>
            </w:r>
          </w:p>
        </w:tc>
      </w:tr>
      <w:tr w:rsidR="008355AB" w:rsidRPr="00C82EE1" w14:paraId="504D9ED3"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47A752CB"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Minimum investment</w:t>
            </w:r>
          </w:p>
        </w:tc>
        <w:tc>
          <w:tcPr>
            <w:tcW w:w="811" w:type="dxa"/>
            <w:tcBorders>
              <w:top w:val="nil"/>
              <w:left w:val="nil"/>
              <w:bottom w:val="nil"/>
              <w:right w:val="nil"/>
            </w:tcBorders>
            <w:shd w:val="clear" w:color="auto" w:fill="auto"/>
            <w:noWrap/>
            <w:vAlign w:val="bottom"/>
            <w:hideMark/>
          </w:tcPr>
          <w:p w14:paraId="7920160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-0.170</w:t>
            </w:r>
          </w:p>
        </w:tc>
        <w:tc>
          <w:tcPr>
            <w:tcW w:w="811" w:type="dxa"/>
            <w:tcBorders>
              <w:top w:val="nil"/>
              <w:left w:val="nil"/>
              <w:bottom w:val="nil"/>
              <w:right w:val="nil"/>
            </w:tcBorders>
            <w:shd w:val="clear" w:color="auto" w:fill="auto"/>
            <w:noWrap/>
            <w:vAlign w:val="bottom"/>
            <w:hideMark/>
          </w:tcPr>
          <w:p w14:paraId="5EF9F40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0.009</w:t>
            </w:r>
          </w:p>
        </w:tc>
        <w:tc>
          <w:tcPr>
            <w:tcW w:w="811" w:type="dxa"/>
            <w:tcBorders>
              <w:top w:val="nil"/>
              <w:left w:val="nil"/>
              <w:bottom w:val="nil"/>
              <w:right w:val="nil"/>
            </w:tcBorders>
            <w:shd w:val="clear" w:color="auto" w:fill="auto"/>
            <w:noWrap/>
            <w:vAlign w:val="bottom"/>
            <w:hideMark/>
          </w:tcPr>
          <w:p w14:paraId="36141A3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0.010</w:t>
            </w:r>
          </w:p>
        </w:tc>
        <w:tc>
          <w:tcPr>
            <w:tcW w:w="811" w:type="dxa"/>
            <w:tcBorders>
              <w:top w:val="nil"/>
              <w:left w:val="nil"/>
              <w:bottom w:val="nil"/>
              <w:right w:val="nil"/>
            </w:tcBorders>
            <w:shd w:val="clear" w:color="auto" w:fill="auto"/>
            <w:noWrap/>
            <w:vAlign w:val="bottom"/>
            <w:hideMark/>
          </w:tcPr>
          <w:p w14:paraId="3C3FAAF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0.017</w:t>
            </w:r>
          </w:p>
        </w:tc>
        <w:tc>
          <w:tcPr>
            <w:tcW w:w="811" w:type="dxa"/>
            <w:tcBorders>
              <w:top w:val="nil"/>
              <w:left w:val="nil"/>
              <w:bottom w:val="nil"/>
              <w:right w:val="nil"/>
            </w:tcBorders>
            <w:shd w:val="clear" w:color="auto" w:fill="auto"/>
            <w:noWrap/>
            <w:vAlign w:val="bottom"/>
            <w:hideMark/>
          </w:tcPr>
          <w:p w14:paraId="718EBBE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0.007</w:t>
            </w:r>
          </w:p>
        </w:tc>
        <w:tc>
          <w:tcPr>
            <w:tcW w:w="811" w:type="dxa"/>
            <w:tcBorders>
              <w:top w:val="nil"/>
              <w:left w:val="nil"/>
              <w:bottom w:val="nil"/>
              <w:right w:val="nil"/>
            </w:tcBorders>
            <w:shd w:val="clear" w:color="auto" w:fill="auto"/>
            <w:noWrap/>
            <w:vAlign w:val="bottom"/>
            <w:hideMark/>
          </w:tcPr>
          <w:p w14:paraId="0BCB04D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0.008</w:t>
            </w:r>
          </w:p>
        </w:tc>
        <w:tc>
          <w:tcPr>
            <w:tcW w:w="251" w:type="dxa"/>
            <w:tcBorders>
              <w:top w:val="nil"/>
              <w:left w:val="nil"/>
              <w:bottom w:val="nil"/>
              <w:right w:val="nil"/>
            </w:tcBorders>
            <w:shd w:val="clear" w:color="auto" w:fill="auto"/>
            <w:noWrap/>
            <w:vAlign w:val="bottom"/>
            <w:hideMark/>
          </w:tcPr>
          <w:p w14:paraId="0684FB2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6A4D61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0.009</w:t>
            </w:r>
          </w:p>
        </w:tc>
        <w:tc>
          <w:tcPr>
            <w:tcW w:w="811" w:type="dxa"/>
            <w:tcBorders>
              <w:top w:val="nil"/>
              <w:left w:val="nil"/>
              <w:bottom w:val="nil"/>
              <w:right w:val="nil"/>
            </w:tcBorders>
            <w:shd w:val="clear" w:color="auto" w:fill="auto"/>
            <w:noWrap/>
            <w:vAlign w:val="bottom"/>
            <w:hideMark/>
          </w:tcPr>
          <w:p w14:paraId="6CB6545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0.030</w:t>
            </w:r>
          </w:p>
        </w:tc>
        <w:tc>
          <w:tcPr>
            <w:tcW w:w="811" w:type="dxa"/>
            <w:tcBorders>
              <w:top w:val="nil"/>
              <w:left w:val="nil"/>
              <w:bottom w:val="nil"/>
              <w:right w:val="nil"/>
            </w:tcBorders>
            <w:shd w:val="clear" w:color="auto" w:fill="auto"/>
            <w:noWrap/>
            <w:vAlign w:val="bottom"/>
            <w:hideMark/>
          </w:tcPr>
          <w:p w14:paraId="29CFB1C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c>
          <w:tcPr>
            <w:tcW w:w="811" w:type="dxa"/>
            <w:tcBorders>
              <w:top w:val="nil"/>
              <w:left w:val="nil"/>
              <w:bottom w:val="nil"/>
              <w:right w:val="nil"/>
            </w:tcBorders>
            <w:shd w:val="clear" w:color="auto" w:fill="auto"/>
            <w:noWrap/>
            <w:vAlign w:val="bottom"/>
            <w:hideMark/>
          </w:tcPr>
          <w:p w14:paraId="1FE4F7E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0.011</w:t>
            </w:r>
          </w:p>
        </w:tc>
        <w:tc>
          <w:tcPr>
            <w:tcW w:w="811" w:type="dxa"/>
            <w:tcBorders>
              <w:top w:val="nil"/>
              <w:left w:val="nil"/>
              <w:bottom w:val="nil"/>
              <w:right w:val="nil"/>
            </w:tcBorders>
            <w:shd w:val="clear" w:color="auto" w:fill="auto"/>
            <w:noWrap/>
            <w:vAlign w:val="bottom"/>
            <w:hideMark/>
          </w:tcPr>
          <w:p w14:paraId="2E06A75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0.008</w:t>
            </w:r>
          </w:p>
        </w:tc>
      </w:tr>
      <w:tr w:rsidR="008355AB" w:rsidRPr="00C82EE1" w14:paraId="66BCDAA5"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4CD2DAAB"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501BC00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(0.182)</w:t>
            </w:r>
          </w:p>
        </w:tc>
        <w:tc>
          <w:tcPr>
            <w:tcW w:w="811" w:type="dxa"/>
            <w:tcBorders>
              <w:top w:val="nil"/>
              <w:left w:val="nil"/>
              <w:bottom w:val="nil"/>
              <w:right w:val="nil"/>
            </w:tcBorders>
            <w:shd w:val="clear" w:color="auto" w:fill="auto"/>
            <w:noWrap/>
            <w:vAlign w:val="bottom"/>
            <w:hideMark/>
          </w:tcPr>
          <w:p w14:paraId="53A32B6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(0.153)</w:t>
            </w:r>
          </w:p>
        </w:tc>
        <w:tc>
          <w:tcPr>
            <w:tcW w:w="811" w:type="dxa"/>
            <w:tcBorders>
              <w:top w:val="nil"/>
              <w:left w:val="nil"/>
              <w:bottom w:val="nil"/>
              <w:right w:val="nil"/>
            </w:tcBorders>
            <w:shd w:val="clear" w:color="auto" w:fill="auto"/>
            <w:noWrap/>
            <w:vAlign w:val="bottom"/>
            <w:hideMark/>
          </w:tcPr>
          <w:p w14:paraId="35C409B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(0.170)</w:t>
            </w:r>
          </w:p>
        </w:tc>
        <w:tc>
          <w:tcPr>
            <w:tcW w:w="811" w:type="dxa"/>
            <w:tcBorders>
              <w:top w:val="nil"/>
              <w:left w:val="nil"/>
              <w:bottom w:val="nil"/>
              <w:right w:val="nil"/>
            </w:tcBorders>
            <w:shd w:val="clear" w:color="auto" w:fill="auto"/>
            <w:noWrap/>
            <w:vAlign w:val="bottom"/>
            <w:hideMark/>
          </w:tcPr>
          <w:p w14:paraId="3CB5BDB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(0.152)</w:t>
            </w:r>
          </w:p>
        </w:tc>
        <w:tc>
          <w:tcPr>
            <w:tcW w:w="811" w:type="dxa"/>
            <w:tcBorders>
              <w:top w:val="nil"/>
              <w:left w:val="nil"/>
              <w:bottom w:val="nil"/>
              <w:right w:val="nil"/>
            </w:tcBorders>
            <w:shd w:val="clear" w:color="auto" w:fill="auto"/>
            <w:noWrap/>
            <w:vAlign w:val="bottom"/>
            <w:hideMark/>
          </w:tcPr>
          <w:p w14:paraId="233D236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(0.157)</w:t>
            </w:r>
          </w:p>
        </w:tc>
        <w:tc>
          <w:tcPr>
            <w:tcW w:w="811" w:type="dxa"/>
            <w:tcBorders>
              <w:top w:val="nil"/>
              <w:left w:val="nil"/>
              <w:bottom w:val="nil"/>
              <w:right w:val="nil"/>
            </w:tcBorders>
            <w:shd w:val="clear" w:color="auto" w:fill="auto"/>
            <w:noWrap/>
            <w:vAlign w:val="bottom"/>
            <w:hideMark/>
          </w:tcPr>
          <w:p w14:paraId="7B84DAA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(0.154)</w:t>
            </w:r>
          </w:p>
        </w:tc>
        <w:tc>
          <w:tcPr>
            <w:tcW w:w="251" w:type="dxa"/>
            <w:tcBorders>
              <w:top w:val="nil"/>
              <w:left w:val="nil"/>
              <w:bottom w:val="nil"/>
              <w:right w:val="nil"/>
            </w:tcBorders>
            <w:shd w:val="clear" w:color="auto" w:fill="auto"/>
            <w:noWrap/>
            <w:vAlign w:val="bottom"/>
            <w:hideMark/>
          </w:tcPr>
          <w:p w14:paraId="32C5DCA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6BAF3A0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(0.156)</w:t>
            </w:r>
          </w:p>
        </w:tc>
        <w:tc>
          <w:tcPr>
            <w:tcW w:w="811" w:type="dxa"/>
            <w:tcBorders>
              <w:top w:val="nil"/>
              <w:left w:val="nil"/>
              <w:bottom w:val="nil"/>
              <w:right w:val="nil"/>
            </w:tcBorders>
            <w:shd w:val="clear" w:color="auto" w:fill="auto"/>
            <w:noWrap/>
            <w:vAlign w:val="bottom"/>
            <w:hideMark/>
          </w:tcPr>
          <w:p w14:paraId="3C52EBD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(0.172)</w:t>
            </w:r>
          </w:p>
        </w:tc>
        <w:tc>
          <w:tcPr>
            <w:tcW w:w="811" w:type="dxa"/>
            <w:tcBorders>
              <w:top w:val="nil"/>
              <w:left w:val="nil"/>
              <w:bottom w:val="nil"/>
              <w:right w:val="nil"/>
            </w:tcBorders>
            <w:shd w:val="clear" w:color="auto" w:fill="auto"/>
            <w:noWrap/>
            <w:vAlign w:val="bottom"/>
            <w:hideMark/>
          </w:tcPr>
          <w:p w14:paraId="542DD51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(0.157)</w:t>
            </w:r>
          </w:p>
        </w:tc>
        <w:tc>
          <w:tcPr>
            <w:tcW w:w="811" w:type="dxa"/>
            <w:tcBorders>
              <w:top w:val="nil"/>
              <w:left w:val="nil"/>
              <w:bottom w:val="nil"/>
              <w:right w:val="nil"/>
            </w:tcBorders>
            <w:shd w:val="clear" w:color="auto" w:fill="auto"/>
            <w:noWrap/>
            <w:vAlign w:val="bottom"/>
            <w:hideMark/>
          </w:tcPr>
          <w:p w14:paraId="7D54D29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(0.160)</w:t>
            </w:r>
          </w:p>
        </w:tc>
        <w:tc>
          <w:tcPr>
            <w:tcW w:w="811" w:type="dxa"/>
            <w:tcBorders>
              <w:top w:val="nil"/>
              <w:left w:val="nil"/>
              <w:bottom w:val="nil"/>
              <w:right w:val="nil"/>
            </w:tcBorders>
            <w:shd w:val="clear" w:color="auto" w:fill="auto"/>
            <w:noWrap/>
            <w:vAlign w:val="bottom"/>
            <w:hideMark/>
          </w:tcPr>
          <w:p w14:paraId="3A1F884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(0.157)</w:t>
            </w:r>
          </w:p>
        </w:tc>
      </w:tr>
      <w:tr w:rsidR="008355AB" w:rsidRPr="00C82EE1" w14:paraId="0B6A3B3B"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761CE2A0"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Fiat</w:t>
            </w:r>
          </w:p>
        </w:tc>
        <w:tc>
          <w:tcPr>
            <w:tcW w:w="811" w:type="dxa"/>
            <w:tcBorders>
              <w:top w:val="nil"/>
              <w:left w:val="nil"/>
              <w:bottom w:val="nil"/>
              <w:right w:val="nil"/>
            </w:tcBorders>
            <w:shd w:val="clear" w:color="auto" w:fill="auto"/>
            <w:noWrap/>
            <w:vAlign w:val="bottom"/>
            <w:hideMark/>
          </w:tcPr>
          <w:p w14:paraId="4D2F098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0.331***</w:t>
            </w:r>
          </w:p>
        </w:tc>
        <w:tc>
          <w:tcPr>
            <w:tcW w:w="811" w:type="dxa"/>
            <w:tcBorders>
              <w:top w:val="nil"/>
              <w:left w:val="nil"/>
              <w:bottom w:val="nil"/>
              <w:right w:val="nil"/>
            </w:tcBorders>
            <w:shd w:val="clear" w:color="auto" w:fill="auto"/>
            <w:noWrap/>
            <w:vAlign w:val="bottom"/>
            <w:hideMark/>
          </w:tcPr>
          <w:p w14:paraId="208DBEE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0.474***</w:t>
            </w:r>
          </w:p>
        </w:tc>
        <w:tc>
          <w:tcPr>
            <w:tcW w:w="811" w:type="dxa"/>
            <w:tcBorders>
              <w:top w:val="nil"/>
              <w:left w:val="nil"/>
              <w:bottom w:val="nil"/>
              <w:right w:val="nil"/>
            </w:tcBorders>
            <w:shd w:val="clear" w:color="auto" w:fill="auto"/>
            <w:noWrap/>
            <w:vAlign w:val="bottom"/>
            <w:hideMark/>
          </w:tcPr>
          <w:p w14:paraId="78E0D67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0.562***</w:t>
            </w:r>
          </w:p>
        </w:tc>
        <w:tc>
          <w:tcPr>
            <w:tcW w:w="811" w:type="dxa"/>
            <w:tcBorders>
              <w:top w:val="nil"/>
              <w:left w:val="nil"/>
              <w:bottom w:val="nil"/>
              <w:right w:val="nil"/>
            </w:tcBorders>
            <w:shd w:val="clear" w:color="auto" w:fill="auto"/>
            <w:noWrap/>
            <w:vAlign w:val="bottom"/>
            <w:hideMark/>
          </w:tcPr>
          <w:p w14:paraId="648F8DE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0.485***</w:t>
            </w:r>
          </w:p>
        </w:tc>
        <w:tc>
          <w:tcPr>
            <w:tcW w:w="811" w:type="dxa"/>
            <w:tcBorders>
              <w:top w:val="nil"/>
              <w:left w:val="nil"/>
              <w:bottom w:val="nil"/>
              <w:right w:val="nil"/>
            </w:tcBorders>
            <w:shd w:val="clear" w:color="auto" w:fill="auto"/>
            <w:noWrap/>
            <w:vAlign w:val="bottom"/>
            <w:hideMark/>
          </w:tcPr>
          <w:p w14:paraId="7244DE6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0.486***</w:t>
            </w:r>
          </w:p>
        </w:tc>
        <w:tc>
          <w:tcPr>
            <w:tcW w:w="811" w:type="dxa"/>
            <w:tcBorders>
              <w:top w:val="nil"/>
              <w:left w:val="nil"/>
              <w:bottom w:val="nil"/>
              <w:right w:val="nil"/>
            </w:tcBorders>
            <w:shd w:val="clear" w:color="auto" w:fill="auto"/>
            <w:noWrap/>
            <w:vAlign w:val="bottom"/>
            <w:hideMark/>
          </w:tcPr>
          <w:p w14:paraId="57158B7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0.487***</w:t>
            </w:r>
          </w:p>
        </w:tc>
        <w:tc>
          <w:tcPr>
            <w:tcW w:w="251" w:type="dxa"/>
            <w:tcBorders>
              <w:top w:val="nil"/>
              <w:left w:val="nil"/>
              <w:bottom w:val="nil"/>
              <w:right w:val="nil"/>
            </w:tcBorders>
            <w:shd w:val="clear" w:color="auto" w:fill="auto"/>
            <w:noWrap/>
            <w:vAlign w:val="bottom"/>
            <w:hideMark/>
          </w:tcPr>
          <w:p w14:paraId="7094DB0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19A28FB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0.475***</w:t>
            </w:r>
          </w:p>
        </w:tc>
        <w:tc>
          <w:tcPr>
            <w:tcW w:w="811" w:type="dxa"/>
            <w:tcBorders>
              <w:top w:val="nil"/>
              <w:left w:val="nil"/>
              <w:bottom w:val="nil"/>
              <w:right w:val="nil"/>
            </w:tcBorders>
            <w:shd w:val="clear" w:color="auto" w:fill="auto"/>
            <w:noWrap/>
            <w:vAlign w:val="bottom"/>
            <w:hideMark/>
          </w:tcPr>
          <w:p w14:paraId="0C70AEC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0.552***</w:t>
            </w:r>
          </w:p>
        </w:tc>
        <w:tc>
          <w:tcPr>
            <w:tcW w:w="811" w:type="dxa"/>
            <w:tcBorders>
              <w:top w:val="nil"/>
              <w:left w:val="nil"/>
              <w:bottom w:val="nil"/>
              <w:right w:val="nil"/>
            </w:tcBorders>
            <w:shd w:val="clear" w:color="auto" w:fill="auto"/>
            <w:noWrap/>
            <w:vAlign w:val="bottom"/>
            <w:hideMark/>
          </w:tcPr>
          <w:p w14:paraId="59EF05A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0.472***</w:t>
            </w:r>
          </w:p>
        </w:tc>
        <w:tc>
          <w:tcPr>
            <w:tcW w:w="811" w:type="dxa"/>
            <w:tcBorders>
              <w:top w:val="nil"/>
              <w:left w:val="nil"/>
              <w:bottom w:val="nil"/>
              <w:right w:val="nil"/>
            </w:tcBorders>
            <w:shd w:val="clear" w:color="auto" w:fill="auto"/>
            <w:noWrap/>
            <w:vAlign w:val="bottom"/>
            <w:hideMark/>
          </w:tcPr>
          <w:p w14:paraId="41B9ACD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0.492***</w:t>
            </w:r>
          </w:p>
        </w:tc>
        <w:tc>
          <w:tcPr>
            <w:tcW w:w="811" w:type="dxa"/>
            <w:tcBorders>
              <w:top w:val="nil"/>
              <w:left w:val="nil"/>
              <w:bottom w:val="nil"/>
              <w:right w:val="nil"/>
            </w:tcBorders>
            <w:shd w:val="clear" w:color="auto" w:fill="auto"/>
            <w:noWrap/>
            <w:vAlign w:val="bottom"/>
            <w:hideMark/>
          </w:tcPr>
          <w:p w14:paraId="0B27A82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0.497***</w:t>
            </w:r>
          </w:p>
        </w:tc>
      </w:tr>
      <w:tr w:rsidR="008355AB" w:rsidRPr="00C82EE1" w14:paraId="34A3D386"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056F0B39"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100E337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(0.102)</w:t>
            </w:r>
          </w:p>
        </w:tc>
        <w:tc>
          <w:tcPr>
            <w:tcW w:w="811" w:type="dxa"/>
            <w:tcBorders>
              <w:top w:val="nil"/>
              <w:left w:val="nil"/>
              <w:bottom w:val="nil"/>
              <w:right w:val="nil"/>
            </w:tcBorders>
            <w:shd w:val="clear" w:color="auto" w:fill="auto"/>
            <w:noWrap/>
            <w:vAlign w:val="bottom"/>
            <w:hideMark/>
          </w:tcPr>
          <w:p w14:paraId="0BD8569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(0.122)</w:t>
            </w:r>
          </w:p>
        </w:tc>
        <w:tc>
          <w:tcPr>
            <w:tcW w:w="811" w:type="dxa"/>
            <w:tcBorders>
              <w:top w:val="nil"/>
              <w:left w:val="nil"/>
              <w:bottom w:val="nil"/>
              <w:right w:val="nil"/>
            </w:tcBorders>
            <w:shd w:val="clear" w:color="auto" w:fill="auto"/>
            <w:noWrap/>
            <w:vAlign w:val="bottom"/>
            <w:hideMark/>
          </w:tcPr>
          <w:p w14:paraId="057D83F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(0.116)</w:t>
            </w:r>
          </w:p>
        </w:tc>
        <w:tc>
          <w:tcPr>
            <w:tcW w:w="811" w:type="dxa"/>
            <w:tcBorders>
              <w:top w:val="nil"/>
              <w:left w:val="nil"/>
              <w:bottom w:val="nil"/>
              <w:right w:val="nil"/>
            </w:tcBorders>
            <w:shd w:val="clear" w:color="auto" w:fill="auto"/>
            <w:noWrap/>
            <w:vAlign w:val="bottom"/>
            <w:hideMark/>
          </w:tcPr>
          <w:p w14:paraId="3B3D6B2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(0.119)</w:t>
            </w:r>
          </w:p>
        </w:tc>
        <w:tc>
          <w:tcPr>
            <w:tcW w:w="811" w:type="dxa"/>
            <w:tcBorders>
              <w:top w:val="nil"/>
              <w:left w:val="nil"/>
              <w:bottom w:val="nil"/>
              <w:right w:val="nil"/>
            </w:tcBorders>
            <w:shd w:val="clear" w:color="auto" w:fill="auto"/>
            <w:noWrap/>
            <w:vAlign w:val="bottom"/>
            <w:hideMark/>
          </w:tcPr>
          <w:p w14:paraId="3E44CD1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(0.120)</w:t>
            </w:r>
          </w:p>
        </w:tc>
        <w:tc>
          <w:tcPr>
            <w:tcW w:w="811" w:type="dxa"/>
            <w:tcBorders>
              <w:top w:val="nil"/>
              <w:left w:val="nil"/>
              <w:bottom w:val="nil"/>
              <w:right w:val="nil"/>
            </w:tcBorders>
            <w:shd w:val="clear" w:color="auto" w:fill="auto"/>
            <w:noWrap/>
            <w:vAlign w:val="bottom"/>
            <w:hideMark/>
          </w:tcPr>
          <w:p w14:paraId="707D23A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(0.129)</w:t>
            </w:r>
          </w:p>
        </w:tc>
        <w:tc>
          <w:tcPr>
            <w:tcW w:w="251" w:type="dxa"/>
            <w:tcBorders>
              <w:top w:val="nil"/>
              <w:left w:val="nil"/>
              <w:bottom w:val="nil"/>
              <w:right w:val="nil"/>
            </w:tcBorders>
            <w:shd w:val="clear" w:color="auto" w:fill="auto"/>
            <w:noWrap/>
            <w:vAlign w:val="bottom"/>
            <w:hideMark/>
          </w:tcPr>
          <w:p w14:paraId="0BCE9DC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1086E35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(0.117)</w:t>
            </w:r>
          </w:p>
        </w:tc>
        <w:tc>
          <w:tcPr>
            <w:tcW w:w="811" w:type="dxa"/>
            <w:tcBorders>
              <w:top w:val="nil"/>
              <w:left w:val="nil"/>
              <w:bottom w:val="nil"/>
              <w:right w:val="nil"/>
            </w:tcBorders>
            <w:shd w:val="clear" w:color="auto" w:fill="auto"/>
            <w:noWrap/>
            <w:vAlign w:val="bottom"/>
            <w:hideMark/>
          </w:tcPr>
          <w:p w14:paraId="21CC152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(0.110)</w:t>
            </w:r>
          </w:p>
        </w:tc>
        <w:tc>
          <w:tcPr>
            <w:tcW w:w="811" w:type="dxa"/>
            <w:tcBorders>
              <w:top w:val="nil"/>
              <w:left w:val="nil"/>
              <w:bottom w:val="nil"/>
              <w:right w:val="nil"/>
            </w:tcBorders>
            <w:shd w:val="clear" w:color="auto" w:fill="auto"/>
            <w:noWrap/>
            <w:vAlign w:val="bottom"/>
            <w:hideMark/>
          </w:tcPr>
          <w:p w14:paraId="2D53B0B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(0.114)</w:t>
            </w:r>
          </w:p>
        </w:tc>
        <w:tc>
          <w:tcPr>
            <w:tcW w:w="811" w:type="dxa"/>
            <w:tcBorders>
              <w:top w:val="nil"/>
              <w:left w:val="nil"/>
              <w:bottom w:val="nil"/>
              <w:right w:val="nil"/>
            </w:tcBorders>
            <w:shd w:val="clear" w:color="auto" w:fill="auto"/>
            <w:noWrap/>
            <w:vAlign w:val="bottom"/>
            <w:hideMark/>
          </w:tcPr>
          <w:p w14:paraId="7EAF1D8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(0.118)</w:t>
            </w:r>
          </w:p>
        </w:tc>
        <w:tc>
          <w:tcPr>
            <w:tcW w:w="811" w:type="dxa"/>
            <w:tcBorders>
              <w:top w:val="nil"/>
              <w:left w:val="nil"/>
              <w:bottom w:val="nil"/>
              <w:right w:val="nil"/>
            </w:tcBorders>
            <w:shd w:val="clear" w:color="auto" w:fill="auto"/>
            <w:noWrap/>
            <w:vAlign w:val="bottom"/>
            <w:hideMark/>
          </w:tcPr>
          <w:p w14:paraId="1F0C444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(0.125)</w:t>
            </w:r>
          </w:p>
        </w:tc>
      </w:tr>
      <w:tr w:rsidR="008355AB" w:rsidRPr="00C82EE1" w14:paraId="736EF9D6"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0BF687F6"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Hardcap</w:t>
            </w:r>
            <w:proofErr w:type="spellEnd"/>
          </w:p>
        </w:tc>
        <w:tc>
          <w:tcPr>
            <w:tcW w:w="811" w:type="dxa"/>
            <w:tcBorders>
              <w:top w:val="nil"/>
              <w:left w:val="nil"/>
              <w:bottom w:val="nil"/>
              <w:right w:val="nil"/>
            </w:tcBorders>
            <w:shd w:val="clear" w:color="auto" w:fill="auto"/>
            <w:noWrap/>
            <w:vAlign w:val="bottom"/>
            <w:hideMark/>
          </w:tcPr>
          <w:p w14:paraId="0BCA986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c>
          <w:tcPr>
            <w:tcW w:w="811" w:type="dxa"/>
            <w:tcBorders>
              <w:top w:val="nil"/>
              <w:left w:val="nil"/>
              <w:bottom w:val="nil"/>
              <w:right w:val="nil"/>
            </w:tcBorders>
            <w:shd w:val="clear" w:color="auto" w:fill="auto"/>
            <w:noWrap/>
            <w:vAlign w:val="bottom"/>
            <w:hideMark/>
          </w:tcPr>
          <w:p w14:paraId="7645451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0.160</w:t>
            </w:r>
          </w:p>
        </w:tc>
        <w:tc>
          <w:tcPr>
            <w:tcW w:w="811" w:type="dxa"/>
            <w:tcBorders>
              <w:top w:val="nil"/>
              <w:left w:val="nil"/>
              <w:bottom w:val="nil"/>
              <w:right w:val="nil"/>
            </w:tcBorders>
            <w:shd w:val="clear" w:color="auto" w:fill="auto"/>
            <w:noWrap/>
            <w:vAlign w:val="bottom"/>
            <w:hideMark/>
          </w:tcPr>
          <w:p w14:paraId="5A785A7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0.129</w:t>
            </w:r>
          </w:p>
        </w:tc>
        <w:tc>
          <w:tcPr>
            <w:tcW w:w="811" w:type="dxa"/>
            <w:tcBorders>
              <w:top w:val="nil"/>
              <w:left w:val="nil"/>
              <w:bottom w:val="nil"/>
              <w:right w:val="nil"/>
            </w:tcBorders>
            <w:shd w:val="clear" w:color="auto" w:fill="auto"/>
            <w:noWrap/>
            <w:vAlign w:val="bottom"/>
            <w:hideMark/>
          </w:tcPr>
          <w:p w14:paraId="56349D9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0.182</w:t>
            </w:r>
          </w:p>
        </w:tc>
        <w:tc>
          <w:tcPr>
            <w:tcW w:w="811" w:type="dxa"/>
            <w:tcBorders>
              <w:top w:val="nil"/>
              <w:left w:val="nil"/>
              <w:bottom w:val="nil"/>
              <w:right w:val="nil"/>
            </w:tcBorders>
            <w:shd w:val="clear" w:color="auto" w:fill="auto"/>
            <w:noWrap/>
            <w:vAlign w:val="bottom"/>
            <w:hideMark/>
          </w:tcPr>
          <w:p w14:paraId="3B8D9EF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0.153</w:t>
            </w:r>
          </w:p>
        </w:tc>
        <w:tc>
          <w:tcPr>
            <w:tcW w:w="811" w:type="dxa"/>
            <w:tcBorders>
              <w:top w:val="nil"/>
              <w:left w:val="nil"/>
              <w:bottom w:val="nil"/>
              <w:right w:val="nil"/>
            </w:tcBorders>
            <w:shd w:val="clear" w:color="auto" w:fill="auto"/>
            <w:noWrap/>
            <w:vAlign w:val="bottom"/>
            <w:hideMark/>
          </w:tcPr>
          <w:p w14:paraId="4317402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0.163</w:t>
            </w:r>
          </w:p>
        </w:tc>
        <w:tc>
          <w:tcPr>
            <w:tcW w:w="251" w:type="dxa"/>
            <w:tcBorders>
              <w:top w:val="nil"/>
              <w:left w:val="nil"/>
              <w:bottom w:val="nil"/>
              <w:right w:val="nil"/>
            </w:tcBorders>
            <w:shd w:val="clear" w:color="auto" w:fill="auto"/>
            <w:noWrap/>
            <w:vAlign w:val="bottom"/>
            <w:hideMark/>
          </w:tcPr>
          <w:p w14:paraId="6E05896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6576630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0.150</w:t>
            </w:r>
          </w:p>
        </w:tc>
        <w:tc>
          <w:tcPr>
            <w:tcW w:w="811" w:type="dxa"/>
            <w:tcBorders>
              <w:top w:val="nil"/>
              <w:left w:val="nil"/>
              <w:bottom w:val="nil"/>
              <w:right w:val="nil"/>
            </w:tcBorders>
            <w:shd w:val="clear" w:color="auto" w:fill="auto"/>
            <w:noWrap/>
            <w:vAlign w:val="bottom"/>
            <w:hideMark/>
          </w:tcPr>
          <w:p w14:paraId="09C1FF8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0.110</w:t>
            </w:r>
          </w:p>
        </w:tc>
        <w:tc>
          <w:tcPr>
            <w:tcW w:w="811" w:type="dxa"/>
            <w:tcBorders>
              <w:top w:val="nil"/>
              <w:left w:val="nil"/>
              <w:bottom w:val="nil"/>
              <w:right w:val="nil"/>
            </w:tcBorders>
            <w:shd w:val="clear" w:color="auto" w:fill="auto"/>
            <w:noWrap/>
            <w:vAlign w:val="bottom"/>
            <w:hideMark/>
          </w:tcPr>
          <w:p w14:paraId="72758F4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0.201</w:t>
            </w:r>
          </w:p>
        </w:tc>
        <w:tc>
          <w:tcPr>
            <w:tcW w:w="811" w:type="dxa"/>
            <w:tcBorders>
              <w:top w:val="nil"/>
              <w:left w:val="nil"/>
              <w:bottom w:val="nil"/>
              <w:right w:val="nil"/>
            </w:tcBorders>
            <w:shd w:val="clear" w:color="auto" w:fill="auto"/>
            <w:noWrap/>
            <w:vAlign w:val="bottom"/>
            <w:hideMark/>
          </w:tcPr>
          <w:p w14:paraId="230756F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0.142</w:t>
            </w:r>
          </w:p>
        </w:tc>
        <w:tc>
          <w:tcPr>
            <w:tcW w:w="811" w:type="dxa"/>
            <w:tcBorders>
              <w:top w:val="nil"/>
              <w:left w:val="nil"/>
              <w:bottom w:val="nil"/>
              <w:right w:val="nil"/>
            </w:tcBorders>
            <w:shd w:val="clear" w:color="auto" w:fill="auto"/>
            <w:noWrap/>
            <w:vAlign w:val="bottom"/>
            <w:hideMark/>
          </w:tcPr>
          <w:p w14:paraId="6B9FFB0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0.154</w:t>
            </w:r>
          </w:p>
        </w:tc>
      </w:tr>
      <w:tr w:rsidR="008355AB" w:rsidRPr="00C82EE1" w14:paraId="4AF986C7"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037377F6"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7FCDDD8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(0.294)</w:t>
            </w:r>
          </w:p>
        </w:tc>
        <w:tc>
          <w:tcPr>
            <w:tcW w:w="811" w:type="dxa"/>
            <w:tcBorders>
              <w:top w:val="nil"/>
              <w:left w:val="nil"/>
              <w:bottom w:val="nil"/>
              <w:right w:val="nil"/>
            </w:tcBorders>
            <w:shd w:val="clear" w:color="auto" w:fill="auto"/>
            <w:noWrap/>
            <w:vAlign w:val="bottom"/>
            <w:hideMark/>
          </w:tcPr>
          <w:p w14:paraId="17B8509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(0.216)</w:t>
            </w:r>
          </w:p>
        </w:tc>
        <w:tc>
          <w:tcPr>
            <w:tcW w:w="811" w:type="dxa"/>
            <w:tcBorders>
              <w:top w:val="nil"/>
              <w:left w:val="nil"/>
              <w:bottom w:val="nil"/>
              <w:right w:val="nil"/>
            </w:tcBorders>
            <w:shd w:val="clear" w:color="auto" w:fill="auto"/>
            <w:noWrap/>
            <w:vAlign w:val="bottom"/>
            <w:hideMark/>
          </w:tcPr>
          <w:p w14:paraId="14F9AFD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(0.214)</w:t>
            </w:r>
          </w:p>
        </w:tc>
        <w:tc>
          <w:tcPr>
            <w:tcW w:w="811" w:type="dxa"/>
            <w:tcBorders>
              <w:top w:val="nil"/>
              <w:left w:val="nil"/>
              <w:bottom w:val="nil"/>
              <w:right w:val="nil"/>
            </w:tcBorders>
            <w:shd w:val="clear" w:color="auto" w:fill="auto"/>
            <w:noWrap/>
            <w:vAlign w:val="bottom"/>
            <w:hideMark/>
          </w:tcPr>
          <w:p w14:paraId="49DAA66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(0.215)</w:t>
            </w:r>
          </w:p>
        </w:tc>
        <w:tc>
          <w:tcPr>
            <w:tcW w:w="811" w:type="dxa"/>
            <w:tcBorders>
              <w:top w:val="nil"/>
              <w:left w:val="nil"/>
              <w:bottom w:val="nil"/>
              <w:right w:val="nil"/>
            </w:tcBorders>
            <w:shd w:val="clear" w:color="auto" w:fill="auto"/>
            <w:noWrap/>
            <w:vAlign w:val="bottom"/>
            <w:hideMark/>
          </w:tcPr>
          <w:p w14:paraId="642F00E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(0.214)</w:t>
            </w:r>
          </w:p>
        </w:tc>
        <w:tc>
          <w:tcPr>
            <w:tcW w:w="811" w:type="dxa"/>
            <w:tcBorders>
              <w:top w:val="nil"/>
              <w:left w:val="nil"/>
              <w:bottom w:val="nil"/>
              <w:right w:val="nil"/>
            </w:tcBorders>
            <w:shd w:val="clear" w:color="auto" w:fill="auto"/>
            <w:noWrap/>
            <w:vAlign w:val="bottom"/>
            <w:hideMark/>
          </w:tcPr>
          <w:p w14:paraId="7A429A4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(0.214)</w:t>
            </w:r>
          </w:p>
        </w:tc>
        <w:tc>
          <w:tcPr>
            <w:tcW w:w="251" w:type="dxa"/>
            <w:tcBorders>
              <w:top w:val="nil"/>
              <w:left w:val="nil"/>
              <w:bottom w:val="nil"/>
              <w:right w:val="nil"/>
            </w:tcBorders>
            <w:shd w:val="clear" w:color="auto" w:fill="auto"/>
            <w:noWrap/>
            <w:vAlign w:val="bottom"/>
            <w:hideMark/>
          </w:tcPr>
          <w:p w14:paraId="6826438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1EF97DD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(0.219)</w:t>
            </w:r>
          </w:p>
        </w:tc>
        <w:tc>
          <w:tcPr>
            <w:tcW w:w="811" w:type="dxa"/>
            <w:tcBorders>
              <w:top w:val="nil"/>
              <w:left w:val="nil"/>
              <w:bottom w:val="nil"/>
              <w:right w:val="nil"/>
            </w:tcBorders>
            <w:shd w:val="clear" w:color="auto" w:fill="auto"/>
            <w:noWrap/>
            <w:vAlign w:val="bottom"/>
            <w:hideMark/>
          </w:tcPr>
          <w:p w14:paraId="645E6FB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(0.212)</w:t>
            </w:r>
          </w:p>
        </w:tc>
        <w:tc>
          <w:tcPr>
            <w:tcW w:w="811" w:type="dxa"/>
            <w:tcBorders>
              <w:top w:val="nil"/>
              <w:left w:val="nil"/>
              <w:bottom w:val="nil"/>
              <w:right w:val="nil"/>
            </w:tcBorders>
            <w:shd w:val="clear" w:color="auto" w:fill="auto"/>
            <w:noWrap/>
            <w:vAlign w:val="bottom"/>
            <w:hideMark/>
          </w:tcPr>
          <w:p w14:paraId="15F1611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(0.209)</w:t>
            </w:r>
          </w:p>
        </w:tc>
        <w:tc>
          <w:tcPr>
            <w:tcW w:w="811" w:type="dxa"/>
            <w:tcBorders>
              <w:top w:val="nil"/>
              <w:left w:val="nil"/>
              <w:bottom w:val="nil"/>
              <w:right w:val="nil"/>
            </w:tcBorders>
            <w:shd w:val="clear" w:color="auto" w:fill="auto"/>
            <w:noWrap/>
            <w:vAlign w:val="bottom"/>
            <w:hideMark/>
          </w:tcPr>
          <w:p w14:paraId="682617A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(0.216)</w:t>
            </w:r>
          </w:p>
        </w:tc>
        <w:tc>
          <w:tcPr>
            <w:tcW w:w="811" w:type="dxa"/>
            <w:tcBorders>
              <w:top w:val="nil"/>
              <w:left w:val="nil"/>
              <w:bottom w:val="nil"/>
              <w:right w:val="nil"/>
            </w:tcBorders>
            <w:shd w:val="clear" w:color="auto" w:fill="auto"/>
            <w:noWrap/>
            <w:vAlign w:val="bottom"/>
            <w:hideMark/>
          </w:tcPr>
          <w:p w14:paraId="186738C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(0.216)</w:t>
            </w:r>
          </w:p>
        </w:tc>
      </w:tr>
      <w:tr w:rsidR="008355AB" w:rsidRPr="00C82EE1" w14:paraId="13A7D247"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61B45662"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Softcap</w:t>
            </w:r>
            <w:proofErr w:type="spellEnd"/>
          </w:p>
        </w:tc>
        <w:tc>
          <w:tcPr>
            <w:tcW w:w="811" w:type="dxa"/>
            <w:tcBorders>
              <w:top w:val="nil"/>
              <w:left w:val="nil"/>
              <w:bottom w:val="nil"/>
              <w:right w:val="nil"/>
            </w:tcBorders>
            <w:shd w:val="clear" w:color="auto" w:fill="auto"/>
            <w:noWrap/>
            <w:vAlign w:val="bottom"/>
            <w:hideMark/>
          </w:tcPr>
          <w:p w14:paraId="5E62E27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-0.069</w:t>
            </w:r>
          </w:p>
        </w:tc>
        <w:tc>
          <w:tcPr>
            <w:tcW w:w="811" w:type="dxa"/>
            <w:tcBorders>
              <w:top w:val="nil"/>
              <w:left w:val="nil"/>
              <w:bottom w:val="nil"/>
              <w:right w:val="nil"/>
            </w:tcBorders>
            <w:shd w:val="clear" w:color="auto" w:fill="auto"/>
            <w:noWrap/>
            <w:vAlign w:val="bottom"/>
            <w:hideMark/>
          </w:tcPr>
          <w:p w14:paraId="1297BD0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0.092</w:t>
            </w:r>
          </w:p>
        </w:tc>
        <w:tc>
          <w:tcPr>
            <w:tcW w:w="811" w:type="dxa"/>
            <w:tcBorders>
              <w:top w:val="nil"/>
              <w:left w:val="nil"/>
              <w:bottom w:val="nil"/>
              <w:right w:val="nil"/>
            </w:tcBorders>
            <w:shd w:val="clear" w:color="auto" w:fill="auto"/>
            <w:noWrap/>
            <w:vAlign w:val="bottom"/>
            <w:hideMark/>
          </w:tcPr>
          <w:p w14:paraId="623BE42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0.141</w:t>
            </w:r>
          </w:p>
        </w:tc>
        <w:tc>
          <w:tcPr>
            <w:tcW w:w="811" w:type="dxa"/>
            <w:tcBorders>
              <w:top w:val="nil"/>
              <w:left w:val="nil"/>
              <w:bottom w:val="nil"/>
              <w:right w:val="nil"/>
            </w:tcBorders>
            <w:shd w:val="clear" w:color="auto" w:fill="auto"/>
            <w:noWrap/>
            <w:vAlign w:val="bottom"/>
            <w:hideMark/>
          </w:tcPr>
          <w:p w14:paraId="2EAB820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0.078</w:t>
            </w:r>
          </w:p>
        </w:tc>
        <w:tc>
          <w:tcPr>
            <w:tcW w:w="811" w:type="dxa"/>
            <w:tcBorders>
              <w:top w:val="nil"/>
              <w:left w:val="nil"/>
              <w:bottom w:val="nil"/>
              <w:right w:val="nil"/>
            </w:tcBorders>
            <w:shd w:val="clear" w:color="auto" w:fill="auto"/>
            <w:noWrap/>
            <w:vAlign w:val="bottom"/>
            <w:hideMark/>
          </w:tcPr>
          <w:p w14:paraId="04A74D2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0.102</w:t>
            </w:r>
          </w:p>
        </w:tc>
        <w:tc>
          <w:tcPr>
            <w:tcW w:w="811" w:type="dxa"/>
            <w:tcBorders>
              <w:top w:val="nil"/>
              <w:left w:val="nil"/>
              <w:bottom w:val="nil"/>
              <w:right w:val="nil"/>
            </w:tcBorders>
            <w:shd w:val="clear" w:color="auto" w:fill="auto"/>
            <w:noWrap/>
            <w:vAlign w:val="bottom"/>
            <w:hideMark/>
          </w:tcPr>
          <w:p w14:paraId="2147EDD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0.097</w:t>
            </w:r>
          </w:p>
        </w:tc>
        <w:tc>
          <w:tcPr>
            <w:tcW w:w="251" w:type="dxa"/>
            <w:tcBorders>
              <w:top w:val="nil"/>
              <w:left w:val="nil"/>
              <w:bottom w:val="nil"/>
              <w:right w:val="nil"/>
            </w:tcBorders>
            <w:shd w:val="clear" w:color="auto" w:fill="auto"/>
            <w:noWrap/>
            <w:vAlign w:val="bottom"/>
            <w:hideMark/>
          </w:tcPr>
          <w:p w14:paraId="5F7C4A0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E3141E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0.087</w:t>
            </w:r>
          </w:p>
        </w:tc>
        <w:tc>
          <w:tcPr>
            <w:tcW w:w="811" w:type="dxa"/>
            <w:tcBorders>
              <w:top w:val="nil"/>
              <w:left w:val="nil"/>
              <w:bottom w:val="nil"/>
              <w:right w:val="nil"/>
            </w:tcBorders>
            <w:shd w:val="clear" w:color="auto" w:fill="auto"/>
            <w:noWrap/>
            <w:vAlign w:val="bottom"/>
            <w:hideMark/>
          </w:tcPr>
          <w:p w14:paraId="02BA978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0.140</w:t>
            </w:r>
          </w:p>
        </w:tc>
        <w:tc>
          <w:tcPr>
            <w:tcW w:w="811" w:type="dxa"/>
            <w:tcBorders>
              <w:top w:val="nil"/>
              <w:left w:val="nil"/>
              <w:bottom w:val="nil"/>
              <w:right w:val="nil"/>
            </w:tcBorders>
            <w:shd w:val="clear" w:color="auto" w:fill="auto"/>
            <w:noWrap/>
            <w:vAlign w:val="bottom"/>
            <w:hideMark/>
          </w:tcPr>
          <w:p w14:paraId="4B53267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0.060</w:t>
            </w:r>
          </w:p>
        </w:tc>
        <w:tc>
          <w:tcPr>
            <w:tcW w:w="811" w:type="dxa"/>
            <w:tcBorders>
              <w:top w:val="nil"/>
              <w:left w:val="nil"/>
              <w:bottom w:val="nil"/>
              <w:right w:val="nil"/>
            </w:tcBorders>
            <w:shd w:val="clear" w:color="auto" w:fill="auto"/>
            <w:noWrap/>
            <w:vAlign w:val="bottom"/>
            <w:hideMark/>
          </w:tcPr>
          <w:p w14:paraId="4FF7DE6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0.100</w:t>
            </w:r>
          </w:p>
        </w:tc>
        <w:tc>
          <w:tcPr>
            <w:tcW w:w="811" w:type="dxa"/>
            <w:tcBorders>
              <w:top w:val="nil"/>
              <w:left w:val="nil"/>
              <w:bottom w:val="nil"/>
              <w:right w:val="nil"/>
            </w:tcBorders>
            <w:shd w:val="clear" w:color="auto" w:fill="auto"/>
            <w:noWrap/>
            <w:vAlign w:val="bottom"/>
            <w:hideMark/>
          </w:tcPr>
          <w:p w14:paraId="731BFC3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0.094</w:t>
            </w:r>
          </w:p>
        </w:tc>
      </w:tr>
      <w:tr w:rsidR="008355AB" w:rsidRPr="00C82EE1" w14:paraId="552F5E3F"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283AB0DB"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6E9F8AD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(0.128)</w:t>
            </w:r>
          </w:p>
        </w:tc>
        <w:tc>
          <w:tcPr>
            <w:tcW w:w="811" w:type="dxa"/>
            <w:tcBorders>
              <w:top w:val="nil"/>
              <w:left w:val="nil"/>
              <w:bottom w:val="nil"/>
              <w:right w:val="nil"/>
            </w:tcBorders>
            <w:shd w:val="clear" w:color="auto" w:fill="auto"/>
            <w:noWrap/>
            <w:vAlign w:val="bottom"/>
            <w:hideMark/>
          </w:tcPr>
          <w:p w14:paraId="799E264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(0.180)</w:t>
            </w:r>
          </w:p>
        </w:tc>
        <w:tc>
          <w:tcPr>
            <w:tcW w:w="811" w:type="dxa"/>
            <w:tcBorders>
              <w:top w:val="nil"/>
              <w:left w:val="nil"/>
              <w:bottom w:val="nil"/>
              <w:right w:val="nil"/>
            </w:tcBorders>
            <w:shd w:val="clear" w:color="auto" w:fill="auto"/>
            <w:noWrap/>
            <w:vAlign w:val="bottom"/>
            <w:hideMark/>
          </w:tcPr>
          <w:p w14:paraId="4330743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(0.191)</w:t>
            </w:r>
          </w:p>
        </w:tc>
        <w:tc>
          <w:tcPr>
            <w:tcW w:w="811" w:type="dxa"/>
            <w:tcBorders>
              <w:top w:val="nil"/>
              <w:left w:val="nil"/>
              <w:bottom w:val="nil"/>
              <w:right w:val="nil"/>
            </w:tcBorders>
            <w:shd w:val="clear" w:color="auto" w:fill="auto"/>
            <w:noWrap/>
            <w:vAlign w:val="bottom"/>
            <w:hideMark/>
          </w:tcPr>
          <w:p w14:paraId="34E697B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(0.184)</w:t>
            </w:r>
          </w:p>
        </w:tc>
        <w:tc>
          <w:tcPr>
            <w:tcW w:w="811" w:type="dxa"/>
            <w:tcBorders>
              <w:top w:val="nil"/>
              <w:left w:val="nil"/>
              <w:bottom w:val="nil"/>
              <w:right w:val="nil"/>
            </w:tcBorders>
            <w:shd w:val="clear" w:color="auto" w:fill="auto"/>
            <w:noWrap/>
            <w:vAlign w:val="bottom"/>
            <w:hideMark/>
          </w:tcPr>
          <w:p w14:paraId="0D57943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(0.182)</w:t>
            </w:r>
          </w:p>
        </w:tc>
        <w:tc>
          <w:tcPr>
            <w:tcW w:w="811" w:type="dxa"/>
            <w:tcBorders>
              <w:top w:val="nil"/>
              <w:left w:val="nil"/>
              <w:bottom w:val="nil"/>
              <w:right w:val="nil"/>
            </w:tcBorders>
            <w:shd w:val="clear" w:color="auto" w:fill="auto"/>
            <w:noWrap/>
            <w:vAlign w:val="bottom"/>
            <w:hideMark/>
          </w:tcPr>
          <w:p w14:paraId="73DCB23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(0.178)</w:t>
            </w:r>
          </w:p>
        </w:tc>
        <w:tc>
          <w:tcPr>
            <w:tcW w:w="251" w:type="dxa"/>
            <w:tcBorders>
              <w:top w:val="nil"/>
              <w:left w:val="nil"/>
              <w:bottom w:val="nil"/>
              <w:right w:val="nil"/>
            </w:tcBorders>
            <w:shd w:val="clear" w:color="auto" w:fill="auto"/>
            <w:noWrap/>
            <w:vAlign w:val="bottom"/>
            <w:hideMark/>
          </w:tcPr>
          <w:p w14:paraId="74AD5AA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97B393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(0.181)</w:t>
            </w:r>
          </w:p>
        </w:tc>
        <w:tc>
          <w:tcPr>
            <w:tcW w:w="811" w:type="dxa"/>
            <w:tcBorders>
              <w:top w:val="nil"/>
              <w:left w:val="nil"/>
              <w:bottom w:val="nil"/>
              <w:right w:val="nil"/>
            </w:tcBorders>
            <w:shd w:val="clear" w:color="auto" w:fill="auto"/>
            <w:noWrap/>
            <w:vAlign w:val="bottom"/>
            <w:hideMark/>
          </w:tcPr>
          <w:p w14:paraId="474DF12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(0.189)</w:t>
            </w:r>
          </w:p>
        </w:tc>
        <w:tc>
          <w:tcPr>
            <w:tcW w:w="811" w:type="dxa"/>
            <w:tcBorders>
              <w:top w:val="nil"/>
              <w:left w:val="nil"/>
              <w:bottom w:val="nil"/>
              <w:right w:val="nil"/>
            </w:tcBorders>
            <w:shd w:val="clear" w:color="auto" w:fill="auto"/>
            <w:noWrap/>
            <w:vAlign w:val="bottom"/>
            <w:hideMark/>
          </w:tcPr>
          <w:p w14:paraId="1428612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(0.186)</w:t>
            </w:r>
          </w:p>
        </w:tc>
        <w:tc>
          <w:tcPr>
            <w:tcW w:w="811" w:type="dxa"/>
            <w:tcBorders>
              <w:top w:val="nil"/>
              <w:left w:val="nil"/>
              <w:bottom w:val="nil"/>
              <w:right w:val="nil"/>
            </w:tcBorders>
            <w:shd w:val="clear" w:color="auto" w:fill="auto"/>
            <w:noWrap/>
            <w:vAlign w:val="bottom"/>
            <w:hideMark/>
          </w:tcPr>
          <w:p w14:paraId="6C23A05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(0.186)</w:t>
            </w:r>
          </w:p>
        </w:tc>
        <w:tc>
          <w:tcPr>
            <w:tcW w:w="811" w:type="dxa"/>
            <w:tcBorders>
              <w:top w:val="nil"/>
              <w:left w:val="nil"/>
              <w:bottom w:val="nil"/>
              <w:right w:val="nil"/>
            </w:tcBorders>
            <w:shd w:val="clear" w:color="auto" w:fill="auto"/>
            <w:noWrap/>
            <w:vAlign w:val="bottom"/>
            <w:hideMark/>
          </w:tcPr>
          <w:p w14:paraId="2DCAB93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(0.179)</w:t>
            </w:r>
          </w:p>
        </w:tc>
      </w:tr>
      <w:tr w:rsidR="008355AB" w:rsidRPr="00C82EE1" w14:paraId="5CD2B617"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53F81BD"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Bonus</w:t>
            </w:r>
          </w:p>
        </w:tc>
        <w:tc>
          <w:tcPr>
            <w:tcW w:w="811" w:type="dxa"/>
            <w:tcBorders>
              <w:top w:val="nil"/>
              <w:left w:val="nil"/>
              <w:bottom w:val="nil"/>
              <w:right w:val="nil"/>
            </w:tcBorders>
            <w:shd w:val="clear" w:color="auto" w:fill="auto"/>
            <w:noWrap/>
            <w:vAlign w:val="bottom"/>
            <w:hideMark/>
          </w:tcPr>
          <w:p w14:paraId="4060E3E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-0.017</w:t>
            </w:r>
          </w:p>
        </w:tc>
        <w:tc>
          <w:tcPr>
            <w:tcW w:w="811" w:type="dxa"/>
            <w:tcBorders>
              <w:top w:val="nil"/>
              <w:left w:val="nil"/>
              <w:bottom w:val="nil"/>
              <w:right w:val="nil"/>
            </w:tcBorders>
            <w:shd w:val="clear" w:color="auto" w:fill="auto"/>
            <w:noWrap/>
            <w:vAlign w:val="bottom"/>
            <w:hideMark/>
          </w:tcPr>
          <w:p w14:paraId="6013461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811" w:type="dxa"/>
            <w:tcBorders>
              <w:top w:val="nil"/>
              <w:left w:val="nil"/>
              <w:bottom w:val="nil"/>
              <w:right w:val="nil"/>
            </w:tcBorders>
            <w:shd w:val="clear" w:color="auto" w:fill="auto"/>
            <w:noWrap/>
            <w:vAlign w:val="bottom"/>
            <w:hideMark/>
          </w:tcPr>
          <w:p w14:paraId="5E74DD4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-0.011</w:t>
            </w:r>
          </w:p>
        </w:tc>
        <w:tc>
          <w:tcPr>
            <w:tcW w:w="811" w:type="dxa"/>
            <w:tcBorders>
              <w:top w:val="nil"/>
              <w:left w:val="nil"/>
              <w:bottom w:val="nil"/>
              <w:right w:val="nil"/>
            </w:tcBorders>
            <w:shd w:val="clear" w:color="auto" w:fill="auto"/>
            <w:noWrap/>
            <w:vAlign w:val="bottom"/>
            <w:hideMark/>
          </w:tcPr>
          <w:p w14:paraId="4459255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811" w:type="dxa"/>
            <w:tcBorders>
              <w:top w:val="nil"/>
              <w:left w:val="nil"/>
              <w:bottom w:val="nil"/>
              <w:right w:val="nil"/>
            </w:tcBorders>
            <w:shd w:val="clear" w:color="auto" w:fill="auto"/>
            <w:noWrap/>
            <w:vAlign w:val="bottom"/>
            <w:hideMark/>
          </w:tcPr>
          <w:p w14:paraId="2AF93CF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-0.020</w:t>
            </w:r>
          </w:p>
        </w:tc>
        <w:tc>
          <w:tcPr>
            <w:tcW w:w="811" w:type="dxa"/>
            <w:tcBorders>
              <w:top w:val="nil"/>
              <w:left w:val="nil"/>
              <w:bottom w:val="nil"/>
              <w:right w:val="nil"/>
            </w:tcBorders>
            <w:shd w:val="clear" w:color="auto" w:fill="auto"/>
            <w:noWrap/>
            <w:vAlign w:val="bottom"/>
            <w:hideMark/>
          </w:tcPr>
          <w:p w14:paraId="36A48D7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251" w:type="dxa"/>
            <w:tcBorders>
              <w:top w:val="nil"/>
              <w:left w:val="nil"/>
              <w:bottom w:val="nil"/>
              <w:right w:val="nil"/>
            </w:tcBorders>
            <w:shd w:val="clear" w:color="auto" w:fill="auto"/>
            <w:noWrap/>
            <w:vAlign w:val="bottom"/>
            <w:hideMark/>
          </w:tcPr>
          <w:p w14:paraId="61D4283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3175D8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-0.011</w:t>
            </w:r>
          </w:p>
        </w:tc>
        <w:tc>
          <w:tcPr>
            <w:tcW w:w="811" w:type="dxa"/>
            <w:tcBorders>
              <w:top w:val="nil"/>
              <w:left w:val="nil"/>
              <w:bottom w:val="nil"/>
              <w:right w:val="nil"/>
            </w:tcBorders>
            <w:shd w:val="clear" w:color="auto" w:fill="auto"/>
            <w:noWrap/>
            <w:vAlign w:val="bottom"/>
            <w:hideMark/>
          </w:tcPr>
          <w:p w14:paraId="526B1F6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c>
          <w:tcPr>
            <w:tcW w:w="811" w:type="dxa"/>
            <w:tcBorders>
              <w:top w:val="nil"/>
              <w:left w:val="nil"/>
              <w:bottom w:val="nil"/>
              <w:right w:val="nil"/>
            </w:tcBorders>
            <w:shd w:val="clear" w:color="auto" w:fill="auto"/>
            <w:noWrap/>
            <w:vAlign w:val="bottom"/>
            <w:hideMark/>
          </w:tcPr>
          <w:p w14:paraId="72A1018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c>
          <w:tcPr>
            <w:tcW w:w="811" w:type="dxa"/>
            <w:tcBorders>
              <w:top w:val="nil"/>
              <w:left w:val="nil"/>
              <w:bottom w:val="nil"/>
              <w:right w:val="nil"/>
            </w:tcBorders>
            <w:shd w:val="clear" w:color="auto" w:fill="auto"/>
            <w:noWrap/>
            <w:vAlign w:val="bottom"/>
            <w:hideMark/>
          </w:tcPr>
          <w:p w14:paraId="25C4274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-0.019</w:t>
            </w:r>
          </w:p>
        </w:tc>
        <w:tc>
          <w:tcPr>
            <w:tcW w:w="811" w:type="dxa"/>
            <w:tcBorders>
              <w:top w:val="nil"/>
              <w:left w:val="nil"/>
              <w:bottom w:val="nil"/>
              <w:right w:val="nil"/>
            </w:tcBorders>
            <w:shd w:val="clear" w:color="auto" w:fill="auto"/>
            <w:noWrap/>
            <w:vAlign w:val="bottom"/>
            <w:hideMark/>
          </w:tcPr>
          <w:p w14:paraId="7122BDA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-0.011</w:t>
            </w:r>
          </w:p>
        </w:tc>
      </w:tr>
      <w:tr w:rsidR="008355AB" w:rsidRPr="00C82EE1" w14:paraId="1C36E025"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AA0651A"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16535AA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(0.141)</w:t>
            </w:r>
          </w:p>
        </w:tc>
        <w:tc>
          <w:tcPr>
            <w:tcW w:w="811" w:type="dxa"/>
            <w:tcBorders>
              <w:top w:val="nil"/>
              <w:left w:val="nil"/>
              <w:bottom w:val="nil"/>
              <w:right w:val="nil"/>
            </w:tcBorders>
            <w:shd w:val="clear" w:color="auto" w:fill="auto"/>
            <w:noWrap/>
            <w:vAlign w:val="bottom"/>
            <w:hideMark/>
          </w:tcPr>
          <w:p w14:paraId="16C8B79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(0.120)</w:t>
            </w:r>
          </w:p>
        </w:tc>
        <w:tc>
          <w:tcPr>
            <w:tcW w:w="811" w:type="dxa"/>
            <w:tcBorders>
              <w:top w:val="nil"/>
              <w:left w:val="nil"/>
              <w:bottom w:val="nil"/>
              <w:right w:val="nil"/>
            </w:tcBorders>
            <w:shd w:val="clear" w:color="auto" w:fill="auto"/>
            <w:noWrap/>
            <w:vAlign w:val="bottom"/>
            <w:hideMark/>
          </w:tcPr>
          <w:p w14:paraId="2D3710C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(0.108)</w:t>
            </w:r>
          </w:p>
        </w:tc>
        <w:tc>
          <w:tcPr>
            <w:tcW w:w="811" w:type="dxa"/>
            <w:tcBorders>
              <w:top w:val="nil"/>
              <w:left w:val="nil"/>
              <w:bottom w:val="nil"/>
              <w:right w:val="nil"/>
            </w:tcBorders>
            <w:shd w:val="clear" w:color="auto" w:fill="auto"/>
            <w:noWrap/>
            <w:vAlign w:val="bottom"/>
            <w:hideMark/>
          </w:tcPr>
          <w:p w14:paraId="348BEA6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(0.119)</w:t>
            </w:r>
          </w:p>
        </w:tc>
        <w:tc>
          <w:tcPr>
            <w:tcW w:w="811" w:type="dxa"/>
            <w:tcBorders>
              <w:top w:val="nil"/>
              <w:left w:val="nil"/>
              <w:bottom w:val="nil"/>
              <w:right w:val="nil"/>
            </w:tcBorders>
            <w:shd w:val="clear" w:color="auto" w:fill="auto"/>
            <w:noWrap/>
            <w:vAlign w:val="bottom"/>
            <w:hideMark/>
          </w:tcPr>
          <w:p w14:paraId="76AD37A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(0.119)</w:t>
            </w:r>
          </w:p>
        </w:tc>
        <w:tc>
          <w:tcPr>
            <w:tcW w:w="811" w:type="dxa"/>
            <w:tcBorders>
              <w:top w:val="nil"/>
              <w:left w:val="nil"/>
              <w:bottom w:val="nil"/>
              <w:right w:val="nil"/>
            </w:tcBorders>
            <w:shd w:val="clear" w:color="auto" w:fill="auto"/>
            <w:noWrap/>
            <w:vAlign w:val="bottom"/>
            <w:hideMark/>
          </w:tcPr>
          <w:p w14:paraId="6E3CFC9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(0.120)</w:t>
            </w:r>
          </w:p>
        </w:tc>
        <w:tc>
          <w:tcPr>
            <w:tcW w:w="251" w:type="dxa"/>
            <w:tcBorders>
              <w:top w:val="nil"/>
              <w:left w:val="nil"/>
              <w:bottom w:val="nil"/>
              <w:right w:val="nil"/>
            </w:tcBorders>
            <w:shd w:val="clear" w:color="auto" w:fill="auto"/>
            <w:noWrap/>
            <w:vAlign w:val="bottom"/>
            <w:hideMark/>
          </w:tcPr>
          <w:p w14:paraId="34B462D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73F939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(0.117)</w:t>
            </w:r>
          </w:p>
        </w:tc>
        <w:tc>
          <w:tcPr>
            <w:tcW w:w="811" w:type="dxa"/>
            <w:tcBorders>
              <w:top w:val="nil"/>
              <w:left w:val="nil"/>
              <w:bottom w:val="nil"/>
              <w:right w:val="nil"/>
            </w:tcBorders>
            <w:shd w:val="clear" w:color="auto" w:fill="auto"/>
            <w:noWrap/>
            <w:vAlign w:val="bottom"/>
            <w:hideMark/>
          </w:tcPr>
          <w:p w14:paraId="2D0CD88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(0.112)</w:t>
            </w:r>
          </w:p>
        </w:tc>
        <w:tc>
          <w:tcPr>
            <w:tcW w:w="811" w:type="dxa"/>
            <w:tcBorders>
              <w:top w:val="nil"/>
              <w:left w:val="nil"/>
              <w:bottom w:val="nil"/>
              <w:right w:val="nil"/>
            </w:tcBorders>
            <w:shd w:val="clear" w:color="auto" w:fill="auto"/>
            <w:noWrap/>
            <w:vAlign w:val="bottom"/>
            <w:hideMark/>
          </w:tcPr>
          <w:p w14:paraId="60DB650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(0.113)</w:t>
            </w:r>
          </w:p>
        </w:tc>
        <w:tc>
          <w:tcPr>
            <w:tcW w:w="811" w:type="dxa"/>
            <w:tcBorders>
              <w:top w:val="nil"/>
              <w:left w:val="nil"/>
              <w:bottom w:val="nil"/>
              <w:right w:val="nil"/>
            </w:tcBorders>
            <w:shd w:val="clear" w:color="auto" w:fill="auto"/>
            <w:noWrap/>
            <w:vAlign w:val="bottom"/>
            <w:hideMark/>
          </w:tcPr>
          <w:p w14:paraId="5BBF509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(0.118)</w:t>
            </w:r>
          </w:p>
        </w:tc>
        <w:tc>
          <w:tcPr>
            <w:tcW w:w="811" w:type="dxa"/>
            <w:tcBorders>
              <w:top w:val="nil"/>
              <w:left w:val="nil"/>
              <w:bottom w:val="nil"/>
              <w:right w:val="nil"/>
            </w:tcBorders>
            <w:shd w:val="clear" w:color="auto" w:fill="auto"/>
            <w:noWrap/>
            <w:vAlign w:val="bottom"/>
            <w:hideMark/>
          </w:tcPr>
          <w:p w14:paraId="5582F67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(0.116)</w:t>
            </w:r>
          </w:p>
        </w:tc>
      </w:tr>
      <w:tr w:rsidR="008355AB" w:rsidRPr="00C82EE1" w14:paraId="64546CDC"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0041B0E7"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TopicDiversity</w:t>
            </w:r>
            <w:proofErr w:type="spellEnd"/>
          </w:p>
        </w:tc>
        <w:tc>
          <w:tcPr>
            <w:tcW w:w="811" w:type="dxa"/>
            <w:tcBorders>
              <w:top w:val="nil"/>
              <w:left w:val="nil"/>
              <w:bottom w:val="nil"/>
              <w:right w:val="nil"/>
            </w:tcBorders>
            <w:shd w:val="clear" w:color="auto" w:fill="auto"/>
            <w:noWrap/>
            <w:vAlign w:val="bottom"/>
            <w:hideMark/>
          </w:tcPr>
          <w:p w14:paraId="732C500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606182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-0.295</w:t>
            </w:r>
          </w:p>
        </w:tc>
        <w:tc>
          <w:tcPr>
            <w:tcW w:w="811" w:type="dxa"/>
            <w:tcBorders>
              <w:top w:val="nil"/>
              <w:left w:val="nil"/>
              <w:bottom w:val="nil"/>
              <w:right w:val="nil"/>
            </w:tcBorders>
            <w:shd w:val="clear" w:color="auto" w:fill="auto"/>
            <w:noWrap/>
            <w:vAlign w:val="bottom"/>
            <w:hideMark/>
          </w:tcPr>
          <w:p w14:paraId="32D92D5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c>
          <w:tcPr>
            <w:tcW w:w="811" w:type="dxa"/>
            <w:tcBorders>
              <w:top w:val="nil"/>
              <w:left w:val="nil"/>
              <w:bottom w:val="nil"/>
              <w:right w:val="nil"/>
            </w:tcBorders>
            <w:shd w:val="clear" w:color="auto" w:fill="auto"/>
            <w:noWrap/>
            <w:vAlign w:val="bottom"/>
            <w:hideMark/>
          </w:tcPr>
          <w:p w14:paraId="50AC492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-0.267</w:t>
            </w:r>
          </w:p>
        </w:tc>
        <w:tc>
          <w:tcPr>
            <w:tcW w:w="811" w:type="dxa"/>
            <w:tcBorders>
              <w:top w:val="nil"/>
              <w:left w:val="nil"/>
              <w:bottom w:val="nil"/>
              <w:right w:val="nil"/>
            </w:tcBorders>
            <w:shd w:val="clear" w:color="auto" w:fill="auto"/>
            <w:noWrap/>
            <w:vAlign w:val="bottom"/>
            <w:hideMark/>
          </w:tcPr>
          <w:p w14:paraId="7C7F370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-0.253</w:t>
            </w:r>
          </w:p>
        </w:tc>
        <w:tc>
          <w:tcPr>
            <w:tcW w:w="811" w:type="dxa"/>
            <w:tcBorders>
              <w:top w:val="nil"/>
              <w:left w:val="nil"/>
              <w:bottom w:val="nil"/>
              <w:right w:val="nil"/>
            </w:tcBorders>
            <w:shd w:val="clear" w:color="auto" w:fill="auto"/>
            <w:noWrap/>
            <w:vAlign w:val="bottom"/>
            <w:hideMark/>
          </w:tcPr>
          <w:p w14:paraId="376E196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-0.262</w:t>
            </w:r>
          </w:p>
        </w:tc>
        <w:tc>
          <w:tcPr>
            <w:tcW w:w="251" w:type="dxa"/>
            <w:tcBorders>
              <w:top w:val="nil"/>
              <w:left w:val="nil"/>
              <w:bottom w:val="nil"/>
              <w:right w:val="nil"/>
            </w:tcBorders>
            <w:shd w:val="clear" w:color="auto" w:fill="auto"/>
            <w:noWrap/>
            <w:vAlign w:val="bottom"/>
            <w:hideMark/>
          </w:tcPr>
          <w:p w14:paraId="15D1379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164E9E6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-0.312</w:t>
            </w:r>
          </w:p>
        </w:tc>
        <w:tc>
          <w:tcPr>
            <w:tcW w:w="811" w:type="dxa"/>
            <w:tcBorders>
              <w:top w:val="nil"/>
              <w:left w:val="nil"/>
              <w:bottom w:val="nil"/>
              <w:right w:val="nil"/>
            </w:tcBorders>
            <w:shd w:val="clear" w:color="auto" w:fill="auto"/>
            <w:noWrap/>
            <w:vAlign w:val="bottom"/>
            <w:hideMark/>
          </w:tcPr>
          <w:p w14:paraId="611ED91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-0.037</w:t>
            </w:r>
          </w:p>
        </w:tc>
        <w:tc>
          <w:tcPr>
            <w:tcW w:w="811" w:type="dxa"/>
            <w:tcBorders>
              <w:top w:val="nil"/>
              <w:left w:val="nil"/>
              <w:bottom w:val="nil"/>
              <w:right w:val="nil"/>
            </w:tcBorders>
            <w:shd w:val="clear" w:color="auto" w:fill="auto"/>
            <w:noWrap/>
            <w:vAlign w:val="bottom"/>
            <w:hideMark/>
          </w:tcPr>
          <w:p w14:paraId="777BFA4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-0.303</w:t>
            </w:r>
          </w:p>
        </w:tc>
        <w:tc>
          <w:tcPr>
            <w:tcW w:w="811" w:type="dxa"/>
            <w:tcBorders>
              <w:top w:val="nil"/>
              <w:left w:val="nil"/>
              <w:bottom w:val="nil"/>
              <w:right w:val="nil"/>
            </w:tcBorders>
            <w:shd w:val="clear" w:color="auto" w:fill="auto"/>
            <w:noWrap/>
            <w:vAlign w:val="bottom"/>
            <w:hideMark/>
          </w:tcPr>
          <w:p w14:paraId="6A3CB62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-0.269</w:t>
            </w:r>
          </w:p>
        </w:tc>
        <w:tc>
          <w:tcPr>
            <w:tcW w:w="811" w:type="dxa"/>
            <w:tcBorders>
              <w:top w:val="nil"/>
              <w:left w:val="nil"/>
              <w:bottom w:val="nil"/>
              <w:right w:val="nil"/>
            </w:tcBorders>
            <w:shd w:val="clear" w:color="auto" w:fill="auto"/>
            <w:noWrap/>
            <w:vAlign w:val="bottom"/>
            <w:hideMark/>
          </w:tcPr>
          <w:p w14:paraId="3625D47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-0.263</w:t>
            </w:r>
          </w:p>
        </w:tc>
      </w:tr>
      <w:tr w:rsidR="008355AB" w:rsidRPr="00C82EE1" w14:paraId="47DDA111"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5E12464"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793DDC74" w14:textId="77777777" w:rsidR="0093472B" w:rsidRPr="00C82EE1" w:rsidRDefault="0093472B" w:rsidP="00026FCB">
            <w:pPr>
              <w:spacing w:after="0" w:line="240" w:lineRule="auto"/>
              <w:jc w:val="both"/>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53F3CF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(0.204)</w:t>
            </w:r>
          </w:p>
        </w:tc>
        <w:tc>
          <w:tcPr>
            <w:tcW w:w="811" w:type="dxa"/>
            <w:tcBorders>
              <w:top w:val="nil"/>
              <w:left w:val="nil"/>
              <w:bottom w:val="nil"/>
              <w:right w:val="nil"/>
            </w:tcBorders>
            <w:shd w:val="clear" w:color="auto" w:fill="auto"/>
            <w:noWrap/>
            <w:vAlign w:val="bottom"/>
            <w:hideMark/>
          </w:tcPr>
          <w:p w14:paraId="761275B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(0.225)</w:t>
            </w:r>
          </w:p>
        </w:tc>
        <w:tc>
          <w:tcPr>
            <w:tcW w:w="811" w:type="dxa"/>
            <w:tcBorders>
              <w:top w:val="nil"/>
              <w:left w:val="nil"/>
              <w:bottom w:val="nil"/>
              <w:right w:val="nil"/>
            </w:tcBorders>
            <w:shd w:val="clear" w:color="auto" w:fill="auto"/>
            <w:noWrap/>
            <w:vAlign w:val="bottom"/>
            <w:hideMark/>
          </w:tcPr>
          <w:p w14:paraId="3D3AF13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(0.202)</w:t>
            </w:r>
          </w:p>
        </w:tc>
        <w:tc>
          <w:tcPr>
            <w:tcW w:w="811" w:type="dxa"/>
            <w:tcBorders>
              <w:top w:val="nil"/>
              <w:left w:val="nil"/>
              <w:bottom w:val="nil"/>
              <w:right w:val="nil"/>
            </w:tcBorders>
            <w:shd w:val="clear" w:color="auto" w:fill="auto"/>
            <w:noWrap/>
            <w:vAlign w:val="bottom"/>
            <w:hideMark/>
          </w:tcPr>
          <w:p w14:paraId="19443E5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(0.206)</w:t>
            </w:r>
          </w:p>
        </w:tc>
        <w:tc>
          <w:tcPr>
            <w:tcW w:w="811" w:type="dxa"/>
            <w:tcBorders>
              <w:top w:val="nil"/>
              <w:left w:val="nil"/>
              <w:bottom w:val="nil"/>
              <w:right w:val="nil"/>
            </w:tcBorders>
            <w:shd w:val="clear" w:color="auto" w:fill="auto"/>
            <w:noWrap/>
            <w:vAlign w:val="bottom"/>
            <w:hideMark/>
          </w:tcPr>
          <w:p w14:paraId="6A178EE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(0.194)</w:t>
            </w:r>
          </w:p>
        </w:tc>
        <w:tc>
          <w:tcPr>
            <w:tcW w:w="251" w:type="dxa"/>
            <w:tcBorders>
              <w:top w:val="nil"/>
              <w:left w:val="nil"/>
              <w:bottom w:val="nil"/>
              <w:right w:val="nil"/>
            </w:tcBorders>
            <w:shd w:val="clear" w:color="auto" w:fill="auto"/>
            <w:noWrap/>
            <w:vAlign w:val="bottom"/>
            <w:hideMark/>
          </w:tcPr>
          <w:p w14:paraId="24D1255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0691EE5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(0.194)</w:t>
            </w:r>
          </w:p>
        </w:tc>
        <w:tc>
          <w:tcPr>
            <w:tcW w:w="811" w:type="dxa"/>
            <w:tcBorders>
              <w:top w:val="nil"/>
              <w:left w:val="nil"/>
              <w:bottom w:val="nil"/>
              <w:right w:val="nil"/>
            </w:tcBorders>
            <w:shd w:val="clear" w:color="auto" w:fill="auto"/>
            <w:noWrap/>
            <w:vAlign w:val="bottom"/>
            <w:hideMark/>
          </w:tcPr>
          <w:p w14:paraId="27707B5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(0.226)</w:t>
            </w:r>
          </w:p>
        </w:tc>
        <w:tc>
          <w:tcPr>
            <w:tcW w:w="811" w:type="dxa"/>
            <w:tcBorders>
              <w:top w:val="nil"/>
              <w:left w:val="nil"/>
              <w:bottom w:val="nil"/>
              <w:right w:val="nil"/>
            </w:tcBorders>
            <w:shd w:val="clear" w:color="auto" w:fill="auto"/>
            <w:noWrap/>
            <w:vAlign w:val="bottom"/>
            <w:hideMark/>
          </w:tcPr>
          <w:p w14:paraId="21393B6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(0.185)</w:t>
            </w:r>
          </w:p>
        </w:tc>
        <w:tc>
          <w:tcPr>
            <w:tcW w:w="811" w:type="dxa"/>
            <w:tcBorders>
              <w:top w:val="nil"/>
              <w:left w:val="nil"/>
              <w:bottom w:val="nil"/>
              <w:right w:val="nil"/>
            </w:tcBorders>
            <w:shd w:val="clear" w:color="auto" w:fill="auto"/>
            <w:noWrap/>
            <w:vAlign w:val="bottom"/>
            <w:hideMark/>
          </w:tcPr>
          <w:p w14:paraId="2BA8ED7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(0.197)</w:t>
            </w:r>
          </w:p>
        </w:tc>
        <w:tc>
          <w:tcPr>
            <w:tcW w:w="811" w:type="dxa"/>
            <w:tcBorders>
              <w:top w:val="nil"/>
              <w:left w:val="nil"/>
              <w:bottom w:val="nil"/>
              <w:right w:val="nil"/>
            </w:tcBorders>
            <w:shd w:val="clear" w:color="auto" w:fill="auto"/>
            <w:noWrap/>
            <w:vAlign w:val="bottom"/>
            <w:hideMark/>
          </w:tcPr>
          <w:p w14:paraId="0AAA71D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(0.186)</w:t>
            </w:r>
          </w:p>
        </w:tc>
      </w:tr>
      <w:tr w:rsidR="008355AB" w:rsidRPr="00C82EE1" w14:paraId="0873312E"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1C78D4DB"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roofErr w:type="spellStart"/>
            <w:r w:rsidRPr="00C82EE1">
              <w:rPr>
                <w:rFonts w:ascii="Times New Roman" w:eastAsia="Times New Roman" w:hAnsi="Times New Roman" w:cs="Times New Roman"/>
                <w:i/>
                <w:color w:val="000000"/>
                <w:sz w:val="14"/>
                <w:szCs w:val="14"/>
              </w:rPr>
              <w:t>PriceBit</w:t>
            </w:r>
            <w:proofErr w:type="spellEnd"/>
          </w:p>
        </w:tc>
        <w:tc>
          <w:tcPr>
            <w:tcW w:w="811" w:type="dxa"/>
            <w:tcBorders>
              <w:top w:val="nil"/>
              <w:left w:val="nil"/>
              <w:bottom w:val="nil"/>
              <w:right w:val="nil"/>
            </w:tcBorders>
            <w:shd w:val="clear" w:color="auto" w:fill="auto"/>
            <w:noWrap/>
            <w:vAlign w:val="bottom"/>
            <w:hideMark/>
          </w:tcPr>
          <w:p w14:paraId="628A9A9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0.418</w:t>
            </w:r>
          </w:p>
        </w:tc>
        <w:tc>
          <w:tcPr>
            <w:tcW w:w="811" w:type="dxa"/>
            <w:tcBorders>
              <w:top w:val="nil"/>
              <w:left w:val="nil"/>
              <w:bottom w:val="nil"/>
              <w:right w:val="nil"/>
            </w:tcBorders>
            <w:shd w:val="clear" w:color="auto" w:fill="auto"/>
            <w:noWrap/>
            <w:vAlign w:val="bottom"/>
            <w:hideMark/>
          </w:tcPr>
          <w:p w14:paraId="7A5891A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0.738*</w:t>
            </w:r>
          </w:p>
        </w:tc>
        <w:tc>
          <w:tcPr>
            <w:tcW w:w="811" w:type="dxa"/>
            <w:tcBorders>
              <w:top w:val="nil"/>
              <w:left w:val="nil"/>
              <w:bottom w:val="nil"/>
              <w:right w:val="nil"/>
            </w:tcBorders>
            <w:shd w:val="clear" w:color="auto" w:fill="auto"/>
            <w:noWrap/>
            <w:vAlign w:val="bottom"/>
            <w:hideMark/>
          </w:tcPr>
          <w:p w14:paraId="32D9945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0.758*</w:t>
            </w:r>
          </w:p>
        </w:tc>
        <w:tc>
          <w:tcPr>
            <w:tcW w:w="811" w:type="dxa"/>
            <w:tcBorders>
              <w:top w:val="nil"/>
              <w:left w:val="nil"/>
              <w:bottom w:val="nil"/>
              <w:right w:val="nil"/>
            </w:tcBorders>
            <w:shd w:val="clear" w:color="auto" w:fill="auto"/>
            <w:noWrap/>
            <w:vAlign w:val="bottom"/>
            <w:hideMark/>
          </w:tcPr>
          <w:p w14:paraId="601D404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0.679</w:t>
            </w:r>
          </w:p>
        </w:tc>
        <w:tc>
          <w:tcPr>
            <w:tcW w:w="811" w:type="dxa"/>
            <w:tcBorders>
              <w:top w:val="nil"/>
              <w:left w:val="nil"/>
              <w:bottom w:val="nil"/>
              <w:right w:val="nil"/>
            </w:tcBorders>
            <w:shd w:val="clear" w:color="auto" w:fill="auto"/>
            <w:noWrap/>
            <w:vAlign w:val="bottom"/>
            <w:hideMark/>
          </w:tcPr>
          <w:p w14:paraId="5D388A4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0.760*</w:t>
            </w:r>
          </w:p>
        </w:tc>
        <w:tc>
          <w:tcPr>
            <w:tcW w:w="811" w:type="dxa"/>
            <w:tcBorders>
              <w:top w:val="nil"/>
              <w:left w:val="nil"/>
              <w:bottom w:val="nil"/>
              <w:right w:val="nil"/>
            </w:tcBorders>
            <w:shd w:val="clear" w:color="auto" w:fill="auto"/>
            <w:noWrap/>
            <w:vAlign w:val="bottom"/>
            <w:hideMark/>
          </w:tcPr>
          <w:p w14:paraId="5D1D005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0.750*</w:t>
            </w:r>
          </w:p>
        </w:tc>
        <w:tc>
          <w:tcPr>
            <w:tcW w:w="251" w:type="dxa"/>
            <w:tcBorders>
              <w:top w:val="nil"/>
              <w:left w:val="nil"/>
              <w:bottom w:val="nil"/>
              <w:right w:val="nil"/>
            </w:tcBorders>
            <w:shd w:val="clear" w:color="auto" w:fill="auto"/>
            <w:noWrap/>
            <w:vAlign w:val="bottom"/>
            <w:hideMark/>
          </w:tcPr>
          <w:p w14:paraId="3CA2AE7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80C198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0.732*</w:t>
            </w:r>
          </w:p>
        </w:tc>
        <w:tc>
          <w:tcPr>
            <w:tcW w:w="811" w:type="dxa"/>
            <w:tcBorders>
              <w:top w:val="nil"/>
              <w:left w:val="nil"/>
              <w:bottom w:val="nil"/>
              <w:right w:val="nil"/>
            </w:tcBorders>
            <w:shd w:val="clear" w:color="auto" w:fill="auto"/>
            <w:noWrap/>
            <w:vAlign w:val="bottom"/>
            <w:hideMark/>
          </w:tcPr>
          <w:p w14:paraId="133BDAB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0.737*</w:t>
            </w:r>
          </w:p>
        </w:tc>
        <w:tc>
          <w:tcPr>
            <w:tcW w:w="811" w:type="dxa"/>
            <w:tcBorders>
              <w:top w:val="nil"/>
              <w:left w:val="nil"/>
              <w:bottom w:val="nil"/>
              <w:right w:val="nil"/>
            </w:tcBorders>
            <w:shd w:val="clear" w:color="auto" w:fill="auto"/>
            <w:noWrap/>
            <w:vAlign w:val="bottom"/>
            <w:hideMark/>
          </w:tcPr>
          <w:p w14:paraId="7A413D7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0.658</w:t>
            </w:r>
          </w:p>
        </w:tc>
        <w:tc>
          <w:tcPr>
            <w:tcW w:w="811" w:type="dxa"/>
            <w:tcBorders>
              <w:top w:val="nil"/>
              <w:left w:val="nil"/>
              <w:bottom w:val="nil"/>
              <w:right w:val="nil"/>
            </w:tcBorders>
            <w:shd w:val="clear" w:color="auto" w:fill="auto"/>
            <w:noWrap/>
            <w:vAlign w:val="bottom"/>
            <w:hideMark/>
          </w:tcPr>
          <w:p w14:paraId="33E012E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0.760*</w:t>
            </w:r>
          </w:p>
        </w:tc>
        <w:tc>
          <w:tcPr>
            <w:tcW w:w="811" w:type="dxa"/>
            <w:tcBorders>
              <w:top w:val="nil"/>
              <w:left w:val="nil"/>
              <w:bottom w:val="nil"/>
              <w:right w:val="nil"/>
            </w:tcBorders>
            <w:shd w:val="clear" w:color="auto" w:fill="auto"/>
            <w:noWrap/>
            <w:vAlign w:val="bottom"/>
            <w:hideMark/>
          </w:tcPr>
          <w:p w14:paraId="364176B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0.749*</w:t>
            </w:r>
          </w:p>
        </w:tc>
      </w:tr>
      <w:tr w:rsidR="008355AB" w:rsidRPr="00C82EE1" w14:paraId="74FB06C3"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46327320"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p>
        </w:tc>
        <w:tc>
          <w:tcPr>
            <w:tcW w:w="811" w:type="dxa"/>
            <w:tcBorders>
              <w:top w:val="nil"/>
              <w:left w:val="nil"/>
              <w:bottom w:val="nil"/>
              <w:right w:val="nil"/>
            </w:tcBorders>
            <w:shd w:val="clear" w:color="auto" w:fill="auto"/>
            <w:noWrap/>
            <w:vAlign w:val="bottom"/>
            <w:hideMark/>
          </w:tcPr>
          <w:p w14:paraId="18775C0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(0.324)</w:t>
            </w:r>
          </w:p>
        </w:tc>
        <w:tc>
          <w:tcPr>
            <w:tcW w:w="811" w:type="dxa"/>
            <w:tcBorders>
              <w:top w:val="nil"/>
              <w:left w:val="nil"/>
              <w:bottom w:val="nil"/>
              <w:right w:val="nil"/>
            </w:tcBorders>
            <w:shd w:val="clear" w:color="auto" w:fill="auto"/>
            <w:noWrap/>
            <w:vAlign w:val="bottom"/>
            <w:hideMark/>
          </w:tcPr>
          <w:p w14:paraId="36135F3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(0.429)</w:t>
            </w:r>
          </w:p>
        </w:tc>
        <w:tc>
          <w:tcPr>
            <w:tcW w:w="811" w:type="dxa"/>
            <w:tcBorders>
              <w:top w:val="nil"/>
              <w:left w:val="nil"/>
              <w:bottom w:val="nil"/>
              <w:right w:val="nil"/>
            </w:tcBorders>
            <w:shd w:val="clear" w:color="auto" w:fill="auto"/>
            <w:noWrap/>
            <w:vAlign w:val="bottom"/>
            <w:hideMark/>
          </w:tcPr>
          <w:p w14:paraId="2038FB4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(0.426)</w:t>
            </w:r>
          </w:p>
        </w:tc>
        <w:tc>
          <w:tcPr>
            <w:tcW w:w="811" w:type="dxa"/>
            <w:tcBorders>
              <w:top w:val="nil"/>
              <w:left w:val="nil"/>
              <w:bottom w:val="nil"/>
              <w:right w:val="nil"/>
            </w:tcBorders>
            <w:shd w:val="clear" w:color="auto" w:fill="auto"/>
            <w:noWrap/>
            <w:vAlign w:val="bottom"/>
            <w:hideMark/>
          </w:tcPr>
          <w:p w14:paraId="450BB58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(0.456)</w:t>
            </w:r>
          </w:p>
        </w:tc>
        <w:tc>
          <w:tcPr>
            <w:tcW w:w="811" w:type="dxa"/>
            <w:tcBorders>
              <w:top w:val="nil"/>
              <w:left w:val="nil"/>
              <w:bottom w:val="nil"/>
              <w:right w:val="nil"/>
            </w:tcBorders>
            <w:shd w:val="clear" w:color="auto" w:fill="auto"/>
            <w:noWrap/>
            <w:vAlign w:val="bottom"/>
            <w:hideMark/>
          </w:tcPr>
          <w:p w14:paraId="6D3F7F0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(0.422)</w:t>
            </w:r>
          </w:p>
        </w:tc>
        <w:tc>
          <w:tcPr>
            <w:tcW w:w="811" w:type="dxa"/>
            <w:tcBorders>
              <w:top w:val="nil"/>
              <w:left w:val="nil"/>
              <w:bottom w:val="nil"/>
              <w:right w:val="nil"/>
            </w:tcBorders>
            <w:shd w:val="clear" w:color="auto" w:fill="auto"/>
            <w:noWrap/>
            <w:vAlign w:val="bottom"/>
            <w:hideMark/>
          </w:tcPr>
          <w:p w14:paraId="37F986A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(0.422)</w:t>
            </w:r>
          </w:p>
        </w:tc>
        <w:tc>
          <w:tcPr>
            <w:tcW w:w="251" w:type="dxa"/>
            <w:tcBorders>
              <w:top w:val="nil"/>
              <w:left w:val="nil"/>
              <w:bottom w:val="nil"/>
              <w:right w:val="nil"/>
            </w:tcBorders>
            <w:shd w:val="clear" w:color="auto" w:fill="auto"/>
            <w:noWrap/>
            <w:vAlign w:val="bottom"/>
            <w:hideMark/>
          </w:tcPr>
          <w:p w14:paraId="7AAFEE1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A4EBDE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(0.431)</w:t>
            </w:r>
          </w:p>
        </w:tc>
        <w:tc>
          <w:tcPr>
            <w:tcW w:w="811" w:type="dxa"/>
            <w:tcBorders>
              <w:top w:val="nil"/>
              <w:left w:val="nil"/>
              <w:bottom w:val="nil"/>
              <w:right w:val="nil"/>
            </w:tcBorders>
            <w:shd w:val="clear" w:color="auto" w:fill="auto"/>
            <w:noWrap/>
            <w:vAlign w:val="bottom"/>
            <w:hideMark/>
          </w:tcPr>
          <w:p w14:paraId="49D7379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(0.430)</w:t>
            </w:r>
          </w:p>
        </w:tc>
        <w:tc>
          <w:tcPr>
            <w:tcW w:w="811" w:type="dxa"/>
            <w:tcBorders>
              <w:top w:val="nil"/>
              <w:left w:val="nil"/>
              <w:bottom w:val="nil"/>
              <w:right w:val="nil"/>
            </w:tcBorders>
            <w:shd w:val="clear" w:color="auto" w:fill="auto"/>
            <w:noWrap/>
            <w:vAlign w:val="bottom"/>
            <w:hideMark/>
          </w:tcPr>
          <w:p w14:paraId="607C169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(0.443)</w:t>
            </w:r>
          </w:p>
        </w:tc>
        <w:tc>
          <w:tcPr>
            <w:tcW w:w="811" w:type="dxa"/>
            <w:tcBorders>
              <w:top w:val="nil"/>
              <w:left w:val="nil"/>
              <w:bottom w:val="nil"/>
              <w:right w:val="nil"/>
            </w:tcBorders>
            <w:shd w:val="clear" w:color="auto" w:fill="auto"/>
            <w:noWrap/>
            <w:vAlign w:val="bottom"/>
            <w:hideMark/>
          </w:tcPr>
          <w:p w14:paraId="137C437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(0.426)</w:t>
            </w:r>
          </w:p>
        </w:tc>
        <w:tc>
          <w:tcPr>
            <w:tcW w:w="811" w:type="dxa"/>
            <w:tcBorders>
              <w:top w:val="nil"/>
              <w:left w:val="nil"/>
              <w:bottom w:val="nil"/>
              <w:right w:val="nil"/>
            </w:tcBorders>
            <w:shd w:val="clear" w:color="auto" w:fill="auto"/>
            <w:noWrap/>
            <w:vAlign w:val="bottom"/>
            <w:hideMark/>
          </w:tcPr>
          <w:p w14:paraId="2134786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(0.421)</w:t>
            </w:r>
          </w:p>
        </w:tc>
      </w:tr>
      <w:tr w:rsidR="008355AB" w:rsidRPr="00C82EE1" w14:paraId="20C42D10"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5D3F6BC3"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Region fixed effect</w:t>
            </w:r>
          </w:p>
        </w:tc>
        <w:tc>
          <w:tcPr>
            <w:tcW w:w="811" w:type="dxa"/>
            <w:tcBorders>
              <w:top w:val="nil"/>
              <w:left w:val="nil"/>
              <w:bottom w:val="nil"/>
              <w:right w:val="nil"/>
            </w:tcBorders>
            <w:shd w:val="clear" w:color="auto" w:fill="auto"/>
            <w:noWrap/>
            <w:vAlign w:val="bottom"/>
            <w:hideMark/>
          </w:tcPr>
          <w:p w14:paraId="6515FAA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173E625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4F50675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5A9A7C5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73A0940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725BD7D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487514E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4EB0814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645BFE3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383589F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78FB4CE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5BC146C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r>
      <w:tr w:rsidR="008355AB" w:rsidRPr="00C82EE1" w14:paraId="63BB53C5"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21017536"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Year-Quarter fixed effect</w:t>
            </w:r>
          </w:p>
        </w:tc>
        <w:tc>
          <w:tcPr>
            <w:tcW w:w="811" w:type="dxa"/>
            <w:tcBorders>
              <w:top w:val="nil"/>
              <w:left w:val="nil"/>
              <w:bottom w:val="nil"/>
              <w:right w:val="nil"/>
            </w:tcBorders>
            <w:shd w:val="clear" w:color="auto" w:fill="auto"/>
            <w:noWrap/>
            <w:vAlign w:val="bottom"/>
            <w:hideMark/>
          </w:tcPr>
          <w:p w14:paraId="4FFA6D8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55480CB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481C7EF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083F328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7B814CD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2A6E977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6FB6BB7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5043171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38D9398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007FB82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3EC92D3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46D7E6B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r>
      <w:tr w:rsidR="008355AB" w:rsidRPr="00C82EE1" w14:paraId="1BD8FBA3"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2489A37B"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Industry fixed effect</w:t>
            </w:r>
          </w:p>
        </w:tc>
        <w:tc>
          <w:tcPr>
            <w:tcW w:w="811" w:type="dxa"/>
            <w:tcBorders>
              <w:top w:val="nil"/>
              <w:left w:val="nil"/>
              <w:bottom w:val="nil"/>
              <w:right w:val="nil"/>
            </w:tcBorders>
            <w:shd w:val="clear" w:color="auto" w:fill="auto"/>
            <w:noWrap/>
            <w:vAlign w:val="bottom"/>
            <w:hideMark/>
          </w:tcPr>
          <w:p w14:paraId="4F51634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005A5A1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253FAA4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16754CC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2D0F395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3C18CB8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1E43CD1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2A207C5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3B4E24C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3FE537E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579ED52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03638459"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r>
      <w:tr w:rsidR="008355AB" w:rsidRPr="00C82EE1" w14:paraId="4DE5C715" w14:textId="77777777" w:rsidTr="008355AB">
        <w:trPr>
          <w:trHeight w:val="180"/>
          <w:jc w:val="center"/>
        </w:trPr>
        <w:tc>
          <w:tcPr>
            <w:tcW w:w="1721" w:type="dxa"/>
            <w:tcBorders>
              <w:top w:val="nil"/>
              <w:left w:val="nil"/>
              <w:bottom w:val="nil"/>
              <w:right w:val="nil"/>
            </w:tcBorders>
            <w:shd w:val="clear" w:color="auto" w:fill="auto"/>
            <w:noWrap/>
            <w:vAlign w:val="bottom"/>
            <w:hideMark/>
          </w:tcPr>
          <w:p w14:paraId="6E3A639E" w14:textId="77777777" w:rsidR="0093472B" w:rsidRPr="00C82EE1" w:rsidRDefault="0093472B" w:rsidP="00026FCB">
            <w:pPr>
              <w:spacing w:after="0" w:line="240" w:lineRule="auto"/>
              <w:jc w:val="both"/>
              <w:rPr>
                <w:rFonts w:ascii="Times New Roman" w:eastAsia="Times New Roman" w:hAnsi="Times New Roman" w:cs="Times New Roman"/>
                <w:i/>
                <w:color w:val="000000"/>
                <w:sz w:val="14"/>
                <w:szCs w:val="14"/>
              </w:rPr>
            </w:pPr>
            <w:r w:rsidRPr="00C82EE1">
              <w:rPr>
                <w:rFonts w:ascii="Times New Roman" w:eastAsia="Times New Roman" w:hAnsi="Times New Roman" w:cs="Times New Roman"/>
                <w:i/>
                <w:color w:val="000000"/>
                <w:sz w:val="14"/>
                <w:szCs w:val="14"/>
              </w:rPr>
              <w:t>GENRES</w:t>
            </w:r>
          </w:p>
        </w:tc>
        <w:tc>
          <w:tcPr>
            <w:tcW w:w="811" w:type="dxa"/>
            <w:tcBorders>
              <w:top w:val="nil"/>
              <w:left w:val="nil"/>
              <w:bottom w:val="nil"/>
              <w:right w:val="nil"/>
            </w:tcBorders>
            <w:shd w:val="clear" w:color="auto" w:fill="auto"/>
            <w:noWrap/>
            <w:vAlign w:val="bottom"/>
            <w:hideMark/>
          </w:tcPr>
          <w:p w14:paraId="510CA89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6DABD2C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73C167F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5DBF5D8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1172FCC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0358FD4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07F90DC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7891FFE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141329B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3E353C5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1B596333"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No</w:t>
            </w:r>
          </w:p>
        </w:tc>
        <w:tc>
          <w:tcPr>
            <w:tcW w:w="811" w:type="dxa"/>
            <w:tcBorders>
              <w:top w:val="nil"/>
              <w:left w:val="nil"/>
              <w:bottom w:val="nil"/>
              <w:right w:val="nil"/>
            </w:tcBorders>
            <w:shd w:val="clear" w:color="auto" w:fill="auto"/>
            <w:noWrap/>
            <w:vAlign w:val="bottom"/>
            <w:hideMark/>
          </w:tcPr>
          <w:p w14:paraId="4F3F63D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r>
      <w:tr w:rsidR="008355AB" w:rsidRPr="00C82EE1" w14:paraId="37F784F2" w14:textId="77777777" w:rsidTr="008355AB">
        <w:trPr>
          <w:trHeight w:val="180"/>
          <w:jc w:val="center"/>
        </w:trPr>
        <w:tc>
          <w:tcPr>
            <w:tcW w:w="1721" w:type="dxa"/>
            <w:tcBorders>
              <w:top w:val="single" w:sz="4" w:space="0" w:color="auto"/>
              <w:left w:val="nil"/>
              <w:bottom w:val="nil"/>
              <w:right w:val="nil"/>
            </w:tcBorders>
            <w:shd w:val="clear" w:color="auto" w:fill="auto"/>
            <w:noWrap/>
            <w:vAlign w:val="bottom"/>
            <w:hideMark/>
          </w:tcPr>
          <w:p w14:paraId="03134F4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Observations</w:t>
            </w:r>
          </w:p>
        </w:tc>
        <w:tc>
          <w:tcPr>
            <w:tcW w:w="811" w:type="dxa"/>
            <w:tcBorders>
              <w:top w:val="single" w:sz="4" w:space="0" w:color="auto"/>
              <w:left w:val="nil"/>
              <w:bottom w:val="nil"/>
              <w:right w:val="nil"/>
            </w:tcBorders>
            <w:shd w:val="clear" w:color="auto" w:fill="auto"/>
            <w:noWrap/>
            <w:vAlign w:val="bottom"/>
            <w:hideMark/>
          </w:tcPr>
          <w:p w14:paraId="16D4A6F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77171618"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4BB793E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5CB2B2A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4E7C9C6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1D896FFE"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251" w:type="dxa"/>
            <w:tcBorders>
              <w:top w:val="single" w:sz="4" w:space="0" w:color="auto"/>
              <w:left w:val="nil"/>
              <w:bottom w:val="nil"/>
              <w:right w:val="nil"/>
            </w:tcBorders>
            <w:shd w:val="clear" w:color="auto" w:fill="auto"/>
            <w:noWrap/>
            <w:vAlign w:val="bottom"/>
            <w:hideMark/>
          </w:tcPr>
          <w:p w14:paraId="3C9A22D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11" w:type="dxa"/>
            <w:tcBorders>
              <w:top w:val="single" w:sz="4" w:space="0" w:color="auto"/>
              <w:left w:val="nil"/>
              <w:bottom w:val="nil"/>
              <w:right w:val="nil"/>
            </w:tcBorders>
            <w:shd w:val="clear" w:color="auto" w:fill="auto"/>
            <w:noWrap/>
            <w:vAlign w:val="bottom"/>
            <w:hideMark/>
          </w:tcPr>
          <w:p w14:paraId="0036609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4124C20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3A341DFF"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7C6FA23D"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single" w:sz="4" w:space="0" w:color="auto"/>
              <w:left w:val="nil"/>
              <w:bottom w:val="nil"/>
              <w:right w:val="nil"/>
            </w:tcBorders>
            <w:shd w:val="clear" w:color="auto" w:fill="auto"/>
            <w:noWrap/>
            <w:vAlign w:val="bottom"/>
            <w:hideMark/>
          </w:tcPr>
          <w:p w14:paraId="61AFFFD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r>
      <w:tr w:rsidR="008355AB" w:rsidRPr="00C82EE1" w14:paraId="6816EA5A" w14:textId="77777777" w:rsidTr="008355AB">
        <w:trPr>
          <w:trHeight w:val="180"/>
          <w:jc w:val="center"/>
        </w:trPr>
        <w:tc>
          <w:tcPr>
            <w:tcW w:w="1721" w:type="dxa"/>
            <w:tcBorders>
              <w:top w:val="nil"/>
              <w:left w:val="nil"/>
              <w:bottom w:val="single" w:sz="4" w:space="0" w:color="auto"/>
              <w:right w:val="nil"/>
            </w:tcBorders>
            <w:shd w:val="clear" w:color="auto" w:fill="auto"/>
            <w:noWrap/>
            <w:vAlign w:val="bottom"/>
            <w:hideMark/>
          </w:tcPr>
          <w:p w14:paraId="2DB4129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Adjusted R2</w:t>
            </w:r>
          </w:p>
        </w:tc>
        <w:tc>
          <w:tcPr>
            <w:tcW w:w="811" w:type="dxa"/>
            <w:tcBorders>
              <w:top w:val="nil"/>
              <w:left w:val="nil"/>
              <w:bottom w:val="single" w:sz="4" w:space="0" w:color="auto"/>
              <w:right w:val="nil"/>
            </w:tcBorders>
            <w:shd w:val="clear" w:color="auto" w:fill="auto"/>
            <w:noWrap/>
            <w:vAlign w:val="bottom"/>
            <w:hideMark/>
          </w:tcPr>
          <w:p w14:paraId="7039895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0.098</w:t>
            </w:r>
          </w:p>
        </w:tc>
        <w:tc>
          <w:tcPr>
            <w:tcW w:w="811" w:type="dxa"/>
            <w:tcBorders>
              <w:top w:val="nil"/>
              <w:left w:val="nil"/>
              <w:bottom w:val="single" w:sz="4" w:space="0" w:color="auto"/>
              <w:right w:val="nil"/>
            </w:tcBorders>
            <w:shd w:val="clear" w:color="auto" w:fill="auto"/>
            <w:noWrap/>
            <w:vAlign w:val="bottom"/>
            <w:hideMark/>
          </w:tcPr>
          <w:p w14:paraId="6A578734"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0.152</w:t>
            </w:r>
          </w:p>
        </w:tc>
        <w:tc>
          <w:tcPr>
            <w:tcW w:w="811" w:type="dxa"/>
            <w:tcBorders>
              <w:top w:val="nil"/>
              <w:left w:val="nil"/>
              <w:bottom w:val="single" w:sz="4" w:space="0" w:color="auto"/>
              <w:right w:val="nil"/>
            </w:tcBorders>
            <w:shd w:val="clear" w:color="auto" w:fill="auto"/>
            <w:noWrap/>
            <w:vAlign w:val="bottom"/>
            <w:hideMark/>
          </w:tcPr>
          <w:p w14:paraId="3AEACE9A"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0.131</w:t>
            </w:r>
          </w:p>
        </w:tc>
        <w:tc>
          <w:tcPr>
            <w:tcW w:w="811" w:type="dxa"/>
            <w:tcBorders>
              <w:top w:val="nil"/>
              <w:left w:val="nil"/>
              <w:bottom w:val="single" w:sz="4" w:space="0" w:color="auto"/>
              <w:right w:val="nil"/>
            </w:tcBorders>
            <w:shd w:val="clear" w:color="auto" w:fill="auto"/>
            <w:noWrap/>
            <w:vAlign w:val="bottom"/>
            <w:hideMark/>
          </w:tcPr>
          <w:p w14:paraId="5D04B552"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0.162</w:t>
            </w:r>
          </w:p>
        </w:tc>
        <w:tc>
          <w:tcPr>
            <w:tcW w:w="811" w:type="dxa"/>
            <w:tcBorders>
              <w:top w:val="nil"/>
              <w:left w:val="nil"/>
              <w:bottom w:val="single" w:sz="4" w:space="0" w:color="auto"/>
              <w:right w:val="nil"/>
            </w:tcBorders>
            <w:shd w:val="clear" w:color="auto" w:fill="auto"/>
            <w:noWrap/>
            <w:vAlign w:val="bottom"/>
            <w:hideMark/>
          </w:tcPr>
          <w:p w14:paraId="18AD00A7"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0.148</w:t>
            </w:r>
          </w:p>
        </w:tc>
        <w:tc>
          <w:tcPr>
            <w:tcW w:w="811" w:type="dxa"/>
            <w:tcBorders>
              <w:top w:val="nil"/>
              <w:left w:val="nil"/>
              <w:bottom w:val="single" w:sz="4" w:space="0" w:color="auto"/>
              <w:right w:val="nil"/>
            </w:tcBorders>
            <w:shd w:val="clear" w:color="auto" w:fill="auto"/>
            <w:noWrap/>
            <w:vAlign w:val="bottom"/>
            <w:hideMark/>
          </w:tcPr>
          <w:p w14:paraId="3FFED5CB"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0.152</w:t>
            </w:r>
          </w:p>
        </w:tc>
        <w:tc>
          <w:tcPr>
            <w:tcW w:w="251" w:type="dxa"/>
            <w:tcBorders>
              <w:top w:val="nil"/>
              <w:left w:val="nil"/>
              <w:bottom w:val="single" w:sz="4" w:space="0" w:color="auto"/>
              <w:right w:val="nil"/>
            </w:tcBorders>
            <w:shd w:val="clear" w:color="auto" w:fill="auto"/>
            <w:noWrap/>
            <w:vAlign w:val="bottom"/>
            <w:hideMark/>
          </w:tcPr>
          <w:p w14:paraId="2E5C9F6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11" w:type="dxa"/>
            <w:tcBorders>
              <w:top w:val="nil"/>
              <w:left w:val="nil"/>
              <w:bottom w:val="single" w:sz="4" w:space="0" w:color="auto"/>
              <w:right w:val="nil"/>
            </w:tcBorders>
            <w:shd w:val="clear" w:color="auto" w:fill="auto"/>
            <w:noWrap/>
            <w:vAlign w:val="bottom"/>
            <w:hideMark/>
          </w:tcPr>
          <w:p w14:paraId="325BA695"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0.154</w:t>
            </w:r>
          </w:p>
        </w:tc>
        <w:tc>
          <w:tcPr>
            <w:tcW w:w="811" w:type="dxa"/>
            <w:tcBorders>
              <w:top w:val="nil"/>
              <w:left w:val="nil"/>
              <w:bottom w:val="single" w:sz="4" w:space="0" w:color="auto"/>
              <w:right w:val="nil"/>
            </w:tcBorders>
            <w:shd w:val="clear" w:color="auto" w:fill="auto"/>
            <w:noWrap/>
            <w:vAlign w:val="bottom"/>
            <w:hideMark/>
          </w:tcPr>
          <w:p w14:paraId="01126126"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0.133</w:t>
            </w:r>
          </w:p>
        </w:tc>
        <w:tc>
          <w:tcPr>
            <w:tcW w:w="811" w:type="dxa"/>
            <w:tcBorders>
              <w:top w:val="nil"/>
              <w:left w:val="nil"/>
              <w:bottom w:val="single" w:sz="4" w:space="0" w:color="auto"/>
              <w:right w:val="nil"/>
            </w:tcBorders>
            <w:shd w:val="clear" w:color="auto" w:fill="auto"/>
            <w:noWrap/>
            <w:vAlign w:val="bottom"/>
            <w:hideMark/>
          </w:tcPr>
          <w:p w14:paraId="39259911"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0.167</w:t>
            </w:r>
          </w:p>
        </w:tc>
        <w:tc>
          <w:tcPr>
            <w:tcW w:w="811" w:type="dxa"/>
            <w:tcBorders>
              <w:top w:val="nil"/>
              <w:left w:val="nil"/>
              <w:bottom w:val="single" w:sz="4" w:space="0" w:color="auto"/>
              <w:right w:val="nil"/>
            </w:tcBorders>
            <w:shd w:val="clear" w:color="auto" w:fill="auto"/>
            <w:noWrap/>
            <w:vAlign w:val="bottom"/>
            <w:hideMark/>
          </w:tcPr>
          <w:p w14:paraId="726DE5BC"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0.149</w:t>
            </w:r>
          </w:p>
        </w:tc>
        <w:tc>
          <w:tcPr>
            <w:tcW w:w="811" w:type="dxa"/>
            <w:tcBorders>
              <w:top w:val="nil"/>
              <w:left w:val="nil"/>
              <w:bottom w:val="single" w:sz="4" w:space="0" w:color="auto"/>
              <w:right w:val="nil"/>
            </w:tcBorders>
            <w:shd w:val="clear" w:color="auto" w:fill="auto"/>
            <w:noWrap/>
            <w:vAlign w:val="bottom"/>
            <w:hideMark/>
          </w:tcPr>
          <w:p w14:paraId="7D134A50" w14:textId="77777777" w:rsidR="0093472B" w:rsidRPr="00C82EE1" w:rsidRDefault="0093472B" w:rsidP="00026FCB">
            <w:pPr>
              <w:spacing w:after="0" w:line="240" w:lineRule="auto"/>
              <w:jc w:val="both"/>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0.154</w:t>
            </w:r>
          </w:p>
        </w:tc>
      </w:tr>
      <w:tr w:rsidR="0093472B" w:rsidRPr="00C82EE1" w14:paraId="1B1324F5" w14:textId="77777777" w:rsidTr="008355AB">
        <w:trPr>
          <w:trHeight w:val="180"/>
          <w:jc w:val="center"/>
        </w:trPr>
        <w:tc>
          <w:tcPr>
            <w:tcW w:w="10893" w:type="dxa"/>
            <w:gridSpan w:val="13"/>
            <w:tcBorders>
              <w:top w:val="single" w:sz="4" w:space="0" w:color="auto"/>
              <w:left w:val="nil"/>
              <w:bottom w:val="nil"/>
              <w:right w:val="nil"/>
            </w:tcBorders>
            <w:shd w:val="clear" w:color="auto" w:fill="auto"/>
            <w:vAlign w:val="bottom"/>
            <w:hideMark/>
          </w:tcPr>
          <w:p w14:paraId="5229724F" w14:textId="0D12AA1D" w:rsidR="0093472B" w:rsidRPr="00C82EE1" w:rsidRDefault="0093472B" w:rsidP="00026FCB">
            <w:pPr>
              <w:spacing w:after="0" w:line="240" w:lineRule="auto"/>
              <w:ind w:left="39" w:hanging="39"/>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i/>
                <w:iCs/>
                <w:color w:val="000000"/>
                <w:sz w:val="20"/>
                <w:szCs w:val="20"/>
              </w:rPr>
              <w:t xml:space="preserve">Notes. </w:t>
            </w:r>
            <w:r w:rsidRPr="00C82EE1">
              <w:rPr>
                <w:rFonts w:ascii="Times New Roman" w:eastAsia="Times New Roman" w:hAnsi="Times New Roman" w:cs="Times New Roman"/>
                <w:color w:val="000000"/>
                <w:sz w:val="20"/>
                <w:szCs w:val="20"/>
              </w:rPr>
              <w:t xml:space="preserve">This table shows OLS regression results. Variable definitions are provided in Table 1. Model (1) conducts multivariate regression test and looks at the impact of </w:t>
            </w:r>
            <m:oMath>
              <m:r>
                <w:rPr>
                  <w:rFonts w:ascii="Cambria Math" w:eastAsia="Times New Roman" w:hAnsi="Cambria Math" w:cs="Times New Roman"/>
                  <w:color w:val="000000"/>
                  <w:sz w:val="20"/>
                  <w:szCs w:val="20"/>
                </w:rPr>
                <m:t>LC</m:t>
              </m:r>
            </m:oMath>
            <w:r w:rsidR="0053031C" w:rsidRPr="00C82EE1">
              <w:rPr>
                <w:rFonts w:ascii="Times New Roman" w:eastAsia="Times New Roman" w:hAnsi="Times New Roman" w:cs="Times New Roman"/>
                <w:color w:val="000000"/>
                <w:sz w:val="20"/>
                <w:szCs w:val="20"/>
              </w:rPr>
              <w:t>,</w:t>
            </w:r>
            <w:r w:rsidRPr="00C82EE1">
              <w:rPr>
                <w:rFonts w:ascii="Times New Roman" w:eastAsia="Times New Roman" w:hAnsi="Times New Roman" w:cs="Times New Roman"/>
                <w:color w:val="000000"/>
                <w:sz w:val="20"/>
                <w:szCs w:val="20"/>
              </w:rPr>
              <w:t xml:space="preserve"> </w:t>
            </w:r>
            <w:r w:rsidR="0053031C" w:rsidRPr="00C82EE1">
              <w:rPr>
                <w:rFonts w:ascii="Times New Roman" w:eastAsia="Times New Roman" w:hAnsi="Times New Roman" w:cs="Times New Roman"/>
                <w:color w:val="000000"/>
                <w:sz w:val="20"/>
                <w:szCs w:val="20"/>
              </w:rPr>
              <w:t xml:space="preserve">excluding </w:t>
            </w:r>
            <w:r w:rsidRPr="00C82EE1">
              <w:rPr>
                <w:rFonts w:ascii="Times New Roman" w:eastAsia="Times New Roman" w:hAnsi="Times New Roman" w:cs="Times New Roman"/>
                <w:color w:val="000000"/>
                <w:sz w:val="20"/>
                <w:szCs w:val="20"/>
              </w:rPr>
              <w:t xml:space="preserve">readability effects. Panel A and B test linear and curvilinear relationships between </w:t>
            </w:r>
            <w:r w:rsidR="0053031C" w:rsidRPr="00C82EE1">
              <w:rPr>
                <w:rFonts w:ascii="Times New Roman" w:eastAsia="Times New Roman" w:hAnsi="Times New Roman" w:cs="Times New Roman"/>
                <w:color w:val="000000"/>
                <w:sz w:val="20"/>
                <w:szCs w:val="20"/>
              </w:rPr>
              <w:t>LC</w:t>
            </w:r>
            <w:r w:rsidRPr="00C82EE1">
              <w:rPr>
                <w:rFonts w:ascii="Times New Roman" w:eastAsia="Times New Roman" w:hAnsi="Times New Roman" w:cs="Times New Roman"/>
                <w:color w:val="000000"/>
                <w:sz w:val="20"/>
                <w:szCs w:val="20"/>
              </w:rPr>
              <w:t xml:space="preserve"> and the </w:t>
            </w:r>
            <w:r w:rsidR="0053031C" w:rsidRPr="00C82EE1">
              <w:rPr>
                <w:rFonts w:ascii="Times New Roman" w:eastAsia="Times New Roman" w:hAnsi="Times New Roman" w:cs="Times New Roman"/>
                <w:color w:val="000000"/>
                <w:sz w:val="20"/>
                <w:szCs w:val="20"/>
              </w:rPr>
              <w:t>ICO funding</w:t>
            </w:r>
            <w:r w:rsidRPr="00C82EE1">
              <w:rPr>
                <w:rFonts w:ascii="Times New Roman" w:eastAsia="Times New Roman" w:hAnsi="Times New Roman" w:cs="Times New Roman"/>
                <w:color w:val="000000"/>
                <w:sz w:val="20"/>
                <w:szCs w:val="20"/>
              </w:rPr>
              <w:t xml:space="preserve">, including readability effects. Model (2) to (5) and (7) to (10) </w:t>
            </w:r>
            <w:r w:rsidR="0053031C" w:rsidRPr="00C82EE1">
              <w:rPr>
                <w:rFonts w:ascii="Times New Roman" w:eastAsia="Times New Roman" w:hAnsi="Times New Roman" w:cs="Times New Roman"/>
                <w:color w:val="000000"/>
                <w:sz w:val="20"/>
                <w:szCs w:val="20"/>
              </w:rPr>
              <w:t>test</w:t>
            </w:r>
            <w:r w:rsidRPr="00C82EE1">
              <w:rPr>
                <w:rFonts w:ascii="Times New Roman" w:eastAsia="Times New Roman" w:hAnsi="Times New Roman" w:cs="Times New Roman"/>
                <w:color w:val="000000"/>
                <w:sz w:val="20"/>
                <w:szCs w:val="20"/>
              </w:rPr>
              <w:t xml:space="preserve"> linear and curvilinear impact</w:t>
            </w:r>
            <w:r w:rsidR="0053031C" w:rsidRPr="00C82EE1">
              <w:rPr>
                <w:rFonts w:ascii="Times New Roman" w:eastAsia="Times New Roman" w:hAnsi="Times New Roman" w:cs="Times New Roman"/>
                <w:color w:val="000000"/>
                <w:sz w:val="20"/>
                <w:szCs w:val="20"/>
              </w:rPr>
              <w:t>s</w:t>
            </w:r>
            <w:r w:rsidRPr="00C82EE1">
              <w:rPr>
                <w:rFonts w:ascii="Times New Roman" w:eastAsia="Times New Roman" w:hAnsi="Times New Roman" w:cs="Times New Roman"/>
                <w:color w:val="000000"/>
                <w:sz w:val="20"/>
                <w:szCs w:val="20"/>
              </w:rPr>
              <w:t xml:space="preserve"> of LC, lexical density, sophistication and diversity</w:t>
            </w:r>
            <w:r w:rsidR="0053031C" w:rsidRPr="00C82EE1">
              <w:rPr>
                <w:rFonts w:ascii="Times New Roman" w:eastAsia="Times New Roman" w:hAnsi="Times New Roman" w:cs="Times New Roman"/>
                <w:color w:val="000000"/>
                <w:sz w:val="20"/>
                <w:szCs w:val="20"/>
              </w:rPr>
              <w:t xml:space="preserve"> on the ICO funding,</w:t>
            </w:r>
            <w:r w:rsidRPr="00C82EE1">
              <w:rPr>
                <w:rFonts w:ascii="Times New Roman" w:eastAsia="Times New Roman" w:hAnsi="Times New Roman" w:cs="Times New Roman"/>
                <w:color w:val="000000"/>
                <w:sz w:val="20"/>
                <w:szCs w:val="20"/>
              </w:rPr>
              <w:t xml:space="preserve"> respectively. Model (6) and (11) report the second stage of </w:t>
            </w:r>
            <w:proofErr w:type="spellStart"/>
            <w:r w:rsidRPr="00C82EE1">
              <w:rPr>
                <w:rFonts w:ascii="Times New Roman" w:eastAsia="Times New Roman" w:hAnsi="Times New Roman" w:cs="Times New Roman"/>
                <w:color w:val="000000"/>
                <w:sz w:val="20"/>
                <w:szCs w:val="20"/>
              </w:rPr>
              <w:t>rCF</w:t>
            </w:r>
            <w:proofErr w:type="spellEnd"/>
            <w:r w:rsidRPr="00C82EE1">
              <w:rPr>
                <w:rFonts w:ascii="Times New Roman" w:eastAsia="Times New Roman" w:hAnsi="Times New Roman" w:cs="Times New Roman"/>
                <w:color w:val="000000"/>
                <w:sz w:val="20"/>
                <w:szCs w:val="20"/>
              </w:rPr>
              <w:t xml:space="preserve"> approach. Standard errors are clustered at the </w:t>
            </w:r>
            <w:r w:rsidR="00851788">
              <w:rPr>
                <w:rFonts w:ascii="Times New Roman" w:eastAsia="Times New Roman" w:hAnsi="Times New Roman" w:cs="Times New Roman"/>
                <w:color w:val="000000"/>
                <w:sz w:val="20"/>
                <w:szCs w:val="20"/>
              </w:rPr>
              <w:t>y</w:t>
            </w:r>
            <w:r w:rsidR="00851788" w:rsidRPr="00851788">
              <w:rPr>
                <w:rFonts w:ascii="Times New Roman" w:eastAsia="Times New Roman" w:hAnsi="Times New Roman" w:cs="Times New Roman"/>
                <w:color w:val="000000"/>
                <w:sz w:val="20"/>
                <w:szCs w:val="20"/>
              </w:rPr>
              <w:t>ear-</w:t>
            </w:r>
            <w:r w:rsidR="00851788">
              <w:rPr>
                <w:rFonts w:ascii="Times New Roman" w:eastAsia="Times New Roman" w:hAnsi="Times New Roman" w:cs="Times New Roman"/>
                <w:color w:val="000000"/>
                <w:sz w:val="20"/>
                <w:szCs w:val="20"/>
              </w:rPr>
              <w:t>q</w:t>
            </w:r>
            <w:r w:rsidR="00851788" w:rsidRPr="00851788">
              <w:rPr>
                <w:rFonts w:ascii="Times New Roman" w:eastAsia="Times New Roman" w:hAnsi="Times New Roman" w:cs="Times New Roman"/>
                <w:color w:val="000000"/>
                <w:sz w:val="20"/>
                <w:szCs w:val="20"/>
              </w:rPr>
              <w:t>uarter</w:t>
            </w:r>
            <w:r w:rsidR="00851788">
              <w:rPr>
                <w:rFonts w:ascii="Times New Roman" w:eastAsia="Times New Roman" w:hAnsi="Times New Roman" w:cs="Times New Roman"/>
                <w:color w:val="000000"/>
                <w:sz w:val="20"/>
                <w:szCs w:val="20"/>
              </w:rPr>
              <w:t xml:space="preserve"> </w:t>
            </w:r>
            <w:r w:rsidRPr="00C82EE1">
              <w:rPr>
                <w:rFonts w:ascii="Times New Roman" w:eastAsia="Times New Roman" w:hAnsi="Times New Roman" w:cs="Times New Roman"/>
                <w:color w:val="000000"/>
                <w:sz w:val="20"/>
                <w:szCs w:val="20"/>
              </w:rPr>
              <w:t>level. Significance levels: * indicates p&lt;0.1, ** indicates p&lt;0.05, *** indicates p&lt;0.01.</w:t>
            </w:r>
          </w:p>
        </w:tc>
      </w:tr>
    </w:tbl>
    <w:p w14:paraId="6BA97CA8" w14:textId="77777777" w:rsidR="008355AB" w:rsidRPr="00C82EE1" w:rsidRDefault="008355AB" w:rsidP="00026FCB">
      <w:pPr>
        <w:jc w:val="both"/>
        <w:rPr>
          <w:rFonts w:ascii="Times New Roman" w:hAnsi="Times New Roman" w:cs="Times New Roman"/>
          <w:sz w:val="24"/>
          <w:szCs w:val="24"/>
        </w:rPr>
      </w:pPr>
    </w:p>
    <w:tbl>
      <w:tblPr>
        <w:tblW w:w="9002" w:type="dxa"/>
        <w:jc w:val="center"/>
        <w:tblLook w:val="04A0" w:firstRow="1" w:lastRow="0" w:firstColumn="1" w:lastColumn="0" w:noHBand="0" w:noVBand="1"/>
      </w:tblPr>
      <w:tblGrid>
        <w:gridCol w:w="4990"/>
        <w:gridCol w:w="1967"/>
        <w:gridCol w:w="2045"/>
      </w:tblGrid>
      <w:tr w:rsidR="0093472B" w:rsidRPr="00C82EE1" w14:paraId="44764B98" w14:textId="77777777" w:rsidTr="0093472B">
        <w:trPr>
          <w:trHeight w:val="231"/>
          <w:jc w:val="center"/>
        </w:trPr>
        <w:tc>
          <w:tcPr>
            <w:tcW w:w="9002" w:type="dxa"/>
            <w:gridSpan w:val="3"/>
            <w:tcBorders>
              <w:top w:val="nil"/>
              <w:left w:val="nil"/>
              <w:bottom w:val="nil"/>
              <w:right w:val="nil"/>
            </w:tcBorders>
            <w:shd w:val="clear" w:color="auto" w:fill="auto"/>
            <w:noWrap/>
            <w:vAlign w:val="bottom"/>
            <w:hideMark/>
          </w:tcPr>
          <w:p w14:paraId="6C3CD4EE" w14:textId="7E8101FC" w:rsidR="0093472B" w:rsidRPr="00C82EE1" w:rsidRDefault="0093472B" w:rsidP="00E223E9">
            <w:pPr>
              <w:spacing w:after="240" w:line="240" w:lineRule="auto"/>
              <w:jc w:val="center"/>
              <w:rPr>
                <w:rFonts w:ascii="Times New Roman" w:eastAsia="Times New Roman" w:hAnsi="Times New Roman" w:cs="Times New Roman"/>
                <w:b/>
                <w:bCs/>
                <w:color w:val="000000"/>
                <w:sz w:val="28"/>
                <w:szCs w:val="24"/>
              </w:rPr>
            </w:pPr>
            <w:r w:rsidRPr="00C82EE1">
              <w:rPr>
                <w:rFonts w:ascii="Times New Roman" w:eastAsia="Times New Roman" w:hAnsi="Times New Roman" w:cs="Times New Roman"/>
                <w:b/>
                <w:bCs/>
                <w:color w:val="000000"/>
                <w:sz w:val="28"/>
                <w:szCs w:val="24"/>
              </w:rPr>
              <w:lastRenderedPageBreak/>
              <w:t>Table 5: Readability and LC.</w:t>
            </w:r>
          </w:p>
          <w:p w14:paraId="36361F67" w14:textId="77777777" w:rsidR="003C73FB" w:rsidRPr="00C82EE1" w:rsidRDefault="003C73FB" w:rsidP="00FA76CA">
            <w:pPr>
              <w:spacing w:after="0" w:line="240" w:lineRule="auto"/>
              <w:jc w:val="center"/>
              <w:rPr>
                <w:rFonts w:ascii="Times New Roman" w:eastAsia="Times New Roman" w:hAnsi="Times New Roman" w:cs="Times New Roman"/>
                <w:b/>
                <w:bCs/>
                <w:color w:val="000000"/>
                <w:sz w:val="28"/>
                <w:szCs w:val="24"/>
              </w:rPr>
            </w:pPr>
          </w:p>
          <w:p w14:paraId="74C1A8D1" w14:textId="77777777" w:rsidR="0093472B" w:rsidRPr="00C82EE1" w:rsidRDefault="0093472B" w:rsidP="00026FCB">
            <w:pPr>
              <w:spacing w:after="0" w:line="240" w:lineRule="auto"/>
              <w:jc w:val="both"/>
              <w:rPr>
                <w:rFonts w:ascii="Times New Roman" w:eastAsia="Times New Roman" w:hAnsi="Times New Roman" w:cs="Times New Roman"/>
                <w:b/>
                <w:bCs/>
                <w:color w:val="000000"/>
                <w:sz w:val="24"/>
                <w:szCs w:val="24"/>
              </w:rPr>
            </w:pPr>
          </w:p>
        </w:tc>
      </w:tr>
      <w:tr w:rsidR="0093472B" w:rsidRPr="00C82EE1" w14:paraId="668B68CC" w14:textId="77777777" w:rsidTr="0093472B">
        <w:trPr>
          <w:trHeight w:val="231"/>
          <w:jc w:val="center"/>
        </w:trPr>
        <w:tc>
          <w:tcPr>
            <w:tcW w:w="4990" w:type="dxa"/>
            <w:tcBorders>
              <w:top w:val="single" w:sz="4" w:space="0" w:color="auto"/>
              <w:left w:val="nil"/>
              <w:bottom w:val="single" w:sz="4" w:space="0" w:color="auto"/>
              <w:right w:val="nil"/>
            </w:tcBorders>
            <w:shd w:val="clear" w:color="auto" w:fill="auto"/>
            <w:noWrap/>
            <w:vAlign w:val="bottom"/>
            <w:hideMark/>
          </w:tcPr>
          <w:p w14:paraId="093ECED4" w14:textId="321382D8" w:rsidR="0093472B" w:rsidRPr="00C82EE1" w:rsidRDefault="0093472B" w:rsidP="00026FCB">
            <w:pPr>
              <w:spacing w:after="0" w:line="240" w:lineRule="auto"/>
              <w:jc w:val="both"/>
              <w:rPr>
                <w:rFonts w:ascii="Times New Roman" w:eastAsia="Times New Roman" w:hAnsi="Times New Roman" w:cs="Times New Roman"/>
                <w:b/>
                <w:color w:val="000000"/>
              </w:rPr>
            </w:pPr>
            <w:r w:rsidRPr="00C82EE1">
              <w:rPr>
                <w:rFonts w:ascii="Times New Roman" w:eastAsia="Times New Roman" w:hAnsi="Times New Roman" w:cs="Times New Roman"/>
                <w:b/>
                <w:color w:val="000000"/>
              </w:rPr>
              <w:t>Dependent variable</w:t>
            </w:r>
          </w:p>
        </w:tc>
        <w:tc>
          <w:tcPr>
            <w:tcW w:w="4012" w:type="dxa"/>
            <w:gridSpan w:val="2"/>
            <w:tcBorders>
              <w:top w:val="single" w:sz="4" w:space="0" w:color="auto"/>
              <w:left w:val="nil"/>
              <w:bottom w:val="single" w:sz="4" w:space="0" w:color="auto"/>
              <w:right w:val="nil"/>
            </w:tcBorders>
            <w:shd w:val="clear" w:color="auto" w:fill="auto"/>
            <w:noWrap/>
            <w:vAlign w:val="bottom"/>
            <w:hideMark/>
          </w:tcPr>
          <w:p w14:paraId="49914EDE" w14:textId="77777777" w:rsidR="0093472B" w:rsidRPr="00C82EE1" w:rsidRDefault="0093472B" w:rsidP="00FA76CA">
            <w:pPr>
              <w:spacing w:after="0" w:line="240" w:lineRule="auto"/>
              <w:jc w:val="center"/>
              <w:rPr>
                <w:rFonts w:ascii="Times New Roman" w:eastAsia="Times New Roman" w:hAnsi="Times New Roman" w:cs="Times New Roman"/>
                <w:b/>
                <w:i/>
                <w:color w:val="000000"/>
              </w:rPr>
            </w:pPr>
            <w:r w:rsidRPr="00C82EE1">
              <w:rPr>
                <w:rFonts w:ascii="Times New Roman" w:eastAsia="Times New Roman" w:hAnsi="Times New Roman" w:cs="Times New Roman"/>
                <w:b/>
                <w:i/>
                <w:color w:val="000000"/>
              </w:rPr>
              <w:t>Amount raised</w:t>
            </w:r>
          </w:p>
        </w:tc>
      </w:tr>
      <w:tr w:rsidR="0093472B" w:rsidRPr="00C82EE1" w14:paraId="7029762F"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0D404543" w14:textId="77777777" w:rsidR="0093472B" w:rsidRPr="00C82EE1" w:rsidRDefault="0093472B" w:rsidP="00026FCB">
            <w:pPr>
              <w:spacing w:after="0" w:line="240" w:lineRule="auto"/>
              <w:jc w:val="both"/>
              <w:rPr>
                <w:rFonts w:ascii="Times New Roman" w:eastAsia="Times New Roman" w:hAnsi="Times New Roman" w:cs="Times New Roman"/>
                <w:color w:val="000000"/>
              </w:rPr>
            </w:pPr>
          </w:p>
        </w:tc>
        <w:tc>
          <w:tcPr>
            <w:tcW w:w="1967" w:type="dxa"/>
            <w:tcBorders>
              <w:top w:val="nil"/>
              <w:left w:val="nil"/>
              <w:bottom w:val="nil"/>
              <w:right w:val="nil"/>
            </w:tcBorders>
            <w:shd w:val="clear" w:color="auto" w:fill="auto"/>
            <w:noWrap/>
            <w:vAlign w:val="bottom"/>
            <w:hideMark/>
          </w:tcPr>
          <w:p w14:paraId="75ADC512" w14:textId="77777777" w:rsidR="0093472B" w:rsidRPr="00C82EE1" w:rsidRDefault="0093472B" w:rsidP="008355AB">
            <w:pPr>
              <w:spacing w:after="0" w:line="240" w:lineRule="auto"/>
              <w:rPr>
                <w:rFonts w:ascii="Times New Roman" w:eastAsia="Times New Roman" w:hAnsi="Times New Roman" w:cs="Times New Roman"/>
                <w:color w:val="000000"/>
              </w:rPr>
            </w:pPr>
            <w:r w:rsidRPr="00C82EE1">
              <w:rPr>
                <w:rFonts w:ascii="Times New Roman" w:eastAsia="Times New Roman" w:hAnsi="Times New Roman" w:cs="Times New Roman"/>
                <w:color w:val="000000"/>
              </w:rPr>
              <w:t>&lt; median</w:t>
            </w:r>
          </w:p>
        </w:tc>
        <w:tc>
          <w:tcPr>
            <w:tcW w:w="2045" w:type="dxa"/>
            <w:tcBorders>
              <w:top w:val="nil"/>
              <w:left w:val="nil"/>
              <w:bottom w:val="nil"/>
              <w:right w:val="nil"/>
            </w:tcBorders>
            <w:shd w:val="clear" w:color="auto" w:fill="auto"/>
            <w:noWrap/>
            <w:vAlign w:val="bottom"/>
            <w:hideMark/>
          </w:tcPr>
          <w:p w14:paraId="266E4A69" w14:textId="6D44E823" w:rsidR="0093472B" w:rsidRPr="00C82EE1" w:rsidRDefault="0093472B" w:rsidP="008355AB">
            <w:pPr>
              <w:spacing w:after="0" w:line="240" w:lineRule="auto"/>
              <w:rPr>
                <w:rFonts w:ascii="Times New Roman" w:eastAsia="Times New Roman" w:hAnsi="Times New Roman" w:cs="Times New Roman"/>
                <w:color w:val="000000"/>
              </w:rPr>
            </w:pPr>
            <w:r w:rsidRPr="00C82EE1">
              <w:rPr>
                <w:rFonts w:ascii="Times New Roman" w:eastAsia="Times New Roman" w:hAnsi="Times New Roman" w:cs="Times New Roman"/>
                <w:color w:val="000000"/>
              </w:rPr>
              <w:t>≥ median</w:t>
            </w:r>
          </w:p>
        </w:tc>
      </w:tr>
      <w:tr w:rsidR="0093472B" w:rsidRPr="00C82EE1" w14:paraId="3C6E55DC" w14:textId="77777777" w:rsidTr="00DB2FF5">
        <w:trPr>
          <w:trHeight w:val="231"/>
          <w:jc w:val="center"/>
        </w:trPr>
        <w:tc>
          <w:tcPr>
            <w:tcW w:w="4990" w:type="dxa"/>
            <w:tcBorders>
              <w:top w:val="nil"/>
              <w:left w:val="nil"/>
              <w:bottom w:val="single" w:sz="4" w:space="0" w:color="auto"/>
              <w:right w:val="nil"/>
            </w:tcBorders>
            <w:shd w:val="clear" w:color="auto" w:fill="auto"/>
            <w:noWrap/>
            <w:vAlign w:val="bottom"/>
            <w:hideMark/>
          </w:tcPr>
          <w:p w14:paraId="01A7D35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Model</w:t>
            </w:r>
          </w:p>
        </w:tc>
        <w:tc>
          <w:tcPr>
            <w:tcW w:w="1967" w:type="dxa"/>
            <w:tcBorders>
              <w:top w:val="nil"/>
              <w:left w:val="nil"/>
              <w:bottom w:val="single" w:sz="4" w:space="0" w:color="auto"/>
              <w:right w:val="nil"/>
            </w:tcBorders>
            <w:shd w:val="clear" w:color="auto" w:fill="auto"/>
            <w:noWrap/>
            <w:vAlign w:val="bottom"/>
            <w:hideMark/>
          </w:tcPr>
          <w:p w14:paraId="1E62E082"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(1)</w:t>
            </w:r>
          </w:p>
        </w:tc>
        <w:tc>
          <w:tcPr>
            <w:tcW w:w="2045" w:type="dxa"/>
            <w:tcBorders>
              <w:top w:val="nil"/>
              <w:left w:val="nil"/>
              <w:bottom w:val="single" w:sz="4" w:space="0" w:color="auto"/>
              <w:right w:val="nil"/>
            </w:tcBorders>
            <w:shd w:val="clear" w:color="auto" w:fill="auto"/>
            <w:noWrap/>
            <w:vAlign w:val="bottom"/>
            <w:hideMark/>
          </w:tcPr>
          <w:p w14:paraId="524BAE66"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(2)</w:t>
            </w:r>
          </w:p>
        </w:tc>
      </w:tr>
      <w:tr w:rsidR="0093472B" w:rsidRPr="00C82EE1" w14:paraId="1885FA2F"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6FE0B023"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Constant</w:t>
            </w:r>
          </w:p>
        </w:tc>
        <w:tc>
          <w:tcPr>
            <w:tcW w:w="1967" w:type="dxa"/>
            <w:tcBorders>
              <w:top w:val="nil"/>
              <w:left w:val="nil"/>
              <w:bottom w:val="nil"/>
              <w:right w:val="nil"/>
            </w:tcBorders>
            <w:shd w:val="clear" w:color="auto" w:fill="auto"/>
            <w:noWrap/>
            <w:vAlign w:val="bottom"/>
            <w:hideMark/>
          </w:tcPr>
          <w:p w14:paraId="19D2190A"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7.326**</w:t>
            </w:r>
          </w:p>
        </w:tc>
        <w:tc>
          <w:tcPr>
            <w:tcW w:w="2045" w:type="dxa"/>
            <w:tcBorders>
              <w:top w:val="nil"/>
              <w:left w:val="nil"/>
              <w:bottom w:val="nil"/>
              <w:right w:val="nil"/>
            </w:tcBorders>
            <w:shd w:val="clear" w:color="auto" w:fill="auto"/>
            <w:noWrap/>
            <w:vAlign w:val="bottom"/>
            <w:hideMark/>
          </w:tcPr>
          <w:p w14:paraId="2C1764E2"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11.571***</w:t>
            </w:r>
          </w:p>
        </w:tc>
      </w:tr>
      <w:tr w:rsidR="0093472B" w:rsidRPr="00C82EE1" w14:paraId="004AA301"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66DBACDF"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1483D203"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(2.952)</w:t>
            </w:r>
          </w:p>
        </w:tc>
        <w:tc>
          <w:tcPr>
            <w:tcW w:w="2045" w:type="dxa"/>
            <w:tcBorders>
              <w:top w:val="nil"/>
              <w:left w:val="nil"/>
              <w:bottom w:val="nil"/>
              <w:right w:val="nil"/>
            </w:tcBorders>
            <w:shd w:val="clear" w:color="auto" w:fill="auto"/>
            <w:noWrap/>
            <w:vAlign w:val="bottom"/>
            <w:hideMark/>
          </w:tcPr>
          <w:p w14:paraId="201C7F41"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(3.617)</w:t>
            </w:r>
          </w:p>
        </w:tc>
      </w:tr>
      <w:tr w:rsidR="0093472B" w:rsidRPr="00C82EE1" w14:paraId="3E5BC813"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4A5C0E4B"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LC</w:t>
            </w:r>
          </w:p>
        </w:tc>
        <w:tc>
          <w:tcPr>
            <w:tcW w:w="1967" w:type="dxa"/>
            <w:tcBorders>
              <w:top w:val="nil"/>
              <w:left w:val="nil"/>
              <w:bottom w:val="nil"/>
              <w:right w:val="nil"/>
            </w:tcBorders>
            <w:shd w:val="clear" w:color="auto" w:fill="auto"/>
            <w:noWrap/>
            <w:vAlign w:val="bottom"/>
            <w:hideMark/>
          </w:tcPr>
          <w:p w14:paraId="489D1E2D"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0.099***</w:t>
            </w:r>
          </w:p>
        </w:tc>
        <w:tc>
          <w:tcPr>
            <w:tcW w:w="2045" w:type="dxa"/>
            <w:tcBorders>
              <w:top w:val="nil"/>
              <w:left w:val="nil"/>
              <w:bottom w:val="nil"/>
              <w:right w:val="nil"/>
            </w:tcBorders>
            <w:shd w:val="clear" w:color="auto" w:fill="auto"/>
            <w:noWrap/>
            <w:vAlign w:val="bottom"/>
            <w:hideMark/>
          </w:tcPr>
          <w:p w14:paraId="4E9B7EC9"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0.173***</w:t>
            </w:r>
          </w:p>
        </w:tc>
      </w:tr>
      <w:tr w:rsidR="0093472B" w:rsidRPr="00C82EE1" w14:paraId="0BCD1EB2"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62175FAF"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35BEB429"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(0.025)</w:t>
            </w:r>
          </w:p>
        </w:tc>
        <w:tc>
          <w:tcPr>
            <w:tcW w:w="2045" w:type="dxa"/>
            <w:tcBorders>
              <w:top w:val="nil"/>
              <w:left w:val="nil"/>
              <w:bottom w:val="nil"/>
              <w:right w:val="nil"/>
            </w:tcBorders>
            <w:shd w:val="clear" w:color="auto" w:fill="auto"/>
            <w:noWrap/>
            <w:vAlign w:val="bottom"/>
            <w:hideMark/>
          </w:tcPr>
          <w:p w14:paraId="70125ED6"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(0.042)</w:t>
            </w:r>
          </w:p>
        </w:tc>
      </w:tr>
      <w:tr w:rsidR="0093472B" w:rsidRPr="00C82EE1" w14:paraId="487E7652"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571F5C51"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roofErr w:type="spellStart"/>
            <w:r w:rsidRPr="00C82EE1">
              <w:rPr>
                <w:rFonts w:ascii="Times New Roman" w:eastAsia="Times New Roman" w:hAnsi="Times New Roman" w:cs="Times New Roman"/>
                <w:i/>
                <w:color w:val="000000"/>
              </w:rPr>
              <w:t>Readability_Flesch</w:t>
            </w:r>
            <w:proofErr w:type="spellEnd"/>
          </w:p>
        </w:tc>
        <w:tc>
          <w:tcPr>
            <w:tcW w:w="1967" w:type="dxa"/>
            <w:tcBorders>
              <w:top w:val="nil"/>
              <w:left w:val="nil"/>
              <w:bottom w:val="nil"/>
              <w:right w:val="nil"/>
            </w:tcBorders>
            <w:shd w:val="clear" w:color="auto" w:fill="auto"/>
            <w:noWrap/>
            <w:vAlign w:val="bottom"/>
            <w:hideMark/>
          </w:tcPr>
          <w:p w14:paraId="69257E78"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0.280***</w:t>
            </w:r>
          </w:p>
        </w:tc>
        <w:tc>
          <w:tcPr>
            <w:tcW w:w="2045" w:type="dxa"/>
            <w:tcBorders>
              <w:top w:val="nil"/>
              <w:left w:val="nil"/>
              <w:bottom w:val="nil"/>
              <w:right w:val="nil"/>
            </w:tcBorders>
            <w:shd w:val="clear" w:color="auto" w:fill="auto"/>
            <w:noWrap/>
            <w:vAlign w:val="bottom"/>
            <w:hideMark/>
          </w:tcPr>
          <w:p w14:paraId="5E71A2C6"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0.109</w:t>
            </w:r>
          </w:p>
        </w:tc>
      </w:tr>
      <w:tr w:rsidR="0093472B" w:rsidRPr="00C82EE1" w14:paraId="4645FB99"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368E1350"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0387B0A5"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(0.061)</w:t>
            </w:r>
          </w:p>
        </w:tc>
        <w:tc>
          <w:tcPr>
            <w:tcW w:w="2045" w:type="dxa"/>
            <w:tcBorders>
              <w:top w:val="nil"/>
              <w:left w:val="nil"/>
              <w:bottom w:val="nil"/>
              <w:right w:val="nil"/>
            </w:tcBorders>
            <w:shd w:val="clear" w:color="auto" w:fill="auto"/>
            <w:noWrap/>
            <w:vAlign w:val="bottom"/>
            <w:hideMark/>
          </w:tcPr>
          <w:p w14:paraId="07904F7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(0.236)</w:t>
            </w:r>
          </w:p>
        </w:tc>
      </w:tr>
      <w:tr w:rsidR="0093472B" w:rsidRPr="00C82EE1" w14:paraId="720A6876"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05D1F53A"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roofErr w:type="spellStart"/>
            <w:r w:rsidRPr="00C82EE1">
              <w:rPr>
                <w:rFonts w:ascii="Times New Roman" w:eastAsia="Times New Roman" w:hAnsi="Times New Roman" w:cs="Times New Roman"/>
                <w:i/>
                <w:color w:val="000000"/>
              </w:rPr>
              <w:t>Readability_Flesch.square</w:t>
            </w:r>
            <w:proofErr w:type="spellEnd"/>
          </w:p>
        </w:tc>
        <w:tc>
          <w:tcPr>
            <w:tcW w:w="1967" w:type="dxa"/>
            <w:tcBorders>
              <w:top w:val="nil"/>
              <w:left w:val="nil"/>
              <w:bottom w:val="nil"/>
              <w:right w:val="nil"/>
            </w:tcBorders>
            <w:shd w:val="clear" w:color="auto" w:fill="auto"/>
            <w:noWrap/>
            <w:vAlign w:val="bottom"/>
            <w:hideMark/>
          </w:tcPr>
          <w:p w14:paraId="62B960F9"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-0.005***</w:t>
            </w:r>
          </w:p>
        </w:tc>
        <w:tc>
          <w:tcPr>
            <w:tcW w:w="2045" w:type="dxa"/>
            <w:tcBorders>
              <w:top w:val="nil"/>
              <w:left w:val="nil"/>
              <w:bottom w:val="nil"/>
              <w:right w:val="nil"/>
            </w:tcBorders>
            <w:shd w:val="clear" w:color="auto" w:fill="auto"/>
            <w:noWrap/>
            <w:vAlign w:val="bottom"/>
            <w:hideMark/>
          </w:tcPr>
          <w:p w14:paraId="7CCA256B"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-0.001</w:t>
            </w:r>
          </w:p>
        </w:tc>
      </w:tr>
      <w:tr w:rsidR="0093472B" w:rsidRPr="00C82EE1" w14:paraId="5E805362"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14567AF8"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54B8388F"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(0.001)</w:t>
            </w:r>
          </w:p>
        </w:tc>
        <w:tc>
          <w:tcPr>
            <w:tcW w:w="2045" w:type="dxa"/>
            <w:tcBorders>
              <w:top w:val="nil"/>
              <w:left w:val="nil"/>
              <w:bottom w:val="nil"/>
              <w:right w:val="nil"/>
            </w:tcBorders>
            <w:shd w:val="clear" w:color="auto" w:fill="auto"/>
            <w:noWrap/>
            <w:vAlign w:val="bottom"/>
            <w:hideMark/>
          </w:tcPr>
          <w:p w14:paraId="3A5EB631"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(0.002)</w:t>
            </w:r>
          </w:p>
        </w:tc>
      </w:tr>
      <w:tr w:rsidR="0093472B" w:rsidRPr="00C82EE1" w14:paraId="590D3FFC"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7C0BD1C8"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Sentiment</w:t>
            </w:r>
          </w:p>
        </w:tc>
        <w:tc>
          <w:tcPr>
            <w:tcW w:w="1967" w:type="dxa"/>
            <w:tcBorders>
              <w:top w:val="nil"/>
              <w:left w:val="nil"/>
              <w:bottom w:val="nil"/>
              <w:right w:val="nil"/>
            </w:tcBorders>
            <w:shd w:val="clear" w:color="auto" w:fill="auto"/>
            <w:noWrap/>
            <w:vAlign w:val="bottom"/>
            <w:hideMark/>
          </w:tcPr>
          <w:p w14:paraId="6C7BD72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2.052</w:t>
            </w:r>
          </w:p>
        </w:tc>
        <w:tc>
          <w:tcPr>
            <w:tcW w:w="2045" w:type="dxa"/>
            <w:tcBorders>
              <w:top w:val="nil"/>
              <w:left w:val="nil"/>
              <w:bottom w:val="nil"/>
              <w:right w:val="nil"/>
            </w:tcBorders>
            <w:shd w:val="clear" w:color="auto" w:fill="auto"/>
            <w:noWrap/>
            <w:vAlign w:val="bottom"/>
            <w:hideMark/>
          </w:tcPr>
          <w:p w14:paraId="65FA940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-3.543</w:t>
            </w:r>
          </w:p>
        </w:tc>
      </w:tr>
      <w:tr w:rsidR="0093472B" w:rsidRPr="00C82EE1" w14:paraId="3D22169A"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6C5C7AEA"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32E4511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(12.107)</w:t>
            </w:r>
          </w:p>
        </w:tc>
        <w:tc>
          <w:tcPr>
            <w:tcW w:w="2045" w:type="dxa"/>
            <w:tcBorders>
              <w:top w:val="nil"/>
              <w:left w:val="nil"/>
              <w:bottom w:val="nil"/>
              <w:right w:val="nil"/>
            </w:tcBorders>
            <w:shd w:val="clear" w:color="auto" w:fill="auto"/>
            <w:noWrap/>
            <w:vAlign w:val="bottom"/>
            <w:hideMark/>
          </w:tcPr>
          <w:p w14:paraId="7C073FA8"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(13.149)</w:t>
            </w:r>
          </w:p>
        </w:tc>
      </w:tr>
      <w:tr w:rsidR="0093472B" w:rsidRPr="00C82EE1" w14:paraId="3693360C"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5FC9F479"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Institution</w:t>
            </w:r>
          </w:p>
        </w:tc>
        <w:tc>
          <w:tcPr>
            <w:tcW w:w="1967" w:type="dxa"/>
            <w:tcBorders>
              <w:top w:val="nil"/>
              <w:left w:val="nil"/>
              <w:bottom w:val="nil"/>
              <w:right w:val="nil"/>
            </w:tcBorders>
            <w:shd w:val="clear" w:color="auto" w:fill="auto"/>
            <w:noWrap/>
            <w:vAlign w:val="bottom"/>
            <w:hideMark/>
          </w:tcPr>
          <w:p w14:paraId="61B4C0B0"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0.128***</w:t>
            </w:r>
          </w:p>
        </w:tc>
        <w:tc>
          <w:tcPr>
            <w:tcW w:w="2045" w:type="dxa"/>
            <w:tcBorders>
              <w:top w:val="nil"/>
              <w:left w:val="nil"/>
              <w:bottom w:val="nil"/>
              <w:right w:val="nil"/>
            </w:tcBorders>
            <w:shd w:val="clear" w:color="auto" w:fill="auto"/>
            <w:noWrap/>
            <w:vAlign w:val="bottom"/>
            <w:hideMark/>
          </w:tcPr>
          <w:p w14:paraId="6E510E01"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0.207***</w:t>
            </w:r>
          </w:p>
        </w:tc>
      </w:tr>
      <w:tr w:rsidR="0093472B" w:rsidRPr="00C82EE1" w14:paraId="1DDDE70D"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488D4399"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6E672B3B"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(0.039)</w:t>
            </w:r>
          </w:p>
        </w:tc>
        <w:tc>
          <w:tcPr>
            <w:tcW w:w="2045" w:type="dxa"/>
            <w:tcBorders>
              <w:top w:val="nil"/>
              <w:left w:val="nil"/>
              <w:bottom w:val="nil"/>
              <w:right w:val="nil"/>
            </w:tcBorders>
            <w:shd w:val="clear" w:color="auto" w:fill="auto"/>
            <w:noWrap/>
            <w:vAlign w:val="bottom"/>
            <w:hideMark/>
          </w:tcPr>
          <w:p w14:paraId="06F270C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(0.028)</w:t>
            </w:r>
          </w:p>
        </w:tc>
      </w:tr>
      <w:tr w:rsidR="0093472B" w:rsidRPr="00C82EE1" w14:paraId="5835F293"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64F5A640"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US restrict</w:t>
            </w:r>
          </w:p>
        </w:tc>
        <w:tc>
          <w:tcPr>
            <w:tcW w:w="1967" w:type="dxa"/>
            <w:tcBorders>
              <w:top w:val="nil"/>
              <w:left w:val="nil"/>
              <w:bottom w:val="nil"/>
              <w:right w:val="nil"/>
            </w:tcBorders>
            <w:shd w:val="clear" w:color="auto" w:fill="auto"/>
            <w:noWrap/>
            <w:vAlign w:val="bottom"/>
            <w:hideMark/>
          </w:tcPr>
          <w:p w14:paraId="3EF7DED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0.144**</w:t>
            </w:r>
          </w:p>
        </w:tc>
        <w:tc>
          <w:tcPr>
            <w:tcW w:w="2045" w:type="dxa"/>
            <w:tcBorders>
              <w:top w:val="nil"/>
              <w:left w:val="nil"/>
              <w:bottom w:val="nil"/>
              <w:right w:val="nil"/>
            </w:tcBorders>
            <w:shd w:val="clear" w:color="auto" w:fill="auto"/>
            <w:noWrap/>
            <w:vAlign w:val="bottom"/>
            <w:hideMark/>
          </w:tcPr>
          <w:p w14:paraId="462D7031"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0.257**</w:t>
            </w:r>
          </w:p>
        </w:tc>
      </w:tr>
      <w:tr w:rsidR="0093472B" w:rsidRPr="00C82EE1" w14:paraId="1298A2FC"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28A7C506"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473E45EE"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(0.073)</w:t>
            </w:r>
          </w:p>
        </w:tc>
        <w:tc>
          <w:tcPr>
            <w:tcW w:w="2045" w:type="dxa"/>
            <w:tcBorders>
              <w:top w:val="nil"/>
              <w:left w:val="nil"/>
              <w:bottom w:val="nil"/>
              <w:right w:val="nil"/>
            </w:tcBorders>
            <w:shd w:val="clear" w:color="auto" w:fill="auto"/>
            <w:noWrap/>
            <w:vAlign w:val="bottom"/>
            <w:hideMark/>
          </w:tcPr>
          <w:p w14:paraId="3B0D91A1"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(0.123)</w:t>
            </w:r>
          </w:p>
        </w:tc>
      </w:tr>
      <w:tr w:rsidR="0093472B" w:rsidRPr="00C82EE1" w14:paraId="2E56EAE0"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04B15AB1"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Social media</w:t>
            </w:r>
          </w:p>
        </w:tc>
        <w:tc>
          <w:tcPr>
            <w:tcW w:w="1967" w:type="dxa"/>
            <w:tcBorders>
              <w:top w:val="nil"/>
              <w:left w:val="nil"/>
              <w:bottom w:val="nil"/>
              <w:right w:val="nil"/>
            </w:tcBorders>
            <w:shd w:val="clear" w:color="auto" w:fill="auto"/>
            <w:noWrap/>
            <w:vAlign w:val="bottom"/>
            <w:hideMark/>
          </w:tcPr>
          <w:p w14:paraId="22F0F42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0.037</w:t>
            </w:r>
          </w:p>
        </w:tc>
        <w:tc>
          <w:tcPr>
            <w:tcW w:w="2045" w:type="dxa"/>
            <w:tcBorders>
              <w:top w:val="nil"/>
              <w:left w:val="nil"/>
              <w:bottom w:val="nil"/>
              <w:right w:val="nil"/>
            </w:tcBorders>
            <w:shd w:val="clear" w:color="auto" w:fill="auto"/>
            <w:noWrap/>
            <w:vAlign w:val="bottom"/>
            <w:hideMark/>
          </w:tcPr>
          <w:p w14:paraId="10D3F47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-0.035</w:t>
            </w:r>
          </w:p>
        </w:tc>
      </w:tr>
      <w:tr w:rsidR="0093472B" w:rsidRPr="00C82EE1" w14:paraId="4062CFFB"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577D6532"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00A0167F"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(0.066)</w:t>
            </w:r>
          </w:p>
        </w:tc>
        <w:tc>
          <w:tcPr>
            <w:tcW w:w="2045" w:type="dxa"/>
            <w:tcBorders>
              <w:top w:val="nil"/>
              <w:left w:val="nil"/>
              <w:bottom w:val="nil"/>
              <w:right w:val="nil"/>
            </w:tcBorders>
            <w:shd w:val="clear" w:color="auto" w:fill="auto"/>
            <w:noWrap/>
            <w:vAlign w:val="bottom"/>
            <w:hideMark/>
          </w:tcPr>
          <w:p w14:paraId="188BA5C2"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(0.055)</w:t>
            </w:r>
          </w:p>
        </w:tc>
      </w:tr>
      <w:tr w:rsidR="0093472B" w:rsidRPr="00C82EE1" w14:paraId="49FFB753"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29D1A09F"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Video</w:t>
            </w:r>
          </w:p>
        </w:tc>
        <w:tc>
          <w:tcPr>
            <w:tcW w:w="1967" w:type="dxa"/>
            <w:tcBorders>
              <w:top w:val="nil"/>
              <w:left w:val="nil"/>
              <w:bottom w:val="nil"/>
              <w:right w:val="nil"/>
            </w:tcBorders>
            <w:shd w:val="clear" w:color="auto" w:fill="auto"/>
            <w:noWrap/>
            <w:vAlign w:val="bottom"/>
            <w:hideMark/>
          </w:tcPr>
          <w:p w14:paraId="6A0BBA0B"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0.165</w:t>
            </w:r>
          </w:p>
        </w:tc>
        <w:tc>
          <w:tcPr>
            <w:tcW w:w="2045" w:type="dxa"/>
            <w:tcBorders>
              <w:top w:val="nil"/>
              <w:left w:val="nil"/>
              <w:bottom w:val="nil"/>
              <w:right w:val="nil"/>
            </w:tcBorders>
            <w:shd w:val="clear" w:color="auto" w:fill="auto"/>
            <w:noWrap/>
            <w:vAlign w:val="bottom"/>
            <w:hideMark/>
          </w:tcPr>
          <w:p w14:paraId="5EED205F"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0.398**</w:t>
            </w:r>
          </w:p>
        </w:tc>
      </w:tr>
      <w:tr w:rsidR="0093472B" w:rsidRPr="00C82EE1" w14:paraId="2AE713B7"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7228CAAF"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21F48C1E"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(0.221)</w:t>
            </w:r>
          </w:p>
        </w:tc>
        <w:tc>
          <w:tcPr>
            <w:tcW w:w="2045" w:type="dxa"/>
            <w:tcBorders>
              <w:top w:val="nil"/>
              <w:left w:val="nil"/>
              <w:bottom w:val="nil"/>
              <w:right w:val="nil"/>
            </w:tcBorders>
            <w:shd w:val="clear" w:color="auto" w:fill="auto"/>
            <w:noWrap/>
            <w:vAlign w:val="bottom"/>
            <w:hideMark/>
          </w:tcPr>
          <w:p w14:paraId="3DB02E25"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(0.181)</w:t>
            </w:r>
          </w:p>
        </w:tc>
      </w:tr>
      <w:tr w:rsidR="0093472B" w:rsidRPr="00C82EE1" w14:paraId="52869436"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7DEC17E3"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Eth</w:t>
            </w:r>
          </w:p>
        </w:tc>
        <w:tc>
          <w:tcPr>
            <w:tcW w:w="1967" w:type="dxa"/>
            <w:tcBorders>
              <w:top w:val="nil"/>
              <w:left w:val="nil"/>
              <w:bottom w:val="nil"/>
              <w:right w:val="nil"/>
            </w:tcBorders>
            <w:shd w:val="clear" w:color="auto" w:fill="auto"/>
            <w:noWrap/>
            <w:vAlign w:val="bottom"/>
            <w:hideMark/>
          </w:tcPr>
          <w:p w14:paraId="655D5972"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-0.004</w:t>
            </w:r>
          </w:p>
        </w:tc>
        <w:tc>
          <w:tcPr>
            <w:tcW w:w="2045" w:type="dxa"/>
            <w:tcBorders>
              <w:top w:val="nil"/>
              <w:left w:val="nil"/>
              <w:bottom w:val="nil"/>
              <w:right w:val="nil"/>
            </w:tcBorders>
            <w:shd w:val="clear" w:color="auto" w:fill="auto"/>
            <w:noWrap/>
            <w:vAlign w:val="bottom"/>
            <w:hideMark/>
          </w:tcPr>
          <w:p w14:paraId="493D5F87"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-0.344</w:t>
            </w:r>
          </w:p>
        </w:tc>
      </w:tr>
      <w:tr w:rsidR="0093472B" w:rsidRPr="00C82EE1" w14:paraId="7FC9031F"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0FF0B11D"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1FC762AE"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(0.202)</w:t>
            </w:r>
          </w:p>
        </w:tc>
        <w:tc>
          <w:tcPr>
            <w:tcW w:w="2045" w:type="dxa"/>
            <w:tcBorders>
              <w:top w:val="nil"/>
              <w:left w:val="nil"/>
              <w:bottom w:val="nil"/>
              <w:right w:val="nil"/>
            </w:tcBorders>
            <w:shd w:val="clear" w:color="auto" w:fill="auto"/>
            <w:noWrap/>
            <w:vAlign w:val="bottom"/>
            <w:hideMark/>
          </w:tcPr>
          <w:p w14:paraId="3F21691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(0.223)</w:t>
            </w:r>
          </w:p>
        </w:tc>
      </w:tr>
      <w:tr w:rsidR="0093472B" w:rsidRPr="00C82EE1" w14:paraId="54E7675A"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5D89BAD0"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Token distribution</w:t>
            </w:r>
          </w:p>
        </w:tc>
        <w:tc>
          <w:tcPr>
            <w:tcW w:w="1967" w:type="dxa"/>
            <w:tcBorders>
              <w:top w:val="nil"/>
              <w:left w:val="nil"/>
              <w:bottom w:val="nil"/>
              <w:right w:val="nil"/>
            </w:tcBorders>
            <w:shd w:val="clear" w:color="auto" w:fill="auto"/>
            <w:noWrap/>
            <w:vAlign w:val="bottom"/>
            <w:hideMark/>
          </w:tcPr>
          <w:p w14:paraId="07D0B5D3"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-0.300</w:t>
            </w:r>
          </w:p>
        </w:tc>
        <w:tc>
          <w:tcPr>
            <w:tcW w:w="2045" w:type="dxa"/>
            <w:tcBorders>
              <w:top w:val="nil"/>
              <w:left w:val="nil"/>
              <w:bottom w:val="nil"/>
              <w:right w:val="nil"/>
            </w:tcBorders>
            <w:shd w:val="clear" w:color="auto" w:fill="auto"/>
            <w:noWrap/>
            <w:vAlign w:val="bottom"/>
            <w:hideMark/>
          </w:tcPr>
          <w:p w14:paraId="6CDC2795"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0.358</w:t>
            </w:r>
          </w:p>
        </w:tc>
      </w:tr>
      <w:tr w:rsidR="0093472B" w:rsidRPr="00C82EE1" w14:paraId="5CED9037"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4C74DB02"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3A02CA79"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(0.491)</w:t>
            </w:r>
          </w:p>
        </w:tc>
        <w:tc>
          <w:tcPr>
            <w:tcW w:w="2045" w:type="dxa"/>
            <w:tcBorders>
              <w:top w:val="nil"/>
              <w:left w:val="nil"/>
              <w:bottom w:val="nil"/>
              <w:right w:val="nil"/>
            </w:tcBorders>
            <w:shd w:val="clear" w:color="auto" w:fill="auto"/>
            <w:noWrap/>
            <w:vAlign w:val="bottom"/>
            <w:hideMark/>
          </w:tcPr>
          <w:p w14:paraId="181E4945"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(1.057)</w:t>
            </w:r>
          </w:p>
        </w:tc>
      </w:tr>
      <w:tr w:rsidR="0093472B" w:rsidRPr="00C82EE1" w14:paraId="0D8EFE81"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20C27802"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Minimum investment</w:t>
            </w:r>
          </w:p>
        </w:tc>
        <w:tc>
          <w:tcPr>
            <w:tcW w:w="1967" w:type="dxa"/>
            <w:tcBorders>
              <w:top w:val="nil"/>
              <w:left w:val="nil"/>
              <w:bottom w:val="nil"/>
              <w:right w:val="nil"/>
            </w:tcBorders>
            <w:shd w:val="clear" w:color="auto" w:fill="auto"/>
            <w:noWrap/>
            <w:vAlign w:val="bottom"/>
            <w:hideMark/>
          </w:tcPr>
          <w:p w14:paraId="5F829906"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0.046</w:t>
            </w:r>
          </w:p>
        </w:tc>
        <w:tc>
          <w:tcPr>
            <w:tcW w:w="2045" w:type="dxa"/>
            <w:tcBorders>
              <w:top w:val="nil"/>
              <w:left w:val="nil"/>
              <w:bottom w:val="nil"/>
              <w:right w:val="nil"/>
            </w:tcBorders>
            <w:shd w:val="clear" w:color="auto" w:fill="auto"/>
            <w:noWrap/>
            <w:vAlign w:val="bottom"/>
            <w:hideMark/>
          </w:tcPr>
          <w:p w14:paraId="3035732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0.034</w:t>
            </w:r>
          </w:p>
        </w:tc>
      </w:tr>
      <w:tr w:rsidR="0093472B" w:rsidRPr="00C82EE1" w14:paraId="68266718"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41C646D9"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6E98BE35"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(0.190)</w:t>
            </w:r>
          </w:p>
        </w:tc>
        <w:tc>
          <w:tcPr>
            <w:tcW w:w="2045" w:type="dxa"/>
            <w:tcBorders>
              <w:top w:val="nil"/>
              <w:left w:val="nil"/>
              <w:bottom w:val="nil"/>
              <w:right w:val="nil"/>
            </w:tcBorders>
            <w:shd w:val="clear" w:color="auto" w:fill="auto"/>
            <w:noWrap/>
            <w:vAlign w:val="bottom"/>
            <w:hideMark/>
          </w:tcPr>
          <w:p w14:paraId="74C5ED1D"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(0.160)</w:t>
            </w:r>
          </w:p>
        </w:tc>
      </w:tr>
      <w:tr w:rsidR="0093472B" w:rsidRPr="00C82EE1" w14:paraId="43AF0ECE"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244E03C6"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Fiat</w:t>
            </w:r>
          </w:p>
        </w:tc>
        <w:tc>
          <w:tcPr>
            <w:tcW w:w="1967" w:type="dxa"/>
            <w:tcBorders>
              <w:top w:val="nil"/>
              <w:left w:val="nil"/>
              <w:bottom w:val="nil"/>
              <w:right w:val="nil"/>
            </w:tcBorders>
            <w:shd w:val="clear" w:color="auto" w:fill="auto"/>
            <w:noWrap/>
            <w:vAlign w:val="bottom"/>
            <w:hideMark/>
          </w:tcPr>
          <w:p w14:paraId="5FF386AA"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0.329</w:t>
            </w:r>
          </w:p>
        </w:tc>
        <w:tc>
          <w:tcPr>
            <w:tcW w:w="2045" w:type="dxa"/>
            <w:tcBorders>
              <w:top w:val="nil"/>
              <w:left w:val="nil"/>
              <w:bottom w:val="nil"/>
              <w:right w:val="nil"/>
            </w:tcBorders>
            <w:shd w:val="clear" w:color="auto" w:fill="auto"/>
            <w:noWrap/>
            <w:vAlign w:val="bottom"/>
            <w:hideMark/>
          </w:tcPr>
          <w:p w14:paraId="1C82096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0.610**</w:t>
            </w:r>
          </w:p>
        </w:tc>
      </w:tr>
      <w:tr w:rsidR="0093472B" w:rsidRPr="00C82EE1" w14:paraId="136CF9EC"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2DD7C7A2"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4A1260AD"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(0.271)</w:t>
            </w:r>
          </w:p>
        </w:tc>
        <w:tc>
          <w:tcPr>
            <w:tcW w:w="2045" w:type="dxa"/>
            <w:tcBorders>
              <w:top w:val="nil"/>
              <w:left w:val="nil"/>
              <w:bottom w:val="nil"/>
              <w:right w:val="nil"/>
            </w:tcBorders>
            <w:shd w:val="clear" w:color="auto" w:fill="auto"/>
            <w:noWrap/>
            <w:vAlign w:val="bottom"/>
            <w:hideMark/>
          </w:tcPr>
          <w:p w14:paraId="3E13A9F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(0.243)</w:t>
            </w:r>
          </w:p>
        </w:tc>
      </w:tr>
      <w:tr w:rsidR="0093472B" w:rsidRPr="00C82EE1" w14:paraId="312A05D4"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56BC9040"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roofErr w:type="spellStart"/>
            <w:r w:rsidRPr="00C82EE1">
              <w:rPr>
                <w:rFonts w:ascii="Times New Roman" w:eastAsia="Times New Roman" w:hAnsi="Times New Roman" w:cs="Times New Roman"/>
                <w:i/>
                <w:color w:val="000000"/>
              </w:rPr>
              <w:t>Hardcap</w:t>
            </w:r>
            <w:proofErr w:type="spellEnd"/>
          </w:p>
        </w:tc>
        <w:tc>
          <w:tcPr>
            <w:tcW w:w="1967" w:type="dxa"/>
            <w:tcBorders>
              <w:top w:val="nil"/>
              <w:left w:val="nil"/>
              <w:bottom w:val="nil"/>
              <w:right w:val="nil"/>
            </w:tcBorders>
            <w:shd w:val="clear" w:color="auto" w:fill="auto"/>
            <w:noWrap/>
            <w:vAlign w:val="bottom"/>
            <w:hideMark/>
          </w:tcPr>
          <w:p w14:paraId="1AF6C5F6"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0.163</w:t>
            </w:r>
          </w:p>
        </w:tc>
        <w:tc>
          <w:tcPr>
            <w:tcW w:w="2045" w:type="dxa"/>
            <w:tcBorders>
              <w:top w:val="nil"/>
              <w:left w:val="nil"/>
              <w:bottom w:val="nil"/>
              <w:right w:val="nil"/>
            </w:tcBorders>
            <w:shd w:val="clear" w:color="auto" w:fill="auto"/>
            <w:noWrap/>
            <w:vAlign w:val="bottom"/>
            <w:hideMark/>
          </w:tcPr>
          <w:p w14:paraId="081538A0"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0.019</w:t>
            </w:r>
          </w:p>
        </w:tc>
      </w:tr>
      <w:tr w:rsidR="0093472B" w:rsidRPr="00C82EE1" w14:paraId="30065D9C"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342E563B"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70AEE275"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(0.146)</w:t>
            </w:r>
          </w:p>
        </w:tc>
        <w:tc>
          <w:tcPr>
            <w:tcW w:w="2045" w:type="dxa"/>
            <w:tcBorders>
              <w:top w:val="nil"/>
              <w:left w:val="nil"/>
              <w:bottom w:val="nil"/>
              <w:right w:val="nil"/>
            </w:tcBorders>
            <w:shd w:val="clear" w:color="auto" w:fill="auto"/>
            <w:noWrap/>
            <w:vAlign w:val="bottom"/>
            <w:hideMark/>
          </w:tcPr>
          <w:p w14:paraId="00329838"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(0.506)</w:t>
            </w:r>
          </w:p>
        </w:tc>
      </w:tr>
      <w:tr w:rsidR="0093472B" w:rsidRPr="00C82EE1" w14:paraId="6B460DEA"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7F41E52A"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roofErr w:type="spellStart"/>
            <w:r w:rsidRPr="00C82EE1">
              <w:rPr>
                <w:rFonts w:ascii="Times New Roman" w:eastAsia="Times New Roman" w:hAnsi="Times New Roman" w:cs="Times New Roman"/>
                <w:i/>
                <w:color w:val="000000"/>
              </w:rPr>
              <w:t>Softcap</w:t>
            </w:r>
            <w:proofErr w:type="spellEnd"/>
          </w:p>
        </w:tc>
        <w:tc>
          <w:tcPr>
            <w:tcW w:w="1967" w:type="dxa"/>
            <w:tcBorders>
              <w:top w:val="nil"/>
              <w:left w:val="nil"/>
              <w:bottom w:val="nil"/>
              <w:right w:val="nil"/>
            </w:tcBorders>
            <w:shd w:val="clear" w:color="auto" w:fill="auto"/>
            <w:noWrap/>
            <w:vAlign w:val="bottom"/>
            <w:hideMark/>
          </w:tcPr>
          <w:p w14:paraId="1E016D07"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-0.025</w:t>
            </w:r>
          </w:p>
        </w:tc>
        <w:tc>
          <w:tcPr>
            <w:tcW w:w="2045" w:type="dxa"/>
            <w:tcBorders>
              <w:top w:val="nil"/>
              <w:left w:val="nil"/>
              <w:bottom w:val="nil"/>
              <w:right w:val="nil"/>
            </w:tcBorders>
            <w:shd w:val="clear" w:color="auto" w:fill="auto"/>
            <w:noWrap/>
            <w:vAlign w:val="bottom"/>
            <w:hideMark/>
          </w:tcPr>
          <w:p w14:paraId="37C06742"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0.211</w:t>
            </w:r>
          </w:p>
        </w:tc>
      </w:tr>
      <w:tr w:rsidR="0093472B" w:rsidRPr="00C82EE1" w14:paraId="2C62FC9F"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7990BA06"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403D674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(0.251)</w:t>
            </w:r>
          </w:p>
        </w:tc>
        <w:tc>
          <w:tcPr>
            <w:tcW w:w="2045" w:type="dxa"/>
            <w:tcBorders>
              <w:top w:val="nil"/>
              <w:left w:val="nil"/>
              <w:bottom w:val="nil"/>
              <w:right w:val="nil"/>
            </w:tcBorders>
            <w:shd w:val="clear" w:color="auto" w:fill="auto"/>
            <w:noWrap/>
            <w:vAlign w:val="bottom"/>
            <w:hideMark/>
          </w:tcPr>
          <w:p w14:paraId="0EB0B6D7"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(0.278)</w:t>
            </w:r>
          </w:p>
        </w:tc>
      </w:tr>
      <w:tr w:rsidR="0093472B" w:rsidRPr="00C82EE1" w14:paraId="30788982"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6C82212C"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Bonus</w:t>
            </w:r>
          </w:p>
        </w:tc>
        <w:tc>
          <w:tcPr>
            <w:tcW w:w="1967" w:type="dxa"/>
            <w:tcBorders>
              <w:top w:val="nil"/>
              <w:left w:val="nil"/>
              <w:bottom w:val="nil"/>
              <w:right w:val="nil"/>
            </w:tcBorders>
            <w:shd w:val="clear" w:color="auto" w:fill="auto"/>
            <w:noWrap/>
            <w:vAlign w:val="bottom"/>
            <w:hideMark/>
          </w:tcPr>
          <w:p w14:paraId="573F84C7"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0.074</w:t>
            </w:r>
          </w:p>
        </w:tc>
        <w:tc>
          <w:tcPr>
            <w:tcW w:w="2045" w:type="dxa"/>
            <w:tcBorders>
              <w:top w:val="nil"/>
              <w:left w:val="nil"/>
              <w:bottom w:val="nil"/>
              <w:right w:val="nil"/>
            </w:tcBorders>
            <w:shd w:val="clear" w:color="auto" w:fill="auto"/>
            <w:noWrap/>
            <w:vAlign w:val="bottom"/>
            <w:hideMark/>
          </w:tcPr>
          <w:p w14:paraId="3AD5A06F"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-0.184</w:t>
            </w:r>
          </w:p>
        </w:tc>
      </w:tr>
      <w:tr w:rsidR="0093472B" w:rsidRPr="00C82EE1" w14:paraId="516F381C"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1B400922"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02AB2D1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(0.130)</w:t>
            </w:r>
          </w:p>
        </w:tc>
        <w:tc>
          <w:tcPr>
            <w:tcW w:w="2045" w:type="dxa"/>
            <w:tcBorders>
              <w:top w:val="nil"/>
              <w:left w:val="nil"/>
              <w:bottom w:val="nil"/>
              <w:right w:val="nil"/>
            </w:tcBorders>
            <w:shd w:val="clear" w:color="auto" w:fill="auto"/>
            <w:noWrap/>
            <w:vAlign w:val="bottom"/>
            <w:hideMark/>
          </w:tcPr>
          <w:p w14:paraId="7BED15EE"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(0.138)</w:t>
            </w:r>
          </w:p>
        </w:tc>
      </w:tr>
      <w:tr w:rsidR="0093472B" w:rsidRPr="00C82EE1" w14:paraId="53B765A1"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32C86343"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roofErr w:type="spellStart"/>
            <w:r w:rsidRPr="00C82EE1">
              <w:rPr>
                <w:rFonts w:ascii="Times New Roman" w:eastAsia="Times New Roman" w:hAnsi="Times New Roman" w:cs="Times New Roman"/>
                <w:i/>
                <w:color w:val="000000"/>
              </w:rPr>
              <w:t>TopicDiversity</w:t>
            </w:r>
            <w:proofErr w:type="spellEnd"/>
          </w:p>
        </w:tc>
        <w:tc>
          <w:tcPr>
            <w:tcW w:w="1967" w:type="dxa"/>
            <w:tcBorders>
              <w:top w:val="nil"/>
              <w:left w:val="nil"/>
              <w:bottom w:val="nil"/>
              <w:right w:val="nil"/>
            </w:tcBorders>
            <w:shd w:val="clear" w:color="auto" w:fill="auto"/>
            <w:noWrap/>
            <w:vAlign w:val="bottom"/>
            <w:hideMark/>
          </w:tcPr>
          <w:p w14:paraId="4C94DA0E"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-0.139</w:t>
            </w:r>
          </w:p>
        </w:tc>
        <w:tc>
          <w:tcPr>
            <w:tcW w:w="2045" w:type="dxa"/>
            <w:tcBorders>
              <w:top w:val="nil"/>
              <w:left w:val="nil"/>
              <w:bottom w:val="nil"/>
              <w:right w:val="nil"/>
            </w:tcBorders>
            <w:shd w:val="clear" w:color="auto" w:fill="auto"/>
            <w:noWrap/>
            <w:vAlign w:val="bottom"/>
            <w:hideMark/>
          </w:tcPr>
          <w:p w14:paraId="057E275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-0.295</w:t>
            </w:r>
          </w:p>
        </w:tc>
      </w:tr>
      <w:tr w:rsidR="0093472B" w:rsidRPr="00C82EE1" w14:paraId="69208D7E"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3DC2C075"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735E22B7"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(0.185)</w:t>
            </w:r>
          </w:p>
        </w:tc>
        <w:tc>
          <w:tcPr>
            <w:tcW w:w="2045" w:type="dxa"/>
            <w:tcBorders>
              <w:top w:val="nil"/>
              <w:left w:val="nil"/>
              <w:bottom w:val="nil"/>
              <w:right w:val="nil"/>
            </w:tcBorders>
            <w:shd w:val="clear" w:color="auto" w:fill="auto"/>
            <w:noWrap/>
            <w:vAlign w:val="bottom"/>
            <w:hideMark/>
          </w:tcPr>
          <w:p w14:paraId="7D66BAFE"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(0.300)</w:t>
            </w:r>
          </w:p>
        </w:tc>
      </w:tr>
      <w:tr w:rsidR="0093472B" w:rsidRPr="00C82EE1" w14:paraId="54F8CB42"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20E11848"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roofErr w:type="spellStart"/>
            <w:r w:rsidRPr="00C82EE1">
              <w:rPr>
                <w:rFonts w:ascii="Times New Roman" w:eastAsia="Times New Roman" w:hAnsi="Times New Roman" w:cs="Times New Roman"/>
                <w:i/>
                <w:color w:val="000000"/>
              </w:rPr>
              <w:t>PriceBit</w:t>
            </w:r>
            <w:proofErr w:type="spellEnd"/>
          </w:p>
        </w:tc>
        <w:tc>
          <w:tcPr>
            <w:tcW w:w="1967" w:type="dxa"/>
            <w:tcBorders>
              <w:top w:val="nil"/>
              <w:left w:val="nil"/>
              <w:bottom w:val="nil"/>
              <w:right w:val="nil"/>
            </w:tcBorders>
            <w:shd w:val="clear" w:color="auto" w:fill="auto"/>
            <w:noWrap/>
            <w:vAlign w:val="bottom"/>
            <w:hideMark/>
          </w:tcPr>
          <w:p w14:paraId="766D3F25"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0.875*</w:t>
            </w:r>
          </w:p>
        </w:tc>
        <w:tc>
          <w:tcPr>
            <w:tcW w:w="2045" w:type="dxa"/>
            <w:tcBorders>
              <w:top w:val="nil"/>
              <w:left w:val="nil"/>
              <w:bottom w:val="nil"/>
              <w:right w:val="nil"/>
            </w:tcBorders>
            <w:shd w:val="clear" w:color="auto" w:fill="auto"/>
            <w:noWrap/>
            <w:vAlign w:val="bottom"/>
            <w:hideMark/>
          </w:tcPr>
          <w:p w14:paraId="581C6919"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0.656</w:t>
            </w:r>
          </w:p>
        </w:tc>
      </w:tr>
      <w:tr w:rsidR="0093472B" w:rsidRPr="00C82EE1" w14:paraId="0327100E"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679A8162" w14:textId="77777777" w:rsidR="0093472B" w:rsidRPr="00C82EE1" w:rsidRDefault="0093472B" w:rsidP="00026FCB">
            <w:pPr>
              <w:spacing w:after="0" w:line="240" w:lineRule="auto"/>
              <w:jc w:val="both"/>
              <w:rPr>
                <w:rFonts w:ascii="Times New Roman" w:eastAsia="Times New Roman" w:hAnsi="Times New Roman" w:cs="Times New Roman"/>
                <w:i/>
                <w:color w:val="000000"/>
              </w:rPr>
            </w:pPr>
          </w:p>
        </w:tc>
        <w:tc>
          <w:tcPr>
            <w:tcW w:w="1967" w:type="dxa"/>
            <w:tcBorders>
              <w:top w:val="nil"/>
              <w:left w:val="nil"/>
              <w:bottom w:val="nil"/>
              <w:right w:val="nil"/>
            </w:tcBorders>
            <w:shd w:val="clear" w:color="auto" w:fill="auto"/>
            <w:noWrap/>
            <w:vAlign w:val="bottom"/>
            <w:hideMark/>
          </w:tcPr>
          <w:p w14:paraId="2D6287B6"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(0.499)</w:t>
            </w:r>
          </w:p>
        </w:tc>
        <w:tc>
          <w:tcPr>
            <w:tcW w:w="2045" w:type="dxa"/>
            <w:tcBorders>
              <w:top w:val="nil"/>
              <w:left w:val="nil"/>
              <w:bottom w:val="nil"/>
              <w:right w:val="nil"/>
            </w:tcBorders>
            <w:shd w:val="clear" w:color="auto" w:fill="auto"/>
            <w:noWrap/>
            <w:vAlign w:val="bottom"/>
            <w:hideMark/>
          </w:tcPr>
          <w:p w14:paraId="37FD154E"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(0.540)</w:t>
            </w:r>
          </w:p>
        </w:tc>
      </w:tr>
      <w:tr w:rsidR="0093472B" w:rsidRPr="00C82EE1" w14:paraId="4DCF3A25"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0C9F9DD7"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Region fixed effect</w:t>
            </w:r>
          </w:p>
        </w:tc>
        <w:tc>
          <w:tcPr>
            <w:tcW w:w="1967" w:type="dxa"/>
            <w:tcBorders>
              <w:top w:val="nil"/>
              <w:left w:val="nil"/>
              <w:bottom w:val="nil"/>
              <w:right w:val="nil"/>
            </w:tcBorders>
            <w:shd w:val="clear" w:color="auto" w:fill="auto"/>
            <w:noWrap/>
            <w:vAlign w:val="bottom"/>
            <w:hideMark/>
          </w:tcPr>
          <w:p w14:paraId="6276EFC9"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Yes</w:t>
            </w:r>
          </w:p>
        </w:tc>
        <w:tc>
          <w:tcPr>
            <w:tcW w:w="2045" w:type="dxa"/>
            <w:tcBorders>
              <w:top w:val="nil"/>
              <w:left w:val="nil"/>
              <w:bottom w:val="nil"/>
              <w:right w:val="nil"/>
            </w:tcBorders>
            <w:shd w:val="clear" w:color="auto" w:fill="auto"/>
            <w:noWrap/>
            <w:vAlign w:val="bottom"/>
            <w:hideMark/>
          </w:tcPr>
          <w:p w14:paraId="07D9E913"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Yes</w:t>
            </w:r>
          </w:p>
        </w:tc>
      </w:tr>
      <w:tr w:rsidR="0093472B" w:rsidRPr="00C82EE1" w14:paraId="7F7C140F"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21F678C8"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Year-Quarter fixed effect</w:t>
            </w:r>
          </w:p>
        </w:tc>
        <w:tc>
          <w:tcPr>
            <w:tcW w:w="1967" w:type="dxa"/>
            <w:tcBorders>
              <w:top w:val="nil"/>
              <w:left w:val="nil"/>
              <w:bottom w:val="nil"/>
              <w:right w:val="nil"/>
            </w:tcBorders>
            <w:shd w:val="clear" w:color="auto" w:fill="auto"/>
            <w:noWrap/>
            <w:vAlign w:val="bottom"/>
            <w:hideMark/>
          </w:tcPr>
          <w:p w14:paraId="0784543F"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Yes</w:t>
            </w:r>
          </w:p>
        </w:tc>
        <w:tc>
          <w:tcPr>
            <w:tcW w:w="2045" w:type="dxa"/>
            <w:tcBorders>
              <w:top w:val="nil"/>
              <w:left w:val="nil"/>
              <w:bottom w:val="nil"/>
              <w:right w:val="nil"/>
            </w:tcBorders>
            <w:shd w:val="clear" w:color="auto" w:fill="auto"/>
            <w:noWrap/>
            <w:vAlign w:val="bottom"/>
            <w:hideMark/>
          </w:tcPr>
          <w:p w14:paraId="7AA0A237"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Yes</w:t>
            </w:r>
          </w:p>
        </w:tc>
      </w:tr>
      <w:tr w:rsidR="0093472B" w:rsidRPr="00C82EE1" w14:paraId="29771AAB"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561A7BDC" w14:textId="77777777" w:rsidR="0093472B" w:rsidRPr="00C82EE1" w:rsidRDefault="0093472B" w:rsidP="00026FCB">
            <w:pPr>
              <w:spacing w:after="0" w:line="240" w:lineRule="auto"/>
              <w:jc w:val="both"/>
              <w:rPr>
                <w:rFonts w:ascii="Times New Roman" w:eastAsia="Times New Roman" w:hAnsi="Times New Roman" w:cs="Times New Roman"/>
                <w:i/>
                <w:color w:val="000000"/>
              </w:rPr>
            </w:pPr>
            <w:r w:rsidRPr="00C82EE1">
              <w:rPr>
                <w:rFonts w:ascii="Times New Roman" w:eastAsia="Times New Roman" w:hAnsi="Times New Roman" w:cs="Times New Roman"/>
                <w:i/>
                <w:color w:val="000000"/>
              </w:rPr>
              <w:t>Industry fixed effect</w:t>
            </w:r>
          </w:p>
        </w:tc>
        <w:tc>
          <w:tcPr>
            <w:tcW w:w="1967" w:type="dxa"/>
            <w:tcBorders>
              <w:top w:val="nil"/>
              <w:left w:val="nil"/>
              <w:bottom w:val="nil"/>
              <w:right w:val="nil"/>
            </w:tcBorders>
            <w:shd w:val="clear" w:color="auto" w:fill="auto"/>
            <w:noWrap/>
            <w:vAlign w:val="bottom"/>
            <w:hideMark/>
          </w:tcPr>
          <w:p w14:paraId="510E7CDD"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Yes</w:t>
            </w:r>
          </w:p>
        </w:tc>
        <w:tc>
          <w:tcPr>
            <w:tcW w:w="2045" w:type="dxa"/>
            <w:tcBorders>
              <w:top w:val="nil"/>
              <w:left w:val="nil"/>
              <w:bottom w:val="nil"/>
              <w:right w:val="nil"/>
            </w:tcBorders>
            <w:shd w:val="clear" w:color="auto" w:fill="auto"/>
            <w:noWrap/>
            <w:vAlign w:val="bottom"/>
            <w:hideMark/>
          </w:tcPr>
          <w:p w14:paraId="33D9113D"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Yes</w:t>
            </w:r>
          </w:p>
        </w:tc>
      </w:tr>
      <w:tr w:rsidR="0093472B" w:rsidRPr="00C82EE1" w14:paraId="27F40342" w14:textId="77777777" w:rsidTr="00DB2FF5">
        <w:trPr>
          <w:trHeight w:val="231"/>
          <w:jc w:val="center"/>
        </w:trPr>
        <w:tc>
          <w:tcPr>
            <w:tcW w:w="4990" w:type="dxa"/>
            <w:tcBorders>
              <w:top w:val="single" w:sz="4" w:space="0" w:color="auto"/>
              <w:left w:val="nil"/>
              <w:bottom w:val="nil"/>
              <w:right w:val="nil"/>
            </w:tcBorders>
            <w:shd w:val="clear" w:color="auto" w:fill="auto"/>
            <w:noWrap/>
            <w:vAlign w:val="bottom"/>
            <w:hideMark/>
          </w:tcPr>
          <w:p w14:paraId="5946CCDD"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Observations</w:t>
            </w:r>
          </w:p>
        </w:tc>
        <w:tc>
          <w:tcPr>
            <w:tcW w:w="1967" w:type="dxa"/>
            <w:tcBorders>
              <w:top w:val="single" w:sz="4" w:space="0" w:color="auto"/>
              <w:left w:val="nil"/>
              <w:bottom w:val="nil"/>
              <w:right w:val="nil"/>
            </w:tcBorders>
            <w:shd w:val="clear" w:color="auto" w:fill="auto"/>
            <w:noWrap/>
            <w:vAlign w:val="bottom"/>
            <w:hideMark/>
          </w:tcPr>
          <w:p w14:paraId="0C2E23B6"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601</w:t>
            </w:r>
          </w:p>
        </w:tc>
        <w:tc>
          <w:tcPr>
            <w:tcW w:w="2045" w:type="dxa"/>
            <w:tcBorders>
              <w:top w:val="single" w:sz="4" w:space="0" w:color="auto"/>
              <w:left w:val="nil"/>
              <w:bottom w:val="nil"/>
              <w:right w:val="nil"/>
            </w:tcBorders>
            <w:shd w:val="clear" w:color="auto" w:fill="auto"/>
            <w:noWrap/>
            <w:vAlign w:val="bottom"/>
            <w:hideMark/>
          </w:tcPr>
          <w:p w14:paraId="611CC665"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601</w:t>
            </w:r>
          </w:p>
        </w:tc>
      </w:tr>
      <w:tr w:rsidR="0093472B" w:rsidRPr="00C82EE1" w14:paraId="42291F7F" w14:textId="77777777" w:rsidTr="00DB2FF5">
        <w:trPr>
          <w:trHeight w:val="231"/>
          <w:jc w:val="center"/>
        </w:trPr>
        <w:tc>
          <w:tcPr>
            <w:tcW w:w="4990" w:type="dxa"/>
            <w:tcBorders>
              <w:top w:val="nil"/>
              <w:left w:val="nil"/>
              <w:bottom w:val="nil"/>
              <w:right w:val="nil"/>
            </w:tcBorders>
            <w:shd w:val="clear" w:color="auto" w:fill="auto"/>
            <w:noWrap/>
            <w:vAlign w:val="bottom"/>
            <w:hideMark/>
          </w:tcPr>
          <w:p w14:paraId="572DCA66"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Adjusted R2</w:t>
            </w:r>
          </w:p>
        </w:tc>
        <w:tc>
          <w:tcPr>
            <w:tcW w:w="1967" w:type="dxa"/>
            <w:tcBorders>
              <w:top w:val="nil"/>
              <w:left w:val="nil"/>
              <w:bottom w:val="nil"/>
              <w:right w:val="nil"/>
            </w:tcBorders>
            <w:shd w:val="clear" w:color="auto" w:fill="auto"/>
            <w:noWrap/>
            <w:vAlign w:val="bottom"/>
            <w:hideMark/>
          </w:tcPr>
          <w:p w14:paraId="12BA9994"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0.127</w:t>
            </w:r>
          </w:p>
        </w:tc>
        <w:tc>
          <w:tcPr>
            <w:tcW w:w="2045" w:type="dxa"/>
            <w:tcBorders>
              <w:top w:val="nil"/>
              <w:left w:val="nil"/>
              <w:bottom w:val="nil"/>
              <w:right w:val="nil"/>
            </w:tcBorders>
            <w:shd w:val="clear" w:color="auto" w:fill="auto"/>
            <w:noWrap/>
            <w:vAlign w:val="bottom"/>
            <w:hideMark/>
          </w:tcPr>
          <w:p w14:paraId="1BA2732C"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0.145</w:t>
            </w:r>
          </w:p>
        </w:tc>
      </w:tr>
      <w:tr w:rsidR="0093472B" w:rsidRPr="00C82EE1" w14:paraId="455C3D3D" w14:textId="77777777" w:rsidTr="00DB2FF5">
        <w:trPr>
          <w:trHeight w:val="231"/>
          <w:jc w:val="center"/>
        </w:trPr>
        <w:tc>
          <w:tcPr>
            <w:tcW w:w="4990" w:type="dxa"/>
            <w:tcBorders>
              <w:top w:val="nil"/>
              <w:left w:val="nil"/>
              <w:bottom w:val="single" w:sz="4" w:space="0" w:color="auto"/>
              <w:right w:val="nil"/>
            </w:tcBorders>
            <w:shd w:val="clear" w:color="auto" w:fill="auto"/>
            <w:noWrap/>
            <w:vAlign w:val="bottom"/>
            <w:hideMark/>
          </w:tcPr>
          <w:p w14:paraId="3EAA3409"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Z-test</w:t>
            </w:r>
          </w:p>
        </w:tc>
        <w:tc>
          <w:tcPr>
            <w:tcW w:w="1967" w:type="dxa"/>
            <w:tcBorders>
              <w:top w:val="nil"/>
              <w:left w:val="nil"/>
              <w:bottom w:val="single" w:sz="4" w:space="0" w:color="auto"/>
              <w:right w:val="nil"/>
            </w:tcBorders>
            <w:shd w:val="clear" w:color="auto" w:fill="auto"/>
            <w:noWrap/>
            <w:vAlign w:val="bottom"/>
            <w:hideMark/>
          </w:tcPr>
          <w:p w14:paraId="229B2280"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 </w:t>
            </w:r>
          </w:p>
        </w:tc>
        <w:tc>
          <w:tcPr>
            <w:tcW w:w="2045" w:type="dxa"/>
            <w:tcBorders>
              <w:top w:val="nil"/>
              <w:left w:val="nil"/>
              <w:bottom w:val="single" w:sz="4" w:space="0" w:color="auto"/>
              <w:right w:val="nil"/>
            </w:tcBorders>
            <w:shd w:val="clear" w:color="auto" w:fill="auto"/>
            <w:noWrap/>
            <w:vAlign w:val="bottom"/>
            <w:hideMark/>
          </w:tcPr>
          <w:p w14:paraId="34874B30" w14:textId="77777777" w:rsidR="0093472B" w:rsidRPr="00C82EE1" w:rsidRDefault="0093472B" w:rsidP="00026FCB">
            <w:pPr>
              <w:spacing w:after="0" w:line="240" w:lineRule="auto"/>
              <w:jc w:val="both"/>
              <w:rPr>
                <w:rFonts w:ascii="Times New Roman" w:eastAsia="Times New Roman" w:hAnsi="Times New Roman" w:cs="Times New Roman"/>
                <w:color w:val="000000"/>
              </w:rPr>
            </w:pPr>
            <w:r w:rsidRPr="00C82EE1">
              <w:rPr>
                <w:rFonts w:ascii="Times New Roman" w:eastAsia="Times New Roman" w:hAnsi="Times New Roman" w:cs="Times New Roman"/>
                <w:color w:val="000000"/>
              </w:rPr>
              <w:t>2.961*</w:t>
            </w:r>
          </w:p>
        </w:tc>
      </w:tr>
      <w:tr w:rsidR="0093472B" w:rsidRPr="00C82EE1" w14:paraId="483E50A5" w14:textId="77777777" w:rsidTr="0093472B">
        <w:trPr>
          <w:trHeight w:val="1260"/>
          <w:jc w:val="center"/>
        </w:trPr>
        <w:tc>
          <w:tcPr>
            <w:tcW w:w="9002" w:type="dxa"/>
            <w:gridSpan w:val="3"/>
            <w:tcBorders>
              <w:top w:val="single" w:sz="4" w:space="0" w:color="auto"/>
              <w:left w:val="nil"/>
              <w:bottom w:val="nil"/>
              <w:right w:val="nil"/>
            </w:tcBorders>
            <w:shd w:val="clear" w:color="auto" w:fill="auto"/>
            <w:vAlign w:val="bottom"/>
            <w:hideMark/>
          </w:tcPr>
          <w:p w14:paraId="7EA62DF7" w14:textId="0FF9BA92"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i/>
                <w:iCs/>
                <w:color w:val="000000"/>
                <w:sz w:val="20"/>
                <w:szCs w:val="20"/>
              </w:rPr>
              <w:t xml:space="preserve">Notes. </w:t>
            </w:r>
            <w:r w:rsidRPr="00C82EE1">
              <w:rPr>
                <w:rFonts w:ascii="Times New Roman" w:eastAsia="Times New Roman" w:hAnsi="Times New Roman" w:cs="Times New Roman"/>
                <w:color w:val="000000"/>
                <w:sz w:val="20"/>
                <w:szCs w:val="20"/>
              </w:rPr>
              <w:t xml:space="preserve">This table reports the OLS regression results. Variable definitions are provided in Table 1. </w:t>
            </w:r>
            <w:r w:rsidR="0053031C" w:rsidRPr="00C82EE1">
              <w:rPr>
                <w:rFonts w:ascii="Times New Roman" w:eastAsia="Times New Roman" w:hAnsi="Times New Roman" w:cs="Times New Roman"/>
                <w:color w:val="000000"/>
                <w:sz w:val="20"/>
                <w:szCs w:val="20"/>
              </w:rPr>
              <w:t xml:space="preserve">Model (1) and (2) show the results of a split-sample analysis, dividing the sample at the median value of white paper readability </w:t>
            </w:r>
            <m:oMath>
              <m:r>
                <w:rPr>
                  <w:rFonts w:ascii="Cambria Math" w:eastAsia="Times New Roman" w:hAnsi="Cambria Math" w:cs="Times New Roman"/>
                  <w:color w:val="000000"/>
                  <w:sz w:val="20"/>
                  <w:szCs w:val="20"/>
                </w:rPr>
                <m:t>(Readability_Flesch)</m:t>
              </m:r>
            </m:oMath>
            <w:r w:rsidR="0053031C" w:rsidRPr="00C82EE1">
              <w:rPr>
                <w:rFonts w:ascii="Times New Roman" w:eastAsia="Times New Roman" w:hAnsi="Times New Roman" w:cs="Times New Roman"/>
                <w:color w:val="000000"/>
                <w:sz w:val="20"/>
                <w:szCs w:val="20"/>
              </w:rPr>
              <w:t xml:space="preserve">. Model (1) focuses on observations with low readability, while Model (2) examines those with high readability. </w:t>
            </w:r>
            <w:r w:rsidR="0003319F" w:rsidRPr="00C82EE1">
              <w:rPr>
                <w:rFonts w:ascii="Times New Roman" w:hAnsi="Times New Roman" w:cs="Times New Roman"/>
                <w:sz w:val="20"/>
                <w:szCs w:val="20"/>
              </w:rPr>
              <w:t>We conduct a Z-test on the coefficients across each sub</w:t>
            </w:r>
            <w:r w:rsidR="00AF5A16">
              <w:rPr>
                <w:rFonts w:ascii="Times New Roman" w:hAnsi="Times New Roman" w:cs="Times New Roman"/>
                <w:sz w:val="20"/>
                <w:szCs w:val="20"/>
              </w:rPr>
              <w:t>-</w:t>
            </w:r>
            <w:r w:rsidR="0003319F" w:rsidRPr="00C82EE1">
              <w:rPr>
                <w:rFonts w:ascii="Times New Roman" w:hAnsi="Times New Roman" w:cs="Times New Roman"/>
                <w:sz w:val="20"/>
                <w:szCs w:val="20"/>
              </w:rPr>
              <w:t>sample to assess whether the effect of LC is statistically different.</w:t>
            </w:r>
            <w:r w:rsidRPr="00C82EE1">
              <w:rPr>
                <w:rFonts w:ascii="Times New Roman" w:eastAsia="Times New Roman" w:hAnsi="Times New Roman" w:cs="Times New Roman"/>
                <w:color w:val="000000"/>
                <w:sz w:val="20"/>
                <w:szCs w:val="20"/>
              </w:rPr>
              <w:t xml:space="preserve"> Standard errors are clustered at the </w:t>
            </w:r>
            <w:r w:rsidR="00094ADF">
              <w:rPr>
                <w:rFonts w:ascii="Times New Roman" w:eastAsia="Times New Roman" w:hAnsi="Times New Roman" w:cs="Times New Roman"/>
                <w:color w:val="000000"/>
                <w:sz w:val="20"/>
                <w:szCs w:val="20"/>
              </w:rPr>
              <w:t>y</w:t>
            </w:r>
            <w:r w:rsidR="00094ADF" w:rsidRPr="00094ADF">
              <w:rPr>
                <w:rFonts w:ascii="Times New Roman" w:eastAsia="Times New Roman" w:hAnsi="Times New Roman" w:cs="Times New Roman"/>
                <w:color w:val="000000"/>
                <w:sz w:val="20"/>
                <w:szCs w:val="20"/>
              </w:rPr>
              <w:t>ear-</w:t>
            </w:r>
            <w:r w:rsidR="00094ADF">
              <w:rPr>
                <w:rFonts w:ascii="Times New Roman" w:eastAsia="Times New Roman" w:hAnsi="Times New Roman" w:cs="Times New Roman"/>
                <w:color w:val="000000"/>
                <w:sz w:val="20"/>
                <w:szCs w:val="20"/>
              </w:rPr>
              <w:t>q</w:t>
            </w:r>
            <w:r w:rsidR="00094ADF" w:rsidRPr="00094ADF">
              <w:rPr>
                <w:rFonts w:ascii="Times New Roman" w:eastAsia="Times New Roman" w:hAnsi="Times New Roman" w:cs="Times New Roman"/>
                <w:color w:val="000000"/>
                <w:sz w:val="20"/>
                <w:szCs w:val="20"/>
              </w:rPr>
              <w:t>uarter</w:t>
            </w:r>
            <w:r w:rsidRPr="00C82EE1">
              <w:rPr>
                <w:rFonts w:ascii="Times New Roman" w:eastAsia="Times New Roman" w:hAnsi="Times New Roman" w:cs="Times New Roman"/>
                <w:color w:val="000000"/>
                <w:sz w:val="20"/>
                <w:szCs w:val="20"/>
              </w:rPr>
              <w:t xml:space="preserve"> level. Significance levels: * indicates p&lt;0.1, ** indicates p&lt;0.05, *** indicates p&lt;0.01.</w:t>
            </w:r>
          </w:p>
        </w:tc>
      </w:tr>
    </w:tbl>
    <w:p w14:paraId="2392107A" w14:textId="3B90D78C" w:rsidR="0007748C" w:rsidRPr="00C82EE1" w:rsidRDefault="0007748C" w:rsidP="00026FCB">
      <w:pPr>
        <w:jc w:val="both"/>
        <w:rPr>
          <w:rFonts w:ascii="Times New Roman" w:hAnsi="Times New Roman" w:cs="Times New Roman"/>
          <w:sz w:val="24"/>
          <w:szCs w:val="24"/>
        </w:rPr>
      </w:pPr>
    </w:p>
    <w:tbl>
      <w:tblPr>
        <w:tblW w:w="11471" w:type="dxa"/>
        <w:jc w:val="center"/>
        <w:tblLook w:val="04A0" w:firstRow="1" w:lastRow="0" w:firstColumn="1" w:lastColumn="0" w:noHBand="0" w:noVBand="1"/>
      </w:tblPr>
      <w:tblGrid>
        <w:gridCol w:w="1843"/>
        <w:gridCol w:w="932"/>
        <w:gridCol w:w="811"/>
        <w:gridCol w:w="251"/>
        <w:gridCol w:w="852"/>
        <w:gridCol w:w="811"/>
        <w:gridCol w:w="251"/>
        <w:gridCol w:w="808"/>
        <w:gridCol w:w="1356"/>
        <w:gridCol w:w="251"/>
        <w:gridCol w:w="963"/>
        <w:gridCol w:w="811"/>
        <w:gridCol w:w="790"/>
        <w:gridCol w:w="741"/>
      </w:tblGrid>
      <w:tr w:rsidR="003C73FB" w:rsidRPr="00C82EE1" w14:paraId="6788AC32" w14:textId="77777777" w:rsidTr="00960333">
        <w:trPr>
          <w:trHeight w:val="1"/>
          <w:jc w:val="center"/>
        </w:trPr>
        <w:tc>
          <w:tcPr>
            <w:tcW w:w="11471" w:type="dxa"/>
            <w:gridSpan w:val="14"/>
            <w:tcBorders>
              <w:top w:val="nil"/>
              <w:left w:val="nil"/>
              <w:bottom w:val="nil"/>
              <w:right w:val="nil"/>
            </w:tcBorders>
            <w:shd w:val="clear" w:color="auto" w:fill="auto"/>
            <w:noWrap/>
            <w:vAlign w:val="bottom"/>
            <w:hideMark/>
          </w:tcPr>
          <w:p w14:paraId="4AD17176" w14:textId="4CBE6D13" w:rsidR="003C73FB" w:rsidRPr="00C82EE1" w:rsidRDefault="003C73FB" w:rsidP="00E223E9">
            <w:pPr>
              <w:spacing w:after="240" w:line="240" w:lineRule="auto"/>
              <w:jc w:val="center"/>
              <w:rPr>
                <w:rFonts w:ascii="Times New Roman" w:eastAsia="Times New Roman" w:hAnsi="Times New Roman" w:cs="Times New Roman"/>
                <w:b/>
                <w:bCs/>
                <w:color w:val="000000"/>
                <w:sz w:val="28"/>
                <w:szCs w:val="16"/>
              </w:rPr>
            </w:pPr>
            <w:r w:rsidRPr="00C82EE1">
              <w:rPr>
                <w:rFonts w:ascii="Times New Roman" w:eastAsia="Times New Roman" w:hAnsi="Times New Roman" w:cs="Times New Roman"/>
                <w:b/>
                <w:bCs/>
                <w:color w:val="000000"/>
                <w:sz w:val="28"/>
                <w:szCs w:val="16"/>
              </w:rPr>
              <w:t>Table 6: Mechanism analysis.</w:t>
            </w:r>
          </w:p>
          <w:p w14:paraId="74331A66" w14:textId="77777777" w:rsidR="003C73FB" w:rsidRPr="00C82EE1" w:rsidRDefault="003C73FB" w:rsidP="00184DCA">
            <w:pPr>
              <w:spacing w:after="0" w:line="240" w:lineRule="auto"/>
              <w:jc w:val="center"/>
              <w:rPr>
                <w:rFonts w:ascii="Times New Roman" w:eastAsia="Times New Roman" w:hAnsi="Times New Roman" w:cs="Times New Roman"/>
                <w:b/>
                <w:bCs/>
                <w:color w:val="000000"/>
                <w:sz w:val="28"/>
                <w:szCs w:val="16"/>
              </w:rPr>
            </w:pPr>
          </w:p>
        </w:tc>
      </w:tr>
      <w:tr w:rsidR="003C73FB" w:rsidRPr="00C82EE1" w14:paraId="5D7D7628" w14:textId="77777777" w:rsidTr="00960333">
        <w:trPr>
          <w:trHeight w:val="170"/>
          <w:jc w:val="center"/>
        </w:trPr>
        <w:tc>
          <w:tcPr>
            <w:tcW w:w="1843" w:type="dxa"/>
            <w:tcBorders>
              <w:top w:val="single" w:sz="4" w:space="0" w:color="auto"/>
              <w:left w:val="nil"/>
              <w:bottom w:val="single" w:sz="4" w:space="0" w:color="auto"/>
              <w:right w:val="nil"/>
            </w:tcBorders>
            <w:shd w:val="clear" w:color="auto" w:fill="auto"/>
            <w:noWrap/>
            <w:vAlign w:val="bottom"/>
            <w:hideMark/>
          </w:tcPr>
          <w:p w14:paraId="0142DECC" w14:textId="77777777" w:rsidR="003C73FB" w:rsidRPr="00C82EE1" w:rsidRDefault="003C73FB" w:rsidP="00184DCA">
            <w:pPr>
              <w:spacing w:after="0" w:line="240" w:lineRule="auto"/>
              <w:rPr>
                <w:rFonts w:ascii="Times New Roman" w:eastAsia="Times New Roman" w:hAnsi="Times New Roman" w:cs="Times New Roman"/>
                <w:b/>
                <w:bCs/>
                <w:color w:val="000000"/>
                <w:sz w:val="14"/>
                <w:szCs w:val="14"/>
              </w:rPr>
            </w:pPr>
            <w:r w:rsidRPr="00C82EE1">
              <w:rPr>
                <w:rFonts w:ascii="Times New Roman" w:eastAsia="Times New Roman" w:hAnsi="Times New Roman" w:cs="Times New Roman"/>
                <w:b/>
                <w:bCs/>
                <w:color w:val="000000"/>
                <w:sz w:val="14"/>
                <w:szCs w:val="14"/>
              </w:rPr>
              <w:t>Dependent variables</w:t>
            </w:r>
          </w:p>
        </w:tc>
        <w:tc>
          <w:tcPr>
            <w:tcW w:w="932" w:type="dxa"/>
            <w:tcBorders>
              <w:top w:val="single" w:sz="4" w:space="0" w:color="auto"/>
              <w:left w:val="nil"/>
              <w:bottom w:val="single" w:sz="4" w:space="0" w:color="auto"/>
              <w:right w:val="nil"/>
            </w:tcBorders>
            <w:shd w:val="clear" w:color="auto" w:fill="auto"/>
            <w:noWrap/>
            <w:vAlign w:val="bottom"/>
            <w:hideMark/>
          </w:tcPr>
          <w:p w14:paraId="7D69E969"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Technicality</w:t>
            </w:r>
          </w:p>
        </w:tc>
        <w:tc>
          <w:tcPr>
            <w:tcW w:w="811" w:type="dxa"/>
            <w:tcBorders>
              <w:top w:val="single" w:sz="4" w:space="0" w:color="auto"/>
              <w:left w:val="nil"/>
              <w:bottom w:val="single" w:sz="4" w:space="0" w:color="auto"/>
              <w:right w:val="nil"/>
            </w:tcBorders>
            <w:shd w:val="clear" w:color="auto" w:fill="auto"/>
            <w:noWrap/>
            <w:vAlign w:val="bottom"/>
            <w:hideMark/>
          </w:tcPr>
          <w:p w14:paraId="632C4EEA"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Amount raised</w:t>
            </w:r>
          </w:p>
        </w:tc>
        <w:tc>
          <w:tcPr>
            <w:tcW w:w="251" w:type="dxa"/>
            <w:tcBorders>
              <w:top w:val="single" w:sz="4" w:space="0" w:color="auto"/>
              <w:left w:val="nil"/>
              <w:bottom w:val="nil"/>
              <w:right w:val="nil"/>
            </w:tcBorders>
            <w:shd w:val="clear" w:color="auto" w:fill="auto"/>
            <w:noWrap/>
            <w:vAlign w:val="bottom"/>
            <w:hideMark/>
          </w:tcPr>
          <w:p w14:paraId="35DC506F"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p>
        </w:tc>
        <w:tc>
          <w:tcPr>
            <w:tcW w:w="852" w:type="dxa"/>
            <w:tcBorders>
              <w:top w:val="single" w:sz="4" w:space="0" w:color="auto"/>
              <w:left w:val="nil"/>
              <w:bottom w:val="single" w:sz="4" w:space="0" w:color="auto"/>
              <w:right w:val="nil"/>
            </w:tcBorders>
            <w:shd w:val="clear" w:color="auto" w:fill="auto"/>
            <w:noWrap/>
            <w:vAlign w:val="bottom"/>
            <w:hideMark/>
          </w:tcPr>
          <w:p w14:paraId="60067B9A"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Rating</w:t>
            </w:r>
          </w:p>
        </w:tc>
        <w:tc>
          <w:tcPr>
            <w:tcW w:w="811" w:type="dxa"/>
            <w:tcBorders>
              <w:top w:val="single" w:sz="4" w:space="0" w:color="auto"/>
              <w:left w:val="nil"/>
              <w:bottom w:val="single" w:sz="4" w:space="0" w:color="auto"/>
              <w:right w:val="nil"/>
            </w:tcBorders>
            <w:shd w:val="clear" w:color="auto" w:fill="auto"/>
            <w:noWrap/>
            <w:vAlign w:val="bottom"/>
            <w:hideMark/>
          </w:tcPr>
          <w:p w14:paraId="73C0B582"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Amount raised</w:t>
            </w:r>
          </w:p>
        </w:tc>
        <w:tc>
          <w:tcPr>
            <w:tcW w:w="251" w:type="dxa"/>
            <w:tcBorders>
              <w:top w:val="single" w:sz="4" w:space="0" w:color="auto"/>
              <w:left w:val="nil"/>
              <w:bottom w:val="single" w:sz="4" w:space="0" w:color="auto"/>
              <w:right w:val="nil"/>
            </w:tcBorders>
            <w:shd w:val="clear" w:color="auto" w:fill="auto"/>
            <w:noWrap/>
            <w:vAlign w:val="bottom"/>
            <w:hideMark/>
          </w:tcPr>
          <w:p w14:paraId="43003204" w14:textId="77777777" w:rsidR="003C73FB" w:rsidRPr="00C82EE1" w:rsidRDefault="003C73FB" w:rsidP="00184DCA">
            <w:pPr>
              <w:spacing w:after="0" w:line="240" w:lineRule="auto"/>
              <w:ind w:left="-524" w:firstLine="524"/>
              <w:jc w:val="center"/>
              <w:rPr>
                <w:rFonts w:ascii="Times New Roman" w:eastAsia="Times New Roman" w:hAnsi="Times New Roman" w:cs="Times New Roman"/>
                <w:b/>
                <w:i/>
                <w:color w:val="000000"/>
                <w:sz w:val="14"/>
                <w:szCs w:val="14"/>
              </w:rPr>
            </w:pPr>
          </w:p>
        </w:tc>
        <w:tc>
          <w:tcPr>
            <w:tcW w:w="808" w:type="dxa"/>
            <w:tcBorders>
              <w:top w:val="single" w:sz="4" w:space="0" w:color="auto"/>
              <w:left w:val="nil"/>
              <w:bottom w:val="single" w:sz="4" w:space="0" w:color="auto"/>
              <w:right w:val="nil"/>
            </w:tcBorders>
            <w:shd w:val="clear" w:color="auto" w:fill="auto"/>
            <w:noWrap/>
            <w:vAlign w:val="bottom"/>
            <w:hideMark/>
          </w:tcPr>
          <w:p w14:paraId="798B8B9B"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Rating dispersion</w:t>
            </w:r>
          </w:p>
        </w:tc>
        <w:tc>
          <w:tcPr>
            <w:tcW w:w="1356" w:type="dxa"/>
            <w:tcBorders>
              <w:top w:val="single" w:sz="4" w:space="0" w:color="auto"/>
              <w:left w:val="nil"/>
              <w:bottom w:val="single" w:sz="4" w:space="0" w:color="auto"/>
              <w:right w:val="nil"/>
            </w:tcBorders>
            <w:shd w:val="clear" w:color="auto" w:fill="auto"/>
            <w:noWrap/>
            <w:vAlign w:val="bottom"/>
            <w:hideMark/>
          </w:tcPr>
          <w:p w14:paraId="7977B670"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Amount raised</w:t>
            </w:r>
          </w:p>
        </w:tc>
        <w:tc>
          <w:tcPr>
            <w:tcW w:w="251" w:type="dxa"/>
            <w:tcBorders>
              <w:top w:val="single" w:sz="4" w:space="0" w:color="auto"/>
              <w:left w:val="nil"/>
              <w:bottom w:val="nil"/>
              <w:right w:val="nil"/>
            </w:tcBorders>
            <w:shd w:val="clear" w:color="auto" w:fill="auto"/>
            <w:noWrap/>
            <w:vAlign w:val="bottom"/>
            <w:hideMark/>
          </w:tcPr>
          <w:p w14:paraId="009ECDB8"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p>
        </w:tc>
        <w:tc>
          <w:tcPr>
            <w:tcW w:w="963" w:type="dxa"/>
            <w:tcBorders>
              <w:top w:val="single" w:sz="4" w:space="0" w:color="auto"/>
              <w:left w:val="nil"/>
              <w:bottom w:val="single" w:sz="4" w:space="0" w:color="auto"/>
              <w:right w:val="nil"/>
            </w:tcBorders>
            <w:shd w:val="clear" w:color="auto" w:fill="auto"/>
            <w:noWrap/>
            <w:vAlign w:val="bottom"/>
            <w:hideMark/>
          </w:tcPr>
          <w:p w14:paraId="6746B607"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proofErr w:type="spellStart"/>
            <w:r w:rsidRPr="00C82EE1">
              <w:rPr>
                <w:rFonts w:ascii="Times New Roman" w:eastAsia="Times New Roman" w:hAnsi="Times New Roman" w:cs="Times New Roman"/>
                <w:b/>
                <w:i/>
                <w:color w:val="000000"/>
                <w:sz w:val="14"/>
                <w:szCs w:val="14"/>
              </w:rPr>
              <w:t>FundBacked</w:t>
            </w:r>
            <w:proofErr w:type="spellEnd"/>
          </w:p>
        </w:tc>
        <w:tc>
          <w:tcPr>
            <w:tcW w:w="811" w:type="dxa"/>
            <w:tcBorders>
              <w:top w:val="single" w:sz="4" w:space="0" w:color="auto"/>
              <w:left w:val="nil"/>
              <w:bottom w:val="single" w:sz="4" w:space="0" w:color="auto"/>
              <w:right w:val="nil"/>
            </w:tcBorders>
            <w:shd w:val="clear" w:color="auto" w:fill="auto"/>
            <w:noWrap/>
            <w:vAlign w:val="bottom"/>
            <w:hideMark/>
          </w:tcPr>
          <w:p w14:paraId="1EC20E80"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Amount raised</w:t>
            </w:r>
          </w:p>
        </w:tc>
        <w:tc>
          <w:tcPr>
            <w:tcW w:w="790" w:type="dxa"/>
            <w:tcBorders>
              <w:top w:val="single" w:sz="4" w:space="0" w:color="auto"/>
              <w:left w:val="nil"/>
              <w:bottom w:val="single" w:sz="4" w:space="0" w:color="auto"/>
              <w:right w:val="nil"/>
            </w:tcBorders>
            <w:shd w:val="clear" w:color="auto" w:fill="auto"/>
            <w:noWrap/>
            <w:vAlign w:val="bottom"/>
            <w:hideMark/>
          </w:tcPr>
          <w:p w14:paraId="15B30F48" w14:textId="7E9A5A56"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7-day</w:t>
            </w:r>
            <w:r w:rsidR="00960333">
              <w:rPr>
                <w:rFonts w:ascii="Times New Roman" w:eastAsia="Times New Roman" w:hAnsi="Times New Roman" w:cs="Times New Roman"/>
                <w:b/>
                <w:i/>
                <w:color w:val="000000"/>
                <w:sz w:val="14"/>
                <w:szCs w:val="14"/>
              </w:rPr>
              <w:t>s</w:t>
            </w:r>
            <w:r w:rsidRPr="00C82EE1">
              <w:rPr>
                <w:rFonts w:ascii="Times New Roman" w:eastAsia="Times New Roman" w:hAnsi="Times New Roman" w:cs="Times New Roman"/>
                <w:b/>
                <w:i/>
                <w:color w:val="000000"/>
                <w:sz w:val="14"/>
                <w:szCs w:val="14"/>
              </w:rPr>
              <w:t xml:space="preserve"> window growth rate</w:t>
            </w:r>
          </w:p>
        </w:tc>
        <w:tc>
          <w:tcPr>
            <w:tcW w:w="741" w:type="dxa"/>
            <w:tcBorders>
              <w:top w:val="single" w:sz="4" w:space="0" w:color="auto"/>
              <w:left w:val="nil"/>
              <w:bottom w:val="single" w:sz="4" w:space="0" w:color="auto"/>
              <w:right w:val="nil"/>
            </w:tcBorders>
            <w:shd w:val="clear" w:color="auto" w:fill="auto"/>
            <w:noWrap/>
            <w:vAlign w:val="bottom"/>
            <w:hideMark/>
          </w:tcPr>
          <w:p w14:paraId="115DFB46" w14:textId="77777777" w:rsidR="003C73FB" w:rsidRPr="00C82EE1" w:rsidRDefault="003C73FB" w:rsidP="00184DCA">
            <w:pPr>
              <w:spacing w:after="0" w:line="240" w:lineRule="auto"/>
              <w:jc w:val="center"/>
              <w:rPr>
                <w:rFonts w:ascii="Times New Roman" w:eastAsia="Times New Roman" w:hAnsi="Times New Roman" w:cs="Times New Roman"/>
                <w:b/>
                <w:i/>
                <w:color w:val="000000"/>
                <w:sz w:val="14"/>
                <w:szCs w:val="14"/>
              </w:rPr>
            </w:pPr>
            <w:r w:rsidRPr="00C82EE1">
              <w:rPr>
                <w:rFonts w:ascii="Times New Roman" w:eastAsia="Times New Roman" w:hAnsi="Times New Roman" w:cs="Times New Roman"/>
                <w:b/>
                <w:i/>
                <w:color w:val="000000"/>
                <w:sz w:val="14"/>
                <w:szCs w:val="14"/>
              </w:rPr>
              <w:t>Amount raised</w:t>
            </w:r>
          </w:p>
        </w:tc>
      </w:tr>
      <w:tr w:rsidR="003C73FB" w:rsidRPr="00C82EE1" w14:paraId="14402228"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12AD28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1743" w:type="dxa"/>
            <w:gridSpan w:val="2"/>
            <w:tcBorders>
              <w:top w:val="nil"/>
              <w:left w:val="nil"/>
              <w:bottom w:val="single" w:sz="4" w:space="0" w:color="auto"/>
              <w:right w:val="nil"/>
            </w:tcBorders>
            <w:shd w:val="clear" w:color="auto" w:fill="auto"/>
            <w:noWrap/>
            <w:vAlign w:val="bottom"/>
            <w:hideMark/>
          </w:tcPr>
          <w:p w14:paraId="52DBFB8E" w14:textId="77777777" w:rsidR="003C73FB" w:rsidRPr="00C82EE1" w:rsidRDefault="003C73FB" w:rsidP="00184DCA">
            <w:pPr>
              <w:spacing w:after="0" w:line="240" w:lineRule="auto"/>
              <w:jc w:val="center"/>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Panel A : Innovation</w:t>
            </w:r>
          </w:p>
        </w:tc>
        <w:tc>
          <w:tcPr>
            <w:tcW w:w="251" w:type="dxa"/>
            <w:tcBorders>
              <w:top w:val="nil"/>
              <w:left w:val="nil"/>
              <w:bottom w:val="nil"/>
              <w:right w:val="nil"/>
            </w:tcBorders>
            <w:shd w:val="clear" w:color="auto" w:fill="auto"/>
            <w:noWrap/>
            <w:vAlign w:val="bottom"/>
            <w:hideMark/>
          </w:tcPr>
          <w:p w14:paraId="5C4E675A" w14:textId="77777777" w:rsidR="003C73FB" w:rsidRPr="00C82EE1" w:rsidRDefault="003C73FB" w:rsidP="00184DCA">
            <w:pPr>
              <w:spacing w:after="0" w:line="240" w:lineRule="auto"/>
              <w:jc w:val="center"/>
              <w:rPr>
                <w:rFonts w:ascii="Times New Roman" w:eastAsia="Times New Roman" w:hAnsi="Times New Roman" w:cs="Times New Roman"/>
                <w:i/>
                <w:iCs/>
                <w:color w:val="000000"/>
                <w:sz w:val="14"/>
                <w:szCs w:val="14"/>
              </w:rPr>
            </w:pPr>
          </w:p>
        </w:tc>
        <w:tc>
          <w:tcPr>
            <w:tcW w:w="1663" w:type="dxa"/>
            <w:gridSpan w:val="2"/>
            <w:tcBorders>
              <w:top w:val="nil"/>
              <w:left w:val="nil"/>
              <w:bottom w:val="single" w:sz="4" w:space="0" w:color="auto"/>
              <w:right w:val="nil"/>
            </w:tcBorders>
            <w:shd w:val="clear" w:color="auto" w:fill="auto"/>
            <w:noWrap/>
            <w:vAlign w:val="bottom"/>
            <w:hideMark/>
          </w:tcPr>
          <w:p w14:paraId="46DFCFB2" w14:textId="77777777" w:rsidR="003C73FB" w:rsidRPr="00C82EE1" w:rsidRDefault="003C73FB" w:rsidP="00184DCA">
            <w:pPr>
              <w:spacing w:after="0" w:line="240" w:lineRule="auto"/>
              <w:jc w:val="center"/>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Panel B :Quality</w:t>
            </w:r>
          </w:p>
        </w:tc>
        <w:tc>
          <w:tcPr>
            <w:tcW w:w="251" w:type="dxa"/>
            <w:tcBorders>
              <w:top w:val="nil"/>
              <w:left w:val="nil"/>
              <w:bottom w:val="nil"/>
              <w:right w:val="nil"/>
            </w:tcBorders>
            <w:shd w:val="clear" w:color="auto" w:fill="auto"/>
            <w:noWrap/>
            <w:vAlign w:val="bottom"/>
            <w:hideMark/>
          </w:tcPr>
          <w:p w14:paraId="132FBE00" w14:textId="77777777" w:rsidR="003C73FB" w:rsidRPr="00C82EE1" w:rsidRDefault="003C73FB" w:rsidP="00184DCA">
            <w:pPr>
              <w:spacing w:after="0" w:line="240" w:lineRule="auto"/>
              <w:ind w:left="-524" w:firstLine="524"/>
              <w:jc w:val="center"/>
              <w:rPr>
                <w:rFonts w:ascii="Times New Roman" w:eastAsia="Times New Roman" w:hAnsi="Times New Roman" w:cs="Times New Roman"/>
                <w:i/>
                <w:iCs/>
                <w:color w:val="000000"/>
                <w:sz w:val="14"/>
                <w:szCs w:val="14"/>
              </w:rPr>
            </w:pPr>
          </w:p>
        </w:tc>
        <w:tc>
          <w:tcPr>
            <w:tcW w:w="2164" w:type="dxa"/>
            <w:gridSpan w:val="2"/>
            <w:tcBorders>
              <w:top w:val="nil"/>
              <w:left w:val="nil"/>
              <w:bottom w:val="single" w:sz="4" w:space="0" w:color="auto"/>
              <w:right w:val="nil"/>
            </w:tcBorders>
            <w:shd w:val="clear" w:color="auto" w:fill="auto"/>
            <w:noWrap/>
            <w:vAlign w:val="bottom"/>
            <w:hideMark/>
          </w:tcPr>
          <w:p w14:paraId="2998D3C7" w14:textId="77777777" w:rsidR="003C73FB" w:rsidRPr="00C82EE1" w:rsidRDefault="003C73FB" w:rsidP="00184DCA">
            <w:pPr>
              <w:spacing w:after="0" w:line="240" w:lineRule="auto"/>
              <w:jc w:val="center"/>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Panel C : Information asymmetry</w:t>
            </w:r>
          </w:p>
        </w:tc>
        <w:tc>
          <w:tcPr>
            <w:tcW w:w="251" w:type="dxa"/>
            <w:tcBorders>
              <w:top w:val="nil"/>
              <w:left w:val="nil"/>
              <w:bottom w:val="nil"/>
              <w:right w:val="nil"/>
            </w:tcBorders>
            <w:shd w:val="clear" w:color="auto" w:fill="auto"/>
            <w:noWrap/>
            <w:vAlign w:val="bottom"/>
            <w:hideMark/>
          </w:tcPr>
          <w:p w14:paraId="67014199" w14:textId="77777777" w:rsidR="003C73FB" w:rsidRPr="00C82EE1" w:rsidRDefault="003C73FB" w:rsidP="00184DCA">
            <w:pPr>
              <w:spacing w:after="0" w:line="240" w:lineRule="auto"/>
              <w:jc w:val="center"/>
              <w:rPr>
                <w:rFonts w:ascii="Times New Roman" w:eastAsia="Times New Roman" w:hAnsi="Times New Roman" w:cs="Times New Roman"/>
                <w:i/>
                <w:iCs/>
                <w:color w:val="000000"/>
                <w:sz w:val="14"/>
                <w:szCs w:val="14"/>
              </w:rPr>
            </w:pPr>
          </w:p>
        </w:tc>
        <w:tc>
          <w:tcPr>
            <w:tcW w:w="3305" w:type="dxa"/>
            <w:gridSpan w:val="4"/>
            <w:tcBorders>
              <w:top w:val="nil"/>
              <w:left w:val="nil"/>
              <w:bottom w:val="single" w:sz="4" w:space="0" w:color="auto"/>
              <w:right w:val="nil"/>
            </w:tcBorders>
            <w:shd w:val="clear" w:color="auto" w:fill="auto"/>
            <w:noWrap/>
            <w:vAlign w:val="bottom"/>
            <w:hideMark/>
          </w:tcPr>
          <w:p w14:paraId="363E6F49" w14:textId="04FA7403" w:rsidR="003C73FB" w:rsidRPr="00C82EE1" w:rsidRDefault="003C73FB" w:rsidP="00184DCA">
            <w:pPr>
              <w:spacing w:after="0" w:line="240" w:lineRule="auto"/>
              <w:jc w:val="center"/>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Panel D: Investor attention</w:t>
            </w:r>
          </w:p>
        </w:tc>
      </w:tr>
      <w:tr w:rsidR="003C73FB" w:rsidRPr="00C82EE1" w14:paraId="152441ED" w14:textId="77777777" w:rsidTr="00960333">
        <w:trPr>
          <w:trHeight w:val="170"/>
          <w:jc w:val="center"/>
        </w:trPr>
        <w:tc>
          <w:tcPr>
            <w:tcW w:w="1843" w:type="dxa"/>
            <w:tcBorders>
              <w:top w:val="nil"/>
              <w:left w:val="nil"/>
              <w:bottom w:val="single" w:sz="4" w:space="0" w:color="auto"/>
              <w:right w:val="nil"/>
            </w:tcBorders>
            <w:shd w:val="clear" w:color="auto" w:fill="auto"/>
            <w:noWrap/>
            <w:vAlign w:val="bottom"/>
            <w:hideMark/>
          </w:tcPr>
          <w:p w14:paraId="7B6B1BD0"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Model</w:t>
            </w:r>
          </w:p>
        </w:tc>
        <w:tc>
          <w:tcPr>
            <w:tcW w:w="932" w:type="dxa"/>
            <w:tcBorders>
              <w:top w:val="nil"/>
              <w:left w:val="nil"/>
              <w:bottom w:val="single" w:sz="4" w:space="0" w:color="auto"/>
              <w:right w:val="nil"/>
            </w:tcBorders>
            <w:shd w:val="clear" w:color="auto" w:fill="auto"/>
            <w:noWrap/>
            <w:vAlign w:val="bottom"/>
            <w:hideMark/>
          </w:tcPr>
          <w:p w14:paraId="5716FF1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w:t>
            </w:r>
          </w:p>
        </w:tc>
        <w:tc>
          <w:tcPr>
            <w:tcW w:w="811" w:type="dxa"/>
            <w:tcBorders>
              <w:top w:val="nil"/>
              <w:left w:val="nil"/>
              <w:bottom w:val="single" w:sz="4" w:space="0" w:color="auto"/>
              <w:right w:val="nil"/>
            </w:tcBorders>
            <w:shd w:val="clear" w:color="auto" w:fill="auto"/>
            <w:noWrap/>
            <w:vAlign w:val="bottom"/>
            <w:hideMark/>
          </w:tcPr>
          <w:p w14:paraId="2845BB7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w:t>
            </w:r>
          </w:p>
        </w:tc>
        <w:tc>
          <w:tcPr>
            <w:tcW w:w="251" w:type="dxa"/>
            <w:tcBorders>
              <w:top w:val="nil"/>
              <w:left w:val="nil"/>
              <w:bottom w:val="single" w:sz="4" w:space="0" w:color="auto"/>
              <w:right w:val="nil"/>
            </w:tcBorders>
            <w:shd w:val="clear" w:color="auto" w:fill="auto"/>
            <w:noWrap/>
            <w:vAlign w:val="bottom"/>
            <w:hideMark/>
          </w:tcPr>
          <w:p w14:paraId="1635024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52" w:type="dxa"/>
            <w:tcBorders>
              <w:top w:val="nil"/>
              <w:left w:val="nil"/>
              <w:bottom w:val="single" w:sz="4" w:space="0" w:color="auto"/>
              <w:right w:val="nil"/>
            </w:tcBorders>
            <w:shd w:val="clear" w:color="auto" w:fill="auto"/>
            <w:noWrap/>
            <w:vAlign w:val="bottom"/>
            <w:hideMark/>
          </w:tcPr>
          <w:p w14:paraId="0AA5D71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(3)</w:t>
            </w:r>
          </w:p>
        </w:tc>
        <w:tc>
          <w:tcPr>
            <w:tcW w:w="811" w:type="dxa"/>
            <w:tcBorders>
              <w:top w:val="nil"/>
              <w:left w:val="nil"/>
              <w:bottom w:val="single" w:sz="4" w:space="0" w:color="auto"/>
              <w:right w:val="nil"/>
            </w:tcBorders>
            <w:shd w:val="clear" w:color="auto" w:fill="auto"/>
            <w:noWrap/>
            <w:vAlign w:val="bottom"/>
            <w:hideMark/>
          </w:tcPr>
          <w:p w14:paraId="1739005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(4)</w:t>
            </w:r>
          </w:p>
        </w:tc>
        <w:tc>
          <w:tcPr>
            <w:tcW w:w="251" w:type="dxa"/>
            <w:tcBorders>
              <w:top w:val="nil"/>
              <w:left w:val="nil"/>
              <w:bottom w:val="single" w:sz="4" w:space="0" w:color="auto"/>
              <w:right w:val="nil"/>
            </w:tcBorders>
            <w:shd w:val="clear" w:color="auto" w:fill="auto"/>
            <w:noWrap/>
            <w:vAlign w:val="bottom"/>
            <w:hideMark/>
          </w:tcPr>
          <w:p w14:paraId="00CE0C68"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08" w:type="dxa"/>
            <w:tcBorders>
              <w:top w:val="nil"/>
              <w:left w:val="nil"/>
              <w:bottom w:val="single" w:sz="4" w:space="0" w:color="auto"/>
              <w:right w:val="nil"/>
            </w:tcBorders>
            <w:shd w:val="clear" w:color="auto" w:fill="auto"/>
            <w:noWrap/>
            <w:vAlign w:val="bottom"/>
            <w:hideMark/>
          </w:tcPr>
          <w:p w14:paraId="7BBE913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(5)</w:t>
            </w:r>
          </w:p>
        </w:tc>
        <w:tc>
          <w:tcPr>
            <w:tcW w:w="1356" w:type="dxa"/>
            <w:tcBorders>
              <w:top w:val="nil"/>
              <w:left w:val="nil"/>
              <w:bottom w:val="single" w:sz="4" w:space="0" w:color="auto"/>
              <w:right w:val="nil"/>
            </w:tcBorders>
            <w:shd w:val="clear" w:color="auto" w:fill="auto"/>
            <w:noWrap/>
            <w:vAlign w:val="bottom"/>
            <w:hideMark/>
          </w:tcPr>
          <w:p w14:paraId="58D7292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(6)</w:t>
            </w:r>
          </w:p>
        </w:tc>
        <w:tc>
          <w:tcPr>
            <w:tcW w:w="251" w:type="dxa"/>
            <w:tcBorders>
              <w:top w:val="nil"/>
              <w:left w:val="nil"/>
              <w:bottom w:val="single" w:sz="4" w:space="0" w:color="auto"/>
              <w:right w:val="nil"/>
            </w:tcBorders>
            <w:shd w:val="clear" w:color="auto" w:fill="auto"/>
            <w:noWrap/>
            <w:vAlign w:val="bottom"/>
            <w:hideMark/>
          </w:tcPr>
          <w:p w14:paraId="5153A28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963" w:type="dxa"/>
            <w:tcBorders>
              <w:top w:val="nil"/>
              <w:left w:val="nil"/>
              <w:bottom w:val="single" w:sz="4" w:space="0" w:color="auto"/>
              <w:right w:val="nil"/>
            </w:tcBorders>
            <w:shd w:val="clear" w:color="auto" w:fill="auto"/>
            <w:noWrap/>
            <w:vAlign w:val="bottom"/>
            <w:hideMark/>
          </w:tcPr>
          <w:p w14:paraId="108DEBB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(7)</w:t>
            </w:r>
          </w:p>
        </w:tc>
        <w:tc>
          <w:tcPr>
            <w:tcW w:w="811" w:type="dxa"/>
            <w:tcBorders>
              <w:top w:val="nil"/>
              <w:left w:val="nil"/>
              <w:bottom w:val="single" w:sz="4" w:space="0" w:color="auto"/>
              <w:right w:val="nil"/>
            </w:tcBorders>
            <w:shd w:val="clear" w:color="auto" w:fill="auto"/>
            <w:noWrap/>
            <w:vAlign w:val="bottom"/>
            <w:hideMark/>
          </w:tcPr>
          <w:p w14:paraId="2F98451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(8)</w:t>
            </w:r>
          </w:p>
        </w:tc>
        <w:tc>
          <w:tcPr>
            <w:tcW w:w="790" w:type="dxa"/>
            <w:tcBorders>
              <w:top w:val="nil"/>
              <w:left w:val="nil"/>
              <w:bottom w:val="single" w:sz="4" w:space="0" w:color="auto"/>
              <w:right w:val="nil"/>
            </w:tcBorders>
            <w:shd w:val="clear" w:color="auto" w:fill="auto"/>
            <w:noWrap/>
            <w:vAlign w:val="bottom"/>
            <w:hideMark/>
          </w:tcPr>
          <w:p w14:paraId="7FA03283" w14:textId="77777777" w:rsidR="003C73FB" w:rsidRPr="00C82EE1" w:rsidRDefault="003C73FB" w:rsidP="00184DCA">
            <w:pPr>
              <w:spacing w:after="0" w:line="240" w:lineRule="auto"/>
              <w:ind w:left="-386" w:firstLine="386"/>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(9)</w:t>
            </w:r>
          </w:p>
        </w:tc>
        <w:tc>
          <w:tcPr>
            <w:tcW w:w="741" w:type="dxa"/>
            <w:tcBorders>
              <w:top w:val="nil"/>
              <w:left w:val="nil"/>
              <w:bottom w:val="single" w:sz="4" w:space="0" w:color="auto"/>
              <w:right w:val="nil"/>
            </w:tcBorders>
            <w:shd w:val="clear" w:color="auto" w:fill="auto"/>
            <w:noWrap/>
            <w:vAlign w:val="bottom"/>
            <w:hideMark/>
          </w:tcPr>
          <w:p w14:paraId="3FBEC8A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w:t>
            </w:r>
          </w:p>
        </w:tc>
      </w:tr>
      <w:tr w:rsidR="003C73FB" w:rsidRPr="00C82EE1" w14:paraId="24000708"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2B01EEBA"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Constant</w:t>
            </w:r>
          </w:p>
        </w:tc>
        <w:tc>
          <w:tcPr>
            <w:tcW w:w="932" w:type="dxa"/>
            <w:tcBorders>
              <w:top w:val="nil"/>
              <w:left w:val="nil"/>
              <w:bottom w:val="nil"/>
              <w:right w:val="nil"/>
            </w:tcBorders>
            <w:shd w:val="clear" w:color="auto" w:fill="auto"/>
            <w:noWrap/>
            <w:vAlign w:val="bottom"/>
            <w:hideMark/>
          </w:tcPr>
          <w:p w14:paraId="04300FF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1.131***</w:t>
            </w:r>
          </w:p>
        </w:tc>
        <w:tc>
          <w:tcPr>
            <w:tcW w:w="811" w:type="dxa"/>
            <w:tcBorders>
              <w:top w:val="nil"/>
              <w:left w:val="nil"/>
              <w:bottom w:val="nil"/>
              <w:right w:val="nil"/>
            </w:tcBorders>
            <w:shd w:val="clear" w:color="auto" w:fill="auto"/>
            <w:noWrap/>
            <w:vAlign w:val="bottom"/>
            <w:hideMark/>
          </w:tcPr>
          <w:p w14:paraId="42E0572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11.418***</w:t>
            </w:r>
          </w:p>
        </w:tc>
        <w:tc>
          <w:tcPr>
            <w:tcW w:w="251" w:type="dxa"/>
            <w:tcBorders>
              <w:top w:val="nil"/>
              <w:left w:val="nil"/>
              <w:bottom w:val="nil"/>
              <w:right w:val="nil"/>
            </w:tcBorders>
            <w:shd w:val="clear" w:color="auto" w:fill="auto"/>
            <w:noWrap/>
            <w:vAlign w:val="bottom"/>
            <w:hideMark/>
          </w:tcPr>
          <w:p w14:paraId="337B913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67F9B7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0.526</w:t>
            </w:r>
          </w:p>
        </w:tc>
        <w:tc>
          <w:tcPr>
            <w:tcW w:w="811" w:type="dxa"/>
            <w:tcBorders>
              <w:top w:val="nil"/>
              <w:left w:val="nil"/>
              <w:bottom w:val="nil"/>
              <w:right w:val="nil"/>
            </w:tcBorders>
            <w:shd w:val="clear" w:color="auto" w:fill="auto"/>
            <w:noWrap/>
            <w:vAlign w:val="bottom"/>
            <w:hideMark/>
          </w:tcPr>
          <w:p w14:paraId="087CEB7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12.112***</w:t>
            </w:r>
          </w:p>
        </w:tc>
        <w:tc>
          <w:tcPr>
            <w:tcW w:w="251" w:type="dxa"/>
            <w:tcBorders>
              <w:top w:val="nil"/>
              <w:left w:val="nil"/>
              <w:bottom w:val="nil"/>
              <w:right w:val="nil"/>
            </w:tcBorders>
            <w:shd w:val="clear" w:color="auto" w:fill="auto"/>
            <w:noWrap/>
            <w:vAlign w:val="bottom"/>
            <w:hideMark/>
          </w:tcPr>
          <w:p w14:paraId="3B613082"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1A8EB8A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0.029</w:t>
            </w:r>
          </w:p>
        </w:tc>
        <w:tc>
          <w:tcPr>
            <w:tcW w:w="1356" w:type="dxa"/>
            <w:tcBorders>
              <w:top w:val="nil"/>
              <w:left w:val="nil"/>
              <w:bottom w:val="nil"/>
              <w:right w:val="nil"/>
            </w:tcBorders>
            <w:shd w:val="clear" w:color="auto" w:fill="auto"/>
            <w:noWrap/>
            <w:vAlign w:val="bottom"/>
            <w:hideMark/>
          </w:tcPr>
          <w:p w14:paraId="704DC45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13.310***</w:t>
            </w:r>
          </w:p>
        </w:tc>
        <w:tc>
          <w:tcPr>
            <w:tcW w:w="251" w:type="dxa"/>
            <w:tcBorders>
              <w:top w:val="nil"/>
              <w:left w:val="nil"/>
              <w:bottom w:val="nil"/>
              <w:right w:val="nil"/>
            </w:tcBorders>
            <w:shd w:val="clear" w:color="auto" w:fill="auto"/>
            <w:noWrap/>
            <w:vAlign w:val="bottom"/>
            <w:hideMark/>
          </w:tcPr>
          <w:p w14:paraId="72712A5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7A735B5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2.825</w:t>
            </w:r>
          </w:p>
        </w:tc>
        <w:tc>
          <w:tcPr>
            <w:tcW w:w="811" w:type="dxa"/>
            <w:tcBorders>
              <w:top w:val="nil"/>
              <w:left w:val="nil"/>
              <w:bottom w:val="nil"/>
              <w:right w:val="nil"/>
            </w:tcBorders>
            <w:shd w:val="clear" w:color="auto" w:fill="auto"/>
            <w:noWrap/>
            <w:vAlign w:val="bottom"/>
            <w:hideMark/>
          </w:tcPr>
          <w:p w14:paraId="3684414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11.402***</w:t>
            </w:r>
          </w:p>
        </w:tc>
        <w:tc>
          <w:tcPr>
            <w:tcW w:w="790" w:type="dxa"/>
            <w:tcBorders>
              <w:top w:val="nil"/>
              <w:left w:val="nil"/>
              <w:bottom w:val="nil"/>
              <w:right w:val="nil"/>
            </w:tcBorders>
            <w:shd w:val="clear" w:color="auto" w:fill="auto"/>
            <w:noWrap/>
            <w:vAlign w:val="bottom"/>
            <w:hideMark/>
          </w:tcPr>
          <w:p w14:paraId="0AC8C91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1.498***</w:t>
            </w:r>
          </w:p>
        </w:tc>
        <w:tc>
          <w:tcPr>
            <w:tcW w:w="741" w:type="dxa"/>
            <w:tcBorders>
              <w:top w:val="nil"/>
              <w:left w:val="nil"/>
              <w:bottom w:val="nil"/>
              <w:right w:val="nil"/>
            </w:tcBorders>
            <w:shd w:val="clear" w:color="auto" w:fill="auto"/>
            <w:noWrap/>
            <w:vAlign w:val="bottom"/>
            <w:hideMark/>
          </w:tcPr>
          <w:p w14:paraId="53D8173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6.458</w:t>
            </w:r>
          </w:p>
        </w:tc>
      </w:tr>
      <w:tr w:rsidR="003C73FB" w:rsidRPr="00C82EE1" w14:paraId="3377A2B4"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01A742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01E6E97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(0.187)</w:t>
            </w:r>
          </w:p>
        </w:tc>
        <w:tc>
          <w:tcPr>
            <w:tcW w:w="811" w:type="dxa"/>
            <w:tcBorders>
              <w:top w:val="nil"/>
              <w:left w:val="nil"/>
              <w:bottom w:val="nil"/>
              <w:right w:val="nil"/>
            </w:tcBorders>
            <w:shd w:val="clear" w:color="auto" w:fill="auto"/>
            <w:noWrap/>
            <w:vAlign w:val="bottom"/>
            <w:hideMark/>
          </w:tcPr>
          <w:p w14:paraId="12983AC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(1.898)</w:t>
            </w:r>
          </w:p>
        </w:tc>
        <w:tc>
          <w:tcPr>
            <w:tcW w:w="251" w:type="dxa"/>
            <w:tcBorders>
              <w:top w:val="nil"/>
              <w:left w:val="nil"/>
              <w:bottom w:val="nil"/>
              <w:right w:val="nil"/>
            </w:tcBorders>
            <w:shd w:val="clear" w:color="auto" w:fill="auto"/>
            <w:noWrap/>
            <w:vAlign w:val="bottom"/>
            <w:hideMark/>
          </w:tcPr>
          <w:p w14:paraId="75139A0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0C08855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(0.624)</w:t>
            </w:r>
          </w:p>
        </w:tc>
        <w:tc>
          <w:tcPr>
            <w:tcW w:w="811" w:type="dxa"/>
            <w:tcBorders>
              <w:top w:val="nil"/>
              <w:left w:val="nil"/>
              <w:bottom w:val="nil"/>
              <w:right w:val="nil"/>
            </w:tcBorders>
            <w:shd w:val="clear" w:color="auto" w:fill="auto"/>
            <w:noWrap/>
            <w:vAlign w:val="bottom"/>
            <w:hideMark/>
          </w:tcPr>
          <w:p w14:paraId="3DF108A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(2.094)</w:t>
            </w:r>
          </w:p>
        </w:tc>
        <w:tc>
          <w:tcPr>
            <w:tcW w:w="251" w:type="dxa"/>
            <w:tcBorders>
              <w:top w:val="nil"/>
              <w:left w:val="nil"/>
              <w:bottom w:val="nil"/>
              <w:right w:val="nil"/>
            </w:tcBorders>
            <w:shd w:val="clear" w:color="auto" w:fill="auto"/>
            <w:noWrap/>
            <w:vAlign w:val="bottom"/>
            <w:hideMark/>
          </w:tcPr>
          <w:p w14:paraId="62E55CD5"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14274EB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(0.027)</w:t>
            </w:r>
          </w:p>
        </w:tc>
        <w:tc>
          <w:tcPr>
            <w:tcW w:w="1356" w:type="dxa"/>
            <w:tcBorders>
              <w:top w:val="nil"/>
              <w:left w:val="nil"/>
              <w:bottom w:val="nil"/>
              <w:right w:val="nil"/>
            </w:tcBorders>
            <w:shd w:val="clear" w:color="auto" w:fill="auto"/>
            <w:noWrap/>
            <w:vAlign w:val="bottom"/>
            <w:hideMark/>
          </w:tcPr>
          <w:p w14:paraId="4304901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(2.147)</w:t>
            </w:r>
          </w:p>
        </w:tc>
        <w:tc>
          <w:tcPr>
            <w:tcW w:w="251" w:type="dxa"/>
            <w:tcBorders>
              <w:top w:val="nil"/>
              <w:left w:val="nil"/>
              <w:bottom w:val="nil"/>
              <w:right w:val="nil"/>
            </w:tcBorders>
            <w:shd w:val="clear" w:color="auto" w:fill="auto"/>
            <w:noWrap/>
            <w:vAlign w:val="bottom"/>
            <w:hideMark/>
          </w:tcPr>
          <w:p w14:paraId="211782C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1E00619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(3.301)</w:t>
            </w:r>
          </w:p>
        </w:tc>
        <w:tc>
          <w:tcPr>
            <w:tcW w:w="811" w:type="dxa"/>
            <w:tcBorders>
              <w:top w:val="nil"/>
              <w:left w:val="nil"/>
              <w:bottom w:val="nil"/>
              <w:right w:val="nil"/>
            </w:tcBorders>
            <w:shd w:val="clear" w:color="auto" w:fill="auto"/>
            <w:noWrap/>
            <w:vAlign w:val="bottom"/>
            <w:hideMark/>
          </w:tcPr>
          <w:p w14:paraId="0FAC7CC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(2.078)</w:t>
            </w:r>
          </w:p>
        </w:tc>
        <w:tc>
          <w:tcPr>
            <w:tcW w:w="790" w:type="dxa"/>
            <w:tcBorders>
              <w:top w:val="nil"/>
              <w:left w:val="nil"/>
              <w:bottom w:val="nil"/>
              <w:right w:val="nil"/>
            </w:tcBorders>
            <w:shd w:val="clear" w:color="auto" w:fill="auto"/>
            <w:noWrap/>
            <w:vAlign w:val="bottom"/>
            <w:hideMark/>
          </w:tcPr>
          <w:p w14:paraId="673C9EF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(0.465)</w:t>
            </w:r>
          </w:p>
        </w:tc>
        <w:tc>
          <w:tcPr>
            <w:tcW w:w="741" w:type="dxa"/>
            <w:tcBorders>
              <w:top w:val="nil"/>
              <w:left w:val="nil"/>
              <w:bottom w:val="nil"/>
              <w:right w:val="nil"/>
            </w:tcBorders>
            <w:shd w:val="clear" w:color="auto" w:fill="auto"/>
            <w:noWrap/>
            <w:vAlign w:val="bottom"/>
            <w:hideMark/>
          </w:tcPr>
          <w:p w14:paraId="1BAC139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(4.075)</w:t>
            </w:r>
          </w:p>
        </w:tc>
      </w:tr>
      <w:tr w:rsidR="003C73FB" w:rsidRPr="00C82EE1" w14:paraId="16D6D41D"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0FA9A4FE"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LC</w:t>
            </w:r>
          </w:p>
        </w:tc>
        <w:tc>
          <w:tcPr>
            <w:tcW w:w="932" w:type="dxa"/>
            <w:tcBorders>
              <w:top w:val="nil"/>
              <w:left w:val="nil"/>
              <w:bottom w:val="nil"/>
              <w:right w:val="nil"/>
            </w:tcBorders>
            <w:shd w:val="clear" w:color="auto" w:fill="auto"/>
            <w:noWrap/>
            <w:vAlign w:val="bottom"/>
            <w:hideMark/>
          </w:tcPr>
          <w:p w14:paraId="7A2B505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c>
          <w:tcPr>
            <w:tcW w:w="811" w:type="dxa"/>
            <w:tcBorders>
              <w:top w:val="nil"/>
              <w:left w:val="nil"/>
              <w:bottom w:val="nil"/>
              <w:right w:val="nil"/>
            </w:tcBorders>
            <w:shd w:val="clear" w:color="auto" w:fill="auto"/>
            <w:noWrap/>
            <w:vAlign w:val="bottom"/>
            <w:hideMark/>
          </w:tcPr>
          <w:p w14:paraId="6AB59F3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0.117***</w:t>
            </w:r>
          </w:p>
        </w:tc>
        <w:tc>
          <w:tcPr>
            <w:tcW w:w="251" w:type="dxa"/>
            <w:tcBorders>
              <w:top w:val="nil"/>
              <w:left w:val="nil"/>
              <w:bottom w:val="nil"/>
              <w:right w:val="nil"/>
            </w:tcBorders>
            <w:shd w:val="clear" w:color="auto" w:fill="auto"/>
            <w:noWrap/>
            <w:vAlign w:val="bottom"/>
            <w:hideMark/>
          </w:tcPr>
          <w:p w14:paraId="54AA3F8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253CE2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0.041***</w:t>
            </w:r>
          </w:p>
        </w:tc>
        <w:tc>
          <w:tcPr>
            <w:tcW w:w="811" w:type="dxa"/>
            <w:tcBorders>
              <w:top w:val="nil"/>
              <w:left w:val="nil"/>
              <w:bottom w:val="nil"/>
              <w:right w:val="nil"/>
            </w:tcBorders>
            <w:shd w:val="clear" w:color="auto" w:fill="auto"/>
            <w:noWrap/>
            <w:vAlign w:val="bottom"/>
            <w:hideMark/>
          </w:tcPr>
          <w:p w14:paraId="041852D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0.107***</w:t>
            </w:r>
          </w:p>
        </w:tc>
        <w:tc>
          <w:tcPr>
            <w:tcW w:w="251" w:type="dxa"/>
            <w:tcBorders>
              <w:top w:val="nil"/>
              <w:left w:val="nil"/>
              <w:bottom w:val="nil"/>
              <w:right w:val="nil"/>
            </w:tcBorders>
            <w:shd w:val="clear" w:color="auto" w:fill="auto"/>
            <w:noWrap/>
            <w:vAlign w:val="bottom"/>
            <w:hideMark/>
          </w:tcPr>
          <w:p w14:paraId="342DA239"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55B5221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20E903A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0.134***</w:t>
            </w:r>
          </w:p>
        </w:tc>
        <w:tc>
          <w:tcPr>
            <w:tcW w:w="251" w:type="dxa"/>
            <w:tcBorders>
              <w:top w:val="nil"/>
              <w:left w:val="nil"/>
              <w:bottom w:val="nil"/>
              <w:right w:val="nil"/>
            </w:tcBorders>
            <w:shd w:val="clear" w:color="auto" w:fill="auto"/>
            <w:noWrap/>
            <w:vAlign w:val="bottom"/>
            <w:hideMark/>
          </w:tcPr>
          <w:p w14:paraId="263ED65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53B1C74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0.111***</w:t>
            </w:r>
          </w:p>
        </w:tc>
        <w:tc>
          <w:tcPr>
            <w:tcW w:w="811" w:type="dxa"/>
            <w:tcBorders>
              <w:top w:val="nil"/>
              <w:left w:val="nil"/>
              <w:bottom w:val="nil"/>
              <w:right w:val="nil"/>
            </w:tcBorders>
            <w:shd w:val="clear" w:color="auto" w:fill="auto"/>
            <w:noWrap/>
            <w:vAlign w:val="bottom"/>
            <w:hideMark/>
          </w:tcPr>
          <w:p w14:paraId="663702C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0.111***</w:t>
            </w:r>
          </w:p>
        </w:tc>
        <w:tc>
          <w:tcPr>
            <w:tcW w:w="790" w:type="dxa"/>
            <w:tcBorders>
              <w:top w:val="nil"/>
              <w:left w:val="nil"/>
              <w:bottom w:val="nil"/>
              <w:right w:val="nil"/>
            </w:tcBorders>
            <w:shd w:val="clear" w:color="auto" w:fill="auto"/>
            <w:noWrap/>
            <w:vAlign w:val="bottom"/>
            <w:hideMark/>
          </w:tcPr>
          <w:p w14:paraId="67725C2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-0.026***</w:t>
            </w:r>
          </w:p>
        </w:tc>
        <w:tc>
          <w:tcPr>
            <w:tcW w:w="741" w:type="dxa"/>
            <w:tcBorders>
              <w:top w:val="nil"/>
              <w:left w:val="nil"/>
              <w:bottom w:val="nil"/>
              <w:right w:val="nil"/>
            </w:tcBorders>
            <w:shd w:val="clear" w:color="auto" w:fill="auto"/>
            <w:noWrap/>
            <w:vAlign w:val="bottom"/>
            <w:hideMark/>
          </w:tcPr>
          <w:p w14:paraId="2946A93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0.136***</w:t>
            </w:r>
          </w:p>
        </w:tc>
      </w:tr>
      <w:tr w:rsidR="003C73FB" w:rsidRPr="00C82EE1" w14:paraId="1F2EE2FE"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4A941F4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2F817A6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811" w:type="dxa"/>
            <w:tcBorders>
              <w:top w:val="nil"/>
              <w:left w:val="nil"/>
              <w:bottom w:val="nil"/>
              <w:right w:val="nil"/>
            </w:tcBorders>
            <w:shd w:val="clear" w:color="auto" w:fill="auto"/>
            <w:noWrap/>
            <w:vAlign w:val="bottom"/>
            <w:hideMark/>
          </w:tcPr>
          <w:p w14:paraId="1540B7E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(0.024)</w:t>
            </w:r>
          </w:p>
        </w:tc>
        <w:tc>
          <w:tcPr>
            <w:tcW w:w="251" w:type="dxa"/>
            <w:tcBorders>
              <w:top w:val="nil"/>
              <w:left w:val="nil"/>
              <w:bottom w:val="nil"/>
              <w:right w:val="nil"/>
            </w:tcBorders>
            <w:shd w:val="clear" w:color="auto" w:fill="auto"/>
            <w:noWrap/>
            <w:vAlign w:val="bottom"/>
            <w:hideMark/>
          </w:tcPr>
          <w:p w14:paraId="6EDCCD0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7B2356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(0.003)</w:t>
            </w:r>
          </w:p>
        </w:tc>
        <w:tc>
          <w:tcPr>
            <w:tcW w:w="811" w:type="dxa"/>
            <w:tcBorders>
              <w:top w:val="nil"/>
              <w:left w:val="nil"/>
              <w:bottom w:val="nil"/>
              <w:right w:val="nil"/>
            </w:tcBorders>
            <w:shd w:val="clear" w:color="auto" w:fill="auto"/>
            <w:noWrap/>
            <w:vAlign w:val="bottom"/>
            <w:hideMark/>
          </w:tcPr>
          <w:p w14:paraId="7AB84CC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(0.025)</w:t>
            </w:r>
          </w:p>
        </w:tc>
        <w:tc>
          <w:tcPr>
            <w:tcW w:w="251" w:type="dxa"/>
            <w:tcBorders>
              <w:top w:val="nil"/>
              <w:left w:val="nil"/>
              <w:bottom w:val="nil"/>
              <w:right w:val="nil"/>
            </w:tcBorders>
            <w:shd w:val="clear" w:color="auto" w:fill="auto"/>
            <w:noWrap/>
            <w:vAlign w:val="bottom"/>
            <w:hideMark/>
          </w:tcPr>
          <w:p w14:paraId="0B6607EC"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644AA10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(0.0002)</w:t>
            </w:r>
          </w:p>
        </w:tc>
        <w:tc>
          <w:tcPr>
            <w:tcW w:w="1356" w:type="dxa"/>
            <w:tcBorders>
              <w:top w:val="nil"/>
              <w:left w:val="nil"/>
              <w:bottom w:val="nil"/>
              <w:right w:val="nil"/>
            </w:tcBorders>
            <w:shd w:val="clear" w:color="auto" w:fill="auto"/>
            <w:noWrap/>
            <w:vAlign w:val="bottom"/>
            <w:hideMark/>
          </w:tcPr>
          <w:p w14:paraId="1E0F8D0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(0.028)</w:t>
            </w:r>
          </w:p>
        </w:tc>
        <w:tc>
          <w:tcPr>
            <w:tcW w:w="251" w:type="dxa"/>
            <w:tcBorders>
              <w:top w:val="nil"/>
              <w:left w:val="nil"/>
              <w:bottom w:val="nil"/>
              <w:right w:val="nil"/>
            </w:tcBorders>
            <w:shd w:val="clear" w:color="auto" w:fill="auto"/>
            <w:noWrap/>
            <w:vAlign w:val="bottom"/>
            <w:hideMark/>
          </w:tcPr>
          <w:p w14:paraId="55A18A4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314285A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(0.026)</w:t>
            </w:r>
          </w:p>
        </w:tc>
        <w:tc>
          <w:tcPr>
            <w:tcW w:w="811" w:type="dxa"/>
            <w:tcBorders>
              <w:top w:val="nil"/>
              <w:left w:val="nil"/>
              <w:bottom w:val="nil"/>
              <w:right w:val="nil"/>
            </w:tcBorders>
            <w:shd w:val="clear" w:color="auto" w:fill="auto"/>
            <w:noWrap/>
            <w:vAlign w:val="bottom"/>
            <w:hideMark/>
          </w:tcPr>
          <w:p w14:paraId="600D686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(0.024)</w:t>
            </w:r>
          </w:p>
        </w:tc>
        <w:tc>
          <w:tcPr>
            <w:tcW w:w="790" w:type="dxa"/>
            <w:tcBorders>
              <w:top w:val="nil"/>
              <w:left w:val="nil"/>
              <w:bottom w:val="nil"/>
              <w:right w:val="nil"/>
            </w:tcBorders>
            <w:shd w:val="clear" w:color="auto" w:fill="auto"/>
            <w:noWrap/>
            <w:vAlign w:val="bottom"/>
            <w:hideMark/>
          </w:tcPr>
          <w:p w14:paraId="7D6AF50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(0.007)</w:t>
            </w:r>
          </w:p>
        </w:tc>
        <w:tc>
          <w:tcPr>
            <w:tcW w:w="741" w:type="dxa"/>
            <w:tcBorders>
              <w:top w:val="nil"/>
              <w:left w:val="nil"/>
              <w:bottom w:val="nil"/>
              <w:right w:val="nil"/>
            </w:tcBorders>
            <w:shd w:val="clear" w:color="auto" w:fill="auto"/>
            <w:noWrap/>
            <w:vAlign w:val="bottom"/>
            <w:hideMark/>
          </w:tcPr>
          <w:p w14:paraId="0B46336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(0.037)</w:t>
            </w:r>
          </w:p>
        </w:tc>
      </w:tr>
      <w:tr w:rsidR="003C73FB" w:rsidRPr="00C82EE1" w14:paraId="476DEA02"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4C6E551"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Technicality</w:t>
            </w:r>
          </w:p>
        </w:tc>
        <w:tc>
          <w:tcPr>
            <w:tcW w:w="932" w:type="dxa"/>
            <w:tcBorders>
              <w:top w:val="nil"/>
              <w:left w:val="nil"/>
              <w:bottom w:val="nil"/>
              <w:right w:val="nil"/>
            </w:tcBorders>
            <w:shd w:val="clear" w:color="auto" w:fill="auto"/>
            <w:noWrap/>
            <w:vAlign w:val="bottom"/>
            <w:hideMark/>
          </w:tcPr>
          <w:p w14:paraId="3D58335C"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
        </w:tc>
        <w:tc>
          <w:tcPr>
            <w:tcW w:w="811" w:type="dxa"/>
            <w:tcBorders>
              <w:top w:val="nil"/>
              <w:left w:val="nil"/>
              <w:bottom w:val="nil"/>
              <w:right w:val="nil"/>
            </w:tcBorders>
            <w:shd w:val="clear" w:color="auto" w:fill="auto"/>
            <w:noWrap/>
            <w:vAlign w:val="bottom"/>
            <w:hideMark/>
          </w:tcPr>
          <w:p w14:paraId="7BB72F9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0.863***</w:t>
            </w:r>
          </w:p>
        </w:tc>
        <w:tc>
          <w:tcPr>
            <w:tcW w:w="251" w:type="dxa"/>
            <w:tcBorders>
              <w:top w:val="nil"/>
              <w:left w:val="nil"/>
              <w:bottom w:val="nil"/>
              <w:right w:val="nil"/>
            </w:tcBorders>
            <w:shd w:val="clear" w:color="auto" w:fill="auto"/>
            <w:noWrap/>
            <w:vAlign w:val="bottom"/>
            <w:hideMark/>
          </w:tcPr>
          <w:p w14:paraId="3DA934D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1F5C90CB"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D2B852D"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49A0E97C"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3D2A2798"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153DBB2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7C408A58"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53085C5C"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2CC222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90" w:type="dxa"/>
            <w:tcBorders>
              <w:top w:val="nil"/>
              <w:left w:val="nil"/>
              <w:bottom w:val="nil"/>
              <w:right w:val="nil"/>
            </w:tcBorders>
            <w:shd w:val="clear" w:color="auto" w:fill="auto"/>
            <w:noWrap/>
            <w:vAlign w:val="bottom"/>
            <w:hideMark/>
          </w:tcPr>
          <w:p w14:paraId="6C46AE6B"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6E9E3BED"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1634FDC7"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5EB732C1"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32" w:type="dxa"/>
            <w:tcBorders>
              <w:top w:val="nil"/>
              <w:left w:val="nil"/>
              <w:bottom w:val="nil"/>
              <w:right w:val="nil"/>
            </w:tcBorders>
            <w:shd w:val="clear" w:color="auto" w:fill="auto"/>
            <w:noWrap/>
            <w:vAlign w:val="bottom"/>
            <w:hideMark/>
          </w:tcPr>
          <w:p w14:paraId="352302C3"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B2DB4D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(0.161)</w:t>
            </w:r>
          </w:p>
        </w:tc>
        <w:tc>
          <w:tcPr>
            <w:tcW w:w="251" w:type="dxa"/>
            <w:tcBorders>
              <w:top w:val="nil"/>
              <w:left w:val="nil"/>
              <w:bottom w:val="nil"/>
              <w:right w:val="nil"/>
            </w:tcBorders>
            <w:shd w:val="clear" w:color="auto" w:fill="auto"/>
            <w:noWrap/>
            <w:vAlign w:val="bottom"/>
            <w:hideMark/>
          </w:tcPr>
          <w:p w14:paraId="437FEA0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1D412E43"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8988A84"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3F06E36A"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064F1DD9"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2438B41F"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2E62DC22"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21A3DA2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5F49675"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90" w:type="dxa"/>
            <w:tcBorders>
              <w:top w:val="nil"/>
              <w:left w:val="nil"/>
              <w:bottom w:val="nil"/>
              <w:right w:val="nil"/>
            </w:tcBorders>
            <w:shd w:val="clear" w:color="auto" w:fill="auto"/>
            <w:noWrap/>
            <w:vAlign w:val="bottom"/>
            <w:hideMark/>
          </w:tcPr>
          <w:p w14:paraId="333CD84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4040EF9C"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6A78B2D3"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09F8876C"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Rating</w:t>
            </w:r>
          </w:p>
        </w:tc>
        <w:tc>
          <w:tcPr>
            <w:tcW w:w="932" w:type="dxa"/>
            <w:tcBorders>
              <w:top w:val="nil"/>
              <w:left w:val="nil"/>
              <w:bottom w:val="nil"/>
              <w:right w:val="nil"/>
            </w:tcBorders>
            <w:shd w:val="clear" w:color="auto" w:fill="auto"/>
            <w:noWrap/>
            <w:vAlign w:val="bottom"/>
            <w:hideMark/>
          </w:tcPr>
          <w:p w14:paraId="1E7002B1"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
        </w:tc>
        <w:tc>
          <w:tcPr>
            <w:tcW w:w="811" w:type="dxa"/>
            <w:tcBorders>
              <w:top w:val="nil"/>
              <w:left w:val="nil"/>
              <w:bottom w:val="nil"/>
              <w:right w:val="nil"/>
            </w:tcBorders>
            <w:shd w:val="clear" w:color="auto" w:fill="auto"/>
            <w:noWrap/>
            <w:vAlign w:val="bottom"/>
            <w:hideMark/>
          </w:tcPr>
          <w:p w14:paraId="4A240C94"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64036028"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708CC8ED"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405299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0.537***</w:t>
            </w:r>
          </w:p>
        </w:tc>
        <w:tc>
          <w:tcPr>
            <w:tcW w:w="251" w:type="dxa"/>
            <w:tcBorders>
              <w:top w:val="nil"/>
              <w:left w:val="nil"/>
              <w:bottom w:val="nil"/>
              <w:right w:val="nil"/>
            </w:tcBorders>
            <w:shd w:val="clear" w:color="auto" w:fill="auto"/>
            <w:noWrap/>
            <w:vAlign w:val="bottom"/>
            <w:hideMark/>
          </w:tcPr>
          <w:p w14:paraId="3519DC60"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3C282A23"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6BE563B1"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5A2E7B7B"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4443F307"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DCF291C"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90" w:type="dxa"/>
            <w:tcBorders>
              <w:top w:val="nil"/>
              <w:left w:val="nil"/>
              <w:bottom w:val="nil"/>
              <w:right w:val="nil"/>
            </w:tcBorders>
            <w:shd w:val="clear" w:color="auto" w:fill="auto"/>
            <w:noWrap/>
            <w:vAlign w:val="bottom"/>
            <w:hideMark/>
          </w:tcPr>
          <w:p w14:paraId="0F6901A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4A70F520"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15B80E3E"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3713F91"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32" w:type="dxa"/>
            <w:tcBorders>
              <w:top w:val="nil"/>
              <w:left w:val="nil"/>
              <w:bottom w:val="nil"/>
              <w:right w:val="nil"/>
            </w:tcBorders>
            <w:shd w:val="clear" w:color="auto" w:fill="auto"/>
            <w:noWrap/>
            <w:vAlign w:val="bottom"/>
            <w:hideMark/>
          </w:tcPr>
          <w:p w14:paraId="1AA05B45"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4DA2562"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0FD8E6BD"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0F1894BD"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D0ED35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(0.060)</w:t>
            </w:r>
          </w:p>
        </w:tc>
        <w:tc>
          <w:tcPr>
            <w:tcW w:w="251" w:type="dxa"/>
            <w:tcBorders>
              <w:top w:val="nil"/>
              <w:left w:val="nil"/>
              <w:bottom w:val="nil"/>
              <w:right w:val="nil"/>
            </w:tcBorders>
            <w:shd w:val="clear" w:color="auto" w:fill="auto"/>
            <w:noWrap/>
            <w:vAlign w:val="bottom"/>
            <w:hideMark/>
          </w:tcPr>
          <w:p w14:paraId="7CCF027A"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2C9EF9E8"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69E60F39"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39E2E4A9"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506AF0E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1A888AA"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90" w:type="dxa"/>
            <w:tcBorders>
              <w:top w:val="nil"/>
              <w:left w:val="nil"/>
              <w:bottom w:val="nil"/>
              <w:right w:val="nil"/>
            </w:tcBorders>
            <w:shd w:val="clear" w:color="auto" w:fill="auto"/>
            <w:noWrap/>
            <w:vAlign w:val="bottom"/>
            <w:hideMark/>
          </w:tcPr>
          <w:p w14:paraId="298FA4D2"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06B2D593"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62F7273F"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51072FF2"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Rating dispersion</w:t>
            </w:r>
          </w:p>
        </w:tc>
        <w:tc>
          <w:tcPr>
            <w:tcW w:w="932" w:type="dxa"/>
            <w:tcBorders>
              <w:top w:val="nil"/>
              <w:left w:val="nil"/>
              <w:bottom w:val="nil"/>
              <w:right w:val="nil"/>
            </w:tcBorders>
            <w:shd w:val="clear" w:color="auto" w:fill="auto"/>
            <w:noWrap/>
            <w:vAlign w:val="bottom"/>
            <w:hideMark/>
          </w:tcPr>
          <w:p w14:paraId="1BC74570"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
        </w:tc>
        <w:tc>
          <w:tcPr>
            <w:tcW w:w="811" w:type="dxa"/>
            <w:tcBorders>
              <w:top w:val="nil"/>
              <w:left w:val="nil"/>
              <w:bottom w:val="nil"/>
              <w:right w:val="nil"/>
            </w:tcBorders>
            <w:shd w:val="clear" w:color="auto" w:fill="auto"/>
            <w:noWrap/>
            <w:vAlign w:val="bottom"/>
            <w:hideMark/>
          </w:tcPr>
          <w:p w14:paraId="46BF8A17"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3D217B3C"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48816F55"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898F51C"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0EFFF5DD"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0C87C5BA"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4FB92B0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-7.930***</w:t>
            </w:r>
          </w:p>
        </w:tc>
        <w:tc>
          <w:tcPr>
            <w:tcW w:w="251" w:type="dxa"/>
            <w:tcBorders>
              <w:top w:val="nil"/>
              <w:left w:val="nil"/>
              <w:bottom w:val="nil"/>
              <w:right w:val="nil"/>
            </w:tcBorders>
            <w:shd w:val="clear" w:color="auto" w:fill="auto"/>
            <w:noWrap/>
            <w:vAlign w:val="bottom"/>
            <w:hideMark/>
          </w:tcPr>
          <w:p w14:paraId="0DB4060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4E572E2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19172B2"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90" w:type="dxa"/>
            <w:tcBorders>
              <w:top w:val="nil"/>
              <w:left w:val="nil"/>
              <w:bottom w:val="nil"/>
              <w:right w:val="nil"/>
            </w:tcBorders>
            <w:shd w:val="clear" w:color="auto" w:fill="auto"/>
            <w:noWrap/>
            <w:vAlign w:val="bottom"/>
            <w:hideMark/>
          </w:tcPr>
          <w:p w14:paraId="43E9CDD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7B897269"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0E77F9CA"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EA97487"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32" w:type="dxa"/>
            <w:tcBorders>
              <w:top w:val="nil"/>
              <w:left w:val="nil"/>
              <w:bottom w:val="nil"/>
              <w:right w:val="nil"/>
            </w:tcBorders>
            <w:shd w:val="clear" w:color="auto" w:fill="auto"/>
            <w:noWrap/>
            <w:vAlign w:val="bottom"/>
            <w:hideMark/>
          </w:tcPr>
          <w:p w14:paraId="05E83451"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82BAFAA"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7EFED4FC"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113DCBA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ABA5BC7"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2A5F84D0"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2D76D6C9"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431AB1D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(2.739)</w:t>
            </w:r>
          </w:p>
        </w:tc>
        <w:tc>
          <w:tcPr>
            <w:tcW w:w="251" w:type="dxa"/>
            <w:tcBorders>
              <w:top w:val="nil"/>
              <w:left w:val="nil"/>
              <w:bottom w:val="nil"/>
              <w:right w:val="nil"/>
            </w:tcBorders>
            <w:shd w:val="clear" w:color="auto" w:fill="auto"/>
            <w:noWrap/>
            <w:vAlign w:val="bottom"/>
            <w:hideMark/>
          </w:tcPr>
          <w:p w14:paraId="7225504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1C84D4F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2EE9B07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90" w:type="dxa"/>
            <w:tcBorders>
              <w:top w:val="nil"/>
              <w:left w:val="nil"/>
              <w:bottom w:val="nil"/>
              <w:right w:val="nil"/>
            </w:tcBorders>
            <w:shd w:val="clear" w:color="auto" w:fill="auto"/>
            <w:noWrap/>
            <w:vAlign w:val="bottom"/>
            <w:hideMark/>
          </w:tcPr>
          <w:p w14:paraId="56237E53"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2AB21FBA"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0F28B10B"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2BB67E58"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roofErr w:type="spellStart"/>
            <w:r w:rsidRPr="00C82EE1">
              <w:rPr>
                <w:rFonts w:ascii="Times New Roman" w:eastAsia="Times New Roman" w:hAnsi="Times New Roman" w:cs="Times New Roman"/>
                <w:i/>
                <w:iCs/>
                <w:color w:val="000000"/>
                <w:sz w:val="14"/>
                <w:szCs w:val="14"/>
              </w:rPr>
              <w:t>FundBacked</w:t>
            </w:r>
            <w:proofErr w:type="spellEnd"/>
          </w:p>
        </w:tc>
        <w:tc>
          <w:tcPr>
            <w:tcW w:w="932" w:type="dxa"/>
            <w:tcBorders>
              <w:top w:val="nil"/>
              <w:left w:val="nil"/>
              <w:bottom w:val="nil"/>
              <w:right w:val="nil"/>
            </w:tcBorders>
            <w:shd w:val="clear" w:color="auto" w:fill="auto"/>
            <w:noWrap/>
            <w:vAlign w:val="bottom"/>
            <w:hideMark/>
          </w:tcPr>
          <w:p w14:paraId="1319C625"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
        </w:tc>
        <w:tc>
          <w:tcPr>
            <w:tcW w:w="811" w:type="dxa"/>
            <w:tcBorders>
              <w:top w:val="nil"/>
              <w:left w:val="nil"/>
              <w:bottom w:val="nil"/>
              <w:right w:val="nil"/>
            </w:tcBorders>
            <w:shd w:val="clear" w:color="auto" w:fill="auto"/>
            <w:noWrap/>
            <w:vAlign w:val="bottom"/>
            <w:hideMark/>
          </w:tcPr>
          <w:p w14:paraId="5ED33A8D"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687A2D81"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3230987D"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D56B919"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5307A4B6"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6746AF89"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1DC8F74F"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41C451B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237EAB6D"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D8329F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1.339***</w:t>
            </w:r>
          </w:p>
        </w:tc>
        <w:tc>
          <w:tcPr>
            <w:tcW w:w="790" w:type="dxa"/>
            <w:tcBorders>
              <w:top w:val="nil"/>
              <w:left w:val="nil"/>
              <w:bottom w:val="nil"/>
              <w:right w:val="nil"/>
            </w:tcBorders>
            <w:shd w:val="clear" w:color="auto" w:fill="auto"/>
            <w:noWrap/>
            <w:vAlign w:val="bottom"/>
            <w:hideMark/>
          </w:tcPr>
          <w:p w14:paraId="3BED0F5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741" w:type="dxa"/>
            <w:tcBorders>
              <w:top w:val="nil"/>
              <w:left w:val="nil"/>
              <w:bottom w:val="nil"/>
              <w:right w:val="nil"/>
            </w:tcBorders>
            <w:shd w:val="clear" w:color="auto" w:fill="auto"/>
            <w:noWrap/>
            <w:vAlign w:val="bottom"/>
            <w:hideMark/>
          </w:tcPr>
          <w:p w14:paraId="10726210"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339C2698"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271CB37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32" w:type="dxa"/>
            <w:tcBorders>
              <w:top w:val="nil"/>
              <w:left w:val="nil"/>
              <w:bottom w:val="nil"/>
              <w:right w:val="nil"/>
            </w:tcBorders>
            <w:shd w:val="clear" w:color="auto" w:fill="auto"/>
            <w:noWrap/>
            <w:vAlign w:val="bottom"/>
            <w:hideMark/>
          </w:tcPr>
          <w:p w14:paraId="131C8B42"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91725F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1818370B"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74047151"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97C25D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5AC474DB"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3DC3E7E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1FA4437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7BBBF434"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74946AE5"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7CD5C4B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(0.081)</w:t>
            </w:r>
          </w:p>
        </w:tc>
        <w:tc>
          <w:tcPr>
            <w:tcW w:w="790" w:type="dxa"/>
            <w:tcBorders>
              <w:top w:val="nil"/>
              <w:left w:val="nil"/>
              <w:bottom w:val="nil"/>
              <w:right w:val="nil"/>
            </w:tcBorders>
            <w:shd w:val="clear" w:color="auto" w:fill="auto"/>
            <w:noWrap/>
            <w:vAlign w:val="bottom"/>
            <w:hideMark/>
          </w:tcPr>
          <w:p w14:paraId="2FE834C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741" w:type="dxa"/>
            <w:tcBorders>
              <w:top w:val="nil"/>
              <w:left w:val="nil"/>
              <w:bottom w:val="nil"/>
              <w:right w:val="nil"/>
            </w:tcBorders>
            <w:shd w:val="clear" w:color="auto" w:fill="auto"/>
            <w:noWrap/>
            <w:vAlign w:val="bottom"/>
            <w:hideMark/>
          </w:tcPr>
          <w:p w14:paraId="7A3DE58C"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65A45BC4"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08815D14" w14:textId="7B032EFD"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7-day</w:t>
            </w:r>
            <w:r w:rsidR="007E5F1C">
              <w:rPr>
                <w:rFonts w:ascii="Times New Roman" w:eastAsia="Times New Roman" w:hAnsi="Times New Roman" w:cs="Times New Roman"/>
                <w:i/>
                <w:iCs/>
                <w:color w:val="000000"/>
                <w:sz w:val="14"/>
                <w:szCs w:val="14"/>
              </w:rPr>
              <w:t>s</w:t>
            </w:r>
            <w:r w:rsidRPr="00C82EE1">
              <w:rPr>
                <w:rFonts w:ascii="Times New Roman" w:eastAsia="Times New Roman" w:hAnsi="Times New Roman" w:cs="Times New Roman"/>
                <w:i/>
                <w:iCs/>
                <w:color w:val="000000"/>
                <w:sz w:val="14"/>
                <w:szCs w:val="14"/>
              </w:rPr>
              <w:t xml:space="preserve"> window growth rate</w:t>
            </w:r>
          </w:p>
        </w:tc>
        <w:tc>
          <w:tcPr>
            <w:tcW w:w="932" w:type="dxa"/>
            <w:tcBorders>
              <w:top w:val="nil"/>
              <w:left w:val="nil"/>
              <w:bottom w:val="nil"/>
              <w:right w:val="nil"/>
            </w:tcBorders>
            <w:shd w:val="clear" w:color="auto" w:fill="auto"/>
            <w:noWrap/>
            <w:vAlign w:val="bottom"/>
            <w:hideMark/>
          </w:tcPr>
          <w:p w14:paraId="65DC8328"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
        </w:tc>
        <w:tc>
          <w:tcPr>
            <w:tcW w:w="811" w:type="dxa"/>
            <w:tcBorders>
              <w:top w:val="nil"/>
              <w:left w:val="nil"/>
              <w:bottom w:val="nil"/>
              <w:right w:val="nil"/>
            </w:tcBorders>
            <w:shd w:val="clear" w:color="auto" w:fill="auto"/>
            <w:noWrap/>
            <w:vAlign w:val="bottom"/>
            <w:hideMark/>
          </w:tcPr>
          <w:p w14:paraId="57A08CE4"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4549EE3B"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40451A63"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6121059"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6E09EBA3"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0DA1CD18"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1345D562"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7917C4E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1FE9A384"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6132D173"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90" w:type="dxa"/>
            <w:tcBorders>
              <w:top w:val="nil"/>
              <w:left w:val="nil"/>
              <w:bottom w:val="nil"/>
              <w:right w:val="nil"/>
            </w:tcBorders>
            <w:shd w:val="clear" w:color="auto" w:fill="auto"/>
            <w:noWrap/>
            <w:vAlign w:val="bottom"/>
            <w:hideMark/>
          </w:tcPr>
          <w:p w14:paraId="759A0217"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304F19F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0.153</w:t>
            </w:r>
          </w:p>
        </w:tc>
      </w:tr>
      <w:tr w:rsidR="003C73FB" w:rsidRPr="00C82EE1" w14:paraId="4B744F28"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D61672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4CBE89FF"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44C0E53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37261FD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4CA018B4"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34E08191"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23D758CA"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1776114E"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2782A199"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597E3044"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590E77B2"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1B12BD1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90" w:type="dxa"/>
            <w:tcBorders>
              <w:top w:val="nil"/>
              <w:left w:val="nil"/>
              <w:bottom w:val="nil"/>
              <w:right w:val="nil"/>
            </w:tcBorders>
            <w:shd w:val="clear" w:color="auto" w:fill="auto"/>
            <w:noWrap/>
            <w:vAlign w:val="bottom"/>
            <w:hideMark/>
          </w:tcPr>
          <w:p w14:paraId="38ECAB2B"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6A6F509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(0.218)</w:t>
            </w:r>
          </w:p>
        </w:tc>
      </w:tr>
      <w:tr w:rsidR="003C73FB" w:rsidRPr="00C82EE1" w14:paraId="6B15417D"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480D8D3E"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roofErr w:type="spellStart"/>
            <w:r w:rsidRPr="00C82EE1">
              <w:rPr>
                <w:rFonts w:ascii="Times New Roman" w:eastAsia="Times New Roman" w:hAnsi="Times New Roman" w:cs="Times New Roman"/>
                <w:i/>
                <w:iCs/>
                <w:color w:val="000000"/>
                <w:sz w:val="14"/>
                <w:szCs w:val="14"/>
              </w:rPr>
              <w:t>Readability_Flesch</w:t>
            </w:r>
            <w:proofErr w:type="spellEnd"/>
          </w:p>
        </w:tc>
        <w:tc>
          <w:tcPr>
            <w:tcW w:w="932" w:type="dxa"/>
            <w:tcBorders>
              <w:top w:val="nil"/>
              <w:left w:val="nil"/>
              <w:bottom w:val="nil"/>
              <w:right w:val="nil"/>
            </w:tcBorders>
            <w:shd w:val="clear" w:color="auto" w:fill="auto"/>
            <w:noWrap/>
            <w:vAlign w:val="bottom"/>
            <w:hideMark/>
          </w:tcPr>
          <w:p w14:paraId="4AF069F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0.008</w:t>
            </w:r>
          </w:p>
        </w:tc>
        <w:tc>
          <w:tcPr>
            <w:tcW w:w="811" w:type="dxa"/>
            <w:tcBorders>
              <w:top w:val="nil"/>
              <w:left w:val="nil"/>
              <w:bottom w:val="nil"/>
              <w:right w:val="nil"/>
            </w:tcBorders>
            <w:shd w:val="clear" w:color="auto" w:fill="auto"/>
            <w:noWrap/>
            <w:vAlign w:val="bottom"/>
            <w:hideMark/>
          </w:tcPr>
          <w:p w14:paraId="041D74B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0.045</w:t>
            </w:r>
          </w:p>
        </w:tc>
        <w:tc>
          <w:tcPr>
            <w:tcW w:w="251" w:type="dxa"/>
            <w:tcBorders>
              <w:top w:val="nil"/>
              <w:left w:val="nil"/>
              <w:bottom w:val="nil"/>
              <w:right w:val="nil"/>
            </w:tcBorders>
            <w:shd w:val="clear" w:color="auto" w:fill="auto"/>
            <w:noWrap/>
            <w:vAlign w:val="bottom"/>
            <w:hideMark/>
          </w:tcPr>
          <w:p w14:paraId="7914018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0F8B587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0.0002</w:t>
            </w:r>
          </w:p>
        </w:tc>
        <w:tc>
          <w:tcPr>
            <w:tcW w:w="811" w:type="dxa"/>
            <w:tcBorders>
              <w:top w:val="nil"/>
              <w:left w:val="nil"/>
              <w:bottom w:val="nil"/>
              <w:right w:val="nil"/>
            </w:tcBorders>
            <w:shd w:val="clear" w:color="auto" w:fill="auto"/>
            <w:noWrap/>
            <w:vAlign w:val="bottom"/>
            <w:hideMark/>
          </w:tcPr>
          <w:p w14:paraId="6FCE489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0.052</w:t>
            </w:r>
          </w:p>
        </w:tc>
        <w:tc>
          <w:tcPr>
            <w:tcW w:w="251" w:type="dxa"/>
            <w:tcBorders>
              <w:top w:val="nil"/>
              <w:left w:val="nil"/>
              <w:bottom w:val="nil"/>
              <w:right w:val="nil"/>
            </w:tcBorders>
            <w:shd w:val="clear" w:color="auto" w:fill="auto"/>
            <w:noWrap/>
            <w:vAlign w:val="bottom"/>
            <w:hideMark/>
          </w:tcPr>
          <w:p w14:paraId="57C49862"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2C16D06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0.0003</w:t>
            </w:r>
          </w:p>
        </w:tc>
        <w:tc>
          <w:tcPr>
            <w:tcW w:w="1356" w:type="dxa"/>
            <w:tcBorders>
              <w:top w:val="nil"/>
              <w:left w:val="nil"/>
              <w:bottom w:val="nil"/>
              <w:right w:val="nil"/>
            </w:tcBorders>
            <w:shd w:val="clear" w:color="auto" w:fill="auto"/>
            <w:noWrap/>
            <w:vAlign w:val="bottom"/>
            <w:hideMark/>
          </w:tcPr>
          <w:p w14:paraId="0246C3D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0.020</w:t>
            </w:r>
          </w:p>
        </w:tc>
        <w:tc>
          <w:tcPr>
            <w:tcW w:w="251" w:type="dxa"/>
            <w:tcBorders>
              <w:top w:val="nil"/>
              <w:left w:val="nil"/>
              <w:bottom w:val="nil"/>
              <w:right w:val="nil"/>
            </w:tcBorders>
            <w:shd w:val="clear" w:color="auto" w:fill="auto"/>
            <w:noWrap/>
            <w:vAlign w:val="bottom"/>
            <w:hideMark/>
          </w:tcPr>
          <w:p w14:paraId="6FD495B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4980F35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-0.006</w:t>
            </w:r>
          </w:p>
        </w:tc>
        <w:tc>
          <w:tcPr>
            <w:tcW w:w="811" w:type="dxa"/>
            <w:tcBorders>
              <w:top w:val="nil"/>
              <w:left w:val="nil"/>
              <w:bottom w:val="nil"/>
              <w:right w:val="nil"/>
            </w:tcBorders>
            <w:shd w:val="clear" w:color="auto" w:fill="auto"/>
            <w:noWrap/>
            <w:vAlign w:val="bottom"/>
            <w:hideMark/>
          </w:tcPr>
          <w:p w14:paraId="73050BD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0.053</w:t>
            </w:r>
          </w:p>
        </w:tc>
        <w:tc>
          <w:tcPr>
            <w:tcW w:w="790" w:type="dxa"/>
            <w:tcBorders>
              <w:top w:val="nil"/>
              <w:left w:val="nil"/>
              <w:bottom w:val="nil"/>
              <w:right w:val="nil"/>
            </w:tcBorders>
            <w:shd w:val="clear" w:color="auto" w:fill="auto"/>
            <w:noWrap/>
            <w:vAlign w:val="bottom"/>
            <w:hideMark/>
          </w:tcPr>
          <w:p w14:paraId="23A3A41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c>
          <w:tcPr>
            <w:tcW w:w="741" w:type="dxa"/>
            <w:tcBorders>
              <w:top w:val="nil"/>
              <w:left w:val="nil"/>
              <w:bottom w:val="nil"/>
              <w:right w:val="nil"/>
            </w:tcBorders>
            <w:shd w:val="clear" w:color="auto" w:fill="auto"/>
            <w:noWrap/>
            <w:vAlign w:val="bottom"/>
            <w:hideMark/>
          </w:tcPr>
          <w:p w14:paraId="57DA41A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0.112</w:t>
            </w:r>
          </w:p>
        </w:tc>
      </w:tr>
      <w:tr w:rsidR="003C73FB" w:rsidRPr="00C82EE1" w14:paraId="13D4F190"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297E3D7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6B09BF9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(0.006)</w:t>
            </w:r>
          </w:p>
        </w:tc>
        <w:tc>
          <w:tcPr>
            <w:tcW w:w="811" w:type="dxa"/>
            <w:tcBorders>
              <w:top w:val="nil"/>
              <w:left w:val="nil"/>
              <w:bottom w:val="nil"/>
              <w:right w:val="nil"/>
            </w:tcBorders>
            <w:shd w:val="clear" w:color="auto" w:fill="auto"/>
            <w:noWrap/>
            <w:vAlign w:val="bottom"/>
            <w:hideMark/>
          </w:tcPr>
          <w:p w14:paraId="70082C9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(0.046)</w:t>
            </w:r>
          </w:p>
        </w:tc>
        <w:tc>
          <w:tcPr>
            <w:tcW w:w="251" w:type="dxa"/>
            <w:tcBorders>
              <w:top w:val="nil"/>
              <w:left w:val="nil"/>
              <w:bottom w:val="nil"/>
              <w:right w:val="nil"/>
            </w:tcBorders>
            <w:shd w:val="clear" w:color="auto" w:fill="auto"/>
            <w:noWrap/>
            <w:vAlign w:val="bottom"/>
            <w:hideMark/>
          </w:tcPr>
          <w:p w14:paraId="04A39F2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141D969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(0.013)</w:t>
            </w:r>
          </w:p>
        </w:tc>
        <w:tc>
          <w:tcPr>
            <w:tcW w:w="811" w:type="dxa"/>
            <w:tcBorders>
              <w:top w:val="nil"/>
              <w:left w:val="nil"/>
              <w:bottom w:val="nil"/>
              <w:right w:val="nil"/>
            </w:tcBorders>
            <w:shd w:val="clear" w:color="auto" w:fill="auto"/>
            <w:noWrap/>
            <w:vAlign w:val="bottom"/>
            <w:hideMark/>
          </w:tcPr>
          <w:p w14:paraId="4E26657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(0.046)</w:t>
            </w:r>
          </w:p>
        </w:tc>
        <w:tc>
          <w:tcPr>
            <w:tcW w:w="251" w:type="dxa"/>
            <w:tcBorders>
              <w:top w:val="nil"/>
              <w:left w:val="nil"/>
              <w:bottom w:val="nil"/>
              <w:right w:val="nil"/>
            </w:tcBorders>
            <w:shd w:val="clear" w:color="auto" w:fill="auto"/>
            <w:noWrap/>
            <w:vAlign w:val="bottom"/>
            <w:hideMark/>
          </w:tcPr>
          <w:p w14:paraId="320F3476"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0C5C6F7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512D88A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(0.050)</w:t>
            </w:r>
          </w:p>
        </w:tc>
        <w:tc>
          <w:tcPr>
            <w:tcW w:w="251" w:type="dxa"/>
            <w:tcBorders>
              <w:top w:val="nil"/>
              <w:left w:val="nil"/>
              <w:bottom w:val="nil"/>
              <w:right w:val="nil"/>
            </w:tcBorders>
            <w:shd w:val="clear" w:color="auto" w:fill="auto"/>
            <w:noWrap/>
            <w:vAlign w:val="bottom"/>
            <w:hideMark/>
          </w:tcPr>
          <w:p w14:paraId="5ADFD5F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581F5AA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(0.050)</w:t>
            </w:r>
          </w:p>
        </w:tc>
        <w:tc>
          <w:tcPr>
            <w:tcW w:w="811" w:type="dxa"/>
            <w:tcBorders>
              <w:top w:val="nil"/>
              <w:left w:val="nil"/>
              <w:bottom w:val="nil"/>
              <w:right w:val="nil"/>
            </w:tcBorders>
            <w:shd w:val="clear" w:color="auto" w:fill="auto"/>
            <w:noWrap/>
            <w:vAlign w:val="bottom"/>
            <w:hideMark/>
          </w:tcPr>
          <w:p w14:paraId="45E5021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(0.042)</w:t>
            </w:r>
          </w:p>
        </w:tc>
        <w:tc>
          <w:tcPr>
            <w:tcW w:w="790" w:type="dxa"/>
            <w:tcBorders>
              <w:top w:val="nil"/>
              <w:left w:val="nil"/>
              <w:bottom w:val="nil"/>
              <w:right w:val="nil"/>
            </w:tcBorders>
            <w:shd w:val="clear" w:color="auto" w:fill="auto"/>
            <w:noWrap/>
            <w:vAlign w:val="bottom"/>
            <w:hideMark/>
          </w:tcPr>
          <w:p w14:paraId="7D8F301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(0.011)</w:t>
            </w:r>
          </w:p>
        </w:tc>
        <w:tc>
          <w:tcPr>
            <w:tcW w:w="741" w:type="dxa"/>
            <w:tcBorders>
              <w:top w:val="nil"/>
              <w:left w:val="nil"/>
              <w:bottom w:val="nil"/>
              <w:right w:val="nil"/>
            </w:tcBorders>
            <w:shd w:val="clear" w:color="auto" w:fill="auto"/>
            <w:noWrap/>
            <w:vAlign w:val="bottom"/>
            <w:hideMark/>
          </w:tcPr>
          <w:p w14:paraId="79357BA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(0.081)</w:t>
            </w:r>
          </w:p>
        </w:tc>
      </w:tr>
      <w:tr w:rsidR="003C73FB" w:rsidRPr="00C82EE1" w14:paraId="27AE3B15"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B43D097"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roofErr w:type="spellStart"/>
            <w:r w:rsidRPr="00C82EE1">
              <w:rPr>
                <w:rFonts w:ascii="Times New Roman" w:eastAsia="Times New Roman" w:hAnsi="Times New Roman" w:cs="Times New Roman"/>
                <w:i/>
                <w:iCs/>
                <w:color w:val="000000"/>
                <w:sz w:val="14"/>
                <w:szCs w:val="14"/>
              </w:rPr>
              <w:t>Readability_Flesch.square</w:t>
            </w:r>
            <w:proofErr w:type="spellEnd"/>
          </w:p>
        </w:tc>
        <w:tc>
          <w:tcPr>
            <w:tcW w:w="932" w:type="dxa"/>
            <w:tcBorders>
              <w:top w:val="nil"/>
              <w:left w:val="nil"/>
              <w:bottom w:val="nil"/>
              <w:right w:val="nil"/>
            </w:tcBorders>
            <w:shd w:val="clear" w:color="auto" w:fill="auto"/>
            <w:noWrap/>
            <w:vAlign w:val="bottom"/>
            <w:hideMark/>
          </w:tcPr>
          <w:p w14:paraId="23A6224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-0.0001</w:t>
            </w:r>
          </w:p>
        </w:tc>
        <w:tc>
          <w:tcPr>
            <w:tcW w:w="811" w:type="dxa"/>
            <w:tcBorders>
              <w:top w:val="nil"/>
              <w:left w:val="nil"/>
              <w:bottom w:val="nil"/>
              <w:right w:val="nil"/>
            </w:tcBorders>
            <w:shd w:val="clear" w:color="auto" w:fill="auto"/>
            <w:noWrap/>
            <w:vAlign w:val="bottom"/>
            <w:hideMark/>
          </w:tcPr>
          <w:p w14:paraId="377E97C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0E9067E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54F004B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-0.00002</w:t>
            </w:r>
          </w:p>
        </w:tc>
        <w:tc>
          <w:tcPr>
            <w:tcW w:w="811" w:type="dxa"/>
            <w:tcBorders>
              <w:top w:val="nil"/>
              <w:left w:val="nil"/>
              <w:bottom w:val="nil"/>
              <w:right w:val="nil"/>
            </w:tcBorders>
            <w:shd w:val="clear" w:color="auto" w:fill="auto"/>
            <w:noWrap/>
            <w:vAlign w:val="bottom"/>
            <w:hideMark/>
          </w:tcPr>
          <w:p w14:paraId="16F249A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6800960F"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7989AA1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-0.00000</w:t>
            </w:r>
          </w:p>
        </w:tc>
        <w:tc>
          <w:tcPr>
            <w:tcW w:w="1356" w:type="dxa"/>
            <w:tcBorders>
              <w:top w:val="nil"/>
              <w:left w:val="nil"/>
              <w:bottom w:val="nil"/>
              <w:right w:val="nil"/>
            </w:tcBorders>
            <w:shd w:val="clear" w:color="auto" w:fill="auto"/>
            <w:noWrap/>
            <w:vAlign w:val="bottom"/>
            <w:hideMark/>
          </w:tcPr>
          <w:p w14:paraId="314F431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48CDCA9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19E282D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-0.00001</w:t>
            </w:r>
          </w:p>
        </w:tc>
        <w:tc>
          <w:tcPr>
            <w:tcW w:w="811" w:type="dxa"/>
            <w:tcBorders>
              <w:top w:val="nil"/>
              <w:left w:val="nil"/>
              <w:bottom w:val="nil"/>
              <w:right w:val="nil"/>
            </w:tcBorders>
            <w:shd w:val="clear" w:color="auto" w:fill="auto"/>
            <w:noWrap/>
            <w:vAlign w:val="bottom"/>
            <w:hideMark/>
          </w:tcPr>
          <w:p w14:paraId="21C12B9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790" w:type="dxa"/>
            <w:tcBorders>
              <w:top w:val="nil"/>
              <w:left w:val="nil"/>
              <w:bottom w:val="nil"/>
              <w:right w:val="nil"/>
            </w:tcBorders>
            <w:shd w:val="clear" w:color="auto" w:fill="auto"/>
            <w:noWrap/>
            <w:vAlign w:val="bottom"/>
            <w:hideMark/>
          </w:tcPr>
          <w:p w14:paraId="0AB3463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0.0002</w:t>
            </w:r>
          </w:p>
        </w:tc>
        <w:tc>
          <w:tcPr>
            <w:tcW w:w="741" w:type="dxa"/>
            <w:tcBorders>
              <w:top w:val="nil"/>
              <w:left w:val="nil"/>
              <w:bottom w:val="nil"/>
              <w:right w:val="nil"/>
            </w:tcBorders>
            <w:shd w:val="clear" w:color="auto" w:fill="auto"/>
            <w:noWrap/>
            <w:vAlign w:val="bottom"/>
            <w:hideMark/>
          </w:tcPr>
          <w:p w14:paraId="1A9A2C9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r>
      <w:tr w:rsidR="003C73FB" w:rsidRPr="00C82EE1" w14:paraId="4F91E5DA"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21D695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1D604C1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(0.0001)</w:t>
            </w:r>
          </w:p>
        </w:tc>
        <w:tc>
          <w:tcPr>
            <w:tcW w:w="811" w:type="dxa"/>
            <w:tcBorders>
              <w:top w:val="nil"/>
              <w:left w:val="nil"/>
              <w:bottom w:val="nil"/>
              <w:right w:val="nil"/>
            </w:tcBorders>
            <w:shd w:val="clear" w:color="auto" w:fill="auto"/>
            <w:noWrap/>
            <w:vAlign w:val="bottom"/>
            <w:hideMark/>
          </w:tcPr>
          <w:p w14:paraId="1252C08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0BB0D62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1A14919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(0.0001)</w:t>
            </w:r>
          </w:p>
        </w:tc>
        <w:tc>
          <w:tcPr>
            <w:tcW w:w="811" w:type="dxa"/>
            <w:tcBorders>
              <w:top w:val="nil"/>
              <w:left w:val="nil"/>
              <w:bottom w:val="nil"/>
              <w:right w:val="nil"/>
            </w:tcBorders>
            <w:shd w:val="clear" w:color="auto" w:fill="auto"/>
            <w:noWrap/>
            <w:vAlign w:val="bottom"/>
            <w:hideMark/>
          </w:tcPr>
          <w:p w14:paraId="2221947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7D494775"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7F47567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(0.00001)</w:t>
            </w:r>
          </w:p>
        </w:tc>
        <w:tc>
          <w:tcPr>
            <w:tcW w:w="1356" w:type="dxa"/>
            <w:tcBorders>
              <w:top w:val="nil"/>
              <w:left w:val="nil"/>
              <w:bottom w:val="nil"/>
              <w:right w:val="nil"/>
            </w:tcBorders>
            <w:shd w:val="clear" w:color="auto" w:fill="auto"/>
            <w:noWrap/>
            <w:vAlign w:val="bottom"/>
            <w:hideMark/>
          </w:tcPr>
          <w:p w14:paraId="6ECD73A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5ADA350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0030BD9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68E5E2E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790" w:type="dxa"/>
            <w:tcBorders>
              <w:top w:val="nil"/>
              <w:left w:val="nil"/>
              <w:bottom w:val="nil"/>
              <w:right w:val="nil"/>
            </w:tcBorders>
            <w:shd w:val="clear" w:color="auto" w:fill="auto"/>
            <w:noWrap/>
            <w:vAlign w:val="bottom"/>
            <w:hideMark/>
          </w:tcPr>
          <w:p w14:paraId="563DC53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(0.0002)</w:t>
            </w:r>
          </w:p>
        </w:tc>
        <w:tc>
          <w:tcPr>
            <w:tcW w:w="741" w:type="dxa"/>
            <w:tcBorders>
              <w:top w:val="nil"/>
              <w:left w:val="nil"/>
              <w:bottom w:val="nil"/>
              <w:right w:val="nil"/>
            </w:tcBorders>
            <w:shd w:val="clear" w:color="auto" w:fill="auto"/>
            <w:noWrap/>
            <w:vAlign w:val="bottom"/>
            <w:hideMark/>
          </w:tcPr>
          <w:p w14:paraId="1AC3409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r>
      <w:tr w:rsidR="003C73FB" w:rsidRPr="00C82EE1" w14:paraId="32ED2F08"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2B2BC5D9"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Sentiment</w:t>
            </w:r>
          </w:p>
        </w:tc>
        <w:tc>
          <w:tcPr>
            <w:tcW w:w="932" w:type="dxa"/>
            <w:tcBorders>
              <w:top w:val="nil"/>
              <w:left w:val="nil"/>
              <w:bottom w:val="nil"/>
              <w:right w:val="nil"/>
            </w:tcBorders>
            <w:shd w:val="clear" w:color="auto" w:fill="auto"/>
            <w:noWrap/>
            <w:vAlign w:val="bottom"/>
            <w:hideMark/>
          </w:tcPr>
          <w:p w14:paraId="4951CDA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-5.210***</w:t>
            </w:r>
          </w:p>
        </w:tc>
        <w:tc>
          <w:tcPr>
            <w:tcW w:w="811" w:type="dxa"/>
            <w:tcBorders>
              <w:top w:val="nil"/>
              <w:left w:val="nil"/>
              <w:bottom w:val="nil"/>
              <w:right w:val="nil"/>
            </w:tcBorders>
            <w:shd w:val="clear" w:color="auto" w:fill="auto"/>
            <w:noWrap/>
            <w:vAlign w:val="bottom"/>
            <w:hideMark/>
          </w:tcPr>
          <w:p w14:paraId="624B65D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4.413</w:t>
            </w:r>
          </w:p>
        </w:tc>
        <w:tc>
          <w:tcPr>
            <w:tcW w:w="251" w:type="dxa"/>
            <w:tcBorders>
              <w:top w:val="nil"/>
              <w:left w:val="nil"/>
              <w:bottom w:val="nil"/>
              <w:right w:val="nil"/>
            </w:tcBorders>
            <w:shd w:val="clear" w:color="auto" w:fill="auto"/>
            <w:noWrap/>
            <w:vAlign w:val="bottom"/>
            <w:hideMark/>
          </w:tcPr>
          <w:p w14:paraId="018FEC9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09730DE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1.706</w:t>
            </w:r>
          </w:p>
        </w:tc>
        <w:tc>
          <w:tcPr>
            <w:tcW w:w="811" w:type="dxa"/>
            <w:tcBorders>
              <w:top w:val="nil"/>
              <w:left w:val="nil"/>
              <w:bottom w:val="nil"/>
              <w:right w:val="nil"/>
            </w:tcBorders>
            <w:shd w:val="clear" w:color="auto" w:fill="auto"/>
            <w:noWrap/>
            <w:vAlign w:val="bottom"/>
            <w:hideMark/>
          </w:tcPr>
          <w:p w14:paraId="1DE93C9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-1.000</w:t>
            </w:r>
          </w:p>
        </w:tc>
        <w:tc>
          <w:tcPr>
            <w:tcW w:w="251" w:type="dxa"/>
            <w:tcBorders>
              <w:top w:val="nil"/>
              <w:left w:val="nil"/>
              <w:bottom w:val="nil"/>
              <w:right w:val="nil"/>
            </w:tcBorders>
            <w:shd w:val="clear" w:color="auto" w:fill="auto"/>
            <w:noWrap/>
            <w:vAlign w:val="bottom"/>
            <w:hideMark/>
          </w:tcPr>
          <w:p w14:paraId="17C68B38"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36D7A61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0.184**</w:t>
            </w:r>
          </w:p>
        </w:tc>
        <w:tc>
          <w:tcPr>
            <w:tcW w:w="1356" w:type="dxa"/>
            <w:tcBorders>
              <w:top w:val="nil"/>
              <w:left w:val="nil"/>
              <w:bottom w:val="nil"/>
              <w:right w:val="nil"/>
            </w:tcBorders>
            <w:shd w:val="clear" w:color="auto" w:fill="auto"/>
            <w:noWrap/>
            <w:vAlign w:val="bottom"/>
            <w:hideMark/>
          </w:tcPr>
          <w:p w14:paraId="0A0ABDA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1.576</w:t>
            </w:r>
          </w:p>
        </w:tc>
        <w:tc>
          <w:tcPr>
            <w:tcW w:w="251" w:type="dxa"/>
            <w:tcBorders>
              <w:top w:val="nil"/>
              <w:left w:val="nil"/>
              <w:bottom w:val="nil"/>
              <w:right w:val="nil"/>
            </w:tcBorders>
            <w:shd w:val="clear" w:color="auto" w:fill="auto"/>
            <w:noWrap/>
            <w:vAlign w:val="bottom"/>
            <w:hideMark/>
          </w:tcPr>
          <w:p w14:paraId="591A2E7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5C758F0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-10.440*</w:t>
            </w:r>
          </w:p>
        </w:tc>
        <w:tc>
          <w:tcPr>
            <w:tcW w:w="811" w:type="dxa"/>
            <w:tcBorders>
              <w:top w:val="nil"/>
              <w:left w:val="nil"/>
              <w:bottom w:val="nil"/>
              <w:right w:val="nil"/>
            </w:tcBorders>
            <w:shd w:val="clear" w:color="auto" w:fill="auto"/>
            <w:noWrap/>
            <w:vAlign w:val="bottom"/>
            <w:hideMark/>
          </w:tcPr>
          <w:p w14:paraId="24FCECC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2.228</w:t>
            </w:r>
          </w:p>
        </w:tc>
        <w:tc>
          <w:tcPr>
            <w:tcW w:w="790" w:type="dxa"/>
            <w:tcBorders>
              <w:top w:val="nil"/>
              <w:left w:val="nil"/>
              <w:bottom w:val="nil"/>
              <w:right w:val="nil"/>
            </w:tcBorders>
            <w:shd w:val="clear" w:color="auto" w:fill="auto"/>
            <w:noWrap/>
            <w:vAlign w:val="bottom"/>
            <w:hideMark/>
          </w:tcPr>
          <w:p w14:paraId="1614D4C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1.260</w:t>
            </w:r>
          </w:p>
        </w:tc>
        <w:tc>
          <w:tcPr>
            <w:tcW w:w="741" w:type="dxa"/>
            <w:tcBorders>
              <w:top w:val="nil"/>
              <w:left w:val="nil"/>
              <w:bottom w:val="nil"/>
              <w:right w:val="nil"/>
            </w:tcBorders>
            <w:shd w:val="clear" w:color="auto" w:fill="auto"/>
            <w:noWrap/>
            <w:vAlign w:val="bottom"/>
            <w:hideMark/>
          </w:tcPr>
          <w:p w14:paraId="3833B68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14.195</w:t>
            </w:r>
          </w:p>
        </w:tc>
      </w:tr>
      <w:tr w:rsidR="003C73FB" w:rsidRPr="00C82EE1" w14:paraId="53EBBA65"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50321A4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2D26DD8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(1.037)</w:t>
            </w:r>
          </w:p>
        </w:tc>
        <w:tc>
          <w:tcPr>
            <w:tcW w:w="811" w:type="dxa"/>
            <w:tcBorders>
              <w:top w:val="nil"/>
              <w:left w:val="nil"/>
              <w:bottom w:val="nil"/>
              <w:right w:val="nil"/>
            </w:tcBorders>
            <w:shd w:val="clear" w:color="auto" w:fill="auto"/>
            <w:noWrap/>
            <w:vAlign w:val="bottom"/>
            <w:hideMark/>
          </w:tcPr>
          <w:p w14:paraId="470C4AD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(11.594)</w:t>
            </w:r>
          </w:p>
        </w:tc>
        <w:tc>
          <w:tcPr>
            <w:tcW w:w="251" w:type="dxa"/>
            <w:tcBorders>
              <w:top w:val="nil"/>
              <w:left w:val="nil"/>
              <w:bottom w:val="nil"/>
              <w:right w:val="nil"/>
            </w:tcBorders>
            <w:shd w:val="clear" w:color="auto" w:fill="auto"/>
            <w:noWrap/>
            <w:vAlign w:val="bottom"/>
            <w:hideMark/>
          </w:tcPr>
          <w:p w14:paraId="3D9F338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1F88A8B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(1.707)</w:t>
            </w:r>
          </w:p>
        </w:tc>
        <w:tc>
          <w:tcPr>
            <w:tcW w:w="811" w:type="dxa"/>
            <w:tcBorders>
              <w:top w:val="nil"/>
              <w:left w:val="nil"/>
              <w:bottom w:val="nil"/>
              <w:right w:val="nil"/>
            </w:tcBorders>
            <w:shd w:val="clear" w:color="auto" w:fill="auto"/>
            <w:noWrap/>
            <w:vAlign w:val="bottom"/>
            <w:hideMark/>
          </w:tcPr>
          <w:p w14:paraId="58BC88A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(11.567)</w:t>
            </w:r>
          </w:p>
        </w:tc>
        <w:tc>
          <w:tcPr>
            <w:tcW w:w="251" w:type="dxa"/>
            <w:tcBorders>
              <w:top w:val="nil"/>
              <w:left w:val="nil"/>
              <w:bottom w:val="nil"/>
              <w:right w:val="nil"/>
            </w:tcBorders>
            <w:shd w:val="clear" w:color="auto" w:fill="auto"/>
            <w:noWrap/>
            <w:vAlign w:val="bottom"/>
            <w:hideMark/>
          </w:tcPr>
          <w:p w14:paraId="53D3869F"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74E069A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(0.093)</w:t>
            </w:r>
          </w:p>
        </w:tc>
        <w:tc>
          <w:tcPr>
            <w:tcW w:w="1356" w:type="dxa"/>
            <w:tcBorders>
              <w:top w:val="nil"/>
              <w:left w:val="nil"/>
              <w:bottom w:val="nil"/>
              <w:right w:val="nil"/>
            </w:tcBorders>
            <w:shd w:val="clear" w:color="auto" w:fill="auto"/>
            <w:noWrap/>
            <w:vAlign w:val="bottom"/>
            <w:hideMark/>
          </w:tcPr>
          <w:p w14:paraId="60435C4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(11.078)</w:t>
            </w:r>
          </w:p>
        </w:tc>
        <w:tc>
          <w:tcPr>
            <w:tcW w:w="251" w:type="dxa"/>
            <w:tcBorders>
              <w:top w:val="nil"/>
              <w:left w:val="nil"/>
              <w:bottom w:val="nil"/>
              <w:right w:val="nil"/>
            </w:tcBorders>
            <w:shd w:val="clear" w:color="auto" w:fill="auto"/>
            <w:noWrap/>
            <w:vAlign w:val="bottom"/>
            <w:hideMark/>
          </w:tcPr>
          <w:p w14:paraId="1338EE6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0A1DFB7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(5.861)</w:t>
            </w:r>
          </w:p>
        </w:tc>
        <w:tc>
          <w:tcPr>
            <w:tcW w:w="811" w:type="dxa"/>
            <w:tcBorders>
              <w:top w:val="nil"/>
              <w:left w:val="nil"/>
              <w:bottom w:val="nil"/>
              <w:right w:val="nil"/>
            </w:tcBorders>
            <w:shd w:val="clear" w:color="auto" w:fill="auto"/>
            <w:noWrap/>
            <w:vAlign w:val="bottom"/>
            <w:hideMark/>
          </w:tcPr>
          <w:p w14:paraId="3B450A9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(11.041)</w:t>
            </w:r>
          </w:p>
        </w:tc>
        <w:tc>
          <w:tcPr>
            <w:tcW w:w="790" w:type="dxa"/>
            <w:tcBorders>
              <w:top w:val="nil"/>
              <w:left w:val="nil"/>
              <w:bottom w:val="nil"/>
              <w:right w:val="nil"/>
            </w:tcBorders>
            <w:shd w:val="clear" w:color="auto" w:fill="auto"/>
            <w:noWrap/>
            <w:vAlign w:val="bottom"/>
            <w:hideMark/>
          </w:tcPr>
          <w:p w14:paraId="62B39D6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(2.679)</w:t>
            </w:r>
          </w:p>
        </w:tc>
        <w:tc>
          <w:tcPr>
            <w:tcW w:w="741" w:type="dxa"/>
            <w:tcBorders>
              <w:top w:val="nil"/>
              <w:left w:val="nil"/>
              <w:bottom w:val="nil"/>
              <w:right w:val="nil"/>
            </w:tcBorders>
            <w:shd w:val="clear" w:color="auto" w:fill="auto"/>
            <w:noWrap/>
            <w:vAlign w:val="bottom"/>
            <w:hideMark/>
          </w:tcPr>
          <w:p w14:paraId="1FA9E61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(13.667)</w:t>
            </w:r>
          </w:p>
        </w:tc>
      </w:tr>
      <w:tr w:rsidR="003C73FB" w:rsidRPr="00C82EE1" w14:paraId="4A956DCE"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155A9294"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Institution</w:t>
            </w:r>
          </w:p>
        </w:tc>
        <w:tc>
          <w:tcPr>
            <w:tcW w:w="932" w:type="dxa"/>
            <w:tcBorders>
              <w:top w:val="nil"/>
              <w:left w:val="nil"/>
              <w:bottom w:val="nil"/>
              <w:right w:val="nil"/>
            </w:tcBorders>
            <w:shd w:val="clear" w:color="auto" w:fill="auto"/>
            <w:noWrap/>
            <w:vAlign w:val="bottom"/>
            <w:hideMark/>
          </w:tcPr>
          <w:p w14:paraId="4EB6021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0.010***</w:t>
            </w:r>
          </w:p>
        </w:tc>
        <w:tc>
          <w:tcPr>
            <w:tcW w:w="811" w:type="dxa"/>
            <w:tcBorders>
              <w:top w:val="nil"/>
              <w:left w:val="nil"/>
              <w:bottom w:val="nil"/>
              <w:right w:val="nil"/>
            </w:tcBorders>
            <w:shd w:val="clear" w:color="auto" w:fill="auto"/>
            <w:noWrap/>
            <w:vAlign w:val="bottom"/>
            <w:hideMark/>
          </w:tcPr>
          <w:p w14:paraId="377B33C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0.163***</w:t>
            </w:r>
          </w:p>
        </w:tc>
        <w:tc>
          <w:tcPr>
            <w:tcW w:w="251" w:type="dxa"/>
            <w:tcBorders>
              <w:top w:val="nil"/>
              <w:left w:val="nil"/>
              <w:bottom w:val="nil"/>
              <w:right w:val="nil"/>
            </w:tcBorders>
            <w:shd w:val="clear" w:color="auto" w:fill="auto"/>
            <w:noWrap/>
            <w:vAlign w:val="bottom"/>
            <w:hideMark/>
          </w:tcPr>
          <w:p w14:paraId="0C7D2F3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3988D1A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0.018**</w:t>
            </w:r>
          </w:p>
        </w:tc>
        <w:tc>
          <w:tcPr>
            <w:tcW w:w="811" w:type="dxa"/>
            <w:tcBorders>
              <w:top w:val="nil"/>
              <w:left w:val="nil"/>
              <w:bottom w:val="nil"/>
              <w:right w:val="nil"/>
            </w:tcBorders>
            <w:shd w:val="clear" w:color="auto" w:fill="auto"/>
            <w:noWrap/>
            <w:vAlign w:val="bottom"/>
            <w:hideMark/>
          </w:tcPr>
          <w:p w14:paraId="50DFE5D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0.162***</w:t>
            </w:r>
          </w:p>
        </w:tc>
        <w:tc>
          <w:tcPr>
            <w:tcW w:w="251" w:type="dxa"/>
            <w:tcBorders>
              <w:top w:val="nil"/>
              <w:left w:val="nil"/>
              <w:bottom w:val="nil"/>
              <w:right w:val="nil"/>
            </w:tcBorders>
            <w:shd w:val="clear" w:color="auto" w:fill="auto"/>
            <w:noWrap/>
            <w:vAlign w:val="bottom"/>
            <w:hideMark/>
          </w:tcPr>
          <w:p w14:paraId="3881FBDE"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6DA8506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-0.0004</w:t>
            </w:r>
          </w:p>
        </w:tc>
        <w:tc>
          <w:tcPr>
            <w:tcW w:w="1356" w:type="dxa"/>
            <w:tcBorders>
              <w:top w:val="nil"/>
              <w:left w:val="nil"/>
              <w:bottom w:val="nil"/>
              <w:right w:val="nil"/>
            </w:tcBorders>
            <w:shd w:val="clear" w:color="auto" w:fill="auto"/>
            <w:noWrap/>
            <w:vAlign w:val="bottom"/>
            <w:hideMark/>
          </w:tcPr>
          <w:p w14:paraId="6D21A10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0.155***</w:t>
            </w:r>
          </w:p>
        </w:tc>
        <w:tc>
          <w:tcPr>
            <w:tcW w:w="251" w:type="dxa"/>
            <w:tcBorders>
              <w:top w:val="nil"/>
              <w:left w:val="nil"/>
              <w:bottom w:val="nil"/>
              <w:right w:val="nil"/>
            </w:tcBorders>
            <w:shd w:val="clear" w:color="auto" w:fill="auto"/>
            <w:noWrap/>
            <w:vAlign w:val="bottom"/>
            <w:hideMark/>
          </w:tcPr>
          <w:p w14:paraId="3E2BCED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31AA7EE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0.055**</w:t>
            </w:r>
          </w:p>
        </w:tc>
        <w:tc>
          <w:tcPr>
            <w:tcW w:w="811" w:type="dxa"/>
            <w:tcBorders>
              <w:top w:val="nil"/>
              <w:left w:val="nil"/>
              <w:bottom w:val="nil"/>
              <w:right w:val="nil"/>
            </w:tcBorders>
            <w:shd w:val="clear" w:color="auto" w:fill="auto"/>
            <w:noWrap/>
            <w:vAlign w:val="bottom"/>
            <w:hideMark/>
          </w:tcPr>
          <w:p w14:paraId="74D2F5E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0.165***</w:t>
            </w:r>
          </w:p>
        </w:tc>
        <w:tc>
          <w:tcPr>
            <w:tcW w:w="790" w:type="dxa"/>
            <w:tcBorders>
              <w:top w:val="nil"/>
              <w:left w:val="nil"/>
              <w:bottom w:val="nil"/>
              <w:right w:val="nil"/>
            </w:tcBorders>
            <w:shd w:val="clear" w:color="auto" w:fill="auto"/>
            <w:noWrap/>
            <w:vAlign w:val="bottom"/>
            <w:hideMark/>
          </w:tcPr>
          <w:p w14:paraId="5C30692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0.019**</w:t>
            </w:r>
          </w:p>
        </w:tc>
        <w:tc>
          <w:tcPr>
            <w:tcW w:w="741" w:type="dxa"/>
            <w:tcBorders>
              <w:top w:val="nil"/>
              <w:left w:val="nil"/>
              <w:bottom w:val="nil"/>
              <w:right w:val="nil"/>
            </w:tcBorders>
            <w:shd w:val="clear" w:color="auto" w:fill="auto"/>
            <w:noWrap/>
            <w:vAlign w:val="bottom"/>
            <w:hideMark/>
          </w:tcPr>
          <w:p w14:paraId="483F971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0.205***</w:t>
            </w:r>
          </w:p>
        </w:tc>
      </w:tr>
      <w:tr w:rsidR="003C73FB" w:rsidRPr="00C82EE1" w14:paraId="111874B6"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1A2671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2E5A468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(0.003)</w:t>
            </w:r>
          </w:p>
        </w:tc>
        <w:tc>
          <w:tcPr>
            <w:tcW w:w="811" w:type="dxa"/>
            <w:tcBorders>
              <w:top w:val="nil"/>
              <w:left w:val="nil"/>
              <w:bottom w:val="nil"/>
              <w:right w:val="nil"/>
            </w:tcBorders>
            <w:shd w:val="clear" w:color="auto" w:fill="auto"/>
            <w:noWrap/>
            <w:vAlign w:val="bottom"/>
            <w:hideMark/>
          </w:tcPr>
          <w:p w14:paraId="5850B36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(0.017)</w:t>
            </w:r>
          </w:p>
        </w:tc>
        <w:tc>
          <w:tcPr>
            <w:tcW w:w="251" w:type="dxa"/>
            <w:tcBorders>
              <w:top w:val="nil"/>
              <w:left w:val="nil"/>
              <w:bottom w:val="nil"/>
              <w:right w:val="nil"/>
            </w:tcBorders>
            <w:shd w:val="clear" w:color="auto" w:fill="auto"/>
            <w:noWrap/>
            <w:vAlign w:val="bottom"/>
            <w:hideMark/>
          </w:tcPr>
          <w:p w14:paraId="2B0095F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5086337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(0.008)</w:t>
            </w:r>
          </w:p>
        </w:tc>
        <w:tc>
          <w:tcPr>
            <w:tcW w:w="811" w:type="dxa"/>
            <w:tcBorders>
              <w:top w:val="nil"/>
              <w:left w:val="nil"/>
              <w:bottom w:val="nil"/>
              <w:right w:val="nil"/>
            </w:tcBorders>
            <w:shd w:val="clear" w:color="auto" w:fill="auto"/>
            <w:noWrap/>
            <w:vAlign w:val="bottom"/>
            <w:hideMark/>
          </w:tcPr>
          <w:p w14:paraId="47715D6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251" w:type="dxa"/>
            <w:tcBorders>
              <w:top w:val="nil"/>
              <w:left w:val="nil"/>
              <w:bottom w:val="nil"/>
              <w:right w:val="nil"/>
            </w:tcBorders>
            <w:shd w:val="clear" w:color="auto" w:fill="auto"/>
            <w:noWrap/>
            <w:vAlign w:val="bottom"/>
            <w:hideMark/>
          </w:tcPr>
          <w:p w14:paraId="63193E50"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5A78739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(0.0004)</w:t>
            </w:r>
          </w:p>
        </w:tc>
        <w:tc>
          <w:tcPr>
            <w:tcW w:w="1356" w:type="dxa"/>
            <w:tcBorders>
              <w:top w:val="nil"/>
              <w:left w:val="nil"/>
              <w:bottom w:val="nil"/>
              <w:right w:val="nil"/>
            </w:tcBorders>
            <w:shd w:val="clear" w:color="auto" w:fill="auto"/>
            <w:noWrap/>
            <w:vAlign w:val="bottom"/>
            <w:hideMark/>
          </w:tcPr>
          <w:p w14:paraId="59F7D46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(0.019)</w:t>
            </w:r>
          </w:p>
        </w:tc>
        <w:tc>
          <w:tcPr>
            <w:tcW w:w="251" w:type="dxa"/>
            <w:tcBorders>
              <w:top w:val="nil"/>
              <w:left w:val="nil"/>
              <w:bottom w:val="nil"/>
              <w:right w:val="nil"/>
            </w:tcBorders>
            <w:shd w:val="clear" w:color="auto" w:fill="auto"/>
            <w:noWrap/>
            <w:vAlign w:val="bottom"/>
            <w:hideMark/>
          </w:tcPr>
          <w:p w14:paraId="139C5E1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70D3718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(0.026)</w:t>
            </w:r>
          </w:p>
        </w:tc>
        <w:tc>
          <w:tcPr>
            <w:tcW w:w="811" w:type="dxa"/>
            <w:tcBorders>
              <w:top w:val="nil"/>
              <w:left w:val="nil"/>
              <w:bottom w:val="nil"/>
              <w:right w:val="nil"/>
            </w:tcBorders>
            <w:shd w:val="clear" w:color="auto" w:fill="auto"/>
            <w:noWrap/>
            <w:vAlign w:val="bottom"/>
            <w:hideMark/>
          </w:tcPr>
          <w:p w14:paraId="7AB8011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c>
          <w:tcPr>
            <w:tcW w:w="790" w:type="dxa"/>
            <w:tcBorders>
              <w:top w:val="nil"/>
              <w:left w:val="nil"/>
              <w:bottom w:val="nil"/>
              <w:right w:val="nil"/>
            </w:tcBorders>
            <w:shd w:val="clear" w:color="auto" w:fill="auto"/>
            <w:noWrap/>
            <w:vAlign w:val="bottom"/>
            <w:hideMark/>
          </w:tcPr>
          <w:p w14:paraId="000ECBA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(0.010)</w:t>
            </w:r>
          </w:p>
        </w:tc>
        <w:tc>
          <w:tcPr>
            <w:tcW w:w="741" w:type="dxa"/>
            <w:tcBorders>
              <w:top w:val="nil"/>
              <w:left w:val="nil"/>
              <w:bottom w:val="nil"/>
              <w:right w:val="nil"/>
            </w:tcBorders>
            <w:shd w:val="clear" w:color="auto" w:fill="auto"/>
            <w:noWrap/>
            <w:vAlign w:val="bottom"/>
            <w:hideMark/>
          </w:tcPr>
          <w:p w14:paraId="52A7F96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(0.033)</w:t>
            </w:r>
          </w:p>
        </w:tc>
      </w:tr>
      <w:tr w:rsidR="003C73FB" w:rsidRPr="00C82EE1" w14:paraId="75C431CC"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72422E60"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US restrict</w:t>
            </w:r>
          </w:p>
        </w:tc>
        <w:tc>
          <w:tcPr>
            <w:tcW w:w="932" w:type="dxa"/>
            <w:tcBorders>
              <w:top w:val="nil"/>
              <w:left w:val="nil"/>
              <w:bottom w:val="nil"/>
              <w:right w:val="nil"/>
            </w:tcBorders>
            <w:shd w:val="clear" w:color="auto" w:fill="auto"/>
            <w:noWrap/>
            <w:vAlign w:val="bottom"/>
            <w:hideMark/>
          </w:tcPr>
          <w:p w14:paraId="6FFA04E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659BA8E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0.211***</w:t>
            </w:r>
          </w:p>
        </w:tc>
        <w:tc>
          <w:tcPr>
            <w:tcW w:w="251" w:type="dxa"/>
            <w:tcBorders>
              <w:top w:val="nil"/>
              <w:left w:val="nil"/>
              <w:bottom w:val="nil"/>
              <w:right w:val="nil"/>
            </w:tcBorders>
            <w:shd w:val="clear" w:color="auto" w:fill="auto"/>
            <w:noWrap/>
            <w:vAlign w:val="bottom"/>
            <w:hideMark/>
          </w:tcPr>
          <w:p w14:paraId="1FAA7CC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6A82C61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0.022</w:t>
            </w:r>
          </w:p>
        </w:tc>
        <w:tc>
          <w:tcPr>
            <w:tcW w:w="811" w:type="dxa"/>
            <w:tcBorders>
              <w:top w:val="nil"/>
              <w:left w:val="nil"/>
              <w:bottom w:val="nil"/>
              <w:right w:val="nil"/>
            </w:tcBorders>
            <w:shd w:val="clear" w:color="auto" w:fill="auto"/>
            <w:noWrap/>
            <w:vAlign w:val="bottom"/>
            <w:hideMark/>
          </w:tcPr>
          <w:p w14:paraId="35F6901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0.198***</w:t>
            </w:r>
          </w:p>
        </w:tc>
        <w:tc>
          <w:tcPr>
            <w:tcW w:w="251" w:type="dxa"/>
            <w:tcBorders>
              <w:top w:val="nil"/>
              <w:left w:val="nil"/>
              <w:bottom w:val="nil"/>
              <w:right w:val="nil"/>
            </w:tcBorders>
            <w:shd w:val="clear" w:color="auto" w:fill="auto"/>
            <w:noWrap/>
            <w:vAlign w:val="bottom"/>
            <w:hideMark/>
          </w:tcPr>
          <w:p w14:paraId="4F018DA1"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09A32ED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0.0004</w:t>
            </w:r>
          </w:p>
        </w:tc>
        <w:tc>
          <w:tcPr>
            <w:tcW w:w="1356" w:type="dxa"/>
            <w:tcBorders>
              <w:top w:val="nil"/>
              <w:left w:val="nil"/>
              <w:bottom w:val="nil"/>
              <w:right w:val="nil"/>
            </w:tcBorders>
            <w:shd w:val="clear" w:color="auto" w:fill="auto"/>
            <w:noWrap/>
            <w:vAlign w:val="bottom"/>
            <w:hideMark/>
          </w:tcPr>
          <w:p w14:paraId="544876F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0.199***</w:t>
            </w:r>
          </w:p>
        </w:tc>
        <w:tc>
          <w:tcPr>
            <w:tcW w:w="251" w:type="dxa"/>
            <w:tcBorders>
              <w:top w:val="nil"/>
              <w:left w:val="nil"/>
              <w:bottom w:val="nil"/>
              <w:right w:val="nil"/>
            </w:tcBorders>
            <w:shd w:val="clear" w:color="auto" w:fill="auto"/>
            <w:noWrap/>
            <w:vAlign w:val="bottom"/>
            <w:hideMark/>
          </w:tcPr>
          <w:p w14:paraId="7B080C6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7ED0101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0.253**</w:t>
            </w:r>
          </w:p>
        </w:tc>
        <w:tc>
          <w:tcPr>
            <w:tcW w:w="811" w:type="dxa"/>
            <w:tcBorders>
              <w:top w:val="nil"/>
              <w:left w:val="nil"/>
              <w:bottom w:val="nil"/>
              <w:right w:val="nil"/>
            </w:tcBorders>
            <w:shd w:val="clear" w:color="auto" w:fill="auto"/>
            <w:noWrap/>
            <w:vAlign w:val="bottom"/>
            <w:hideMark/>
          </w:tcPr>
          <w:p w14:paraId="0F05882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0.175***</w:t>
            </w:r>
          </w:p>
        </w:tc>
        <w:tc>
          <w:tcPr>
            <w:tcW w:w="790" w:type="dxa"/>
            <w:tcBorders>
              <w:top w:val="nil"/>
              <w:left w:val="nil"/>
              <w:bottom w:val="nil"/>
              <w:right w:val="nil"/>
            </w:tcBorders>
            <w:shd w:val="clear" w:color="auto" w:fill="auto"/>
            <w:noWrap/>
            <w:vAlign w:val="bottom"/>
            <w:hideMark/>
          </w:tcPr>
          <w:p w14:paraId="62447B7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-0.093***</w:t>
            </w:r>
          </w:p>
        </w:tc>
        <w:tc>
          <w:tcPr>
            <w:tcW w:w="741" w:type="dxa"/>
            <w:tcBorders>
              <w:top w:val="nil"/>
              <w:left w:val="nil"/>
              <w:bottom w:val="nil"/>
              <w:right w:val="nil"/>
            </w:tcBorders>
            <w:shd w:val="clear" w:color="auto" w:fill="auto"/>
            <w:noWrap/>
            <w:vAlign w:val="bottom"/>
            <w:hideMark/>
          </w:tcPr>
          <w:p w14:paraId="7841220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0.186*</w:t>
            </w:r>
          </w:p>
        </w:tc>
      </w:tr>
      <w:tr w:rsidR="003C73FB" w:rsidRPr="00C82EE1" w14:paraId="55997AC8"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02B760A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50040F7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(0.013)</w:t>
            </w:r>
          </w:p>
        </w:tc>
        <w:tc>
          <w:tcPr>
            <w:tcW w:w="811" w:type="dxa"/>
            <w:tcBorders>
              <w:top w:val="nil"/>
              <w:left w:val="nil"/>
              <w:bottom w:val="nil"/>
              <w:right w:val="nil"/>
            </w:tcBorders>
            <w:shd w:val="clear" w:color="auto" w:fill="auto"/>
            <w:noWrap/>
            <w:vAlign w:val="bottom"/>
            <w:hideMark/>
          </w:tcPr>
          <w:p w14:paraId="46D2C49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(0.052)</w:t>
            </w:r>
          </w:p>
        </w:tc>
        <w:tc>
          <w:tcPr>
            <w:tcW w:w="251" w:type="dxa"/>
            <w:tcBorders>
              <w:top w:val="nil"/>
              <w:left w:val="nil"/>
              <w:bottom w:val="nil"/>
              <w:right w:val="nil"/>
            </w:tcBorders>
            <w:shd w:val="clear" w:color="auto" w:fill="auto"/>
            <w:noWrap/>
            <w:vAlign w:val="bottom"/>
            <w:hideMark/>
          </w:tcPr>
          <w:p w14:paraId="1ECCBCB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F703C2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(0.027)</w:t>
            </w:r>
          </w:p>
        </w:tc>
        <w:tc>
          <w:tcPr>
            <w:tcW w:w="811" w:type="dxa"/>
            <w:tcBorders>
              <w:top w:val="nil"/>
              <w:left w:val="nil"/>
              <w:bottom w:val="nil"/>
              <w:right w:val="nil"/>
            </w:tcBorders>
            <w:shd w:val="clear" w:color="auto" w:fill="auto"/>
            <w:noWrap/>
            <w:vAlign w:val="bottom"/>
            <w:hideMark/>
          </w:tcPr>
          <w:p w14:paraId="7FC07A2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(0.064)</w:t>
            </w:r>
          </w:p>
        </w:tc>
        <w:tc>
          <w:tcPr>
            <w:tcW w:w="251" w:type="dxa"/>
            <w:tcBorders>
              <w:top w:val="nil"/>
              <w:left w:val="nil"/>
              <w:bottom w:val="nil"/>
              <w:right w:val="nil"/>
            </w:tcBorders>
            <w:shd w:val="clear" w:color="auto" w:fill="auto"/>
            <w:noWrap/>
            <w:vAlign w:val="bottom"/>
            <w:hideMark/>
          </w:tcPr>
          <w:p w14:paraId="161C4AFF"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5675DE1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1356" w:type="dxa"/>
            <w:tcBorders>
              <w:top w:val="nil"/>
              <w:left w:val="nil"/>
              <w:bottom w:val="nil"/>
              <w:right w:val="nil"/>
            </w:tcBorders>
            <w:shd w:val="clear" w:color="auto" w:fill="auto"/>
            <w:noWrap/>
            <w:vAlign w:val="bottom"/>
            <w:hideMark/>
          </w:tcPr>
          <w:p w14:paraId="02D6272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(0.074)</w:t>
            </w:r>
          </w:p>
        </w:tc>
        <w:tc>
          <w:tcPr>
            <w:tcW w:w="251" w:type="dxa"/>
            <w:tcBorders>
              <w:top w:val="nil"/>
              <w:left w:val="nil"/>
              <w:bottom w:val="nil"/>
              <w:right w:val="nil"/>
            </w:tcBorders>
            <w:shd w:val="clear" w:color="auto" w:fill="auto"/>
            <w:noWrap/>
            <w:vAlign w:val="bottom"/>
            <w:hideMark/>
          </w:tcPr>
          <w:p w14:paraId="6CA97E6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3D6310D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(0.118)</w:t>
            </w:r>
          </w:p>
        </w:tc>
        <w:tc>
          <w:tcPr>
            <w:tcW w:w="811" w:type="dxa"/>
            <w:tcBorders>
              <w:top w:val="nil"/>
              <w:left w:val="nil"/>
              <w:bottom w:val="nil"/>
              <w:right w:val="nil"/>
            </w:tcBorders>
            <w:shd w:val="clear" w:color="auto" w:fill="auto"/>
            <w:noWrap/>
            <w:vAlign w:val="bottom"/>
            <w:hideMark/>
          </w:tcPr>
          <w:p w14:paraId="1C899D0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(0.045)</w:t>
            </w:r>
          </w:p>
        </w:tc>
        <w:tc>
          <w:tcPr>
            <w:tcW w:w="790" w:type="dxa"/>
            <w:tcBorders>
              <w:top w:val="nil"/>
              <w:left w:val="nil"/>
              <w:bottom w:val="nil"/>
              <w:right w:val="nil"/>
            </w:tcBorders>
            <w:shd w:val="clear" w:color="auto" w:fill="auto"/>
            <w:noWrap/>
            <w:vAlign w:val="bottom"/>
            <w:hideMark/>
          </w:tcPr>
          <w:p w14:paraId="6659499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(0.029)</w:t>
            </w:r>
          </w:p>
        </w:tc>
        <w:tc>
          <w:tcPr>
            <w:tcW w:w="741" w:type="dxa"/>
            <w:tcBorders>
              <w:top w:val="nil"/>
              <w:left w:val="nil"/>
              <w:bottom w:val="nil"/>
              <w:right w:val="nil"/>
            </w:tcBorders>
            <w:shd w:val="clear" w:color="auto" w:fill="auto"/>
            <w:noWrap/>
            <w:vAlign w:val="bottom"/>
            <w:hideMark/>
          </w:tcPr>
          <w:p w14:paraId="0A68127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(0.098)</w:t>
            </w:r>
          </w:p>
        </w:tc>
      </w:tr>
      <w:tr w:rsidR="003C73FB" w:rsidRPr="00C82EE1" w14:paraId="0EFC3BAD"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7C0827CA"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Social media</w:t>
            </w:r>
          </w:p>
        </w:tc>
        <w:tc>
          <w:tcPr>
            <w:tcW w:w="932" w:type="dxa"/>
            <w:tcBorders>
              <w:top w:val="nil"/>
              <w:left w:val="nil"/>
              <w:bottom w:val="nil"/>
              <w:right w:val="nil"/>
            </w:tcBorders>
            <w:shd w:val="clear" w:color="auto" w:fill="auto"/>
            <w:noWrap/>
            <w:vAlign w:val="bottom"/>
            <w:hideMark/>
          </w:tcPr>
          <w:p w14:paraId="5FEB681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-0.005</w:t>
            </w:r>
          </w:p>
        </w:tc>
        <w:tc>
          <w:tcPr>
            <w:tcW w:w="811" w:type="dxa"/>
            <w:tcBorders>
              <w:top w:val="nil"/>
              <w:left w:val="nil"/>
              <w:bottom w:val="nil"/>
              <w:right w:val="nil"/>
            </w:tcBorders>
            <w:shd w:val="clear" w:color="auto" w:fill="auto"/>
            <w:noWrap/>
            <w:vAlign w:val="bottom"/>
            <w:hideMark/>
          </w:tcPr>
          <w:p w14:paraId="65062AE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0.016</w:t>
            </w:r>
          </w:p>
        </w:tc>
        <w:tc>
          <w:tcPr>
            <w:tcW w:w="251" w:type="dxa"/>
            <w:tcBorders>
              <w:top w:val="nil"/>
              <w:left w:val="nil"/>
              <w:bottom w:val="nil"/>
              <w:right w:val="nil"/>
            </w:tcBorders>
            <w:shd w:val="clear" w:color="auto" w:fill="auto"/>
            <w:noWrap/>
            <w:vAlign w:val="bottom"/>
            <w:hideMark/>
          </w:tcPr>
          <w:p w14:paraId="38A9B2B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613B0B6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0.180***</w:t>
            </w:r>
          </w:p>
        </w:tc>
        <w:tc>
          <w:tcPr>
            <w:tcW w:w="811" w:type="dxa"/>
            <w:tcBorders>
              <w:top w:val="nil"/>
              <w:left w:val="nil"/>
              <w:bottom w:val="nil"/>
              <w:right w:val="nil"/>
            </w:tcBorders>
            <w:shd w:val="clear" w:color="auto" w:fill="auto"/>
            <w:noWrap/>
            <w:vAlign w:val="bottom"/>
            <w:hideMark/>
          </w:tcPr>
          <w:p w14:paraId="313122D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-0.085**</w:t>
            </w:r>
          </w:p>
        </w:tc>
        <w:tc>
          <w:tcPr>
            <w:tcW w:w="251" w:type="dxa"/>
            <w:tcBorders>
              <w:top w:val="nil"/>
              <w:left w:val="nil"/>
              <w:bottom w:val="nil"/>
              <w:right w:val="nil"/>
            </w:tcBorders>
            <w:shd w:val="clear" w:color="auto" w:fill="auto"/>
            <w:noWrap/>
            <w:vAlign w:val="bottom"/>
            <w:hideMark/>
          </w:tcPr>
          <w:p w14:paraId="45137E2F"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17DC9B4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1356" w:type="dxa"/>
            <w:tcBorders>
              <w:top w:val="nil"/>
              <w:left w:val="nil"/>
              <w:bottom w:val="nil"/>
              <w:right w:val="nil"/>
            </w:tcBorders>
            <w:shd w:val="clear" w:color="auto" w:fill="auto"/>
            <w:noWrap/>
            <w:vAlign w:val="bottom"/>
            <w:hideMark/>
          </w:tcPr>
          <w:p w14:paraId="053CDFB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c>
          <w:tcPr>
            <w:tcW w:w="251" w:type="dxa"/>
            <w:tcBorders>
              <w:top w:val="nil"/>
              <w:left w:val="nil"/>
              <w:bottom w:val="nil"/>
              <w:right w:val="nil"/>
            </w:tcBorders>
            <w:shd w:val="clear" w:color="auto" w:fill="auto"/>
            <w:noWrap/>
            <w:vAlign w:val="bottom"/>
            <w:hideMark/>
          </w:tcPr>
          <w:p w14:paraId="0B5F0D7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5893E7C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3D30299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c>
          <w:tcPr>
            <w:tcW w:w="790" w:type="dxa"/>
            <w:tcBorders>
              <w:top w:val="nil"/>
              <w:left w:val="nil"/>
              <w:bottom w:val="nil"/>
              <w:right w:val="nil"/>
            </w:tcBorders>
            <w:shd w:val="clear" w:color="auto" w:fill="auto"/>
            <w:noWrap/>
            <w:vAlign w:val="bottom"/>
            <w:hideMark/>
          </w:tcPr>
          <w:p w14:paraId="7BB9683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0.029</w:t>
            </w:r>
          </w:p>
        </w:tc>
        <w:tc>
          <w:tcPr>
            <w:tcW w:w="741" w:type="dxa"/>
            <w:tcBorders>
              <w:top w:val="nil"/>
              <w:left w:val="nil"/>
              <w:bottom w:val="nil"/>
              <w:right w:val="nil"/>
            </w:tcBorders>
            <w:shd w:val="clear" w:color="auto" w:fill="auto"/>
            <w:noWrap/>
            <w:vAlign w:val="bottom"/>
            <w:hideMark/>
          </w:tcPr>
          <w:p w14:paraId="12DEF8D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r>
      <w:tr w:rsidR="003C73FB" w:rsidRPr="00C82EE1" w14:paraId="3A403280"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7D8A15D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3574C99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(0.006)</w:t>
            </w:r>
          </w:p>
        </w:tc>
        <w:tc>
          <w:tcPr>
            <w:tcW w:w="811" w:type="dxa"/>
            <w:tcBorders>
              <w:top w:val="nil"/>
              <w:left w:val="nil"/>
              <w:bottom w:val="nil"/>
              <w:right w:val="nil"/>
            </w:tcBorders>
            <w:shd w:val="clear" w:color="auto" w:fill="auto"/>
            <w:noWrap/>
            <w:vAlign w:val="bottom"/>
            <w:hideMark/>
          </w:tcPr>
          <w:p w14:paraId="5C65D89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(0.044)</w:t>
            </w:r>
          </w:p>
        </w:tc>
        <w:tc>
          <w:tcPr>
            <w:tcW w:w="251" w:type="dxa"/>
            <w:tcBorders>
              <w:top w:val="nil"/>
              <w:left w:val="nil"/>
              <w:bottom w:val="nil"/>
              <w:right w:val="nil"/>
            </w:tcBorders>
            <w:shd w:val="clear" w:color="auto" w:fill="auto"/>
            <w:noWrap/>
            <w:vAlign w:val="bottom"/>
            <w:hideMark/>
          </w:tcPr>
          <w:p w14:paraId="4A3381B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3504D17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(0.012)</w:t>
            </w:r>
          </w:p>
        </w:tc>
        <w:tc>
          <w:tcPr>
            <w:tcW w:w="811" w:type="dxa"/>
            <w:tcBorders>
              <w:top w:val="nil"/>
              <w:left w:val="nil"/>
              <w:bottom w:val="nil"/>
              <w:right w:val="nil"/>
            </w:tcBorders>
            <w:shd w:val="clear" w:color="auto" w:fill="auto"/>
            <w:noWrap/>
            <w:vAlign w:val="bottom"/>
            <w:hideMark/>
          </w:tcPr>
          <w:p w14:paraId="14E425E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(0.041)</w:t>
            </w:r>
          </w:p>
        </w:tc>
        <w:tc>
          <w:tcPr>
            <w:tcW w:w="251" w:type="dxa"/>
            <w:tcBorders>
              <w:top w:val="nil"/>
              <w:left w:val="nil"/>
              <w:bottom w:val="nil"/>
              <w:right w:val="nil"/>
            </w:tcBorders>
            <w:shd w:val="clear" w:color="auto" w:fill="auto"/>
            <w:noWrap/>
            <w:vAlign w:val="bottom"/>
            <w:hideMark/>
          </w:tcPr>
          <w:p w14:paraId="0F8F1C29"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0038136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(0.0003)</w:t>
            </w:r>
          </w:p>
        </w:tc>
        <w:tc>
          <w:tcPr>
            <w:tcW w:w="1356" w:type="dxa"/>
            <w:tcBorders>
              <w:top w:val="nil"/>
              <w:left w:val="nil"/>
              <w:bottom w:val="nil"/>
              <w:right w:val="nil"/>
            </w:tcBorders>
            <w:shd w:val="clear" w:color="auto" w:fill="auto"/>
            <w:noWrap/>
            <w:vAlign w:val="bottom"/>
            <w:hideMark/>
          </w:tcPr>
          <w:p w14:paraId="024E483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(0.047)</w:t>
            </w:r>
          </w:p>
        </w:tc>
        <w:tc>
          <w:tcPr>
            <w:tcW w:w="251" w:type="dxa"/>
            <w:tcBorders>
              <w:top w:val="nil"/>
              <w:left w:val="nil"/>
              <w:bottom w:val="nil"/>
              <w:right w:val="nil"/>
            </w:tcBorders>
            <w:shd w:val="clear" w:color="auto" w:fill="auto"/>
            <w:noWrap/>
            <w:vAlign w:val="bottom"/>
            <w:hideMark/>
          </w:tcPr>
          <w:p w14:paraId="1034427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3FE7909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(0.043)</w:t>
            </w:r>
          </w:p>
        </w:tc>
        <w:tc>
          <w:tcPr>
            <w:tcW w:w="811" w:type="dxa"/>
            <w:tcBorders>
              <w:top w:val="nil"/>
              <w:left w:val="nil"/>
              <w:bottom w:val="nil"/>
              <w:right w:val="nil"/>
            </w:tcBorders>
            <w:shd w:val="clear" w:color="auto" w:fill="auto"/>
            <w:noWrap/>
            <w:vAlign w:val="bottom"/>
            <w:hideMark/>
          </w:tcPr>
          <w:p w14:paraId="31A2A69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(0.042)</w:t>
            </w:r>
          </w:p>
        </w:tc>
        <w:tc>
          <w:tcPr>
            <w:tcW w:w="790" w:type="dxa"/>
            <w:tcBorders>
              <w:top w:val="nil"/>
              <w:left w:val="nil"/>
              <w:bottom w:val="nil"/>
              <w:right w:val="nil"/>
            </w:tcBorders>
            <w:shd w:val="clear" w:color="auto" w:fill="auto"/>
            <w:noWrap/>
            <w:vAlign w:val="bottom"/>
            <w:hideMark/>
          </w:tcPr>
          <w:p w14:paraId="47DECE9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(0.020)</w:t>
            </w:r>
          </w:p>
        </w:tc>
        <w:tc>
          <w:tcPr>
            <w:tcW w:w="741" w:type="dxa"/>
            <w:tcBorders>
              <w:top w:val="nil"/>
              <w:left w:val="nil"/>
              <w:bottom w:val="nil"/>
              <w:right w:val="nil"/>
            </w:tcBorders>
            <w:shd w:val="clear" w:color="auto" w:fill="auto"/>
            <w:noWrap/>
            <w:vAlign w:val="bottom"/>
            <w:hideMark/>
          </w:tcPr>
          <w:p w14:paraId="49A7825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(0.053)</w:t>
            </w:r>
          </w:p>
        </w:tc>
      </w:tr>
      <w:tr w:rsidR="003C73FB" w:rsidRPr="00C82EE1" w14:paraId="0F5311D2"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4BDE2BBF"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Video</w:t>
            </w:r>
          </w:p>
        </w:tc>
        <w:tc>
          <w:tcPr>
            <w:tcW w:w="932" w:type="dxa"/>
            <w:tcBorders>
              <w:top w:val="nil"/>
              <w:left w:val="nil"/>
              <w:bottom w:val="nil"/>
              <w:right w:val="nil"/>
            </w:tcBorders>
            <w:shd w:val="clear" w:color="auto" w:fill="auto"/>
            <w:noWrap/>
            <w:vAlign w:val="bottom"/>
            <w:hideMark/>
          </w:tcPr>
          <w:p w14:paraId="254110A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0.020</w:t>
            </w:r>
          </w:p>
        </w:tc>
        <w:tc>
          <w:tcPr>
            <w:tcW w:w="811" w:type="dxa"/>
            <w:tcBorders>
              <w:top w:val="nil"/>
              <w:left w:val="nil"/>
              <w:bottom w:val="nil"/>
              <w:right w:val="nil"/>
            </w:tcBorders>
            <w:shd w:val="clear" w:color="auto" w:fill="auto"/>
            <w:noWrap/>
            <w:vAlign w:val="bottom"/>
            <w:hideMark/>
          </w:tcPr>
          <w:p w14:paraId="4C28E7C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0.253**</w:t>
            </w:r>
          </w:p>
        </w:tc>
        <w:tc>
          <w:tcPr>
            <w:tcW w:w="251" w:type="dxa"/>
            <w:tcBorders>
              <w:top w:val="nil"/>
              <w:left w:val="nil"/>
              <w:bottom w:val="nil"/>
              <w:right w:val="nil"/>
            </w:tcBorders>
            <w:shd w:val="clear" w:color="auto" w:fill="auto"/>
            <w:noWrap/>
            <w:vAlign w:val="bottom"/>
            <w:hideMark/>
          </w:tcPr>
          <w:p w14:paraId="58519D7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4E12604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0.222***</w:t>
            </w:r>
          </w:p>
        </w:tc>
        <w:tc>
          <w:tcPr>
            <w:tcW w:w="811" w:type="dxa"/>
            <w:tcBorders>
              <w:top w:val="nil"/>
              <w:left w:val="nil"/>
              <w:bottom w:val="nil"/>
              <w:right w:val="nil"/>
            </w:tcBorders>
            <w:shd w:val="clear" w:color="auto" w:fill="auto"/>
            <w:noWrap/>
            <w:vAlign w:val="bottom"/>
            <w:hideMark/>
          </w:tcPr>
          <w:p w14:paraId="320373C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0.151</w:t>
            </w:r>
          </w:p>
        </w:tc>
        <w:tc>
          <w:tcPr>
            <w:tcW w:w="251" w:type="dxa"/>
            <w:tcBorders>
              <w:top w:val="nil"/>
              <w:left w:val="nil"/>
              <w:bottom w:val="nil"/>
              <w:right w:val="nil"/>
            </w:tcBorders>
            <w:shd w:val="clear" w:color="auto" w:fill="auto"/>
            <w:noWrap/>
            <w:vAlign w:val="bottom"/>
            <w:hideMark/>
          </w:tcPr>
          <w:p w14:paraId="497D9526"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71CFB64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4891D6E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0.224*</w:t>
            </w:r>
          </w:p>
        </w:tc>
        <w:tc>
          <w:tcPr>
            <w:tcW w:w="251" w:type="dxa"/>
            <w:tcBorders>
              <w:top w:val="nil"/>
              <w:left w:val="nil"/>
              <w:bottom w:val="nil"/>
              <w:right w:val="nil"/>
            </w:tcBorders>
            <w:shd w:val="clear" w:color="auto" w:fill="auto"/>
            <w:noWrap/>
            <w:vAlign w:val="bottom"/>
            <w:hideMark/>
          </w:tcPr>
          <w:p w14:paraId="1DEF476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7F92CCD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0.190</w:t>
            </w:r>
          </w:p>
        </w:tc>
        <w:tc>
          <w:tcPr>
            <w:tcW w:w="811" w:type="dxa"/>
            <w:tcBorders>
              <w:top w:val="nil"/>
              <w:left w:val="nil"/>
              <w:bottom w:val="nil"/>
              <w:right w:val="nil"/>
            </w:tcBorders>
            <w:shd w:val="clear" w:color="auto" w:fill="auto"/>
            <w:noWrap/>
            <w:vAlign w:val="bottom"/>
            <w:hideMark/>
          </w:tcPr>
          <w:p w14:paraId="3DC994E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0.247**</w:t>
            </w:r>
          </w:p>
        </w:tc>
        <w:tc>
          <w:tcPr>
            <w:tcW w:w="790" w:type="dxa"/>
            <w:tcBorders>
              <w:top w:val="nil"/>
              <w:left w:val="nil"/>
              <w:bottom w:val="nil"/>
              <w:right w:val="nil"/>
            </w:tcBorders>
            <w:shd w:val="clear" w:color="auto" w:fill="auto"/>
            <w:noWrap/>
            <w:vAlign w:val="bottom"/>
            <w:hideMark/>
          </w:tcPr>
          <w:p w14:paraId="7961FCF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0.112</w:t>
            </w:r>
          </w:p>
        </w:tc>
        <w:tc>
          <w:tcPr>
            <w:tcW w:w="741" w:type="dxa"/>
            <w:tcBorders>
              <w:top w:val="nil"/>
              <w:left w:val="nil"/>
              <w:bottom w:val="nil"/>
              <w:right w:val="nil"/>
            </w:tcBorders>
            <w:shd w:val="clear" w:color="auto" w:fill="auto"/>
            <w:noWrap/>
            <w:vAlign w:val="bottom"/>
            <w:hideMark/>
          </w:tcPr>
          <w:p w14:paraId="3F327F8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0.814***</w:t>
            </w:r>
          </w:p>
        </w:tc>
      </w:tr>
      <w:tr w:rsidR="003C73FB" w:rsidRPr="00C82EE1" w14:paraId="13C37198"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00DF6C7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165126D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(0.020)</w:t>
            </w:r>
          </w:p>
        </w:tc>
        <w:tc>
          <w:tcPr>
            <w:tcW w:w="811" w:type="dxa"/>
            <w:tcBorders>
              <w:top w:val="nil"/>
              <w:left w:val="nil"/>
              <w:bottom w:val="nil"/>
              <w:right w:val="nil"/>
            </w:tcBorders>
            <w:shd w:val="clear" w:color="auto" w:fill="auto"/>
            <w:noWrap/>
            <w:vAlign w:val="bottom"/>
            <w:hideMark/>
          </w:tcPr>
          <w:p w14:paraId="424CBC0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(0.109)</w:t>
            </w:r>
          </w:p>
        </w:tc>
        <w:tc>
          <w:tcPr>
            <w:tcW w:w="251" w:type="dxa"/>
            <w:tcBorders>
              <w:top w:val="nil"/>
              <w:left w:val="nil"/>
              <w:bottom w:val="nil"/>
              <w:right w:val="nil"/>
            </w:tcBorders>
            <w:shd w:val="clear" w:color="auto" w:fill="auto"/>
            <w:noWrap/>
            <w:vAlign w:val="bottom"/>
            <w:hideMark/>
          </w:tcPr>
          <w:p w14:paraId="14D5884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5ED920F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(0.036)</w:t>
            </w:r>
          </w:p>
        </w:tc>
        <w:tc>
          <w:tcPr>
            <w:tcW w:w="811" w:type="dxa"/>
            <w:tcBorders>
              <w:top w:val="nil"/>
              <w:left w:val="nil"/>
              <w:bottom w:val="nil"/>
              <w:right w:val="nil"/>
            </w:tcBorders>
            <w:shd w:val="clear" w:color="auto" w:fill="auto"/>
            <w:noWrap/>
            <w:vAlign w:val="bottom"/>
            <w:hideMark/>
          </w:tcPr>
          <w:p w14:paraId="4AD1BD0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(0.120)</w:t>
            </w:r>
          </w:p>
        </w:tc>
        <w:tc>
          <w:tcPr>
            <w:tcW w:w="251" w:type="dxa"/>
            <w:tcBorders>
              <w:top w:val="nil"/>
              <w:left w:val="nil"/>
              <w:bottom w:val="nil"/>
              <w:right w:val="nil"/>
            </w:tcBorders>
            <w:shd w:val="clear" w:color="auto" w:fill="auto"/>
            <w:noWrap/>
            <w:vAlign w:val="bottom"/>
            <w:hideMark/>
          </w:tcPr>
          <w:p w14:paraId="6B4CA813"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76D8E38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799C966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(0.133)</w:t>
            </w:r>
          </w:p>
        </w:tc>
        <w:tc>
          <w:tcPr>
            <w:tcW w:w="251" w:type="dxa"/>
            <w:tcBorders>
              <w:top w:val="nil"/>
              <w:left w:val="nil"/>
              <w:bottom w:val="nil"/>
              <w:right w:val="nil"/>
            </w:tcBorders>
            <w:shd w:val="clear" w:color="auto" w:fill="auto"/>
            <w:noWrap/>
            <w:vAlign w:val="bottom"/>
            <w:hideMark/>
          </w:tcPr>
          <w:p w14:paraId="0743568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3D5B097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(0.144)</w:t>
            </w:r>
          </w:p>
        </w:tc>
        <w:tc>
          <w:tcPr>
            <w:tcW w:w="811" w:type="dxa"/>
            <w:tcBorders>
              <w:top w:val="nil"/>
              <w:left w:val="nil"/>
              <w:bottom w:val="nil"/>
              <w:right w:val="nil"/>
            </w:tcBorders>
            <w:shd w:val="clear" w:color="auto" w:fill="auto"/>
            <w:noWrap/>
            <w:vAlign w:val="bottom"/>
            <w:hideMark/>
          </w:tcPr>
          <w:p w14:paraId="6886788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(0.120)</w:t>
            </w:r>
          </w:p>
        </w:tc>
        <w:tc>
          <w:tcPr>
            <w:tcW w:w="790" w:type="dxa"/>
            <w:tcBorders>
              <w:top w:val="nil"/>
              <w:left w:val="nil"/>
              <w:bottom w:val="nil"/>
              <w:right w:val="nil"/>
            </w:tcBorders>
            <w:shd w:val="clear" w:color="auto" w:fill="auto"/>
            <w:noWrap/>
            <w:vAlign w:val="bottom"/>
            <w:hideMark/>
          </w:tcPr>
          <w:p w14:paraId="09CA1D7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(0.078)</w:t>
            </w:r>
          </w:p>
        </w:tc>
        <w:tc>
          <w:tcPr>
            <w:tcW w:w="741" w:type="dxa"/>
            <w:tcBorders>
              <w:top w:val="nil"/>
              <w:left w:val="nil"/>
              <w:bottom w:val="nil"/>
              <w:right w:val="nil"/>
            </w:tcBorders>
            <w:shd w:val="clear" w:color="auto" w:fill="auto"/>
            <w:noWrap/>
            <w:vAlign w:val="bottom"/>
            <w:hideMark/>
          </w:tcPr>
          <w:p w14:paraId="29D9634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(0.263)</w:t>
            </w:r>
          </w:p>
        </w:tc>
      </w:tr>
      <w:tr w:rsidR="003C73FB" w:rsidRPr="00C82EE1" w14:paraId="05F5FEA7"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4BE987EB"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Eth</w:t>
            </w:r>
          </w:p>
        </w:tc>
        <w:tc>
          <w:tcPr>
            <w:tcW w:w="932" w:type="dxa"/>
            <w:tcBorders>
              <w:top w:val="nil"/>
              <w:left w:val="nil"/>
              <w:bottom w:val="nil"/>
              <w:right w:val="nil"/>
            </w:tcBorders>
            <w:shd w:val="clear" w:color="auto" w:fill="auto"/>
            <w:noWrap/>
            <w:vAlign w:val="bottom"/>
            <w:hideMark/>
          </w:tcPr>
          <w:p w14:paraId="591028F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-0.026</w:t>
            </w:r>
          </w:p>
        </w:tc>
        <w:tc>
          <w:tcPr>
            <w:tcW w:w="811" w:type="dxa"/>
            <w:tcBorders>
              <w:top w:val="nil"/>
              <w:left w:val="nil"/>
              <w:bottom w:val="nil"/>
              <w:right w:val="nil"/>
            </w:tcBorders>
            <w:shd w:val="clear" w:color="auto" w:fill="auto"/>
            <w:noWrap/>
            <w:vAlign w:val="bottom"/>
            <w:hideMark/>
          </w:tcPr>
          <w:p w14:paraId="5BFFBF4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-0.189</w:t>
            </w:r>
          </w:p>
        </w:tc>
        <w:tc>
          <w:tcPr>
            <w:tcW w:w="251" w:type="dxa"/>
            <w:tcBorders>
              <w:top w:val="nil"/>
              <w:left w:val="nil"/>
              <w:bottom w:val="nil"/>
              <w:right w:val="nil"/>
            </w:tcBorders>
            <w:shd w:val="clear" w:color="auto" w:fill="auto"/>
            <w:noWrap/>
            <w:vAlign w:val="bottom"/>
            <w:hideMark/>
          </w:tcPr>
          <w:p w14:paraId="7D5AE2A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2B73B2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-0.049</w:t>
            </w:r>
          </w:p>
        </w:tc>
        <w:tc>
          <w:tcPr>
            <w:tcW w:w="811" w:type="dxa"/>
            <w:tcBorders>
              <w:top w:val="nil"/>
              <w:left w:val="nil"/>
              <w:bottom w:val="nil"/>
              <w:right w:val="nil"/>
            </w:tcBorders>
            <w:shd w:val="clear" w:color="auto" w:fill="auto"/>
            <w:noWrap/>
            <w:vAlign w:val="bottom"/>
            <w:hideMark/>
          </w:tcPr>
          <w:p w14:paraId="6A6415A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-0.185</w:t>
            </w:r>
          </w:p>
        </w:tc>
        <w:tc>
          <w:tcPr>
            <w:tcW w:w="251" w:type="dxa"/>
            <w:tcBorders>
              <w:top w:val="nil"/>
              <w:left w:val="nil"/>
              <w:bottom w:val="nil"/>
              <w:right w:val="nil"/>
            </w:tcBorders>
            <w:shd w:val="clear" w:color="auto" w:fill="auto"/>
            <w:noWrap/>
            <w:vAlign w:val="bottom"/>
            <w:hideMark/>
          </w:tcPr>
          <w:p w14:paraId="1C9FE8D6"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3DB4178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0.005***</w:t>
            </w:r>
          </w:p>
        </w:tc>
        <w:tc>
          <w:tcPr>
            <w:tcW w:w="1356" w:type="dxa"/>
            <w:tcBorders>
              <w:top w:val="nil"/>
              <w:left w:val="nil"/>
              <w:bottom w:val="nil"/>
              <w:right w:val="nil"/>
            </w:tcBorders>
            <w:shd w:val="clear" w:color="auto" w:fill="auto"/>
            <w:noWrap/>
            <w:vAlign w:val="bottom"/>
            <w:hideMark/>
          </w:tcPr>
          <w:p w14:paraId="40F89D2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-0.041</w:t>
            </w:r>
          </w:p>
        </w:tc>
        <w:tc>
          <w:tcPr>
            <w:tcW w:w="251" w:type="dxa"/>
            <w:tcBorders>
              <w:top w:val="nil"/>
              <w:left w:val="nil"/>
              <w:bottom w:val="nil"/>
              <w:right w:val="nil"/>
            </w:tcBorders>
            <w:shd w:val="clear" w:color="auto" w:fill="auto"/>
            <w:noWrap/>
            <w:vAlign w:val="bottom"/>
            <w:hideMark/>
          </w:tcPr>
          <w:p w14:paraId="1CB25AC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015079A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0.044</w:t>
            </w:r>
          </w:p>
        </w:tc>
        <w:tc>
          <w:tcPr>
            <w:tcW w:w="811" w:type="dxa"/>
            <w:tcBorders>
              <w:top w:val="nil"/>
              <w:left w:val="nil"/>
              <w:bottom w:val="nil"/>
              <w:right w:val="nil"/>
            </w:tcBorders>
            <w:shd w:val="clear" w:color="auto" w:fill="auto"/>
            <w:noWrap/>
            <w:vAlign w:val="bottom"/>
            <w:hideMark/>
          </w:tcPr>
          <w:p w14:paraId="0758BA5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-0.214</w:t>
            </w:r>
          </w:p>
        </w:tc>
        <w:tc>
          <w:tcPr>
            <w:tcW w:w="790" w:type="dxa"/>
            <w:tcBorders>
              <w:top w:val="nil"/>
              <w:left w:val="nil"/>
              <w:bottom w:val="nil"/>
              <w:right w:val="nil"/>
            </w:tcBorders>
            <w:shd w:val="clear" w:color="auto" w:fill="auto"/>
            <w:noWrap/>
            <w:vAlign w:val="bottom"/>
            <w:hideMark/>
          </w:tcPr>
          <w:p w14:paraId="71F162F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-0.060</w:t>
            </w:r>
          </w:p>
        </w:tc>
        <w:tc>
          <w:tcPr>
            <w:tcW w:w="741" w:type="dxa"/>
            <w:tcBorders>
              <w:top w:val="nil"/>
              <w:left w:val="nil"/>
              <w:bottom w:val="nil"/>
              <w:right w:val="nil"/>
            </w:tcBorders>
            <w:shd w:val="clear" w:color="auto" w:fill="auto"/>
            <w:noWrap/>
            <w:vAlign w:val="bottom"/>
            <w:hideMark/>
          </w:tcPr>
          <w:p w14:paraId="546D738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0.007</w:t>
            </w:r>
          </w:p>
        </w:tc>
      </w:tr>
      <w:tr w:rsidR="003C73FB" w:rsidRPr="00C82EE1" w14:paraId="1077439B"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493702C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5E71F89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(0.024)</w:t>
            </w:r>
          </w:p>
        </w:tc>
        <w:tc>
          <w:tcPr>
            <w:tcW w:w="811" w:type="dxa"/>
            <w:tcBorders>
              <w:top w:val="nil"/>
              <w:left w:val="nil"/>
              <w:bottom w:val="nil"/>
              <w:right w:val="nil"/>
            </w:tcBorders>
            <w:shd w:val="clear" w:color="auto" w:fill="auto"/>
            <w:noWrap/>
            <w:vAlign w:val="bottom"/>
            <w:hideMark/>
          </w:tcPr>
          <w:p w14:paraId="555A751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(0.163)</w:t>
            </w:r>
          </w:p>
        </w:tc>
        <w:tc>
          <w:tcPr>
            <w:tcW w:w="251" w:type="dxa"/>
            <w:tcBorders>
              <w:top w:val="nil"/>
              <w:left w:val="nil"/>
              <w:bottom w:val="nil"/>
              <w:right w:val="nil"/>
            </w:tcBorders>
            <w:shd w:val="clear" w:color="auto" w:fill="auto"/>
            <w:noWrap/>
            <w:vAlign w:val="bottom"/>
            <w:hideMark/>
          </w:tcPr>
          <w:p w14:paraId="0A4B1B6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7E67C1D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(0.048)</w:t>
            </w:r>
          </w:p>
        </w:tc>
        <w:tc>
          <w:tcPr>
            <w:tcW w:w="811" w:type="dxa"/>
            <w:tcBorders>
              <w:top w:val="nil"/>
              <w:left w:val="nil"/>
              <w:bottom w:val="nil"/>
              <w:right w:val="nil"/>
            </w:tcBorders>
            <w:shd w:val="clear" w:color="auto" w:fill="auto"/>
            <w:noWrap/>
            <w:vAlign w:val="bottom"/>
            <w:hideMark/>
          </w:tcPr>
          <w:p w14:paraId="6D8368F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(0.170)</w:t>
            </w:r>
          </w:p>
        </w:tc>
        <w:tc>
          <w:tcPr>
            <w:tcW w:w="251" w:type="dxa"/>
            <w:tcBorders>
              <w:top w:val="nil"/>
              <w:left w:val="nil"/>
              <w:bottom w:val="nil"/>
              <w:right w:val="nil"/>
            </w:tcBorders>
            <w:shd w:val="clear" w:color="auto" w:fill="auto"/>
            <w:noWrap/>
            <w:vAlign w:val="bottom"/>
            <w:hideMark/>
          </w:tcPr>
          <w:p w14:paraId="655F6156"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17261FB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2C9AC86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(0.170)</w:t>
            </w:r>
          </w:p>
        </w:tc>
        <w:tc>
          <w:tcPr>
            <w:tcW w:w="251" w:type="dxa"/>
            <w:tcBorders>
              <w:top w:val="nil"/>
              <w:left w:val="nil"/>
              <w:bottom w:val="nil"/>
              <w:right w:val="nil"/>
            </w:tcBorders>
            <w:shd w:val="clear" w:color="auto" w:fill="auto"/>
            <w:noWrap/>
            <w:vAlign w:val="bottom"/>
            <w:hideMark/>
          </w:tcPr>
          <w:p w14:paraId="49060D7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083FCBC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(0.185)</w:t>
            </w:r>
          </w:p>
        </w:tc>
        <w:tc>
          <w:tcPr>
            <w:tcW w:w="811" w:type="dxa"/>
            <w:tcBorders>
              <w:top w:val="nil"/>
              <w:left w:val="nil"/>
              <w:bottom w:val="nil"/>
              <w:right w:val="nil"/>
            </w:tcBorders>
            <w:shd w:val="clear" w:color="auto" w:fill="auto"/>
            <w:noWrap/>
            <w:vAlign w:val="bottom"/>
            <w:hideMark/>
          </w:tcPr>
          <w:p w14:paraId="127A401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(0.156)</w:t>
            </w:r>
          </w:p>
        </w:tc>
        <w:tc>
          <w:tcPr>
            <w:tcW w:w="790" w:type="dxa"/>
            <w:tcBorders>
              <w:top w:val="nil"/>
              <w:left w:val="nil"/>
              <w:bottom w:val="nil"/>
              <w:right w:val="nil"/>
            </w:tcBorders>
            <w:shd w:val="clear" w:color="auto" w:fill="auto"/>
            <w:noWrap/>
            <w:vAlign w:val="bottom"/>
            <w:hideMark/>
          </w:tcPr>
          <w:p w14:paraId="76F9197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(0.171)</w:t>
            </w:r>
          </w:p>
        </w:tc>
        <w:tc>
          <w:tcPr>
            <w:tcW w:w="741" w:type="dxa"/>
            <w:tcBorders>
              <w:top w:val="nil"/>
              <w:left w:val="nil"/>
              <w:bottom w:val="nil"/>
              <w:right w:val="nil"/>
            </w:tcBorders>
            <w:shd w:val="clear" w:color="auto" w:fill="auto"/>
            <w:noWrap/>
            <w:vAlign w:val="bottom"/>
            <w:hideMark/>
          </w:tcPr>
          <w:p w14:paraId="4D5351D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(0.231)</w:t>
            </w:r>
          </w:p>
        </w:tc>
      </w:tr>
      <w:tr w:rsidR="003C73FB" w:rsidRPr="00C82EE1" w14:paraId="4E2456CC"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4A694203"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Token distribution</w:t>
            </w:r>
          </w:p>
        </w:tc>
        <w:tc>
          <w:tcPr>
            <w:tcW w:w="932" w:type="dxa"/>
            <w:tcBorders>
              <w:top w:val="nil"/>
              <w:left w:val="nil"/>
              <w:bottom w:val="nil"/>
              <w:right w:val="nil"/>
            </w:tcBorders>
            <w:shd w:val="clear" w:color="auto" w:fill="auto"/>
            <w:noWrap/>
            <w:vAlign w:val="bottom"/>
            <w:hideMark/>
          </w:tcPr>
          <w:p w14:paraId="4316497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-0.028</w:t>
            </w:r>
          </w:p>
        </w:tc>
        <w:tc>
          <w:tcPr>
            <w:tcW w:w="811" w:type="dxa"/>
            <w:tcBorders>
              <w:top w:val="nil"/>
              <w:left w:val="nil"/>
              <w:bottom w:val="nil"/>
              <w:right w:val="nil"/>
            </w:tcBorders>
            <w:shd w:val="clear" w:color="auto" w:fill="auto"/>
            <w:noWrap/>
            <w:vAlign w:val="bottom"/>
            <w:hideMark/>
          </w:tcPr>
          <w:p w14:paraId="490DA5B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-0.011</w:t>
            </w:r>
          </w:p>
        </w:tc>
        <w:tc>
          <w:tcPr>
            <w:tcW w:w="251" w:type="dxa"/>
            <w:tcBorders>
              <w:top w:val="nil"/>
              <w:left w:val="nil"/>
              <w:bottom w:val="nil"/>
              <w:right w:val="nil"/>
            </w:tcBorders>
            <w:shd w:val="clear" w:color="auto" w:fill="auto"/>
            <w:noWrap/>
            <w:vAlign w:val="bottom"/>
            <w:hideMark/>
          </w:tcPr>
          <w:p w14:paraId="2B9C040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1B53352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0.219</w:t>
            </w:r>
          </w:p>
        </w:tc>
        <w:tc>
          <w:tcPr>
            <w:tcW w:w="811" w:type="dxa"/>
            <w:tcBorders>
              <w:top w:val="nil"/>
              <w:left w:val="nil"/>
              <w:bottom w:val="nil"/>
              <w:right w:val="nil"/>
            </w:tcBorders>
            <w:shd w:val="clear" w:color="auto" w:fill="auto"/>
            <w:noWrap/>
            <w:vAlign w:val="bottom"/>
            <w:hideMark/>
          </w:tcPr>
          <w:p w14:paraId="622A938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-0.153</w:t>
            </w:r>
          </w:p>
        </w:tc>
        <w:tc>
          <w:tcPr>
            <w:tcW w:w="251" w:type="dxa"/>
            <w:tcBorders>
              <w:top w:val="nil"/>
              <w:left w:val="nil"/>
              <w:bottom w:val="nil"/>
              <w:right w:val="nil"/>
            </w:tcBorders>
            <w:shd w:val="clear" w:color="auto" w:fill="auto"/>
            <w:noWrap/>
            <w:vAlign w:val="bottom"/>
            <w:hideMark/>
          </w:tcPr>
          <w:p w14:paraId="166B4A2A"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2D08DAB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0.010***</w:t>
            </w:r>
          </w:p>
        </w:tc>
        <w:tc>
          <w:tcPr>
            <w:tcW w:w="1356" w:type="dxa"/>
            <w:tcBorders>
              <w:top w:val="nil"/>
              <w:left w:val="nil"/>
              <w:bottom w:val="nil"/>
              <w:right w:val="nil"/>
            </w:tcBorders>
            <w:shd w:val="clear" w:color="auto" w:fill="auto"/>
            <w:noWrap/>
            <w:vAlign w:val="bottom"/>
            <w:hideMark/>
          </w:tcPr>
          <w:p w14:paraId="47BC685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0.191</w:t>
            </w:r>
          </w:p>
        </w:tc>
        <w:tc>
          <w:tcPr>
            <w:tcW w:w="251" w:type="dxa"/>
            <w:tcBorders>
              <w:top w:val="nil"/>
              <w:left w:val="nil"/>
              <w:bottom w:val="nil"/>
              <w:right w:val="nil"/>
            </w:tcBorders>
            <w:shd w:val="clear" w:color="auto" w:fill="auto"/>
            <w:noWrap/>
            <w:vAlign w:val="bottom"/>
            <w:hideMark/>
          </w:tcPr>
          <w:p w14:paraId="21FAB53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2A076F0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0.399</w:t>
            </w:r>
          </w:p>
        </w:tc>
        <w:tc>
          <w:tcPr>
            <w:tcW w:w="811" w:type="dxa"/>
            <w:tcBorders>
              <w:top w:val="nil"/>
              <w:left w:val="nil"/>
              <w:bottom w:val="nil"/>
              <w:right w:val="nil"/>
            </w:tcBorders>
            <w:shd w:val="clear" w:color="auto" w:fill="auto"/>
            <w:noWrap/>
            <w:vAlign w:val="bottom"/>
            <w:hideMark/>
          </w:tcPr>
          <w:p w14:paraId="7A3C1EA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-0.113</w:t>
            </w:r>
          </w:p>
        </w:tc>
        <w:tc>
          <w:tcPr>
            <w:tcW w:w="790" w:type="dxa"/>
            <w:tcBorders>
              <w:top w:val="nil"/>
              <w:left w:val="nil"/>
              <w:bottom w:val="nil"/>
              <w:right w:val="nil"/>
            </w:tcBorders>
            <w:shd w:val="clear" w:color="auto" w:fill="auto"/>
            <w:noWrap/>
            <w:vAlign w:val="bottom"/>
            <w:hideMark/>
          </w:tcPr>
          <w:p w14:paraId="6F712A8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0.0004</w:t>
            </w:r>
          </w:p>
        </w:tc>
        <w:tc>
          <w:tcPr>
            <w:tcW w:w="741" w:type="dxa"/>
            <w:tcBorders>
              <w:top w:val="nil"/>
              <w:left w:val="nil"/>
              <w:bottom w:val="nil"/>
              <w:right w:val="nil"/>
            </w:tcBorders>
            <w:shd w:val="clear" w:color="auto" w:fill="auto"/>
            <w:noWrap/>
            <w:vAlign w:val="bottom"/>
            <w:hideMark/>
          </w:tcPr>
          <w:p w14:paraId="6379AE6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0.136</w:t>
            </w:r>
          </w:p>
        </w:tc>
      </w:tr>
      <w:tr w:rsidR="003C73FB" w:rsidRPr="00C82EE1" w14:paraId="1B2B4560"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3229E7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4226D4B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(0.049)</w:t>
            </w:r>
          </w:p>
        </w:tc>
        <w:tc>
          <w:tcPr>
            <w:tcW w:w="811" w:type="dxa"/>
            <w:tcBorders>
              <w:top w:val="nil"/>
              <w:left w:val="nil"/>
              <w:bottom w:val="nil"/>
              <w:right w:val="nil"/>
            </w:tcBorders>
            <w:shd w:val="clear" w:color="auto" w:fill="auto"/>
            <w:noWrap/>
            <w:vAlign w:val="bottom"/>
            <w:hideMark/>
          </w:tcPr>
          <w:p w14:paraId="66BC1A6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(0.557)</w:t>
            </w:r>
          </w:p>
        </w:tc>
        <w:tc>
          <w:tcPr>
            <w:tcW w:w="251" w:type="dxa"/>
            <w:tcBorders>
              <w:top w:val="nil"/>
              <w:left w:val="nil"/>
              <w:bottom w:val="nil"/>
              <w:right w:val="nil"/>
            </w:tcBorders>
            <w:shd w:val="clear" w:color="auto" w:fill="auto"/>
            <w:noWrap/>
            <w:vAlign w:val="bottom"/>
            <w:hideMark/>
          </w:tcPr>
          <w:p w14:paraId="594D765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0BC11BA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(0.134)</w:t>
            </w:r>
          </w:p>
        </w:tc>
        <w:tc>
          <w:tcPr>
            <w:tcW w:w="811" w:type="dxa"/>
            <w:tcBorders>
              <w:top w:val="nil"/>
              <w:left w:val="nil"/>
              <w:bottom w:val="nil"/>
              <w:right w:val="nil"/>
            </w:tcBorders>
            <w:shd w:val="clear" w:color="auto" w:fill="auto"/>
            <w:noWrap/>
            <w:vAlign w:val="bottom"/>
            <w:hideMark/>
          </w:tcPr>
          <w:p w14:paraId="0A4DC24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(0.553)</w:t>
            </w:r>
          </w:p>
        </w:tc>
        <w:tc>
          <w:tcPr>
            <w:tcW w:w="251" w:type="dxa"/>
            <w:tcBorders>
              <w:top w:val="nil"/>
              <w:left w:val="nil"/>
              <w:bottom w:val="nil"/>
              <w:right w:val="nil"/>
            </w:tcBorders>
            <w:shd w:val="clear" w:color="auto" w:fill="auto"/>
            <w:noWrap/>
            <w:vAlign w:val="bottom"/>
            <w:hideMark/>
          </w:tcPr>
          <w:p w14:paraId="64233958"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365BC21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1356" w:type="dxa"/>
            <w:tcBorders>
              <w:top w:val="nil"/>
              <w:left w:val="nil"/>
              <w:bottom w:val="nil"/>
              <w:right w:val="nil"/>
            </w:tcBorders>
            <w:shd w:val="clear" w:color="auto" w:fill="auto"/>
            <w:noWrap/>
            <w:vAlign w:val="bottom"/>
            <w:hideMark/>
          </w:tcPr>
          <w:p w14:paraId="7932572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(0.711)</w:t>
            </w:r>
          </w:p>
        </w:tc>
        <w:tc>
          <w:tcPr>
            <w:tcW w:w="251" w:type="dxa"/>
            <w:tcBorders>
              <w:top w:val="nil"/>
              <w:left w:val="nil"/>
              <w:bottom w:val="nil"/>
              <w:right w:val="nil"/>
            </w:tcBorders>
            <w:shd w:val="clear" w:color="auto" w:fill="auto"/>
            <w:noWrap/>
            <w:vAlign w:val="bottom"/>
            <w:hideMark/>
          </w:tcPr>
          <w:p w14:paraId="1B47639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1CC476A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(0.412)</w:t>
            </w:r>
          </w:p>
        </w:tc>
        <w:tc>
          <w:tcPr>
            <w:tcW w:w="811" w:type="dxa"/>
            <w:tcBorders>
              <w:top w:val="nil"/>
              <w:left w:val="nil"/>
              <w:bottom w:val="nil"/>
              <w:right w:val="nil"/>
            </w:tcBorders>
            <w:shd w:val="clear" w:color="auto" w:fill="auto"/>
            <w:noWrap/>
            <w:vAlign w:val="bottom"/>
            <w:hideMark/>
          </w:tcPr>
          <w:p w14:paraId="380842C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(0.573)</w:t>
            </w:r>
          </w:p>
        </w:tc>
        <w:tc>
          <w:tcPr>
            <w:tcW w:w="790" w:type="dxa"/>
            <w:tcBorders>
              <w:top w:val="nil"/>
              <w:left w:val="nil"/>
              <w:bottom w:val="nil"/>
              <w:right w:val="nil"/>
            </w:tcBorders>
            <w:shd w:val="clear" w:color="auto" w:fill="auto"/>
            <w:noWrap/>
            <w:vAlign w:val="bottom"/>
            <w:hideMark/>
          </w:tcPr>
          <w:p w14:paraId="2FF7886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(0.140)</w:t>
            </w:r>
          </w:p>
        </w:tc>
        <w:tc>
          <w:tcPr>
            <w:tcW w:w="741" w:type="dxa"/>
            <w:tcBorders>
              <w:top w:val="nil"/>
              <w:left w:val="nil"/>
              <w:bottom w:val="nil"/>
              <w:right w:val="nil"/>
            </w:tcBorders>
            <w:shd w:val="clear" w:color="auto" w:fill="auto"/>
            <w:noWrap/>
            <w:vAlign w:val="bottom"/>
            <w:hideMark/>
          </w:tcPr>
          <w:p w14:paraId="4639317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(0.620)</w:t>
            </w:r>
          </w:p>
        </w:tc>
      </w:tr>
      <w:tr w:rsidR="003C73FB" w:rsidRPr="00C82EE1" w14:paraId="7886D905"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6112E9E"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Minimum investment</w:t>
            </w:r>
          </w:p>
        </w:tc>
        <w:tc>
          <w:tcPr>
            <w:tcW w:w="932" w:type="dxa"/>
            <w:tcBorders>
              <w:top w:val="nil"/>
              <w:left w:val="nil"/>
              <w:bottom w:val="nil"/>
              <w:right w:val="nil"/>
            </w:tcBorders>
            <w:shd w:val="clear" w:color="auto" w:fill="auto"/>
            <w:noWrap/>
            <w:vAlign w:val="bottom"/>
            <w:hideMark/>
          </w:tcPr>
          <w:p w14:paraId="3C364CD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0.030***</w:t>
            </w:r>
          </w:p>
        </w:tc>
        <w:tc>
          <w:tcPr>
            <w:tcW w:w="811" w:type="dxa"/>
            <w:tcBorders>
              <w:top w:val="nil"/>
              <w:left w:val="nil"/>
              <w:bottom w:val="nil"/>
              <w:right w:val="nil"/>
            </w:tcBorders>
            <w:shd w:val="clear" w:color="auto" w:fill="auto"/>
            <w:noWrap/>
            <w:vAlign w:val="bottom"/>
            <w:hideMark/>
          </w:tcPr>
          <w:p w14:paraId="0A2E03F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-0.017</w:t>
            </w:r>
          </w:p>
        </w:tc>
        <w:tc>
          <w:tcPr>
            <w:tcW w:w="251" w:type="dxa"/>
            <w:tcBorders>
              <w:top w:val="nil"/>
              <w:left w:val="nil"/>
              <w:bottom w:val="nil"/>
              <w:right w:val="nil"/>
            </w:tcBorders>
            <w:shd w:val="clear" w:color="auto" w:fill="auto"/>
            <w:noWrap/>
            <w:vAlign w:val="bottom"/>
            <w:hideMark/>
          </w:tcPr>
          <w:p w14:paraId="2259B40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665C3FF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0.023</w:t>
            </w:r>
          </w:p>
        </w:tc>
        <w:tc>
          <w:tcPr>
            <w:tcW w:w="811" w:type="dxa"/>
            <w:tcBorders>
              <w:top w:val="nil"/>
              <w:left w:val="nil"/>
              <w:bottom w:val="nil"/>
              <w:right w:val="nil"/>
            </w:tcBorders>
            <w:shd w:val="clear" w:color="auto" w:fill="auto"/>
            <w:noWrap/>
            <w:vAlign w:val="bottom"/>
            <w:hideMark/>
          </w:tcPr>
          <w:p w14:paraId="7C0ED53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-0.003</w:t>
            </w:r>
          </w:p>
        </w:tc>
        <w:tc>
          <w:tcPr>
            <w:tcW w:w="251" w:type="dxa"/>
            <w:tcBorders>
              <w:top w:val="nil"/>
              <w:left w:val="nil"/>
              <w:bottom w:val="nil"/>
              <w:right w:val="nil"/>
            </w:tcBorders>
            <w:shd w:val="clear" w:color="auto" w:fill="auto"/>
            <w:noWrap/>
            <w:vAlign w:val="bottom"/>
            <w:hideMark/>
          </w:tcPr>
          <w:p w14:paraId="6017CF04"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0C6DB37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1356" w:type="dxa"/>
            <w:tcBorders>
              <w:top w:val="nil"/>
              <w:left w:val="nil"/>
              <w:bottom w:val="nil"/>
              <w:right w:val="nil"/>
            </w:tcBorders>
            <w:shd w:val="clear" w:color="auto" w:fill="auto"/>
            <w:noWrap/>
            <w:vAlign w:val="bottom"/>
            <w:hideMark/>
          </w:tcPr>
          <w:p w14:paraId="678B462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0.037</w:t>
            </w:r>
          </w:p>
        </w:tc>
        <w:tc>
          <w:tcPr>
            <w:tcW w:w="251" w:type="dxa"/>
            <w:tcBorders>
              <w:top w:val="nil"/>
              <w:left w:val="nil"/>
              <w:bottom w:val="nil"/>
              <w:right w:val="nil"/>
            </w:tcBorders>
            <w:shd w:val="clear" w:color="auto" w:fill="auto"/>
            <w:noWrap/>
            <w:vAlign w:val="bottom"/>
            <w:hideMark/>
          </w:tcPr>
          <w:p w14:paraId="650F498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168436C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0.051</w:t>
            </w:r>
          </w:p>
        </w:tc>
        <w:tc>
          <w:tcPr>
            <w:tcW w:w="811" w:type="dxa"/>
            <w:tcBorders>
              <w:top w:val="nil"/>
              <w:left w:val="nil"/>
              <w:bottom w:val="nil"/>
              <w:right w:val="nil"/>
            </w:tcBorders>
            <w:shd w:val="clear" w:color="auto" w:fill="auto"/>
            <w:noWrap/>
            <w:vAlign w:val="bottom"/>
            <w:hideMark/>
          </w:tcPr>
          <w:p w14:paraId="69354FD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790" w:type="dxa"/>
            <w:tcBorders>
              <w:top w:val="nil"/>
              <w:left w:val="nil"/>
              <w:bottom w:val="nil"/>
              <w:right w:val="nil"/>
            </w:tcBorders>
            <w:shd w:val="clear" w:color="auto" w:fill="auto"/>
            <w:noWrap/>
            <w:vAlign w:val="bottom"/>
            <w:hideMark/>
          </w:tcPr>
          <w:p w14:paraId="3D45FBF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-0.079</w:t>
            </w:r>
          </w:p>
        </w:tc>
        <w:tc>
          <w:tcPr>
            <w:tcW w:w="741" w:type="dxa"/>
            <w:tcBorders>
              <w:top w:val="nil"/>
              <w:left w:val="nil"/>
              <w:bottom w:val="nil"/>
              <w:right w:val="nil"/>
            </w:tcBorders>
            <w:shd w:val="clear" w:color="auto" w:fill="auto"/>
            <w:noWrap/>
            <w:vAlign w:val="bottom"/>
            <w:hideMark/>
          </w:tcPr>
          <w:p w14:paraId="40E050C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0.167</w:t>
            </w:r>
          </w:p>
        </w:tc>
      </w:tr>
      <w:tr w:rsidR="003C73FB" w:rsidRPr="00C82EE1" w14:paraId="78AF22C0"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8409E0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11FAA30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(0.010)</w:t>
            </w:r>
          </w:p>
        </w:tc>
        <w:tc>
          <w:tcPr>
            <w:tcW w:w="811" w:type="dxa"/>
            <w:tcBorders>
              <w:top w:val="nil"/>
              <w:left w:val="nil"/>
              <w:bottom w:val="nil"/>
              <w:right w:val="nil"/>
            </w:tcBorders>
            <w:shd w:val="clear" w:color="auto" w:fill="auto"/>
            <w:noWrap/>
            <w:vAlign w:val="bottom"/>
            <w:hideMark/>
          </w:tcPr>
          <w:p w14:paraId="574DC18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(0.158)</w:t>
            </w:r>
          </w:p>
        </w:tc>
        <w:tc>
          <w:tcPr>
            <w:tcW w:w="251" w:type="dxa"/>
            <w:tcBorders>
              <w:top w:val="nil"/>
              <w:left w:val="nil"/>
              <w:bottom w:val="nil"/>
              <w:right w:val="nil"/>
            </w:tcBorders>
            <w:shd w:val="clear" w:color="auto" w:fill="auto"/>
            <w:noWrap/>
            <w:vAlign w:val="bottom"/>
            <w:hideMark/>
          </w:tcPr>
          <w:p w14:paraId="5D070EE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72D43F4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(0.034)</w:t>
            </w:r>
          </w:p>
        </w:tc>
        <w:tc>
          <w:tcPr>
            <w:tcW w:w="811" w:type="dxa"/>
            <w:tcBorders>
              <w:top w:val="nil"/>
              <w:left w:val="nil"/>
              <w:bottom w:val="nil"/>
              <w:right w:val="nil"/>
            </w:tcBorders>
            <w:shd w:val="clear" w:color="auto" w:fill="auto"/>
            <w:noWrap/>
            <w:vAlign w:val="bottom"/>
            <w:hideMark/>
          </w:tcPr>
          <w:p w14:paraId="538BCAC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(0.146)</w:t>
            </w:r>
          </w:p>
        </w:tc>
        <w:tc>
          <w:tcPr>
            <w:tcW w:w="251" w:type="dxa"/>
            <w:tcBorders>
              <w:top w:val="nil"/>
              <w:left w:val="nil"/>
              <w:bottom w:val="nil"/>
              <w:right w:val="nil"/>
            </w:tcBorders>
            <w:shd w:val="clear" w:color="auto" w:fill="auto"/>
            <w:noWrap/>
            <w:vAlign w:val="bottom"/>
            <w:hideMark/>
          </w:tcPr>
          <w:p w14:paraId="34EEFB40"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4F29A09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0B03832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(0.140)</w:t>
            </w:r>
          </w:p>
        </w:tc>
        <w:tc>
          <w:tcPr>
            <w:tcW w:w="251" w:type="dxa"/>
            <w:tcBorders>
              <w:top w:val="nil"/>
              <w:left w:val="nil"/>
              <w:bottom w:val="nil"/>
              <w:right w:val="nil"/>
            </w:tcBorders>
            <w:shd w:val="clear" w:color="auto" w:fill="auto"/>
            <w:noWrap/>
            <w:vAlign w:val="bottom"/>
            <w:hideMark/>
          </w:tcPr>
          <w:p w14:paraId="20CA1F2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051A857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(0.081)</w:t>
            </w:r>
          </w:p>
        </w:tc>
        <w:tc>
          <w:tcPr>
            <w:tcW w:w="811" w:type="dxa"/>
            <w:tcBorders>
              <w:top w:val="nil"/>
              <w:left w:val="nil"/>
              <w:bottom w:val="nil"/>
              <w:right w:val="nil"/>
            </w:tcBorders>
            <w:shd w:val="clear" w:color="auto" w:fill="auto"/>
            <w:noWrap/>
            <w:vAlign w:val="bottom"/>
            <w:hideMark/>
          </w:tcPr>
          <w:p w14:paraId="657F260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(0.146)</w:t>
            </w:r>
          </w:p>
        </w:tc>
        <w:tc>
          <w:tcPr>
            <w:tcW w:w="790" w:type="dxa"/>
            <w:tcBorders>
              <w:top w:val="nil"/>
              <w:left w:val="nil"/>
              <w:bottom w:val="nil"/>
              <w:right w:val="nil"/>
            </w:tcBorders>
            <w:shd w:val="clear" w:color="auto" w:fill="auto"/>
            <w:noWrap/>
            <w:vAlign w:val="bottom"/>
            <w:hideMark/>
          </w:tcPr>
          <w:p w14:paraId="59E3E2A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(0.092)</w:t>
            </w:r>
          </w:p>
        </w:tc>
        <w:tc>
          <w:tcPr>
            <w:tcW w:w="741" w:type="dxa"/>
            <w:tcBorders>
              <w:top w:val="nil"/>
              <w:left w:val="nil"/>
              <w:bottom w:val="nil"/>
              <w:right w:val="nil"/>
            </w:tcBorders>
            <w:shd w:val="clear" w:color="auto" w:fill="auto"/>
            <w:noWrap/>
            <w:vAlign w:val="bottom"/>
            <w:hideMark/>
          </w:tcPr>
          <w:p w14:paraId="167A9B9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(0.148)</w:t>
            </w:r>
          </w:p>
        </w:tc>
      </w:tr>
      <w:tr w:rsidR="003C73FB" w:rsidRPr="00C82EE1" w14:paraId="747CFFFA"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71D52379"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Fiat</w:t>
            </w:r>
          </w:p>
        </w:tc>
        <w:tc>
          <w:tcPr>
            <w:tcW w:w="932" w:type="dxa"/>
            <w:tcBorders>
              <w:top w:val="nil"/>
              <w:left w:val="nil"/>
              <w:bottom w:val="nil"/>
              <w:right w:val="nil"/>
            </w:tcBorders>
            <w:shd w:val="clear" w:color="auto" w:fill="auto"/>
            <w:noWrap/>
            <w:vAlign w:val="bottom"/>
            <w:hideMark/>
          </w:tcPr>
          <w:p w14:paraId="18BEBF6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-0.050***</w:t>
            </w:r>
          </w:p>
        </w:tc>
        <w:tc>
          <w:tcPr>
            <w:tcW w:w="811" w:type="dxa"/>
            <w:tcBorders>
              <w:top w:val="nil"/>
              <w:left w:val="nil"/>
              <w:bottom w:val="nil"/>
              <w:right w:val="nil"/>
            </w:tcBorders>
            <w:shd w:val="clear" w:color="auto" w:fill="auto"/>
            <w:noWrap/>
            <w:vAlign w:val="bottom"/>
            <w:hideMark/>
          </w:tcPr>
          <w:p w14:paraId="68C0F82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0.517***</w:t>
            </w:r>
          </w:p>
        </w:tc>
        <w:tc>
          <w:tcPr>
            <w:tcW w:w="251" w:type="dxa"/>
            <w:tcBorders>
              <w:top w:val="nil"/>
              <w:left w:val="nil"/>
              <w:bottom w:val="nil"/>
              <w:right w:val="nil"/>
            </w:tcBorders>
            <w:shd w:val="clear" w:color="auto" w:fill="auto"/>
            <w:noWrap/>
            <w:vAlign w:val="bottom"/>
            <w:hideMark/>
          </w:tcPr>
          <w:p w14:paraId="4DFBE88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5415258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811" w:type="dxa"/>
            <w:tcBorders>
              <w:top w:val="nil"/>
              <w:left w:val="nil"/>
              <w:bottom w:val="nil"/>
              <w:right w:val="nil"/>
            </w:tcBorders>
            <w:shd w:val="clear" w:color="auto" w:fill="auto"/>
            <w:noWrap/>
            <w:vAlign w:val="bottom"/>
            <w:hideMark/>
          </w:tcPr>
          <w:p w14:paraId="4A4E017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0.473***</w:t>
            </w:r>
          </w:p>
        </w:tc>
        <w:tc>
          <w:tcPr>
            <w:tcW w:w="251" w:type="dxa"/>
            <w:tcBorders>
              <w:top w:val="nil"/>
              <w:left w:val="nil"/>
              <w:bottom w:val="nil"/>
              <w:right w:val="nil"/>
            </w:tcBorders>
            <w:shd w:val="clear" w:color="auto" w:fill="auto"/>
            <w:noWrap/>
            <w:vAlign w:val="bottom"/>
            <w:hideMark/>
          </w:tcPr>
          <w:p w14:paraId="2D9A0B84"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09B89B0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1356" w:type="dxa"/>
            <w:tcBorders>
              <w:top w:val="nil"/>
              <w:left w:val="nil"/>
              <w:bottom w:val="nil"/>
              <w:right w:val="nil"/>
            </w:tcBorders>
            <w:shd w:val="clear" w:color="auto" w:fill="auto"/>
            <w:noWrap/>
            <w:vAlign w:val="bottom"/>
            <w:hideMark/>
          </w:tcPr>
          <w:p w14:paraId="0A20076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0.494***</w:t>
            </w:r>
          </w:p>
        </w:tc>
        <w:tc>
          <w:tcPr>
            <w:tcW w:w="251" w:type="dxa"/>
            <w:tcBorders>
              <w:top w:val="nil"/>
              <w:left w:val="nil"/>
              <w:bottom w:val="nil"/>
              <w:right w:val="nil"/>
            </w:tcBorders>
            <w:shd w:val="clear" w:color="auto" w:fill="auto"/>
            <w:noWrap/>
            <w:vAlign w:val="bottom"/>
            <w:hideMark/>
          </w:tcPr>
          <w:p w14:paraId="09C7D1A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51C3D7F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-0.290**</w:t>
            </w:r>
          </w:p>
        </w:tc>
        <w:tc>
          <w:tcPr>
            <w:tcW w:w="811" w:type="dxa"/>
            <w:tcBorders>
              <w:top w:val="nil"/>
              <w:left w:val="nil"/>
              <w:bottom w:val="nil"/>
              <w:right w:val="nil"/>
            </w:tcBorders>
            <w:shd w:val="clear" w:color="auto" w:fill="auto"/>
            <w:noWrap/>
            <w:vAlign w:val="bottom"/>
            <w:hideMark/>
          </w:tcPr>
          <w:p w14:paraId="61407A0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0.514***</w:t>
            </w:r>
          </w:p>
        </w:tc>
        <w:tc>
          <w:tcPr>
            <w:tcW w:w="790" w:type="dxa"/>
            <w:tcBorders>
              <w:top w:val="nil"/>
              <w:left w:val="nil"/>
              <w:bottom w:val="nil"/>
              <w:right w:val="nil"/>
            </w:tcBorders>
            <w:shd w:val="clear" w:color="auto" w:fill="auto"/>
            <w:noWrap/>
            <w:vAlign w:val="bottom"/>
            <w:hideMark/>
          </w:tcPr>
          <w:p w14:paraId="0195C52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0.089*</w:t>
            </w:r>
          </w:p>
        </w:tc>
        <w:tc>
          <w:tcPr>
            <w:tcW w:w="741" w:type="dxa"/>
            <w:tcBorders>
              <w:top w:val="nil"/>
              <w:left w:val="nil"/>
              <w:bottom w:val="nil"/>
              <w:right w:val="nil"/>
            </w:tcBorders>
            <w:shd w:val="clear" w:color="auto" w:fill="auto"/>
            <w:noWrap/>
            <w:vAlign w:val="bottom"/>
            <w:hideMark/>
          </w:tcPr>
          <w:p w14:paraId="69B8E02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0.334**</w:t>
            </w:r>
          </w:p>
        </w:tc>
      </w:tr>
      <w:tr w:rsidR="003C73FB" w:rsidRPr="00C82EE1" w14:paraId="445C054C"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7A75191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7951AB7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c>
          <w:tcPr>
            <w:tcW w:w="811" w:type="dxa"/>
            <w:tcBorders>
              <w:top w:val="nil"/>
              <w:left w:val="nil"/>
              <w:bottom w:val="nil"/>
              <w:right w:val="nil"/>
            </w:tcBorders>
            <w:shd w:val="clear" w:color="auto" w:fill="auto"/>
            <w:noWrap/>
            <w:vAlign w:val="bottom"/>
            <w:hideMark/>
          </w:tcPr>
          <w:p w14:paraId="4D2C52D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(0.125)</w:t>
            </w:r>
          </w:p>
        </w:tc>
        <w:tc>
          <w:tcPr>
            <w:tcW w:w="251" w:type="dxa"/>
            <w:tcBorders>
              <w:top w:val="nil"/>
              <w:left w:val="nil"/>
              <w:bottom w:val="nil"/>
              <w:right w:val="nil"/>
            </w:tcBorders>
            <w:shd w:val="clear" w:color="auto" w:fill="auto"/>
            <w:noWrap/>
            <w:vAlign w:val="bottom"/>
            <w:hideMark/>
          </w:tcPr>
          <w:p w14:paraId="3872F51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D32792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(0.035)</w:t>
            </w:r>
          </w:p>
        </w:tc>
        <w:tc>
          <w:tcPr>
            <w:tcW w:w="811" w:type="dxa"/>
            <w:tcBorders>
              <w:top w:val="nil"/>
              <w:left w:val="nil"/>
              <w:bottom w:val="nil"/>
              <w:right w:val="nil"/>
            </w:tcBorders>
            <w:shd w:val="clear" w:color="auto" w:fill="auto"/>
            <w:noWrap/>
            <w:vAlign w:val="bottom"/>
            <w:hideMark/>
          </w:tcPr>
          <w:p w14:paraId="045DE32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(0.120)</w:t>
            </w:r>
          </w:p>
        </w:tc>
        <w:tc>
          <w:tcPr>
            <w:tcW w:w="251" w:type="dxa"/>
            <w:tcBorders>
              <w:top w:val="nil"/>
              <w:left w:val="nil"/>
              <w:bottom w:val="nil"/>
              <w:right w:val="nil"/>
            </w:tcBorders>
            <w:shd w:val="clear" w:color="auto" w:fill="auto"/>
            <w:noWrap/>
            <w:vAlign w:val="bottom"/>
            <w:hideMark/>
          </w:tcPr>
          <w:p w14:paraId="20DFDB75"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46F2E94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6FEB1C9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(0.125)</w:t>
            </w:r>
          </w:p>
        </w:tc>
        <w:tc>
          <w:tcPr>
            <w:tcW w:w="251" w:type="dxa"/>
            <w:tcBorders>
              <w:top w:val="nil"/>
              <w:left w:val="nil"/>
              <w:bottom w:val="nil"/>
              <w:right w:val="nil"/>
            </w:tcBorders>
            <w:shd w:val="clear" w:color="auto" w:fill="auto"/>
            <w:noWrap/>
            <w:vAlign w:val="bottom"/>
            <w:hideMark/>
          </w:tcPr>
          <w:p w14:paraId="29B556C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2CCEDC7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(0.120)</w:t>
            </w:r>
          </w:p>
        </w:tc>
        <w:tc>
          <w:tcPr>
            <w:tcW w:w="811" w:type="dxa"/>
            <w:tcBorders>
              <w:top w:val="nil"/>
              <w:left w:val="nil"/>
              <w:bottom w:val="nil"/>
              <w:right w:val="nil"/>
            </w:tcBorders>
            <w:shd w:val="clear" w:color="auto" w:fill="auto"/>
            <w:noWrap/>
            <w:vAlign w:val="bottom"/>
            <w:hideMark/>
          </w:tcPr>
          <w:p w14:paraId="16EDC39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(0.123)</w:t>
            </w:r>
          </w:p>
        </w:tc>
        <w:tc>
          <w:tcPr>
            <w:tcW w:w="790" w:type="dxa"/>
            <w:tcBorders>
              <w:top w:val="nil"/>
              <w:left w:val="nil"/>
              <w:bottom w:val="nil"/>
              <w:right w:val="nil"/>
            </w:tcBorders>
            <w:shd w:val="clear" w:color="auto" w:fill="auto"/>
            <w:noWrap/>
            <w:vAlign w:val="bottom"/>
            <w:hideMark/>
          </w:tcPr>
          <w:p w14:paraId="3A74337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(0.046)</w:t>
            </w:r>
          </w:p>
        </w:tc>
        <w:tc>
          <w:tcPr>
            <w:tcW w:w="741" w:type="dxa"/>
            <w:tcBorders>
              <w:top w:val="nil"/>
              <w:left w:val="nil"/>
              <w:bottom w:val="nil"/>
              <w:right w:val="nil"/>
            </w:tcBorders>
            <w:shd w:val="clear" w:color="auto" w:fill="auto"/>
            <w:noWrap/>
            <w:vAlign w:val="bottom"/>
            <w:hideMark/>
          </w:tcPr>
          <w:p w14:paraId="16E7595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(0.158)</w:t>
            </w:r>
          </w:p>
        </w:tc>
      </w:tr>
      <w:tr w:rsidR="003C73FB" w:rsidRPr="00C82EE1" w14:paraId="7298CE4D"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19441D83"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roofErr w:type="spellStart"/>
            <w:r w:rsidRPr="00C82EE1">
              <w:rPr>
                <w:rFonts w:ascii="Times New Roman" w:eastAsia="Times New Roman" w:hAnsi="Times New Roman" w:cs="Times New Roman"/>
                <w:i/>
                <w:iCs/>
                <w:color w:val="000000"/>
                <w:sz w:val="14"/>
                <w:szCs w:val="14"/>
              </w:rPr>
              <w:t>Hardcap</w:t>
            </w:r>
            <w:proofErr w:type="spellEnd"/>
          </w:p>
        </w:tc>
        <w:tc>
          <w:tcPr>
            <w:tcW w:w="932" w:type="dxa"/>
            <w:tcBorders>
              <w:top w:val="nil"/>
              <w:left w:val="nil"/>
              <w:bottom w:val="nil"/>
              <w:right w:val="nil"/>
            </w:tcBorders>
            <w:shd w:val="clear" w:color="auto" w:fill="auto"/>
            <w:noWrap/>
            <w:vAlign w:val="bottom"/>
            <w:hideMark/>
          </w:tcPr>
          <w:p w14:paraId="652CE97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-0.035</w:t>
            </w:r>
          </w:p>
        </w:tc>
        <w:tc>
          <w:tcPr>
            <w:tcW w:w="811" w:type="dxa"/>
            <w:tcBorders>
              <w:top w:val="nil"/>
              <w:left w:val="nil"/>
              <w:bottom w:val="nil"/>
              <w:right w:val="nil"/>
            </w:tcBorders>
            <w:shd w:val="clear" w:color="auto" w:fill="auto"/>
            <w:noWrap/>
            <w:vAlign w:val="bottom"/>
            <w:hideMark/>
          </w:tcPr>
          <w:p w14:paraId="0704F03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0.190</w:t>
            </w:r>
          </w:p>
        </w:tc>
        <w:tc>
          <w:tcPr>
            <w:tcW w:w="251" w:type="dxa"/>
            <w:tcBorders>
              <w:top w:val="nil"/>
              <w:left w:val="nil"/>
              <w:bottom w:val="nil"/>
              <w:right w:val="nil"/>
            </w:tcBorders>
            <w:shd w:val="clear" w:color="auto" w:fill="auto"/>
            <w:noWrap/>
            <w:vAlign w:val="bottom"/>
            <w:hideMark/>
          </w:tcPr>
          <w:p w14:paraId="637F549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6DD78C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0.243***</w:t>
            </w:r>
          </w:p>
        </w:tc>
        <w:tc>
          <w:tcPr>
            <w:tcW w:w="811" w:type="dxa"/>
            <w:tcBorders>
              <w:top w:val="nil"/>
              <w:left w:val="nil"/>
              <w:bottom w:val="nil"/>
              <w:right w:val="nil"/>
            </w:tcBorders>
            <w:shd w:val="clear" w:color="auto" w:fill="auto"/>
            <w:noWrap/>
            <w:vAlign w:val="bottom"/>
            <w:hideMark/>
          </w:tcPr>
          <w:p w14:paraId="196E51A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0.030</w:t>
            </w:r>
          </w:p>
        </w:tc>
        <w:tc>
          <w:tcPr>
            <w:tcW w:w="251" w:type="dxa"/>
            <w:tcBorders>
              <w:top w:val="nil"/>
              <w:left w:val="nil"/>
              <w:bottom w:val="nil"/>
              <w:right w:val="nil"/>
            </w:tcBorders>
            <w:shd w:val="clear" w:color="auto" w:fill="auto"/>
            <w:noWrap/>
            <w:vAlign w:val="bottom"/>
            <w:hideMark/>
          </w:tcPr>
          <w:p w14:paraId="383FC086"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00C99F6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51F4501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0.221</w:t>
            </w:r>
          </w:p>
        </w:tc>
        <w:tc>
          <w:tcPr>
            <w:tcW w:w="251" w:type="dxa"/>
            <w:tcBorders>
              <w:top w:val="nil"/>
              <w:left w:val="nil"/>
              <w:bottom w:val="nil"/>
              <w:right w:val="nil"/>
            </w:tcBorders>
            <w:shd w:val="clear" w:color="auto" w:fill="auto"/>
            <w:noWrap/>
            <w:vAlign w:val="bottom"/>
            <w:hideMark/>
          </w:tcPr>
          <w:p w14:paraId="24B2366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63DD4EB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-0.156</w:t>
            </w:r>
          </w:p>
        </w:tc>
        <w:tc>
          <w:tcPr>
            <w:tcW w:w="811" w:type="dxa"/>
            <w:tcBorders>
              <w:top w:val="nil"/>
              <w:left w:val="nil"/>
              <w:bottom w:val="nil"/>
              <w:right w:val="nil"/>
            </w:tcBorders>
            <w:shd w:val="clear" w:color="auto" w:fill="auto"/>
            <w:noWrap/>
            <w:vAlign w:val="bottom"/>
            <w:hideMark/>
          </w:tcPr>
          <w:p w14:paraId="3C2127F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0.204</w:t>
            </w:r>
          </w:p>
        </w:tc>
        <w:tc>
          <w:tcPr>
            <w:tcW w:w="790" w:type="dxa"/>
            <w:tcBorders>
              <w:top w:val="nil"/>
              <w:left w:val="nil"/>
              <w:bottom w:val="nil"/>
              <w:right w:val="nil"/>
            </w:tcBorders>
            <w:shd w:val="clear" w:color="auto" w:fill="auto"/>
            <w:noWrap/>
            <w:vAlign w:val="bottom"/>
            <w:hideMark/>
          </w:tcPr>
          <w:p w14:paraId="5F06B04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0.078</w:t>
            </w:r>
          </w:p>
        </w:tc>
        <w:tc>
          <w:tcPr>
            <w:tcW w:w="741" w:type="dxa"/>
            <w:tcBorders>
              <w:top w:val="nil"/>
              <w:left w:val="nil"/>
              <w:bottom w:val="nil"/>
              <w:right w:val="nil"/>
            </w:tcBorders>
            <w:shd w:val="clear" w:color="auto" w:fill="auto"/>
            <w:noWrap/>
            <w:vAlign w:val="bottom"/>
            <w:hideMark/>
          </w:tcPr>
          <w:p w14:paraId="1EA6730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0.230</w:t>
            </w:r>
          </w:p>
        </w:tc>
      </w:tr>
      <w:tr w:rsidR="003C73FB" w:rsidRPr="00C82EE1" w14:paraId="6A21F072"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6B2F679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14A6035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(0.035)</w:t>
            </w:r>
          </w:p>
        </w:tc>
        <w:tc>
          <w:tcPr>
            <w:tcW w:w="811" w:type="dxa"/>
            <w:tcBorders>
              <w:top w:val="nil"/>
              <w:left w:val="nil"/>
              <w:bottom w:val="nil"/>
              <w:right w:val="nil"/>
            </w:tcBorders>
            <w:shd w:val="clear" w:color="auto" w:fill="auto"/>
            <w:noWrap/>
            <w:vAlign w:val="bottom"/>
            <w:hideMark/>
          </w:tcPr>
          <w:p w14:paraId="3FDBFC3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(0.202)</w:t>
            </w:r>
          </w:p>
        </w:tc>
        <w:tc>
          <w:tcPr>
            <w:tcW w:w="251" w:type="dxa"/>
            <w:tcBorders>
              <w:top w:val="nil"/>
              <w:left w:val="nil"/>
              <w:bottom w:val="nil"/>
              <w:right w:val="nil"/>
            </w:tcBorders>
            <w:shd w:val="clear" w:color="auto" w:fill="auto"/>
            <w:noWrap/>
            <w:vAlign w:val="bottom"/>
            <w:hideMark/>
          </w:tcPr>
          <w:p w14:paraId="7566FC3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0AE6424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(0.067)</w:t>
            </w:r>
          </w:p>
        </w:tc>
        <w:tc>
          <w:tcPr>
            <w:tcW w:w="811" w:type="dxa"/>
            <w:tcBorders>
              <w:top w:val="nil"/>
              <w:left w:val="nil"/>
              <w:bottom w:val="nil"/>
              <w:right w:val="nil"/>
            </w:tcBorders>
            <w:shd w:val="clear" w:color="auto" w:fill="auto"/>
            <w:noWrap/>
            <w:vAlign w:val="bottom"/>
            <w:hideMark/>
          </w:tcPr>
          <w:p w14:paraId="3E88E96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(0.222)</w:t>
            </w:r>
          </w:p>
        </w:tc>
        <w:tc>
          <w:tcPr>
            <w:tcW w:w="251" w:type="dxa"/>
            <w:tcBorders>
              <w:top w:val="nil"/>
              <w:left w:val="nil"/>
              <w:bottom w:val="nil"/>
              <w:right w:val="nil"/>
            </w:tcBorders>
            <w:shd w:val="clear" w:color="auto" w:fill="auto"/>
            <w:noWrap/>
            <w:vAlign w:val="bottom"/>
            <w:hideMark/>
          </w:tcPr>
          <w:p w14:paraId="256F88FC"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42E7009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330E80E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(0.197)</w:t>
            </w:r>
          </w:p>
        </w:tc>
        <w:tc>
          <w:tcPr>
            <w:tcW w:w="251" w:type="dxa"/>
            <w:tcBorders>
              <w:top w:val="nil"/>
              <w:left w:val="nil"/>
              <w:bottom w:val="nil"/>
              <w:right w:val="nil"/>
            </w:tcBorders>
            <w:shd w:val="clear" w:color="auto" w:fill="auto"/>
            <w:noWrap/>
            <w:vAlign w:val="bottom"/>
            <w:hideMark/>
          </w:tcPr>
          <w:p w14:paraId="4E74659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626AA18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(0.161)</w:t>
            </w:r>
          </w:p>
        </w:tc>
        <w:tc>
          <w:tcPr>
            <w:tcW w:w="811" w:type="dxa"/>
            <w:tcBorders>
              <w:top w:val="nil"/>
              <w:left w:val="nil"/>
              <w:bottom w:val="nil"/>
              <w:right w:val="nil"/>
            </w:tcBorders>
            <w:shd w:val="clear" w:color="auto" w:fill="auto"/>
            <w:noWrap/>
            <w:vAlign w:val="bottom"/>
            <w:hideMark/>
          </w:tcPr>
          <w:p w14:paraId="2FC4B1E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(0.204)</w:t>
            </w:r>
          </w:p>
        </w:tc>
        <w:tc>
          <w:tcPr>
            <w:tcW w:w="790" w:type="dxa"/>
            <w:tcBorders>
              <w:top w:val="nil"/>
              <w:left w:val="nil"/>
              <w:bottom w:val="nil"/>
              <w:right w:val="nil"/>
            </w:tcBorders>
            <w:shd w:val="clear" w:color="auto" w:fill="auto"/>
            <w:noWrap/>
            <w:vAlign w:val="bottom"/>
            <w:hideMark/>
          </w:tcPr>
          <w:p w14:paraId="27E9EBA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(0.131)</w:t>
            </w:r>
          </w:p>
        </w:tc>
        <w:tc>
          <w:tcPr>
            <w:tcW w:w="741" w:type="dxa"/>
            <w:tcBorders>
              <w:top w:val="nil"/>
              <w:left w:val="nil"/>
              <w:bottom w:val="nil"/>
              <w:right w:val="nil"/>
            </w:tcBorders>
            <w:shd w:val="clear" w:color="auto" w:fill="auto"/>
            <w:noWrap/>
            <w:vAlign w:val="bottom"/>
            <w:hideMark/>
          </w:tcPr>
          <w:p w14:paraId="5401F50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(0.314)</w:t>
            </w:r>
          </w:p>
        </w:tc>
      </w:tr>
      <w:tr w:rsidR="003C73FB" w:rsidRPr="00C82EE1" w14:paraId="5BC42CF0"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3123CA0"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roofErr w:type="spellStart"/>
            <w:r w:rsidRPr="00C82EE1">
              <w:rPr>
                <w:rFonts w:ascii="Times New Roman" w:eastAsia="Times New Roman" w:hAnsi="Times New Roman" w:cs="Times New Roman"/>
                <w:i/>
                <w:iCs/>
                <w:color w:val="000000"/>
                <w:sz w:val="14"/>
                <w:szCs w:val="14"/>
              </w:rPr>
              <w:t>Softcap</w:t>
            </w:r>
            <w:proofErr w:type="spellEnd"/>
          </w:p>
        </w:tc>
        <w:tc>
          <w:tcPr>
            <w:tcW w:w="932" w:type="dxa"/>
            <w:tcBorders>
              <w:top w:val="nil"/>
              <w:left w:val="nil"/>
              <w:bottom w:val="nil"/>
              <w:right w:val="nil"/>
            </w:tcBorders>
            <w:shd w:val="clear" w:color="auto" w:fill="auto"/>
            <w:noWrap/>
            <w:vAlign w:val="bottom"/>
            <w:hideMark/>
          </w:tcPr>
          <w:p w14:paraId="5DAC9F9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0.030**</w:t>
            </w:r>
          </w:p>
        </w:tc>
        <w:tc>
          <w:tcPr>
            <w:tcW w:w="811" w:type="dxa"/>
            <w:tcBorders>
              <w:top w:val="nil"/>
              <w:left w:val="nil"/>
              <w:bottom w:val="nil"/>
              <w:right w:val="nil"/>
            </w:tcBorders>
            <w:shd w:val="clear" w:color="auto" w:fill="auto"/>
            <w:noWrap/>
            <w:vAlign w:val="bottom"/>
            <w:hideMark/>
          </w:tcPr>
          <w:p w14:paraId="4273390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0.066</w:t>
            </w:r>
          </w:p>
        </w:tc>
        <w:tc>
          <w:tcPr>
            <w:tcW w:w="251" w:type="dxa"/>
            <w:tcBorders>
              <w:top w:val="nil"/>
              <w:left w:val="nil"/>
              <w:bottom w:val="nil"/>
              <w:right w:val="nil"/>
            </w:tcBorders>
            <w:shd w:val="clear" w:color="auto" w:fill="auto"/>
            <w:noWrap/>
            <w:vAlign w:val="bottom"/>
            <w:hideMark/>
          </w:tcPr>
          <w:p w14:paraId="59606F5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639CC26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0.030</w:t>
            </w:r>
          </w:p>
        </w:tc>
        <w:tc>
          <w:tcPr>
            <w:tcW w:w="811" w:type="dxa"/>
            <w:tcBorders>
              <w:top w:val="nil"/>
              <w:left w:val="nil"/>
              <w:bottom w:val="nil"/>
              <w:right w:val="nil"/>
            </w:tcBorders>
            <w:shd w:val="clear" w:color="auto" w:fill="auto"/>
            <w:noWrap/>
            <w:vAlign w:val="bottom"/>
            <w:hideMark/>
          </w:tcPr>
          <w:p w14:paraId="0FDB138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0.076</w:t>
            </w:r>
          </w:p>
        </w:tc>
        <w:tc>
          <w:tcPr>
            <w:tcW w:w="251" w:type="dxa"/>
            <w:tcBorders>
              <w:top w:val="nil"/>
              <w:left w:val="nil"/>
              <w:bottom w:val="nil"/>
              <w:right w:val="nil"/>
            </w:tcBorders>
            <w:shd w:val="clear" w:color="auto" w:fill="auto"/>
            <w:noWrap/>
            <w:vAlign w:val="bottom"/>
            <w:hideMark/>
          </w:tcPr>
          <w:p w14:paraId="62882223"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1B92969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61A8250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0.173</w:t>
            </w:r>
          </w:p>
        </w:tc>
        <w:tc>
          <w:tcPr>
            <w:tcW w:w="251" w:type="dxa"/>
            <w:tcBorders>
              <w:top w:val="nil"/>
              <w:left w:val="nil"/>
              <w:bottom w:val="nil"/>
              <w:right w:val="nil"/>
            </w:tcBorders>
            <w:shd w:val="clear" w:color="auto" w:fill="auto"/>
            <w:noWrap/>
            <w:vAlign w:val="bottom"/>
            <w:hideMark/>
          </w:tcPr>
          <w:p w14:paraId="0AA249C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0EF519E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0.268*</w:t>
            </w:r>
          </w:p>
        </w:tc>
        <w:tc>
          <w:tcPr>
            <w:tcW w:w="811" w:type="dxa"/>
            <w:tcBorders>
              <w:top w:val="nil"/>
              <w:left w:val="nil"/>
              <w:bottom w:val="nil"/>
              <w:right w:val="nil"/>
            </w:tcBorders>
            <w:shd w:val="clear" w:color="auto" w:fill="auto"/>
            <w:noWrap/>
            <w:vAlign w:val="bottom"/>
            <w:hideMark/>
          </w:tcPr>
          <w:p w14:paraId="6BEF9F1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0.046</w:t>
            </w:r>
          </w:p>
        </w:tc>
        <w:tc>
          <w:tcPr>
            <w:tcW w:w="790" w:type="dxa"/>
            <w:tcBorders>
              <w:top w:val="nil"/>
              <w:left w:val="nil"/>
              <w:bottom w:val="nil"/>
              <w:right w:val="nil"/>
            </w:tcBorders>
            <w:shd w:val="clear" w:color="auto" w:fill="auto"/>
            <w:noWrap/>
            <w:vAlign w:val="bottom"/>
            <w:hideMark/>
          </w:tcPr>
          <w:p w14:paraId="62B8007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0.028</w:t>
            </w:r>
          </w:p>
        </w:tc>
        <w:tc>
          <w:tcPr>
            <w:tcW w:w="741" w:type="dxa"/>
            <w:tcBorders>
              <w:top w:val="nil"/>
              <w:left w:val="nil"/>
              <w:bottom w:val="nil"/>
              <w:right w:val="nil"/>
            </w:tcBorders>
            <w:shd w:val="clear" w:color="auto" w:fill="auto"/>
            <w:noWrap/>
            <w:vAlign w:val="bottom"/>
            <w:hideMark/>
          </w:tcPr>
          <w:p w14:paraId="47F6A27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0.290</w:t>
            </w:r>
          </w:p>
        </w:tc>
      </w:tr>
      <w:tr w:rsidR="003C73FB" w:rsidRPr="00C82EE1" w14:paraId="7DE0BFA8"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0FFCCE6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708614E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(0.014)</w:t>
            </w:r>
          </w:p>
        </w:tc>
        <w:tc>
          <w:tcPr>
            <w:tcW w:w="811" w:type="dxa"/>
            <w:tcBorders>
              <w:top w:val="nil"/>
              <w:left w:val="nil"/>
              <w:bottom w:val="nil"/>
              <w:right w:val="nil"/>
            </w:tcBorders>
            <w:shd w:val="clear" w:color="auto" w:fill="auto"/>
            <w:noWrap/>
            <w:vAlign w:val="bottom"/>
            <w:hideMark/>
          </w:tcPr>
          <w:p w14:paraId="62DC246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(0.180)</w:t>
            </w:r>
          </w:p>
        </w:tc>
        <w:tc>
          <w:tcPr>
            <w:tcW w:w="251" w:type="dxa"/>
            <w:tcBorders>
              <w:top w:val="nil"/>
              <w:left w:val="nil"/>
              <w:bottom w:val="nil"/>
              <w:right w:val="nil"/>
            </w:tcBorders>
            <w:shd w:val="clear" w:color="auto" w:fill="auto"/>
            <w:noWrap/>
            <w:vAlign w:val="bottom"/>
            <w:hideMark/>
          </w:tcPr>
          <w:p w14:paraId="326D587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7E786E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(0.040)</w:t>
            </w:r>
          </w:p>
        </w:tc>
        <w:tc>
          <w:tcPr>
            <w:tcW w:w="811" w:type="dxa"/>
            <w:tcBorders>
              <w:top w:val="nil"/>
              <w:left w:val="nil"/>
              <w:bottom w:val="nil"/>
              <w:right w:val="nil"/>
            </w:tcBorders>
            <w:shd w:val="clear" w:color="auto" w:fill="auto"/>
            <w:noWrap/>
            <w:vAlign w:val="bottom"/>
            <w:hideMark/>
          </w:tcPr>
          <w:p w14:paraId="783006B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(0.170)</w:t>
            </w:r>
          </w:p>
        </w:tc>
        <w:tc>
          <w:tcPr>
            <w:tcW w:w="251" w:type="dxa"/>
            <w:tcBorders>
              <w:top w:val="nil"/>
              <w:left w:val="nil"/>
              <w:bottom w:val="nil"/>
              <w:right w:val="nil"/>
            </w:tcBorders>
            <w:shd w:val="clear" w:color="auto" w:fill="auto"/>
            <w:noWrap/>
            <w:vAlign w:val="bottom"/>
            <w:hideMark/>
          </w:tcPr>
          <w:p w14:paraId="657D90E9"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1D2D27F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1356" w:type="dxa"/>
            <w:tcBorders>
              <w:top w:val="nil"/>
              <w:left w:val="nil"/>
              <w:bottom w:val="nil"/>
              <w:right w:val="nil"/>
            </w:tcBorders>
            <w:shd w:val="clear" w:color="auto" w:fill="auto"/>
            <w:noWrap/>
            <w:vAlign w:val="bottom"/>
            <w:hideMark/>
          </w:tcPr>
          <w:p w14:paraId="6863091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(0.160)</w:t>
            </w:r>
          </w:p>
        </w:tc>
        <w:tc>
          <w:tcPr>
            <w:tcW w:w="251" w:type="dxa"/>
            <w:tcBorders>
              <w:top w:val="nil"/>
              <w:left w:val="nil"/>
              <w:bottom w:val="nil"/>
              <w:right w:val="nil"/>
            </w:tcBorders>
            <w:shd w:val="clear" w:color="auto" w:fill="auto"/>
            <w:noWrap/>
            <w:vAlign w:val="bottom"/>
            <w:hideMark/>
          </w:tcPr>
          <w:p w14:paraId="3A60B9C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2BC4F6B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(0.139)</w:t>
            </w:r>
          </w:p>
        </w:tc>
        <w:tc>
          <w:tcPr>
            <w:tcW w:w="811" w:type="dxa"/>
            <w:tcBorders>
              <w:top w:val="nil"/>
              <w:left w:val="nil"/>
              <w:bottom w:val="nil"/>
              <w:right w:val="nil"/>
            </w:tcBorders>
            <w:shd w:val="clear" w:color="auto" w:fill="auto"/>
            <w:noWrap/>
            <w:vAlign w:val="bottom"/>
            <w:hideMark/>
          </w:tcPr>
          <w:p w14:paraId="3E3AA7D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(0.168)</w:t>
            </w:r>
          </w:p>
        </w:tc>
        <w:tc>
          <w:tcPr>
            <w:tcW w:w="790" w:type="dxa"/>
            <w:tcBorders>
              <w:top w:val="nil"/>
              <w:left w:val="nil"/>
              <w:bottom w:val="nil"/>
              <w:right w:val="nil"/>
            </w:tcBorders>
            <w:shd w:val="clear" w:color="auto" w:fill="auto"/>
            <w:noWrap/>
            <w:vAlign w:val="bottom"/>
            <w:hideMark/>
          </w:tcPr>
          <w:p w14:paraId="6B46EF7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(0.090)</w:t>
            </w:r>
          </w:p>
        </w:tc>
        <w:tc>
          <w:tcPr>
            <w:tcW w:w="741" w:type="dxa"/>
            <w:tcBorders>
              <w:top w:val="nil"/>
              <w:left w:val="nil"/>
              <w:bottom w:val="nil"/>
              <w:right w:val="nil"/>
            </w:tcBorders>
            <w:shd w:val="clear" w:color="auto" w:fill="auto"/>
            <w:noWrap/>
            <w:vAlign w:val="bottom"/>
            <w:hideMark/>
          </w:tcPr>
          <w:p w14:paraId="1B5DF08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(0.300)</w:t>
            </w:r>
          </w:p>
        </w:tc>
      </w:tr>
      <w:tr w:rsidR="003C73FB" w:rsidRPr="00C82EE1" w14:paraId="36A74B04"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22589B7"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Bonus</w:t>
            </w:r>
          </w:p>
        </w:tc>
        <w:tc>
          <w:tcPr>
            <w:tcW w:w="932" w:type="dxa"/>
            <w:tcBorders>
              <w:top w:val="nil"/>
              <w:left w:val="nil"/>
              <w:bottom w:val="nil"/>
              <w:right w:val="nil"/>
            </w:tcBorders>
            <w:shd w:val="clear" w:color="auto" w:fill="auto"/>
            <w:noWrap/>
            <w:vAlign w:val="bottom"/>
            <w:hideMark/>
          </w:tcPr>
          <w:p w14:paraId="65210AB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-0.041***</w:t>
            </w:r>
          </w:p>
        </w:tc>
        <w:tc>
          <w:tcPr>
            <w:tcW w:w="811" w:type="dxa"/>
            <w:tcBorders>
              <w:top w:val="nil"/>
              <w:left w:val="nil"/>
              <w:bottom w:val="nil"/>
              <w:right w:val="nil"/>
            </w:tcBorders>
            <w:shd w:val="clear" w:color="auto" w:fill="auto"/>
            <w:noWrap/>
            <w:vAlign w:val="bottom"/>
            <w:hideMark/>
          </w:tcPr>
          <w:p w14:paraId="3FA51B7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0.019</w:t>
            </w:r>
          </w:p>
        </w:tc>
        <w:tc>
          <w:tcPr>
            <w:tcW w:w="251" w:type="dxa"/>
            <w:tcBorders>
              <w:top w:val="nil"/>
              <w:left w:val="nil"/>
              <w:bottom w:val="nil"/>
              <w:right w:val="nil"/>
            </w:tcBorders>
            <w:shd w:val="clear" w:color="auto" w:fill="auto"/>
            <w:noWrap/>
            <w:vAlign w:val="bottom"/>
            <w:hideMark/>
          </w:tcPr>
          <w:p w14:paraId="3C1CAB2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32DE029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0.034</w:t>
            </w:r>
          </w:p>
        </w:tc>
        <w:tc>
          <w:tcPr>
            <w:tcW w:w="811" w:type="dxa"/>
            <w:tcBorders>
              <w:top w:val="nil"/>
              <w:left w:val="nil"/>
              <w:bottom w:val="nil"/>
              <w:right w:val="nil"/>
            </w:tcBorders>
            <w:shd w:val="clear" w:color="auto" w:fill="auto"/>
            <w:noWrap/>
            <w:vAlign w:val="bottom"/>
            <w:hideMark/>
          </w:tcPr>
          <w:p w14:paraId="0A15CFB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-0.034</w:t>
            </w:r>
          </w:p>
        </w:tc>
        <w:tc>
          <w:tcPr>
            <w:tcW w:w="251" w:type="dxa"/>
            <w:tcBorders>
              <w:top w:val="nil"/>
              <w:left w:val="nil"/>
              <w:bottom w:val="nil"/>
              <w:right w:val="nil"/>
            </w:tcBorders>
            <w:shd w:val="clear" w:color="auto" w:fill="auto"/>
            <w:noWrap/>
            <w:vAlign w:val="bottom"/>
            <w:hideMark/>
          </w:tcPr>
          <w:p w14:paraId="01CD90AC"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4633C20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0.005***</w:t>
            </w:r>
          </w:p>
        </w:tc>
        <w:tc>
          <w:tcPr>
            <w:tcW w:w="1356" w:type="dxa"/>
            <w:tcBorders>
              <w:top w:val="nil"/>
              <w:left w:val="nil"/>
              <w:bottom w:val="nil"/>
              <w:right w:val="nil"/>
            </w:tcBorders>
            <w:shd w:val="clear" w:color="auto" w:fill="auto"/>
            <w:noWrap/>
            <w:vAlign w:val="bottom"/>
            <w:hideMark/>
          </w:tcPr>
          <w:p w14:paraId="4AA701C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0.001</w:t>
            </w:r>
          </w:p>
        </w:tc>
        <w:tc>
          <w:tcPr>
            <w:tcW w:w="251" w:type="dxa"/>
            <w:tcBorders>
              <w:top w:val="nil"/>
              <w:left w:val="nil"/>
              <w:bottom w:val="nil"/>
              <w:right w:val="nil"/>
            </w:tcBorders>
            <w:shd w:val="clear" w:color="auto" w:fill="auto"/>
            <w:noWrap/>
            <w:vAlign w:val="bottom"/>
            <w:hideMark/>
          </w:tcPr>
          <w:p w14:paraId="03FAFB9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4E93A03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-0.823***</w:t>
            </w:r>
          </w:p>
        </w:tc>
        <w:tc>
          <w:tcPr>
            <w:tcW w:w="811" w:type="dxa"/>
            <w:tcBorders>
              <w:top w:val="nil"/>
              <w:left w:val="nil"/>
              <w:bottom w:val="nil"/>
              <w:right w:val="nil"/>
            </w:tcBorders>
            <w:shd w:val="clear" w:color="auto" w:fill="auto"/>
            <w:noWrap/>
            <w:vAlign w:val="bottom"/>
            <w:hideMark/>
          </w:tcPr>
          <w:p w14:paraId="1075F9D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0.136</w:t>
            </w:r>
          </w:p>
        </w:tc>
        <w:tc>
          <w:tcPr>
            <w:tcW w:w="790" w:type="dxa"/>
            <w:tcBorders>
              <w:top w:val="nil"/>
              <w:left w:val="nil"/>
              <w:bottom w:val="nil"/>
              <w:right w:val="nil"/>
            </w:tcBorders>
            <w:shd w:val="clear" w:color="auto" w:fill="auto"/>
            <w:noWrap/>
            <w:vAlign w:val="bottom"/>
            <w:hideMark/>
          </w:tcPr>
          <w:p w14:paraId="18FF0FE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0.003</w:t>
            </w:r>
          </w:p>
        </w:tc>
        <w:tc>
          <w:tcPr>
            <w:tcW w:w="741" w:type="dxa"/>
            <w:tcBorders>
              <w:top w:val="nil"/>
              <w:left w:val="nil"/>
              <w:bottom w:val="nil"/>
              <w:right w:val="nil"/>
            </w:tcBorders>
            <w:shd w:val="clear" w:color="auto" w:fill="auto"/>
            <w:noWrap/>
            <w:vAlign w:val="bottom"/>
            <w:hideMark/>
          </w:tcPr>
          <w:p w14:paraId="0C12572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-0.231</w:t>
            </w:r>
          </w:p>
        </w:tc>
      </w:tr>
      <w:tr w:rsidR="003C73FB" w:rsidRPr="00C82EE1" w14:paraId="4326040C"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4AF5A0F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4C2DB6C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c>
          <w:tcPr>
            <w:tcW w:w="811" w:type="dxa"/>
            <w:tcBorders>
              <w:top w:val="nil"/>
              <w:left w:val="nil"/>
              <w:bottom w:val="nil"/>
              <w:right w:val="nil"/>
            </w:tcBorders>
            <w:shd w:val="clear" w:color="auto" w:fill="auto"/>
            <w:noWrap/>
            <w:vAlign w:val="bottom"/>
            <w:hideMark/>
          </w:tcPr>
          <w:p w14:paraId="10CA5C0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(0.120)</w:t>
            </w:r>
          </w:p>
        </w:tc>
        <w:tc>
          <w:tcPr>
            <w:tcW w:w="251" w:type="dxa"/>
            <w:tcBorders>
              <w:top w:val="nil"/>
              <w:left w:val="nil"/>
              <w:bottom w:val="nil"/>
              <w:right w:val="nil"/>
            </w:tcBorders>
            <w:shd w:val="clear" w:color="auto" w:fill="auto"/>
            <w:noWrap/>
            <w:vAlign w:val="bottom"/>
            <w:hideMark/>
          </w:tcPr>
          <w:p w14:paraId="3E38F03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964B4B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(0.025)</w:t>
            </w:r>
          </w:p>
        </w:tc>
        <w:tc>
          <w:tcPr>
            <w:tcW w:w="811" w:type="dxa"/>
            <w:tcBorders>
              <w:top w:val="nil"/>
              <w:left w:val="nil"/>
              <w:bottom w:val="nil"/>
              <w:right w:val="nil"/>
            </w:tcBorders>
            <w:shd w:val="clear" w:color="auto" w:fill="auto"/>
            <w:noWrap/>
            <w:vAlign w:val="bottom"/>
            <w:hideMark/>
          </w:tcPr>
          <w:p w14:paraId="1774B90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(0.115)</w:t>
            </w:r>
          </w:p>
        </w:tc>
        <w:tc>
          <w:tcPr>
            <w:tcW w:w="251" w:type="dxa"/>
            <w:tcBorders>
              <w:top w:val="nil"/>
              <w:left w:val="nil"/>
              <w:bottom w:val="nil"/>
              <w:right w:val="nil"/>
            </w:tcBorders>
            <w:shd w:val="clear" w:color="auto" w:fill="auto"/>
            <w:noWrap/>
            <w:vAlign w:val="bottom"/>
            <w:hideMark/>
          </w:tcPr>
          <w:p w14:paraId="73EBFDE3"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3F77E95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1356" w:type="dxa"/>
            <w:tcBorders>
              <w:top w:val="nil"/>
              <w:left w:val="nil"/>
              <w:bottom w:val="nil"/>
              <w:right w:val="nil"/>
            </w:tcBorders>
            <w:shd w:val="clear" w:color="auto" w:fill="auto"/>
            <w:noWrap/>
            <w:vAlign w:val="bottom"/>
            <w:hideMark/>
          </w:tcPr>
          <w:p w14:paraId="763ED25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(0.099)</w:t>
            </w:r>
          </w:p>
        </w:tc>
        <w:tc>
          <w:tcPr>
            <w:tcW w:w="251" w:type="dxa"/>
            <w:tcBorders>
              <w:top w:val="nil"/>
              <w:left w:val="nil"/>
              <w:bottom w:val="nil"/>
              <w:right w:val="nil"/>
            </w:tcBorders>
            <w:shd w:val="clear" w:color="auto" w:fill="auto"/>
            <w:noWrap/>
            <w:vAlign w:val="bottom"/>
            <w:hideMark/>
          </w:tcPr>
          <w:p w14:paraId="6319495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5C1FB61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(0.084)</w:t>
            </w:r>
          </w:p>
        </w:tc>
        <w:tc>
          <w:tcPr>
            <w:tcW w:w="811" w:type="dxa"/>
            <w:tcBorders>
              <w:top w:val="nil"/>
              <w:left w:val="nil"/>
              <w:bottom w:val="nil"/>
              <w:right w:val="nil"/>
            </w:tcBorders>
            <w:shd w:val="clear" w:color="auto" w:fill="auto"/>
            <w:noWrap/>
            <w:vAlign w:val="bottom"/>
            <w:hideMark/>
          </w:tcPr>
          <w:p w14:paraId="4798A91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(0.102)</w:t>
            </w:r>
          </w:p>
        </w:tc>
        <w:tc>
          <w:tcPr>
            <w:tcW w:w="790" w:type="dxa"/>
            <w:tcBorders>
              <w:top w:val="nil"/>
              <w:left w:val="nil"/>
              <w:bottom w:val="nil"/>
              <w:right w:val="nil"/>
            </w:tcBorders>
            <w:shd w:val="clear" w:color="auto" w:fill="auto"/>
            <w:noWrap/>
            <w:vAlign w:val="bottom"/>
            <w:hideMark/>
          </w:tcPr>
          <w:p w14:paraId="469C3F1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(0.024)</w:t>
            </w:r>
          </w:p>
        </w:tc>
        <w:tc>
          <w:tcPr>
            <w:tcW w:w="741" w:type="dxa"/>
            <w:tcBorders>
              <w:top w:val="nil"/>
              <w:left w:val="nil"/>
              <w:bottom w:val="nil"/>
              <w:right w:val="nil"/>
            </w:tcBorders>
            <w:shd w:val="clear" w:color="auto" w:fill="auto"/>
            <w:noWrap/>
            <w:vAlign w:val="bottom"/>
            <w:hideMark/>
          </w:tcPr>
          <w:p w14:paraId="732DE7E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(0.180)</w:t>
            </w:r>
          </w:p>
        </w:tc>
      </w:tr>
      <w:tr w:rsidR="003C73FB" w:rsidRPr="00C82EE1" w14:paraId="0F2AD18D"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247621B1"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roofErr w:type="spellStart"/>
            <w:r w:rsidRPr="00C82EE1">
              <w:rPr>
                <w:rFonts w:ascii="Times New Roman" w:eastAsia="Times New Roman" w:hAnsi="Times New Roman" w:cs="Times New Roman"/>
                <w:i/>
                <w:iCs/>
                <w:color w:val="000000"/>
                <w:sz w:val="14"/>
                <w:szCs w:val="14"/>
              </w:rPr>
              <w:t>TopicDiversity</w:t>
            </w:r>
            <w:proofErr w:type="spellEnd"/>
          </w:p>
        </w:tc>
        <w:tc>
          <w:tcPr>
            <w:tcW w:w="932" w:type="dxa"/>
            <w:tcBorders>
              <w:top w:val="nil"/>
              <w:left w:val="nil"/>
              <w:bottom w:val="nil"/>
              <w:right w:val="nil"/>
            </w:tcBorders>
            <w:shd w:val="clear" w:color="auto" w:fill="auto"/>
            <w:noWrap/>
            <w:vAlign w:val="bottom"/>
            <w:hideMark/>
          </w:tcPr>
          <w:p w14:paraId="62F75B4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-0.216***</w:t>
            </w:r>
          </w:p>
        </w:tc>
        <w:tc>
          <w:tcPr>
            <w:tcW w:w="811" w:type="dxa"/>
            <w:tcBorders>
              <w:top w:val="nil"/>
              <w:left w:val="nil"/>
              <w:bottom w:val="nil"/>
              <w:right w:val="nil"/>
            </w:tcBorders>
            <w:shd w:val="clear" w:color="auto" w:fill="auto"/>
            <w:noWrap/>
            <w:vAlign w:val="bottom"/>
            <w:hideMark/>
          </w:tcPr>
          <w:p w14:paraId="467522F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-0.109</w:t>
            </w:r>
          </w:p>
        </w:tc>
        <w:tc>
          <w:tcPr>
            <w:tcW w:w="251" w:type="dxa"/>
            <w:tcBorders>
              <w:top w:val="nil"/>
              <w:left w:val="nil"/>
              <w:bottom w:val="nil"/>
              <w:right w:val="nil"/>
            </w:tcBorders>
            <w:shd w:val="clear" w:color="auto" w:fill="auto"/>
            <w:noWrap/>
            <w:vAlign w:val="bottom"/>
            <w:hideMark/>
          </w:tcPr>
          <w:p w14:paraId="16CBEAE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7FE583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-0.055***</w:t>
            </w:r>
          </w:p>
        </w:tc>
        <w:tc>
          <w:tcPr>
            <w:tcW w:w="811" w:type="dxa"/>
            <w:tcBorders>
              <w:top w:val="nil"/>
              <w:left w:val="nil"/>
              <w:bottom w:val="nil"/>
              <w:right w:val="nil"/>
            </w:tcBorders>
            <w:shd w:val="clear" w:color="auto" w:fill="auto"/>
            <w:noWrap/>
            <w:vAlign w:val="bottom"/>
            <w:hideMark/>
          </w:tcPr>
          <w:p w14:paraId="638BCCD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-0.266</w:t>
            </w:r>
          </w:p>
        </w:tc>
        <w:tc>
          <w:tcPr>
            <w:tcW w:w="251" w:type="dxa"/>
            <w:tcBorders>
              <w:top w:val="nil"/>
              <w:left w:val="nil"/>
              <w:bottom w:val="nil"/>
              <w:right w:val="nil"/>
            </w:tcBorders>
            <w:shd w:val="clear" w:color="auto" w:fill="auto"/>
            <w:noWrap/>
            <w:vAlign w:val="bottom"/>
            <w:hideMark/>
          </w:tcPr>
          <w:p w14:paraId="053F16AD"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60559CE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0.0003</w:t>
            </w:r>
          </w:p>
        </w:tc>
        <w:tc>
          <w:tcPr>
            <w:tcW w:w="1356" w:type="dxa"/>
            <w:tcBorders>
              <w:top w:val="nil"/>
              <w:left w:val="nil"/>
              <w:bottom w:val="nil"/>
              <w:right w:val="nil"/>
            </w:tcBorders>
            <w:shd w:val="clear" w:color="auto" w:fill="auto"/>
            <w:noWrap/>
            <w:vAlign w:val="bottom"/>
            <w:hideMark/>
          </w:tcPr>
          <w:p w14:paraId="4F710A4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-0.330</w:t>
            </w:r>
          </w:p>
        </w:tc>
        <w:tc>
          <w:tcPr>
            <w:tcW w:w="251" w:type="dxa"/>
            <w:tcBorders>
              <w:top w:val="nil"/>
              <w:left w:val="nil"/>
              <w:bottom w:val="nil"/>
              <w:right w:val="nil"/>
            </w:tcBorders>
            <w:shd w:val="clear" w:color="auto" w:fill="auto"/>
            <w:noWrap/>
            <w:vAlign w:val="bottom"/>
            <w:hideMark/>
          </w:tcPr>
          <w:p w14:paraId="3EA4471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3F49375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-0.454***</w:t>
            </w:r>
          </w:p>
        </w:tc>
        <w:tc>
          <w:tcPr>
            <w:tcW w:w="811" w:type="dxa"/>
            <w:tcBorders>
              <w:top w:val="nil"/>
              <w:left w:val="nil"/>
              <w:bottom w:val="nil"/>
              <w:right w:val="nil"/>
            </w:tcBorders>
            <w:shd w:val="clear" w:color="auto" w:fill="auto"/>
            <w:noWrap/>
            <w:vAlign w:val="bottom"/>
            <w:hideMark/>
          </w:tcPr>
          <w:p w14:paraId="76DDF97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-0.198</w:t>
            </w:r>
          </w:p>
        </w:tc>
        <w:tc>
          <w:tcPr>
            <w:tcW w:w="790" w:type="dxa"/>
            <w:tcBorders>
              <w:top w:val="nil"/>
              <w:left w:val="nil"/>
              <w:bottom w:val="nil"/>
              <w:right w:val="nil"/>
            </w:tcBorders>
            <w:shd w:val="clear" w:color="auto" w:fill="auto"/>
            <w:noWrap/>
            <w:vAlign w:val="bottom"/>
            <w:hideMark/>
          </w:tcPr>
          <w:p w14:paraId="3CB7849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-0.052</w:t>
            </w:r>
          </w:p>
        </w:tc>
        <w:tc>
          <w:tcPr>
            <w:tcW w:w="741" w:type="dxa"/>
            <w:tcBorders>
              <w:top w:val="nil"/>
              <w:left w:val="nil"/>
              <w:bottom w:val="nil"/>
              <w:right w:val="nil"/>
            </w:tcBorders>
            <w:shd w:val="clear" w:color="auto" w:fill="auto"/>
            <w:noWrap/>
            <w:vAlign w:val="bottom"/>
            <w:hideMark/>
          </w:tcPr>
          <w:p w14:paraId="6767AB7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-0.408</w:t>
            </w:r>
          </w:p>
        </w:tc>
      </w:tr>
      <w:tr w:rsidR="003C73FB" w:rsidRPr="00C82EE1" w14:paraId="4A6598C9"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78B5BA5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6EBB0E5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(0.023)</w:t>
            </w:r>
          </w:p>
        </w:tc>
        <w:tc>
          <w:tcPr>
            <w:tcW w:w="811" w:type="dxa"/>
            <w:tcBorders>
              <w:top w:val="nil"/>
              <w:left w:val="nil"/>
              <w:bottom w:val="nil"/>
              <w:right w:val="nil"/>
            </w:tcBorders>
            <w:shd w:val="clear" w:color="auto" w:fill="auto"/>
            <w:noWrap/>
            <w:vAlign w:val="bottom"/>
            <w:hideMark/>
          </w:tcPr>
          <w:p w14:paraId="1923402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(0.209)</w:t>
            </w:r>
          </w:p>
        </w:tc>
        <w:tc>
          <w:tcPr>
            <w:tcW w:w="251" w:type="dxa"/>
            <w:tcBorders>
              <w:top w:val="nil"/>
              <w:left w:val="nil"/>
              <w:bottom w:val="nil"/>
              <w:right w:val="nil"/>
            </w:tcBorders>
            <w:shd w:val="clear" w:color="auto" w:fill="auto"/>
            <w:noWrap/>
            <w:vAlign w:val="bottom"/>
            <w:hideMark/>
          </w:tcPr>
          <w:p w14:paraId="7860284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1BF6E48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(0.015)</w:t>
            </w:r>
          </w:p>
        </w:tc>
        <w:tc>
          <w:tcPr>
            <w:tcW w:w="811" w:type="dxa"/>
            <w:tcBorders>
              <w:top w:val="nil"/>
              <w:left w:val="nil"/>
              <w:bottom w:val="nil"/>
              <w:right w:val="nil"/>
            </w:tcBorders>
            <w:shd w:val="clear" w:color="auto" w:fill="auto"/>
            <w:noWrap/>
            <w:vAlign w:val="bottom"/>
            <w:hideMark/>
          </w:tcPr>
          <w:p w14:paraId="69AA88E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(0.204)</w:t>
            </w:r>
          </w:p>
        </w:tc>
        <w:tc>
          <w:tcPr>
            <w:tcW w:w="251" w:type="dxa"/>
            <w:tcBorders>
              <w:top w:val="nil"/>
              <w:left w:val="nil"/>
              <w:bottom w:val="nil"/>
              <w:right w:val="nil"/>
            </w:tcBorders>
            <w:shd w:val="clear" w:color="auto" w:fill="auto"/>
            <w:noWrap/>
            <w:vAlign w:val="bottom"/>
            <w:hideMark/>
          </w:tcPr>
          <w:p w14:paraId="4E53E388"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034CC6C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(0.002)</w:t>
            </w:r>
          </w:p>
        </w:tc>
        <w:tc>
          <w:tcPr>
            <w:tcW w:w="1356" w:type="dxa"/>
            <w:tcBorders>
              <w:top w:val="nil"/>
              <w:left w:val="nil"/>
              <w:bottom w:val="nil"/>
              <w:right w:val="nil"/>
            </w:tcBorders>
            <w:shd w:val="clear" w:color="auto" w:fill="auto"/>
            <w:noWrap/>
            <w:vAlign w:val="bottom"/>
            <w:hideMark/>
          </w:tcPr>
          <w:p w14:paraId="3372892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(0.243)</w:t>
            </w:r>
          </w:p>
        </w:tc>
        <w:tc>
          <w:tcPr>
            <w:tcW w:w="251" w:type="dxa"/>
            <w:tcBorders>
              <w:top w:val="nil"/>
              <w:left w:val="nil"/>
              <w:bottom w:val="nil"/>
              <w:right w:val="nil"/>
            </w:tcBorders>
            <w:shd w:val="clear" w:color="auto" w:fill="auto"/>
            <w:noWrap/>
            <w:vAlign w:val="bottom"/>
            <w:hideMark/>
          </w:tcPr>
          <w:p w14:paraId="4C03596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3788DD6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(0.173)</w:t>
            </w:r>
          </w:p>
        </w:tc>
        <w:tc>
          <w:tcPr>
            <w:tcW w:w="811" w:type="dxa"/>
            <w:tcBorders>
              <w:top w:val="nil"/>
              <w:left w:val="nil"/>
              <w:bottom w:val="nil"/>
              <w:right w:val="nil"/>
            </w:tcBorders>
            <w:shd w:val="clear" w:color="auto" w:fill="auto"/>
            <w:noWrap/>
            <w:vAlign w:val="bottom"/>
            <w:hideMark/>
          </w:tcPr>
          <w:p w14:paraId="18A2288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(0.190)</w:t>
            </w:r>
          </w:p>
        </w:tc>
        <w:tc>
          <w:tcPr>
            <w:tcW w:w="790" w:type="dxa"/>
            <w:tcBorders>
              <w:top w:val="nil"/>
              <w:left w:val="nil"/>
              <w:bottom w:val="nil"/>
              <w:right w:val="nil"/>
            </w:tcBorders>
            <w:shd w:val="clear" w:color="auto" w:fill="auto"/>
            <w:noWrap/>
            <w:vAlign w:val="bottom"/>
            <w:hideMark/>
          </w:tcPr>
          <w:p w14:paraId="1FF9D62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(0.067)</w:t>
            </w:r>
          </w:p>
        </w:tc>
        <w:tc>
          <w:tcPr>
            <w:tcW w:w="741" w:type="dxa"/>
            <w:tcBorders>
              <w:top w:val="nil"/>
              <w:left w:val="nil"/>
              <w:bottom w:val="nil"/>
              <w:right w:val="nil"/>
            </w:tcBorders>
            <w:shd w:val="clear" w:color="auto" w:fill="auto"/>
            <w:noWrap/>
            <w:vAlign w:val="bottom"/>
            <w:hideMark/>
          </w:tcPr>
          <w:p w14:paraId="4E9878F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(0.259)</w:t>
            </w:r>
          </w:p>
        </w:tc>
      </w:tr>
      <w:tr w:rsidR="003C73FB" w:rsidRPr="00C82EE1" w14:paraId="5249087E"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6A336EE"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proofErr w:type="spellStart"/>
            <w:r w:rsidRPr="00C82EE1">
              <w:rPr>
                <w:rFonts w:ascii="Times New Roman" w:eastAsia="Times New Roman" w:hAnsi="Times New Roman" w:cs="Times New Roman"/>
                <w:i/>
                <w:iCs/>
                <w:color w:val="000000"/>
                <w:sz w:val="14"/>
                <w:szCs w:val="14"/>
              </w:rPr>
              <w:t>PriceBit</w:t>
            </w:r>
            <w:proofErr w:type="spellEnd"/>
          </w:p>
        </w:tc>
        <w:tc>
          <w:tcPr>
            <w:tcW w:w="932" w:type="dxa"/>
            <w:tcBorders>
              <w:top w:val="nil"/>
              <w:left w:val="nil"/>
              <w:bottom w:val="nil"/>
              <w:right w:val="nil"/>
            </w:tcBorders>
            <w:shd w:val="clear" w:color="auto" w:fill="auto"/>
            <w:noWrap/>
            <w:vAlign w:val="bottom"/>
            <w:hideMark/>
          </w:tcPr>
          <w:p w14:paraId="2E7F0F1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0.006</w:t>
            </w:r>
          </w:p>
        </w:tc>
        <w:tc>
          <w:tcPr>
            <w:tcW w:w="811" w:type="dxa"/>
            <w:tcBorders>
              <w:top w:val="nil"/>
              <w:left w:val="nil"/>
              <w:bottom w:val="nil"/>
              <w:right w:val="nil"/>
            </w:tcBorders>
            <w:shd w:val="clear" w:color="auto" w:fill="auto"/>
            <w:noWrap/>
            <w:vAlign w:val="bottom"/>
            <w:hideMark/>
          </w:tcPr>
          <w:p w14:paraId="5B73D6C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0.733*</w:t>
            </w:r>
          </w:p>
        </w:tc>
        <w:tc>
          <w:tcPr>
            <w:tcW w:w="251" w:type="dxa"/>
            <w:tcBorders>
              <w:top w:val="nil"/>
              <w:left w:val="nil"/>
              <w:bottom w:val="nil"/>
              <w:right w:val="nil"/>
            </w:tcBorders>
            <w:shd w:val="clear" w:color="auto" w:fill="auto"/>
            <w:noWrap/>
            <w:vAlign w:val="bottom"/>
            <w:hideMark/>
          </w:tcPr>
          <w:p w14:paraId="0602705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69BDB3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-0.029</w:t>
            </w:r>
          </w:p>
        </w:tc>
        <w:tc>
          <w:tcPr>
            <w:tcW w:w="811" w:type="dxa"/>
            <w:tcBorders>
              <w:top w:val="nil"/>
              <w:left w:val="nil"/>
              <w:bottom w:val="nil"/>
              <w:right w:val="nil"/>
            </w:tcBorders>
            <w:shd w:val="clear" w:color="auto" w:fill="auto"/>
            <w:noWrap/>
            <w:vAlign w:val="bottom"/>
            <w:hideMark/>
          </w:tcPr>
          <w:p w14:paraId="4434EC1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0.753*</w:t>
            </w:r>
          </w:p>
        </w:tc>
        <w:tc>
          <w:tcPr>
            <w:tcW w:w="251" w:type="dxa"/>
            <w:tcBorders>
              <w:top w:val="nil"/>
              <w:left w:val="nil"/>
              <w:bottom w:val="nil"/>
              <w:right w:val="nil"/>
            </w:tcBorders>
            <w:shd w:val="clear" w:color="auto" w:fill="auto"/>
            <w:noWrap/>
            <w:vAlign w:val="bottom"/>
            <w:hideMark/>
          </w:tcPr>
          <w:p w14:paraId="3D525A3E"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1B5CCA3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-0.006</w:t>
            </w:r>
          </w:p>
        </w:tc>
        <w:tc>
          <w:tcPr>
            <w:tcW w:w="1356" w:type="dxa"/>
            <w:tcBorders>
              <w:top w:val="nil"/>
              <w:left w:val="nil"/>
              <w:bottom w:val="nil"/>
              <w:right w:val="nil"/>
            </w:tcBorders>
            <w:shd w:val="clear" w:color="auto" w:fill="auto"/>
            <w:noWrap/>
            <w:vAlign w:val="bottom"/>
            <w:hideMark/>
          </w:tcPr>
          <w:p w14:paraId="51C6D46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0.680</w:t>
            </w:r>
          </w:p>
        </w:tc>
        <w:tc>
          <w:tcPr>
            <w:tcW w:w="251" w:type="dxa"/>
            <w:tcBorders>
              <w:top w:val="nil"/>
              <w:left w:val="nil"/>
              <w:bottom w:val="nil"/>
              <w:right w:val="nil"/>
            </w:tcBorders>
            <w:shd w:val="clear" w:color="auto" w:fill="auto"/>
            <w:noWrap/>
            <w:vAlign w:val="bottom"/>
            <w:hideMark/>
          </w:tcPr>
          <w:p w14:paraId="53CF829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5AD2529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0.726</w:t>
            </w:r>
          </w:p>
        </w:tc>
        <w:tc>
          <w:tcPr>
            <w:tcW w:w="811" w:type="dxa"/>
            <w:tcBorders>
              <w:top w:val="nil"/>
              <w:left w:val="nil"/>
              <w:bottom w:val="nil"/>
              <w:right w:val="nil"/>
            </w:tcBorders>
            <w:shd w:val="clear" w:color="auto" w:fill="auto"/>
            <w:noWrap/>
            <w:vAlign w:val="bottom"/>
            <w:hideMark/>
          </w:tcPr>
          <w:p w14:paraId="51B671D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0.628</w:t>
            </w:r>
          </w:p>
        </w:tc>
        <w:tc>
          <w:tcPr>
            <w:tcW w:w="790" w:type="dxa"/>
            <w:tcBorders>
              <w:top w:val="nil"/>
              <w:left w:val="nil"/>
              <w:bottom w:val="nil"/>
              <w:right w:val="nil"/>
            </w:tcBorders>
            <w:shd w:val="clear" w:color="auto" w:fill="auto"/>
            <w:noWrap/>
            <w:vAlign w:val="bottom"/>
            <w:hideMark/>
          </w:tcPr>
          <w:p w14:paraId="5F3A5E4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-0.042</w:t>
            </w:r>
          </w:p>
        </w:tc>
        <w:tc>
          <w:tcPr>
            <w:tcW w:w="741" w:type="dxa"/>
            <w:tcBorders>
              <w:top w:val="nil"/>
              <w:left w:val="nil"/>
              <w:bottom w:val="nil"/>
              <w:right w:val="nil"/>
            </w:tcBorders>
            <w:shd w:val="clear" w:color="auto" w:fill="auto"/>
            <w:noWrap/>
            <w:vAlign w:val="bottom"/>
            <w:hideMark/>
          </w:tcPr>
          <w:p w14:paraId="5D3EEE4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1.092</w:t>
            </w:r>
          </w:p>
        </w:tc>
      </w:tr>
      <w:tr w:rsidR="003C73FB" w:rsidRPr="00C82EE1" w14:paraId="297F80DC"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56D7A1A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32" w:type="dxa"/>
            <w:tcBorders>
              <w:top w:val="nil"/>
              <w:left w:val="nil"/>
              <w:bottom w:val="nil"/>
              <w:right w:val="nil"/>
            </w:tcBorders>
            <w:shd w:val="clear" w:color="auto" w:fill="auto"/>
            <w:noWrap/>
            <w:vAlign w:val="bottom"/>
            <w:hideMark/>
          </w:tcPr>
          <w:p w14:paraId="2961D31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(0.032)</w:t>
            </w:r>
          </w:p>
        </w:tc>
        <w:tc>
          <w:tcPr>
            <w:tcW w:w="811" w:type="dxa"/>
            <w:tcBorders>
              <w:top w:val="nil"/>
              <w:left w:val="nil"/>
              <w:bottom w:val="nil"/>
              <w:right w:val="nil"/>
            </w:tcBorders>
            <w:shd w:val="clear" w:color="auto" w:fill="auto"/>
            <w:noWrap/>
            <w:vAlign w:val="bottom"/>
            <w:hideMark/>
          </w:tcPr>
          <w:p w14:paraId="28EB2AF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(0.425)</w:t>
            </w:r>
          </w:p>
        </w:tc>
        <w:tc>
          <w:tcPr>
            <w:tcW w:w="251" w:type="dxa"/>
            <w:tcBorders>
              <w:top w:val="nil"/>
              <w:left w:val="nil"/>
              <w:bottom w:val="nil"/>
              <w:right w:val="nil"/>
            </w:tcBorders>
            <w:shd w:val="clear" w:color="auto" w:fill="auto"/>
            <w:noWrap/>
            <w:vAlign w:val="bottom"/>
            <w:hideMark/>
          </w:tcPr>
          <w:p w14:paraId="60DCF06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16FF2D4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(0.075)</w:t>
            </w:r>
          </w:p>
        </w:tc>
        <w:tc>
          <w:tcPr>
            <w:tcW w:w="811" w:type="dxa"/>
            <w:tcBorders>
              <w:top w:val="nil"/>
              <w:left w:val="nil"/>
              <w:bottom w:val="nil"/>
              <w:right w:val="nil"/>
            </w:tcBorders>
            <w:shd w:val="clear" w:color="auto" w:fill="auto"/>
            <w:noWrap/>
            <w:vAlign w:val="bottom"/>
            <w:hideMark/>
          </w:tcPr>
          <w:p w14:paraId="5678EDC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(0.438)</w:t>
            </w:r>
          </w:p>
        </w:tc>
        <w:tc>
          <w:tcPr>
            <w:tcW w:w="251" w:type="dxa"/>
            <w:tcBorders>
              <w:top w:val="nil"/>
              <w:left w:val="nil"/>
              <w:bottom w:val="nil"/>
              <w:right w:val="nil"/>
            </w:tcBorders>
            <w:shd w:val="clear" w:color="auto" w:fill="auto"/>
            <w:noWrap/>
            <w:vAlign w:val="bottom"/>
            <w:hideMark/>
          </w:tcPr>
          <w:p w14:paraId="78470E8F"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59067C4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(0.004)</w:t>
            </w:r>
          </w:p>
        </w:tc>
        <w:tc>
          <w:tcPr>
            <w:tcW w:w="1356" w:type="dxa"/>
            <w:tcBorders>
              <w:top w:val="nil"/>
              <w:left w:val="nil"/>
              <w:bottom w:val="nil"/>
              <w:right w:val="nil"/>
            </w:tcBorders>
            <w:shd w:val="clear" w:color="auto" w:fill="auto"/>
            <w:noWrap/>
            <w:vAlign w:val="bottom"/>
            <w:hideMark/>
          </w:tcPr>
          <w:p w14:paraId="68DACB9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(0.497)</w:t>
            </w:r>
          </w:p>
        </w:tc>
        <w:tc>
          <w:tcPr>
            <w:tcW w:w="251" w:type="dxa"/>
            <w:tcBorders>
              <w:top w:val="nil"/>
              <w:left w:val="nil"/>
              <w:bottom w:val="nil"/>
              <w:right w:val="nil"/>
            </w:tcBorders>
            <w:shd w:val="clear" w:color="auto" w:fill="auto"/>
            <w:noWrap/>
            <w:vAlign w:val="bottom"/>
            <w:hideMark/>
          </w:tcPr>
          <w:p w14:paraId="2CC06BB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6CF136D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(0.468)</w:t>
            </w:r>
          </w:p>
        </w:tc>
        <w:tc>
          <w:tcPr>
            <w:tcW w:w="811" w:type="dxa"/>
            <w:tcBorders>
              <w:top w:val="nil"/>
              <w:left w:val="nil"/>
              <w:bottom w:val="nil"/>
              <w:right w:val="nil"/>
            </w:tcBorders>
            <w:shd w:val="clear" w:color="auto" w:fill="auto"/>
            <w:noWrap/>
            <w:vAlign w:val="bottom"/>
            <w:hideMark/>
          </w:tcPr>
          <w:p w14:paraId="7CD22E3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(0.406)</w:t>
            </w:r>
          </w:p>
        </w:tc>
        <w:tc>
          <w:tcPr>
            <w:tcW w:w="790" w:type="dxa"/>
            <w:tcBorders>
              <w:top w:val="nil"/>
              <w:left w:val="nil"/>
              <w:bottom w:val="nil"/>
              <w:right w:val="nil"/>
            </w:tcBorders>
            <w:shd w:val="clear" w:color="auto" w:fill="auto"/>
            <w:noWrap/>
            <w:vAlign w:val="bottom"/>
            <w:hideMark/>
          </w:tcPr>
          <w:p w14:paraId="26432EA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(0.074)</w:t>
            </w:r>
          </w:p>
        </w:tc>
        <w:tc>
          <w:tcPr>
            <w:tcW w:w="741" w:type="dxa"/>
            <w:tcBorders>
              <w:top w:val="nil"/>
              <w:left w:val="nil"/>
              <w:bottom w:val="nil"/>
              <w:right w:val="nil"/>
            </w:tcBorders>
            <w:shd w:val="clear" w:color="auto" w:fill="auto"/>
            <w:noWrap/>
            <w:vAlign w:val="bottom"/>
            <w:hideMark/>
          </w:tcPr>
          <w:p w14:paraId="7A6255B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(0.664)</w:t>
            </w:r>
          </w:p>
        </w:tc>
      </w:tr>
      <w:tr w:rsidR="003C73FB" w:rsidRPr="00C82EE1" w14:paraId="1AD68B1E"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1B7F4C12"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Region fixed effect</w:t>
            </w:r>
          </w:p>
        </w:tc>
        <w:tc>
          <w:tcPr>
            <w:tcW w:w="932" w:type="dxa"/>
            <w:tcBorders>
              <w:top w:val="nil"/>
              <w:left w:val="nil"/>
              <w:bottom w:val="nil"/>
              <w:right w:val="nil"/>
            </w:tcBorders>
            <w:shd w:val="clear" w:color="auto" w:fill="auto"/>
            <w:noWrap/>
            <w:vAlign w:val="bottom"/>
            <w:hideMark/>
          </w:tcPr>
          <w:p w14:paraId="7D96015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7EBE464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649B5D1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374E73C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57BD476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136922A5"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4362E0D1"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1356" w:type="dxa"/>
            <w:tcBorders>
              <w:top w:val="nil"/>
              <w:left w:val="nil"/>
              <w:bottom w:val="nil"/>
              <w:right w:val="nil"/>
            </w:tcBorders>
            <w:shd w:val="clear" w:color="auto" w:fill="auto"/>
            <w:noWrap/>
            <w:vAlign w:val="bottom"/>
            <w:hideMark/>
          </w:tcPr>
          <w:p w14:paraId="435799B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12B057D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1225ED6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54125C2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790" w:type="dxa"/>
            <w:tcBorders>
              <w:top w:val="nil"/>
              <w:left w:val="nil"/>
              <w:bottom w:val="nil"/>
              <w:right w:val="nil"/>
            </w:tcBorders>
            <w:shd w:val="clear" w:color="auto" w:fill="auto"/>
            <w:noWrap/>
            <w:vAlign w:val="bottom"/>
            <w:hideMark/>
          </w:tcPr>
          <w:p w14:paraId="5F65C05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741" w:type="dxa"/>
            <w:tcBorders>
              <w:top w:val="nil"/>
              <w:left w:val="nil"/>
              <w:bottom w:val="nil"/>
              <w:right w:val="nil"/>
            </w:tcBorders>
            <w:shd w:val="clear" w:color="auto" w:fill="auto"/>
            <w:noWrap/>
            <w:vAlign w:val="bottom"/>
            <w:hideMark/>
          </w:tcPr>
          <w:p w14:paraId="5D90E60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r>
      <w:tr w:rsidR="003C73FB" w:rsidRPr="00C82EE1" w14:paraId="5B00BBA5"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3A3C42F"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Year-Quarter fixed effect</w:t>
            </w:r>
          </w:p>
        </w:tc>
        <w:tc>
          <w:tcPr>
            <w:tcW w:w="932" w:type="dxa"/>
            <w:tcBorders>
              <w:top w:val="nil"/>
              <w:left w:val="nil"/>
              <w:bottom w:val="nil"/>
              <w:right w:val="nil"/>
            </w:tcBorders>
            <w:shd w:val="clear" w:color="auto" w:fill="auto"/>
            <w:noWrap/>
            <w:vAlign w:val="bottom"/>
            <w:hideMark/>
          </w:tcPr>
          <w:p w14:paraId="2CAA011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10F883C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28E5555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0108E7B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4DAD446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0B25C165"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4278F17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1356" w:type="dxa"/>
            <w:tcBorders>
              <w:top w:val="nil"/>
              <w:left w:val="nil"/>
              <w:bottom w:val="nil"/>
              <w:right w:val="nil"/>
            </w:tcBorders>
            <w:shd w:val="clear" w:color="auto" w:fill="auto"/>
            <w:noWrap/>
            <w:vAlign w:val="bottom"/>
            <w:hideMark/>
          </w:tcPr>
          <w:p w14:paraId="34D36D4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nil"/>
              <w:right w:val="nil"/>
            </w:tcBorders>
            <w:shd w:val="clear" w:color="auto" w:fill="auto"/>
            <w:noWrap/>
            <w:vAlign w:val="bottom"/>
            <w:hideMark/>
          </w:tcPr>
          <w:p w14:paraId="2E13B52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45195EC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nil"/>
              <w:right w:val="nil"/>
            </w:tcBorders>
            <w:shd w:val="clear" w:color="auto" w:fill="auto"/>
            <w:noWrap/>
            <w:vAlign w:val="bottom"/>
            <w:hideMark/>
          </w:tcPr>
          <w:p w14:paraId="7955C850"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790" w:type="dxa"/>
            <w:tcBorders>
              <w:top w:val="nil"/>
              <w:left w:val="nil"/>
              <w:bottom w:val="nil"/>
              <w:right w:val="nil"/>
            </w:tcBorders>
            <w:shd w:val="clear" w:color="auto" w:fill="auto"/>
            <w:noWrap/>
            <w:vAlign w:val="bottom"/>
            <w:hideMark/>
          </w:tcPr>
          <w:p w14:paraId="6AF2A4F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741" w:type="dxa"/>
            <w:tcBorders>
              <w:top w:val="nil"/>
              <w:left w:val="nil"/>
              <w:bottom w:val="nil"/>
              <w:right w:val="nil"/>
            </w:tcBorders>
            <w:shd w:val="clear" w:color="auto" w:fill="auto"/>
            <w:noWrap/>
            <w:vAlign w:val="bottom"/>
            <w:hideMark/>
          </w:tcPr>
          <w:p w14:paraId="79AF73F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r>
      <w:tr w:rsidR="003C73FB" w:rsidRPr="00C82EE1" w14:paraId="334AF225" w14:textId="77777777" w:rsidTr="00960333">
        <w:trPr>
          <w:trHeight w:val="170"/>
          <w:jc w:val="center"/>
        </w:trPr>
        <w:tc>
          <w:tcPr>
            <w:tcW w:w="1843" w:type="dxa"/>
            <w:tcBorders>
              <w:top w:val="nil"/>
              <w:left w:val="nil"/>
              <w:bottom w:val="single" w:sz="4" w:space="0" w:color="auto"/>
              <w:right w:val="nil"/>
            </w:tcBorders>
            <w:shd w:val="clear" w:color="auto" w:fill="auto"/>
            <w:noWrap/>
            <w:vAlign w:val="bottom"/>
            <w:hideMark/>
          </w:tcPr>
          <w:p w14:paraId="462B9EF4" w14:textId="77777777" w:rsidR="003C73FB" w:rsidRPr="00C82EE1" w:rsidRDefault="003C73FB" w:rsidP="00184DCA">
            <w:pPr>
              <w:spacing w:after="0" w:line="240" w:lineRule="auto"/>
              <w:rPr>
                <w:rFonts w:ascii="Times New Roman" w:eastAsia="Times New Roman" w:hAnsi="Times New Roman" w:cs="Times New Roman"/>
                <w:i/>
                <w:iCs/>
                <w:color w:val="000000"/>
                <w:sz w:val="14"/>
                <w:szCs w:val="14"/>
              </w:rPr>
            </w:pPr>
            <w:r w:rsidRPr="00C82EE1">
              <w:rPr>
                <w:rFonts w:ascii="Times New Roman" w:eastAsia="Times New Roman" w:hAnsi="Times New Roman" w:cs="Times New Roman"/>
                <w:i/>
                <w:iCs/>
                <w:color w:val="000000"/>
                <w:sz w:val="14"/>
                <w:szCs w:val="14"/>
              </w:rPr>
              <w:t>Industry fixed effect</w:t>
            </w:r>
          </w:p>
        </w:tc>
        <w:tc>
          <w:tcPr>
            <w:tcW w:w="932" w:type="dxa"/>
            <w:tcBorders>
              <w:top w:val="nil"/>
              <w:left w:val="nil"/>
              <w:bottom w:val="single" w:sz="4" w:space="0" w:color="auto"/>
              <w:right w:val="nil"/>
            </w:tcBorders>
            <w:shd w:val="clear" w:color="auto" w:fill="auto"/>
            <w:noWrap/>
            <w:vAlign w:val="bottom"/>
            <w:hideMark/>
          </w:tcPr>
          <w:p w14:paraId="127DD3B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single" w:sz="4" w:space="0" w:color="auto"/>
              <w:right w:val="nil"/>
            </w:tcBorders>
            <w:shd w:val="clear" w:color="auto" w:fill="auto"/>
            <w:noWrap/>
            <w:vAlign w:val="bottom"/>
            <w:hideMark/>
          </w:tcPr>
          <w:p w14:paraId="002F6AC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single" w:sz="4" w:space="0" w:color="auto"/>
              <w:right w:val="nil"/>
            </w:tcBorders>
            <w:shd w:val="clear" w:color="auto" w:fill="auto"/>
            <w:noWrap/>
            <w:vAlign w:val="bottom"/>
            <w:hideMark/>
          </w:tcPr>
          <w:p w14:paraId="3620D5B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52" w:type="dxa"/>
            <w:tcBorders>
              <w:top w:val="nil"/>
              <w:left w:val="nil"/>
              <w:bottom w:val="single" w:sz="4" w:space="0" w:color="auto"/>
              <w:right w:val="nil"/>
            </w:tcBorders>
            <w:shd w:val="clear" w:color="auto" w:fill="auto"/>
            <w:noWrap/>
            <w:vAlign w:val="bottom"/>
            <w:hideMark/>
          </w:tcPr>
          <w:p w14:paraId="24B4DEB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single" w:sz="4" w:space="0" w:color="auto"/>
              <w:right w:val="nil"/>
            </w:tcBorders>
            <w:shd w:val="clear" w:color="auto" w:fill="auto"/>
            <w:noWrap/>
            <w:vAlign w:val="bottom"/>
            <w:hideMark/>
          </w:tcPr>
          <w:p w14:paraId="49D13B5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single" w:sz="4" w:space="0" w:color="auto"/>
              <w:right w:val="nil"/>
            </w:tcBorders>
            <w:shd w:val="clear" w:color="auto" w:fill="auto"/>
            <w:noWrap/>
            <w:vAlign w:val="bottom"/>
            <w:hideMark/>
          </w:tcPr>
          <w:p w14:paraId="7ADF6F05"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08" w:type="dxa"/>
            <w:tcBorders>
              <w:top w:val="nil"/>
              <w:left w:val="nil"/>
              <w:bottom w:val="single" w:sz="4" w:space="0" w:color="auto"/>
              <w:right w:val="nil"/>
            </w:tcBorders>
            <w:shd w:val="clear" w:color="auto" w:fill="auto"/>
            <w:noWrap/>
            <w:vAlign w:val="bottom"/>
            <w:hideMark/>
          </w:tcPr>
          <w:p w14:paraId="68B305E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1356" w:type="dxa"/>
            <w:tcBorders>
              <w:top w:val="nil"/>
              <w:left w:val="nil"/>
              <w:bottom w:val="single" w:sz="4" w:space="0" w:color="auto"/>
              <w:right w:val="nil"/>
            </w:tcBorders>
            <w:shd w:val="clear" w:color="auto" w:fill="auto"/>
            <w:noWrap/>
            <w:vAlign w:val="bottom"/>
            <w:hideMark/>
          </w:tcPr>
          <w:p w14:paraId="36F66F1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251" w:type="dxa"/>
            <w:tcBorders>
              <w:top w:val="nil"/>
              <w:left w:val="nil"/>
              <w:bottom w:val="single" w:sz="4" w:space="0" w:color="auto"/>
              <w:right w:val="nil"/>
            </w:tcBorders>
            <w:shd w:val="clear" w:color="auto" w:fill="auto"/>
            <w:noWrap/>
            <w:vAlign w:val="bottom"/>
            <w:hideMark/>
          </w:tcPr>
          <w:p w14:paraId="2711C9E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963" w:type="dxa"/>
            <w:tcBorders>
              <w:top w:val="nil"/>
              <w:left w:val="nil"/>
              <w:bottom w:val="single" w:sz="4" w:space="0" w:color="auto"/>
              <w:right w:val="nil"/>
            </w:tcBorders>
            <w:shd w:val="clear" w:color="auto" w:fill="auto"/>
            <w:noWrap/>
            <w:vAlign w:val="bottom"/>
            <w:hideMark/>
          </w:tcPr>
          <w:p w14:paraId="707CAF3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811" w:type="dxa"/>
            <w:tcBorders>
              <w:top w:val="nil"/>
              <w:left w:val="nil"/>
              <w:bottom w:val="single" w:sz="4" w:space="0" w:color="auto"/>
              <w:right w:val="nil"/>
            </w:tcBorders>
            <w:shd w:val="clear" w:color="auto" w:fill="auto"/>
            <w:noWrap/>
            <w:vAlign w:val="bottom"/>
            <w:hideMark/>
          </w:tcPr>
          <w:p w14:paraId="7A5A9F3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790" w:type="dxa"/>
            <w:tcBorders>
              <w:top w:val="nil"/>
              <w:left w:val="nil"/>
              <w:bottom w:val="single" w:sz="4" w:space="0" w:color="auto"/>
              <w:right w:val="nil"/>
            </w:tcBorders>
            <w:shd w:val="clear" w:color="auto" w:fill="auto"/>
            <w:noWrap/>
            <w:vAlign w:val="bottom"/>
            <w:hideMark/>
          </w:tcPr>
          <w:p w14:paraId="019A800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c>
          <w:tcPr>
            <w:tcW w:w="741" w:type="dxa"/>
            <w:tcBorders>
              <w:top w:val="nil"/>
              <w:left w:val="nil"/>
              <w:bottom w:val="single" w:sz="4" w:space="0" w:color="auto"/>
              <w:right w:val="nil"/>
            </w:tcBorders>
            <w:shd w:val="clear" w:color="auto" w:fill="auto"/>
            <w:noWrap/>
            <w:vAlign w:val="bottom"/>
            <w:hideMark/>
          </w:tcPr>
          <w:p w14:paraId="1F2D98C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Yes</w:t>
            </w:r>
          </w:p>
        </w:tc>
      </w:tr>
      <w:tr w:rsidR="003C73FB" w:rsidRPr="00C82EE1" w14:paraId="7D324729"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5D38515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Observations</w:t>
            </w:r>
          </w:p>
        </w:tc>
        <w:tc>
          <w:tcPr>
            <w:tcW w:w="932" w:type="dxa"/>
            <w:tcBorders>
              <w:top w:val="nil"/>
              <w:left w:val="nil"/>
              <w:bottom w:val="nil"/>
              <w:right w:val="nil"/>
            </w:tcBorders>
            <w:shd w:val="clear" w:color="auto" w:fill="auto"/>
            <w:noWrap/>
            <w:vAlign w:val="bottom"/>
            <w:hideMark/>
          </w:tcPr>
          <w:p w14:paraId="54955B4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nil"/>
              <w:left w:val="nil"/>
              <w:bottom w:val="nil"/>
              <w:right w:val="nil"/>
            </w:tcBorders>
            <w:shd w:val="clear" w:color="auto" w:fill="auto"/>
            <w:noWrap/>
            <w:vAlign w:val="bottom"/>
            <w:hideMark/>
          </w:tcPr>
          <w:p w14:paraId="00DB545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251" w:type="dxa"/>
            <w:tcBorders>
              <w:top w:val="nil"/>
              <w:left w:val="nil"/>
              <w:bottom w:val="nil"/>
              <w:right w:val="nil"/>
            </w:tcBorders>
            <w:shd w:val="clear" w:color="auto" w:fill="auto"/>
            <w:noWrap/>
            <w:vAlign w:val="bottom"/>
            <w:hideMark/>
          </w:tcPr>
          <w:p w14:paraId="794035A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2F56EE2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nil"/>
              <w:left w:val="nil"/>
              <w:bottom w:val="nil"/>
              <w:right w:val="nil"/>
            </w:tcBorders>
            <w:shd w:val="clear" w:color="auto" w:fill="auto"/>
            <w:noWrap/>
            <w:vAlign w:val="bottom"/>
            <w:hideMark/>
          </w:tcPr>
          <w:p w14:paraId="34FC4E0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251" w:type="dxa"/>
            <w:tcBorders>
              <w:top w:val="nil"/>
              <w:left w:val="nil"/>
              <w:bottom w:val="nil"/>
              <w:right w:val="nil"/>
            </w:tcBorders>
            <w:shd w:val="clear" w:color="auto" w:fill="auto"/>
            <w:noWrap/>
            <w:vAlign w:val="bottom"/>
            <w:hideMark/>
          </w:tcPr>
          <w:p w14:paraId="4E4A2AEC"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0E5D8B6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1,137</w:t>
            </w:r>
          </w:p>
        </w:tc>
        <w:tc>
          <w:tcPr>
            <w:tcW w:w="1356" w:type="dxa"/>
            <w:tcBorders>
              <w:top w:val="nil"/>
              <w:left w:val="nil"/>
              <w:bottom w:val="nil"/>
              <w:right w:val="nil"/>
            </w:tcBorders>
            <w:shd w:val="clear" w:color="auto" w:fill="auto"/>
            <w:noWrap/>
            <w:vAlign w:val="bottom"/>
            <w:hideMark/>
          </w:tcPr>
          <w:p w14:paraId="35B9EF4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1,137</w:t>
            </w:r>
          </w:p>
        </w:tc>
        <w:tc>
          <w:tcPr>
            <w:tcW w:w="251" w:type="dxa"/>
            <w:tcBorders>
              <w:top w:val="nil"/>
              <w:left w:val="nil"/>
              <w:bottom w:val="nil"/>
              <w:right w:val="nil"/>
            </w:tcBorders>
            <w:shd w:val="clear" w:color="auto" w:fill="auto"/>
            <w:noWrap/>
            <w:vAlign w:val="bottom"/>
            <w:hideMark/>
          </w:tcPr>
          <w:p w14:paraId="391DFA4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4E1703B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811" w:type="dxa"/>
            <w:tcBorders>
              <w:top w:val="nil"/>
              <w:left w:val="nil"/>
              <w:bottom w:val="nil"/>
              <w:right w:val="nil"/>
            </w:tcBorders>
            <w:shd w:val="clear" w:color="auto" w:fill="auto"/>
            <w:noWrap/>
            <w:vAlign w:val="bottom"/>
            <w:hideMark/>
          </w:tcPr>
          <w:p w14:paraId="63F6EE8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1,202</w:t>
            </w:r>
          </w:p>
        </w:tc>
        <w:tc>
          <w:tcPr>
            <w:tcW w:w="790" w:type="dxa"/>
            <w:tcBorders>
              <w:top w:val="nil"/>
              <w:left w:val="nil"/>
              <w:bottom w:val="nil"/>
              <w:right w:val="nil"/>
            </w:tcBorders>
            <w:shd w:val="clear" w:color="auto" w:fill="auto"/>
            <w:noWrap/>
            <w:vAlign w:val="bottom"/>
            <w:hideMark/>
          </w:tcPr>
          <w:p w14:paraId="1329A9D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462</w:t>
            </w:r>
          </w:p>
        </w:tc>
        <w:tc>
          <w:tcPr>
            <w:tcW w:w="741" w:type="dxa"/>
            <w:tcBorders>
              <w:top w:val="nil"/>
              <w:left w:val="nil"/>
              <w:bottom w:val="nil"/>
              <w:right w:val="nil"/>
            </w:tcBorders>
            <w:shd w:val="clear" w:color="auto" w:fill="auto"/>
            <w:noWrap/>
            <w:vAlign w:val="bottom"/>
            <w:hideMark/>
          </w:tcPr>
          <w:p w14:paraId="4064FC5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462</w:t>
            </w:r>
          </w:p>
        </w:tc>
      </w:tr>
      <w:tr w:rsidR="003C73FB" w:rsidRPr="00C82EE1" w14:paraId="0A376894"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34B6C1E8"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Adjusted R2</w:t>
            </w:r>
          </w:p>
        </w:tc>
        <w:tc>
          <w:tcPr>
            <w:tcW w:w="932" w:type="dxa"/>
            <w:tcBorders>
              <w:top w:val="nil"/>
              <w:left w:val="nil"/>
              <w:bottom w:val="nil"/>
              <w:right w:val="nil"/>
            </w:tcBorders>
            <w:shd w:val="clear" w:color="auto" w:fill="auto"/>
            <w:noWrap/>
            <w:vAlign w:val="bottom"/>
            <w:hideMark/>
          </w:tcPr>
          <w:p w14:paraId="6239AAA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0.202</w:t>
            </w:r>
          </w:p>
        </w:tc>
        <w:tc>
          <w:tcPr>
            <w:tcW w:w="811" w:type="dxa"/>
            <w:tcBorders>
              <w:top w:val="nil"/>
              <w:left w:val="nil"/>
              <w:bottom w:val="nil"/>
              <w:right w:val="nil"/>
            </w:tcBorders>
            <w:shd w:val="clear" w:color="auto" w:fill="auto"/>
            <w:noWrap/>
            <w:vAlign w:val="bottom"/>
            <w:hideMark/>
          </w:tcPr>
          <w:p w14:paraId="5954026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0.160</w:t>
            </w:r>
          </w:p>
        </w:tc>
        <w:tc>
          <w:tcPr>
            <w:tcW w:w="251" w:type="dxa"/>
            <w:tcBorders>
              <w:top w:val="nil"/>
              <w:left w:val="nil"/>
              <w:bottom w:val="nil"/>
              <w:right w:val="nil"/>
            </w:tcBorders>
            <w:shd w:val="clear" w:color="auto" w:fill="auto"/>
            <w:noWrap/>
            <w:vAlign w:val="bottom"/>
            <w:hideMark/>
          </w:tcPr>
          <w:p w14:paraId="06EC5B4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52" w:type="dxa"/>
            <w:tcBorders>
              <w:top w:val="nil"/>
              <w:left w:val="nil"/>
              <w:bottom w:val="nil"/>
              <w:right w:val="nil"/>
            </w:tcBorders>
            <w:shd w:val="clear" w:color="auto" w:fill="auto"/>
            <w:noWrap/>
            <w:vAlign w:val="bottom"/>
            <w:hideMark/>
          </w:tcPr>
          <w:p w14:paraId="34762E9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0.455</w:t>
            </w:r>
          </w:p>
        </w:tc>
        <w:tc>
          <w:tcPr>
            <w:tcW w:w="811" w:type="dxa"/>
            <w:tcBorders>
              <w:top w:val="nil"/>
              <w:left w:val="nil"/>
              <w:bottom w:val="nil"/>
              <w:right w:val="nil"/>
            </w:tcBorders>
            <w:shd w:val="clear" w:color="auto" w:fill="auto"/>
            <w:noWrap/>
            <w:vAlign w:val="bottom"/>
            <w:hideMark/>
          </w:tcPr>
          <w:p w14:paraId="34E676D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0.170</w:t>
            </w:r>
          </w:p>
        </w:tc>
        <w:tc>
          <w:tcPr>
            <w:tcW w:w="251" w:type="dxa"/>
            <w:tcBorders>
              <w:top w:val="nil"/>
              <w:left w:val="nil"/>
              <w:bottom w:val="nil"/>
              <w:right w:val="nil"/>
            </w:tcBorders>
            <w:shd w:val="clear" w:color="auto" w:fill="auto"/>
            <w:noWrap/>
            <w:vAlign w:val="bottom"/>
            <w:hideMark/>
          </w:tcPr>
          <w:p w14:paraId="0869754A"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p>
        </w:tc>
        <w:tc>
          <w:tcPr>
            <w:tcW w:w="808" w:type="dxa"/>
            <w:tcBorders>
              <w:top w:val="nil"/>
              <w:left w:val="nil"/>
              <w:bottom w:val="nil"/>
              <w:right w:val="nil"/>
            </w:tcBorders>
            <w:shd w:val="clear" w:color="auto" w:fill="auto"/>
            <w:noWrap/>
            <w:vAlign w:val="bottom"/>
            <w:hideMark/>
          </w:tcPr>
          <w:p w14:paraId="50C55C4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0.090</w:t>
            </w:r>
          </w:p>
        </w:tc>
        <w:tc>
          <w:tcPr>
            <w:tcW w:w="1356" w:type="dxa"/>
            <w:tcBorders>
              <w:top w:val="nil"/>
              <w:left w:val="nil"/>
              <w:bottom w:val="nil"/>
              <w:right w:val="nil"/>
            </w:tcBorders>
            <w:shd w:val="clear" w:color="auto" w:fill="auto"/>
            <w:noWrap/>
            <w:vAlign w:val="bottom"/>
            <w:hideMark/>
          </w:tcPr>
          <w:p w14:paraId="3E727CDE"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0.161</w:t>
            </w:r>
          </w:p>
        </w:tc>
        <w:tc>
          <w:tcPr>
            <w:tcW w:w="251" w:type="dxa"/>
            <w:tcBorders>
              <w:top w:val="nil"/>
              <w:left w:val="nil"/>
              <w:bottom w:val="nil"/>
              <w:right w:val="nil"/>
            </w:tcBorders>
            <w:shd w:val="clear" w:color="auto" w:fill="auto"/>
            <w:noWrap/>
            <w:vAlign w:val="bottom"/>
            <w:hideMark/>
          </w:tcPr>
          <w:p w14:paraId="492D1F6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963" w:type="dxa"/>
            <w:tcBorders>
              <w:top w:val="nil"/>
              <w:left w:val="nil"/>
              <w:bottom w:val="nil"/>
              <w:right w:val="nil"/>
            </w:tcBorders>
            <w:shd w:val="clear" w:color="auto" w:fill="auto"/>
            <w:noWrap/>
            <w:vAlign w:val="bottom"/>
            <w:hideMark/>
          </w:tcPr>
          <w:p w14:paraId="631A6238"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0636FA3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0.180</w:t>
            </w:r>
          </w:p>
        </w:tc>
        <w:tc>
          <w:tcPr>
            <w:tcW w:w="790" w:type="dxa"/>
            <w:tcBorders>
              <w:top w:val="nil"/>
              <w:left w:val="nil"/>
              <w:bottom w:val="nil"/>
              <w:right w:val="nil"/>
            </w:tcBorders>
            <w:shd w:val="clear" w:color="auto" w:fill="auto"/>
            <w:noWrap/>
            <w:vAlign w:val="bottom"/>
            <w:hideMark/>
          </w:tcPr>
          <w:p w14:paraId="06295A0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-0.00002</w:t>
            </w:r>
          </w:p>
        </w:tc>
        <w:tc>
          <w:tcPr>
            <w:tcW w:w="741" w:type="dxa"/>
            <w:tcBorders>
              <w:top w:val="nil"/>
              <w:left w:val="nil"/>
              <w:bottom w:val="nil"/>
              <w:right w:val="nil"/>
            </w:tcBorders>
            <w:shd w:val="clear" w:color="auto" w:fill="auto"/>
            <w:noWrap/>
            <w:vAlign w:val="bottom"/>
            <w:hideMark/>
          </w:tcPr>
          <w:p w14:paraId="7B6FC722"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0.211</w:t>
            </w:r>
          </w:p>
        </w:tc>
      </w:tr>
      <w:tr w:rsidR="003C73FB" w:rsidRPr="00C82EE1" w14:paraId="177FB264" w14:textId="77777777" w:rsidTr="00960333">
        <w:trPr>
          <w:trHeight w:val="170"/>
          <w:jc w:val="center"/>
        </w:trPr>
        <w:tc>
          <w:tcPr>
            <w:tcW w:w="1843" w:type="dxa"/>
            <w:tcBorders>
              <w:top w:val="nil"/>
              <w:left w:val="nil"/>
              <w:bottom w:val="nil"/>
              <w:right w:val="nil"/>
            </w:tcBorders>
            <w:shd w:val="clear" w:color="auto" w:fill="auto"/>
            <w:noWrap/>
            <w:vAlign w:val="bottom"/>
            <w:hideMark/>
          </w:tcPr>
          <w:p w14:paraId="0AB3A7BF"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Log Likelihood</w:t>
            </w:r>
          </w:p>
        </w:tc>
        <w:tc>
          <w:tcPr>
            <w:tcW w:w="932" w:type="dxa"/>
            <w:tcBorders>
              <w:top w:val="nil"/>
              <w:left w:val="nil"/>
              <w:bottom w:val="nil"/>
              <w:right w:val="nil"/>
            </w:tcBorders>
            <w:shd w:val="clear" w:color="auto" w:fill="auto"/>
            <w:noWrap/>
            <w:vAlign w:val="bottom"/>
            <w:hideMark/>
          </w:tcPr>
          <w:p w14:paraId="293703C9"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811" w:type="dxa"/>
            <w:tcBorders>
              <w:top w:val="nil"/>
              <w:left w:val="nil"/>
              <w:bottom w:val="nil"/>
              <w:right w:val="nil"/>
            </w:tcBorders>
            <w:shd w:val="clear" w:color="auto" w:fill="auto"/>
            <w:noWrap/>
            <w:vAlign w:val="bottom"/>
            <w:hideMark/>
          </w:tcPr>
          <w:p w14:paraId="3E98EEBE"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0C0BB5C2"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52" w:type="dxa"/>
            <w:tcBorders>
              <w:top w:val="nil"/>
              <w:left w:val="nil"/>
              <w:bottom w:val="nil"/>
              <w:right w:val="nil"/>
            </w:tcBorders>
            <w:shd w:val="clear" w:color="auto" w:fill="auto"/>
            <w:noWrap/>
            <w:vAlign w:val="bottom"/>
            <w:hideMark/>
          </w:tcPr>
          <w:p w14:paraId="384898F0"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811" w:type="dxa"/>
            <w:tcBorders>
              <w:top w:val="nil"/>
              <w:left w:val="nil"/>
              <w:bottom w:val="nil"/>
              <w:right w:val="nil"/>
            </w:tcBorders>
            <w:shd w:val="clear" w:color="auto" w:fill="auto"/>
            <w:noWrap/>
            <w:vAlign w:val="bottom"/>
            <w:hideMark/>
          </w:tcPr>
          <w:p w14:paraId="541FF14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6877EC35" w14:textId="77777777" w:rsidR="003C73FB" w:rsidRPr="00C82EE1" w:rsidRDefault="003C73FB" w:rsidP="00184DCA">
            <w:pPr>
              <w:spacing w:after="0" w:line="240" w:lineRule="auto"/>
              <w:ind w:left="-524" w:firstLine="524"/>
              <w:rPr>
                <w:rFonts w:ascii="Times New Roman" w:eastAsia="Times New Roman" w:hAnsi="Times New Roman" w:cs="Times New Roman"/>
                <w:sz w:val="14"/>
                <w:szCs w:val="14"/>
              </w:rPr>
            </w:pPr>
          </w:p>
        </w:tc>
        <w:tc>
          <w:tcPr>
            <w:tcW w:w="808" w:type="dxa"/>
            <w:tcBorders>
              <w:top w:val="nil"/>
              <w:left w:val="nil"/>
              <w:bottom w:val="nil"/>
              <w:right w:val="nil"/>
            </w:tcBorders>
            <w:shd w:val="clear" w:color="auto" w:fill="auto"/>
            <w:noWrap/>
            <w:vAlign w:val="bottom"/>
            <w:hideMark/>
          </w:tcPr>
          <w:p w14:paraId="5BADAF07"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1356" w:type="dxa"/>
            <w:tcBorders>
              <w:top w:val="nil"/>
              <w:left w:val="nil"/>
              <w:bottom w:val="nil"/>
              <w:right w:val="nil"/>
            </w:tcBorders>
            <w:shd w:val="clear" w:color="auto" w:fill="auto"/>
            <w:noWrap/>
            <w:vAlign w:val="bottom"/>
            <w:hideMark/>
          </w:tcPr>
          <w:p w14:paraId="31209076"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251" w:type="dxa"/>
            <w:tcBorders>
              <w:top w:val="nil"/>
              <w:left w:val="nil"/>
              <w:bottom w:val="nil"/>
              <w:right w:val="nil"/>
            </w:tcBorders>
            <w:shd w:val="clear" w:color="auto" w:fill="auto"/>
            <w:noWrap/>
            <w:vAlign w:val="bottom"/>
            <w:hideMark/>
          </w:tcPr>
          <w:p w14:paraId="4952CE71"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963" w:type="dxa"/>
            <w:tcBorders>
              <w:top w:val="nil"/>
              <w:left w:val="nil"/>
              <w:bottom w:val="nil"/>
              <w:right w:val="nil"/>
            </w:tcBorders>
            <w:shd w:val="clear" w:color="auto" w:fill="auto"/>
            <w:noWrap/>
            <w:vAlign w:val="bottom"/>
            <w:hideMark/>
          </w:tcPr>
          <w:p w14:paraId="08C69B26"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-249.246</w:t>
            </w:r>
          </w:p>
        </w:tc>
        <w:tc>
          <w:tcPr>
            <w:tcW w:w="811" w:type="dxa"/>
            <w:tcBorders>
              <w:top w:val="nil"/>
              <w:left w:val="nil"/>
              <w:bottom w:val="nil"/>
              <w:right w:val="nil"/>
            </w:tcBorders>
            <w:shd w:val="clear" w:color="auto" w:fill="auto"/>
            <w:noWrap/>
            <w:vAlign w:val="bottom"/>
            <w:hideMark/>
          </w:tcPr>
          <w:p w14:paraId="463AA8F7"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p>
        </w:tc>
        <w:tc>
          <w:tcPr>
            <w:tcW w:w="790" w:type="dxa"/>
            <w:tcBorders>
              <w:top w:val="nil"/>
              <w:left w:val="nil"/>
              <w:bottom w:val="nil"/>
              <w:right w:val="nil"/>
            </w:tcBorders>
            <w:shd w:val="clear" w:color="auto" w:fill="auto"/>
            <w:noWrap/>
            <w:vAlign w:val="bottom"/>
            <w:hideMark/>
          </w:tcPr>
          <w:p w14:paraId="5370F35B" w14:textId="77777777" w:rsidR="003C73FB" w:rsidRPr="00C82EE1" w:rsidRDefault="003C73FB" w:rsidP="00184DCA">
            <w:pPr>
              <w:spacing w:after="0" w:line="240" w:lineRule="auto"/>
              <w:rPr>
                <w:rFonts w:ascii="Times New Roman" w:eastAsia="Times New Roman" w:hAnsi="Times New Roman" w:cs="Times New Roman"/>
                <w:sz w:val="14"/>
                <w:szCs w:val="14"/>
              </w:rPr>
            </w:pPr>
          </w:p>
        </w:tc>
        <w:tc>
          <w:tcPr>
            <w:tcW w:w="741" w:type="dxa"/>
            <w:tcBorders>
              <w:top w:val="nil"/>
              <w:left w:val="nil"/>
              <w:bottom w:val="nil"/>
              <w:right w:val="nil"/>
            </w:tcBorders>
            <w:shd w:val="clear" w:color="auto" w:fill="auto"/>
            <w:noWrap/>
            <w:vAlign w:val="bottom"/>
            <w:hideMark/>
          </w:tcPr>
          <w:p w14:paraId="2F34CBEB" w14:textId="77777777" w:rsidR="003C73FB" w:rsidRPr="00C82EE1" w:rsidRDefault="003C73FB" w:rsidP="00184DCA">
            <w:pPr>
              <w:spacing w:after="0" w:line="240" w:lineRule="auto"/>
              <w:rPr>
                <w:rFonts w:ascii="Times New Roman" w:eastAsia="Times New Roman" w:hAnsi="Times New Roman" w:cs="Times New Roman"/>
                <w:sz w:val="14"/>
                <w:szCs w:val="14"/>
              </w:rPr>
            </w:pPr>
          </w:p>
        </w:tc>
      </w:tr>
      <w:tr w:rsidR="003C73FB" w:rsidRPr="00C82EE1" w14:paraId="23C6EBC9" w14:textId="77777777" w:rsidTr="00960333">
        <w:trPr>
          <w:trHeight w:val="170"/>
          <w:jc w:val="center"/>
        </w:trPr>
        <w:tc>
          <w:tcPr>
            <w:tcW w:w="1843" w:type="dxa"/>
            <w:tcBorders>
              <w:top w:val="nil"/>
              <w:left w:val="nil"/>
              <w:bottom w:val="single" w:sz="4" w:space="0" w:color="auto"/>
              <w:right w:val="nil"/>
            </w:tcBorders>
            <w:shd w:val="clear" w:color="auto" w:fill="auto"/>
            <w:noWrap/>
            <w:vAlign w:val="bottom"/>
            <w:hideMark/>
          </w:tcPr>
          <w:p w14:paraId="18EB6CC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Akaike Inf. Crit.</w:t>
            </w:r>
          </w:p>
        </w:tc>
        <w:tc>
          <w:tcPr>
            <w:tcW w:w="932" w:type="dxa"/>
            <w:tcBorders>
              <w:top w:val="nil"/>
              <w:left w:val="nil"/>
              <w:bottom w:val="single" w:sz="4" w:space="0" w:color="auto"/>
              <w:right w:val="nil"/>
            </w:tcBorders>
            <w:shd w:val="clear" w:color="auto" w:fill="auto"/>
            <w:noWrap/>
            <w:vAlign w:val="bottom"/>
            <w:hideMark/>
          </w:tcPr>
          <w:p w14:paraId="1AB844C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11" w:type="dxa"/>
            <w:tcBorders>
              <w:top w:val="nil"/>
              <w:left w:val="nil"/>
              <w:bottom w:val="single" w:sz="4" w:space="0" w:color="auto"/>
              <w:right w:val="nil"/>
            </w:tcBorders>
            <w:shd w:val="clear" w:color="auto" w:fill="auto"/>
            <w:noWrap/>
            <w:vAlign w:val="bottom"/>
            <w:hideMark/>
          </w:tcPr>
          <w:p w14:paraId="2A33CBF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251" w:type="dxa"/>
            <w:tcBorders>
              <w:top w:val="nil"/>
              <w:left w:val="nil"/>
              <w:bottom w:val="single" w:sz="4" w:space="0" w:color="auto"/>
              <w:right w:val="nil"/>
            </w:tcBorders>
            <w:shd w:val="clear" w:color="auto" w:fill="auto"/>
            <w:noWrap/>
            <w:vAlign w:val="bottom"/>
            <w:hideMark/>
          </w:tcPr>
          <w:p w14:paraId="20242FED"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52" w:type="dxa"/>
            <w:tcBorders>
              <w:top w:val="nil"/>
              <w:left w:val="nil"/>
              <w:bottom w:val="single" w:sz="4" w:space="0" w:color="auto"/>
              <w:right w:val="nil"/>
            </w:tcBorders>
            <w:shd w:val="clear" w:color="auto" w:fill="auto"/>
            <w:noWrap/>
            <w:vAlign w:val="bottom"/>
            <w:hideMark/>
          </w:tcPr>
          <w:p w14:paraId="274F5A3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11" w:type="dxa"/>
            <w:tcBorders>
              <w:top w:val="nil"/>
              <w:left w:val="nil"/>
              <w:bottom w:val="single" w:sz="4" w:space="0" w:color="auto"/>
              <w:right w:val="nil"/>
            </w:tcBorders>
            <w:shd w:val="clear" w:color="auto" w:fill="auto"/>
            <w:noWrap/>
            <w:vAlign w:val="bottom"/>
            <w:hideMark/>
          </w:tcPr>
          <w:p w14:paraId="2A45800C"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251" w:type="dxa"/>
            <w:tcBorders>
              <w:top w:val="nil"/>
              <w:left w:val="nil"/>
              <w:bottom w:val="single" w:sz="4" w:space="0" w:color="auto"/>
              <w:right w:val="nil"/>
            </w:tcBorders>
            <w:shd w:val="clear" w:color="auto" w:fill="auto"/>
            <w:noWrap/>
            <w:vAlign w:val="bottom"/>
            <w:hideMark/>
          </w:tcPr>
          <w:p w14:paraId="474E1471" w14:textId="77777777" w:rsidR="003C73FB" w:rsidRPr="00C82EE1" w:rsidRDefault="003C73FB" w:rsidP="00184DCA">
            <w:pPr>
              <w:spacing w:after="0" w:line="240" w:lineRule="auto"/>
              <w:ind w:left="-524" w:firstLine="524"/>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808" w:type="dxa"/>
            <w:tcBorders>
              <w:top w:val="nil"/>
              <w:left w:val="nil"/>
              <w:bottom w:val="single" w:sz="4" w:space="0" w:color="auto"/>
              <w:right w:val="nil"/>
            </w:tcBorders>
            <w:shd w:val="clear" w:color="auto" w:fill="auto"/>
            <w:noWrap/>
            <w:vAlign w:val="bottom"/>
            <w:hideMark/>
          </w:tcPr>
          <w:p w14:paraId="197302DA"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1356" w:type="dxa"/>
            <w:tcBorders>
              <w:top w:val="nil"/>
              <w:left w:val="nil"/>
              <w:bottom w:val="single" w:sz="4" w:space="0" w:color="auto"/>
              <w:right w:val="nil"/>
            </w:tcBorders>
            <w:shd w:val="clear" w:color="auto" w:fill="auto"/>
            <w:noWrap/>
            <w:vAlign w:val="bottom"/>
            <w:hideMark/>
          </w:tcPr>
          <w:p w14:paraId="6C4129D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251" w:type="dxa"/>
            <w:tcBorders>
              <w:top w:val="nil"/>
              <w:left w:val="nil"/>
              <w:bottom w:val="single" w:sz="4" w:space="0" w:color="auto"/>
              <w:right w:val="nil"/>
            </w:tcBorders>
            <w:shd w:val="clear" w:color="auto" w:fill="auto"/>
            <w:noWrap/>
            <w:vAlign w:val="bottom"/>
            <w:hideMark/>
          </w:tcPr>
          <w:p w14:paraId="1AEE928B"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963" w:type="dxa"/>
            <w:tcBorders>
              <w:top w:val="nil"/>
              <w:left w:val="nil"/>
              <w:bottom w:val="single" w:sz="4" w:space="0" w:color="auto"/>
              <w:right w:val="nil"/>
            </w:tcBorders>
            <w:shd w:val="clear" w:color="auto" w:fill="auto"/>
            <w:noWrap/>
            <w:vAlign w:val="bottom"/>
            <w:hideMark/>
          </w:tcPr>
          <w:p w14:paraId="4D78A0F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604.492</w:t>
            </w:r>
          </w:p>
        </w:tc>
        <w:tc>
          <w:tcPr>
            <w:tcW w:w="811" w:type="dxa"/>
            <w:tcBorders>
              <w:top w:val="nil"/>
              <w:left w:val="nil"/>
              <w:bottom w:val="single" w:sz="4" w:space="0" w:color="auto"/>
              <w:right w:val="nil"/>
            </w:tcBorders>
            <w:shd w:val="clear" w:color="auto" w:fill="auto"/>
            <w:noWrap/>
            <w:vAlign w:val="bottom"/>
            <w:hideMark/>
          </w:tcPr>
          <w:p w14:paraId="27C3B544"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790" w:type="dxa"/>
            <w:tcBorders>
              <w:top w:val="nil"/>
              <w:left w:val="nil"/>
              <w:bottom w:val="single" w:sz="4" w:space="0" w:color="auto"/>
              <w:right w:val="nil"/>
            </w:tcBorders>
            <w:shd w:val="clear" w:color="auto" w:fill="auto"/>
            <w:noWrap/>
            <w:vAlign w:val="bottom"/>
            <w:hideMark/>
          </w:tcPr>
          <w:p w14:paraId="1A0DB883"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c>
          <w:tcPr>
            <w:tcW w:w="741" w:type="dxa"/>
            <w:tcBorders>
              <w:top w:val="nil"/>
              <w:left w:val="nil"/>
              <w:bottom w:val="single" w:sz="4" w:space="0" w:color="auto"/>
              <w:right w:val="nil"/>
            </w:tcBorders>
            <w:shd w:val="clear" w:color="auto" w:fill="auto"/>
            <w:noWrap/>
            <w:vAlign w:val="bottom"/>
            <w:hideMark/>
          </w:tcPr>
          <w:p w14:paraId="1B6C4605" w14:textId="77777777" w:rsidR="003C73FB" w:rsidRPr="00C82EE1" w:rsidRDefault="003C73FB" w:rsidP="00184DCA">
            <w:pPr>
              <w:spacing w:after="0" w:line="240" w:lineRule="auto"/>
              <w:rPr>
                <w:rFonts w:ascii="Times New Roman" w:eastAsia="Times New Roman" w:hAnsi="Times New Roman" w:cs="Times New Roman"/>
                <w:color w:val="000000"/>
                <w:sz w:val="14"/>
                <w:szCs w:val="14"/>
              </w:rPr>
            </w:pPr>
            <w:r w:rsidRPr="00C82EE1">
              <w:rPr>
                <w:rFonts w:ascii="Times New Roman" w:eastAsia="Times New Roman" w:hAnsi="Times New Roman" w:cs="Times New Roman"/>
                <w:color w:val="000000"/>
                <w:sz w:val="14"/>
                <w:szCs w:val="14"/>
              </w:rPr>
              <w:t> </w:t>
            </w:r>
          </w:p>
        </w:tc>
      </w:tr>
      <w:tr w:rsidR="003C73FB" w:rsidRPr="00C82EE1" w14:paraId="1DC6B875" w14:textId="77777777" w:rsidTr="00960333">
        <w:trPr>
          <w:trHeight w:val="11"/>
          <w:jc w:val="center"/>
        </w:trPr>
        <w:tc>
          <w:tcPr>
            <w:tcW w:w="11471" w:type="dxa"/>
            <w:gridSpan w:val="14"/>
            <w:tcBorders>
              <w:top w:val="single" w:sz="4" w:space="0" w:color="auto"/>
              <w:left w:val="nil"/>
              <w:bottom w:val="nil"/>
              <w:right w:val="nil"/>
            </w:tcBorders>
            <w:shd w:val="clear" w:color="auto" w:fill="auto"/>
            <w:vAlign w:val="bottom"/>
            <w:hideMark/>
          </w:tcPr>
          <w:p w14:paraId="215039D1" w14:textId="483885AF" w:rsidR="003C73FB" w:rsidRPr="00C82EE1" w:rsidRDefault="003C73FB" w:rsidP="00184DCA">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i/>
                <w:iCs/>
                <w:color w:val="000000"/>
                <w:sz w:val="20"/>
                <w:szCs w:val="20"/>
              </w:rPr>
              <w:t xml:space="preserve">Notes. </w:t>
            </w:r>
            <w:r w:rsidRPr="00C82EE1">
              <w:rPr>
                <w:rFonts w:ascii="Times New Roman" w:eastAsia="Times New Roman" w:hAnsi="Times New Roman" w:cs="Times New Roman"/>
                <w:color w:val="000000"/>
                <w:sz w:val="20"/>
                <w:szCs w:val="20"/>
              </w:rPr>
              <w:t xml:space="preserve">This table shows the OLS regression results. Variable definitions are provided in Table 1. </w:t>
            </w:r>
            <m:oMath>
              <m:r>
                <w:rPr>
                  <w:rFonts w:ascii="Cambria Math" w:hAnsi="Cambria Math" w:cs="Times New Roman"/>
                  <w:sz w:val="20"/>
                  <w:szCs w:val="20"/>
                </w:rPr>
                <m:t>Rating dispersion</m:t>
              </m:r>
            </m:oMath>
            <w:r w:rsidRPr="00C82EE1">
              <w:rPr>
                <w:rFonts w:ascii="Times New Roman" w:hAnsi="Times New Roman" w:cs="Times New Roman"/>
                <w:sz w:val="20"/>
                <w:szCs w:val="20"/>
              </w:rPr>
              <w:t xml:space="preserve"> is measured as the standard deviation of expert evaluations for the same ICO project across different aggregator platforms. Model (7) and (8) explore the attention channel relevant to institutional investors, while Model (8) and (9) focus on retail investor attention.</w:t>
            </w:r>
            <w:r w:rsidRPr="00C82EE1">
              <w:rPr>
                <w:rFonts w:ascii="Times New Roman" w:eastAsia="Times New Roman" w:hAnsi="Times New Roman" w:cs="Times New Roman"/>
                <w:color w:val="000000"/>
                <w:sz w:val="20"/>
                <w:szCs w:val="20"/>
              </w:rPr>
              <w:t xml:space="preserve"> Standard errors are clustered at the </w:t>
            </w:r>
            <w:r w:rsidR="00094ADF">
              <w:rPr>
                <w:rFonts w:ascii="Times New Roman" w:eastAsia="Times New Roman" w:hAnsi="Times New Roman" w:cs="Times New Roman"/>
                <w:color w:val="000000"/>
                <w:sz w:val="20"/>
                <w:szCs w:val="20"/>
              </w:rPr>
              <w:t>y</w:t>
            </w:r>
            <w:r w:rsidR="00094ADF" w:rsidRPr="00094ADF">
              <w:rPr>
                <w:rFonts w:ascii="Times New Roman" w:eastAsia="Times New Roman" w:hAnsi="Times New Roman" w:cs="Times New Roman"/>
                <w:color w:val="000000"/>
                <w:sz w:val="20"/>
                <w:szCs w:val="20"/>
              </w:rPr>
              <w:t>ear-</w:t>
            </w:r>
            <w:r w:rsidR="00094ADF">
              <w:rPr>
                <w:rFonts w:ascii="Times New Roman" w:eastAsia="Times New Roman" w:hAnsi="Times New Roman" w:cs="Times New Roman"/>
                <w:color w:val="000000"/>
                <w:sz w:val="20"/>
                <w:szCs w:val="20"/>
              </w:rPr>
              <w:t>q</w:t>
            </w:r>
            <w:r w:rsidR="00094ADF" w:rsidRPr="00094ADF">
              <w:rPr>
                <w:rFonts w:ascii="Times New Roman" w:eastAsia="Times New Roman" w:hAnsi="Times New Roman" w:cs="Times New Roman"/>
                <w:color w:val="000000"/>
                <w:sz w:val="20"/>
                <w:szCs w:val="20"/>
              </w:rPr>
              <w:t>uarter</w:t>
            </w:r>
            <w:r w:rsidRPr="00C82EE1">
              <w:rPr>
                <w:rFonts w:ascii="Times New Roman" w:eastAsia="Times New Roman" w:hAnsi="Times New Roman" w:cs="Times New Roman"/>
                <w:color w:val="000000"/>
                <w:sz w:val="20"/>
                <w:szCs w:val="20"/>
              </w:rPr>
              <w:t xml:space="preserve"> level. Significance levels: * indicates p&lt;0.1, ** indicates p&lt;0.05, *** indicates p&lt;0.01.</w:t>
            </w:r>
          </w:p>
        </w:tc>
      </w:tr>
    </w:tbl>
    <w:p w14:paraId="3EA9DADE" w14:textId="153E5BA8" w:rsidR="00086E4A" w:rsidRPr="00C82EE1" w:rsidRDefault="00086E4A" w:rsidP="00086E4A">
      <w:pPr>
        <w:jc w:val="center"/>
        <w:rPr>
          <w:rFonts w:ascii="Times New Roman" w:hAnsi="Times New Roman" w:cs="Times New Roman"/>
          <w:sz w:val="24"/>
          <w:szCs w:val="24"/>
        </w:rPr>
      </w:pPr>
    </w:p>
    <w:p w14:paraId="7B50B252" w14:textId="0D5CA9F8" w:rsidR="00086E4A" w:rsidRDefault="00086E4A" w:rsidP="00026FCB">
      <w:pPr>
        <w:jc w:val="both"/>
        <w:rPr>
          <w:rFonts w:ascii="Times New Roman" w:hAnsi="Times New Roman" w:cs="Times New Roman"/>
          <w:sz w:val="24"/>
          <w:szCs w:val="24"/>
        </w:rPr>
      </w:pPr>
    </w:p>
    <w:p w14:paraId="36F15634" w14:textId="77777777" w:rsidR="000B4071" w:rsidRDefault="000B4071" w:rsidP="00026FCB">
      <w:pPr>
        <w:jc w:val="both"/>
        <w:rPr>
          <w:rFonts w:ascii="Times New Roman" w:hAnsi="Times New Roman" w:cs="Times New Roman"/>
          <w:sz w:val="24"/>
          <w:szCs w:val="24"/>
        </w:rPr>
      </w:pPr>
    </w:p>
    <w:p w14:paraId="1461D78A" w14:textId="77777777" w:rsidR="00B35D3F" w:rsidRDefault="00B35D3F" w:rsidP="00026FCB">
      <w:pPr>
        <w:jc w:val="both"/>
        <w:rPr>
          <w:rFonts w:ascii="Times New Roman" w:hAnsi="Times New Roman" w:cs="Times New Roman"/>
          <w:sz w:val="24"/>
          <w:szCs w:val="24"/>
        </w:rPr>
      </w:pPr>
    </w:p>
    <w:p w14:paraId="794DC19A" w14:textId="77777777" w:rsidR="00B35D3F" w:rsidRPr="00C82EE1" w:rsidRDefault="00B35D3F" w:rsidP="00026FCB">
      <w:pPr>
        <w:jc w:val="both"/>
        <w:rPr>
          <w:rFonts w:ascii="Times New Roman" w:hAnsi="Times New Roman" w:cs="Times New Roman"/>
          <w:sz w:val="24"/>
          <w:szCs w:val="24"/>
        </w:rPr>
      </w:pPr>
    </w:p>
    <w:tbl>
      <w:tblPr>
        <w:tblW w:w="10915" w:type="dxa"/>
        <w:jc w:val="center"/>
        <w:tblLook w:val="04A0" w:firstRow="1" w:lastRow="0" w:firstColumn="1" w:lastColumn="0" w:noHBand="0" w:noVBand="1"/>
      </w:tblPr>
      <w:tblGrid>
        <w:gridCol w:w="2366"/>
        <w:gridCol w:w="1064"/>
        <w:gridCol w:w="1055"/>
        <w:gridCol w:w="284"/>
        <w:gridCol w:w="1468"/>
        <w:gridCol w:w="1560"/>
        <w:gridCol w:w="284"/>
        <w:gridCol w:w="1417"/>
        <w:gridCol w:w="1417"/>
      </w:tblGrid>
      <w:tr w:rsidR="0093472B" w:rsidRPr="00C82EE1" w14:paraId="503EF23D" w14:textId="77777777" w:rsidTr="0007748C">
        <w:trPr>
          <w:trHeight w:val="227"/>
          <w:jc w:val="center"/>
        </w:trPr>
        <w:tc>
          <w:tcPr>
            <w:tcW w:w="10915" w:type="dxa"/>
            <w:gridSpan w:val="9"/>
            <w:tcBorders>
              <w:top w:val="nil"/>
              <w:left w:val="nil"/>
              <w:bottom w:val="single" w:sz="4" w:space="0" w:color="auto"/>
              <w:right w:val="nil"/>
            </w:tcBorders>
            <w:shd w:val="clear" w:color="auto" w:fill="auto"/>
            <w:noWrap/>
            <w:vAlign w:val="bottom"/>
            <w:hideMark/>
          </w:tcPr>
          <w:p w14:paraId="1668FB20" w14:textId="554990A0" w:rsidR="003C73FB" w:rsidRPr="00C82EE1" w:rsidRDefault="0093472B" w:rsidP="00E223E9">
            <w:pPr>
              <w:spacing w:after="240" w:line="240" w:lineRule="auto"/>
              <w:jc w:val="center"/>
              <w:rPr>
                <w:rFonts w:ascii="Times New Roman" w:eastAsia="Times New Roman" w:hAnsi="Times New Roman" w:cs="Times New Roman"/>
                <w:b/>
                <w:bCs/>
                <w:color w:val="000000"/>
                <w:sz w:val="28"/>
                <w:szCs w:val="24"/>
              </w:rPr>
            </w:pPr>
            <w:r w:rsidRPr="00C82EE1">
              <w:rPr>
                <w:rFonts w:ascii="Times New Roman" w:eastAsia="Times New Roman" w:hAnsi="Times New Roman" w:cs="Times New Roman"/>
                <w:b/>
                <w:bCs/>
                <w:color w:val="000000"/>
                <w:sz w:val="28"/>
                <w:szCs w:val="24"/>
              </w:rPr>
              <w:t>Table 7: Cross-sectional analysis</w:t>
            </w:r>
            <w:r w:rsidR="003C73FB" w:rsidRPr="00C82EE1">
              <w:rPr>
                <w:rFonts w:ascii="Times New Roman" w:eastAsia="Times New Roman" w:hAnsi="Times New Roman" w:cs="Times New Roman"/>
                <w:b/>
                <w:bCs/>
                <w:color w:val="000000"/>
                <w:sz w:val="28"/>
                <w:szCs w:val="24"/>
              </w:rPr>
              <w:t>.</w:t>
            </w:r>
          </w:p>
          <w:p w14:paraId="2E460BC9" w14:textId="77777777" w:rsidR="0093472B" w:rsidRPr="00C82EE1" w:rsidRDefault="0093472B" w:rsidP="00026FCB">
            <w:pPr>
              <w:spacing w:after="0" w:line="240" w:lineRule="auto"/>
              <w:jc w:val="both"/>
              <w:rPr>
                <w:rFonts w:ascii="Times New Roman" w:eastAsia="Times New Roman" w:hAnsi="Times New Roman" w:cs="Times New Roman"/>
                <w:b/>
                <w:bCs/>
                <w:color w:val="000000"/>
                <w:sz w:val="24"/>
                <w:szCs w:val="24"/>
              </w:rPr>
            </w:pPr>
          </w:p>
        </w:tc>
      </w:tr>
      <w:tr w:rsidR="0007748C" w:rsidRPr="00C82EE1" w14:paraId="3C0473B1" w14:textId="77777777" w:rsidTr="0007748C">
        <w:trPr>
          <w:trHeight w:val="227"/>
          <w:jc w:val="center"/>
        </w:trPr>
        <w:tc>
          <w:tcPr>
            <w:tcW w:w="2366" w:type="dxa"/>
            <w:tcBorders>
              <w:top w:val="single" w:sz="4" w:space="0" w:color="auto"/>
              <w:left w:val="nil"/>
              <w:bottom w:val="single" w:sz="4" w:space="0" w:color="auto"/>
              <w:right w:val="nil"/>
            </w:tcBorders>
            <w:shd w:val="clear" w:color="auto" w:fill="auto"/>
            <w:noWrap/>
            <w:vAlign w:val="bottom"/>
            <w:hideMark/>
          </w:tcPr>
          <w:p w14:paraId="19DFEE4C" w14:textId="19F1234B" w:rsidR="0007748C" w:rsidRPr="00C82EE1" w:rsidRDefault="0007748C" w:rsidP="0007748C">
            <w:pPr>
              <w:spacing w:after="0" w:line="240" w:lineRule="auto"/>
              <w:jc w:val="both"/>
              <w:rPr>
                <w:rFonts w:ascii="Times New Roman" w:eastAsia="Times New Roman" w:hAnsi="Times New Roman" w:cs="Times New Roman"/>
                <w:b/>
                <w:bCs/>
                <w:color w:val="000000"/>
                <w:sz w:val="20"/>
                <w:szCs w:val="20"/>
              </w:rPr>
            </w:pPr>
            <w:r w:rsidRPr="00C82EE1">
              <w:rPr>
                <w:rFonts w:ascii="Times New Roman" w:hAnsi="Times New Roman" w:cs="Times New Roman"/>
                <w:b/>
                <w:bCs/>
                <w:color w:val="000000"/>
              </w:rPr>
              <w:t>Dependent variable</w:t>
            </w:r>
          </w:p>
        </w:tc>
        <w:tc>
          <w:tcPr>
            <w:tcW w:w="8549" w:type="dxa"/>
            <w:gridSpan w:val="8"/>
            <w:tcBorders>
              <w:top w:val="single" w:sz="4" w:space="0" w:color="auto"/>
              <w:left w:val="nil"/>
              <w:bottom w:val="single" w:sz="4" w:space="0" w:color="auto"/>
              <w:right w:val="nil"/>
            </w:tcBorders>
            <w:shd w:val="clear" w:color="auto" w:fill="auto"/>
            <w:noWrap/>
            <w:vAlign w:val="bottom"/>
            <w:hideMark/>
          </w:tcPr>
          <w:p w14:paraId="3EC58ECF" w14:textId="055536F9" w:rsidR="0007748C" w:rsidRPr="00C82EE1" w:rsidRDefault="0007748C" w:rsidP="0007748C">
            <w:pPr>
              <w:spacing w:after="0" w:line="240" w:lineRule="auto"/>
              <w:jc w:val="center"/>
              <w:rPr>
                <w:rFonts w:ascii="Times New Roman" w:eastAsia="Times New Roman" w:hAnsi="Times New Roman" w:cs="Times New Roman"/>
                <w:b/>
                <w:i/>
                <w:color w:val="000000"/>
                <w:sz w:val="20"/>
                <w:szCs w:val="20"/>
              </w:rPr>
            </w:pPr>
            <w:r w:rsidRPr="00C82EE1">
              <w:rPr>
                <w:rFonts w:ascii="Times New Roman" w:hAnsi="Times New Roman" w:cs="Times New Roman"/>
                <w:b/>
                <w:i/>
                <w:color w:val="000000"/>
              </w:rPr>
              <w:t>Amount raised</w:t>
            </w:r>
          </w:p>
        </w:tc>
      </w:tr>
      <w:tr w:rsidR="0093472B" w:rsidRPr="00C82EE1" w14:paraId="3CC2B10B"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11D714A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2119" w:type="dxa"/>
            <w:gridSpan w:val="2"/>
            <w:tcBorders>
              <w:top w:val="nil"/>
              <w:left w:val="nil"/>
              <w:bottom w:val="single" w:sz="4" w:space="0" w:color="auto"/>
              <w:right w:val="nil"/>
            </w:tcBorders>
            <w:shd w:val="clear" w:color="auto" w:fill="auto"/>
            <w:noWrap/>
            <w:vAlign w:val="bottom"/>
            <w:hideMark/>
          </w:tcPr>
          <w:p w14:paraId="033F61B3" w14:textId="553CD0B6" w:rsidR="0093472B" w:rsidRPr="00C82EE1" w:rsidRDefault="0093472B" w:rsidP="0007748C">
            <w:pPr>
              <w:spacing w:after="0" w:line="240" w:lineRule="auto"/>
              <w:jc w:val="center"/>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Panel A: Literacy rate</w:t>
            </w:r>
          </w:p>
        </w:tc>
        <w:tc>
          <w:tcPr>
            <w:tcW w:w="284" w:type="dxa"/>
            <w:tcBorders>
              <w:top w:val="nil"/>
              <w:left w:val="nil"/>
              <w:bottom w:val="nil"/>
              <w:right w:val="nil"/>
            </w:tcBorders>
            <w:shd w:val="clear" w:color="auto" w:fill="auto"/>
            <w:noWrap/>
            <w:vAlign w:val="bottom"/>
            <w:hideMark/>
          </w:tcPr>
          <w:p w14:paraId="3193B126" w14:textId="77777777" w:rsidR="0093472B" w:rsidRPr="00C82EE1" w:rsidRDefault="0093472B" w:rsidP="0007748C">
            <w:pPr>
              <w:spacing w:after="0" w:line="240" w:lineRule="auto"/>
              <w:jc w:val="center"/>
              <w:rPr>
                <w:rFonts w:ascii="Times New Roman" w:eastAsia="Times New Roman" w:hAnsi="Times New Roman" w:cs="Times New Roman"/>
                <w:i/>
                <w:iCs/>
                <w:color w:val="000000"/>
                <w:sz w:val="20"/>
                <w:szCs w:val="20"/>
              </w:rPr>
            </w:pPr>
          </w:p>
        </w:tc>
        <w:tc>
          <w:tcPr>
            <w:tcW w:w="3028" w:type="dxa"/>
            <w:gridSpan w:val="2"/>
            <w:tcBorders>
              <w:top w:val="nil"/>
              <w:left w:val="nil"/>
              <w:bottom w:val="single" w:sz="4" w:space="0" w:color="auto"/>
              <w:right w:val="nil"/>
            </w:tcBorders>
            <w:shd w:val="clear" w:color="auto" w:fill="auto"/>
            <w:noWrap/>
            <w:vAlign w:val="bottom"/>
            <w:hideMark/>
          </w:tcPr>
          <w:p w14:paraId="09FFBD3A" w14:textId="4D0E3D39" w:rsidR="0093472B" w:rsidRPr="00C82EE1" w:rsidRDefault="0093472B" w:rsidP="0007748C">
            <w:pPr>
              <w:spacing w:after="0" w:line="240" w:lineRule="auto"/>
              <w:jc w:val="center"/>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 xml:space="preserve">Panel B: </w:t>
            </w:r>
            <w:proofErr w:type="spellStart"/>
            <w:r w:rsidRPr="00C82EE1">
              <w:rPr>
                <w:rFonts w:ascii="Times New Roman" w:eastAsia="Times New Roman" w:hAnsi="Times New Roman" w:cs="Times New Roman"/>
                <w:i/>
                <w:iCs/>
                <w:color w:val="000000"/>
                <w:sz w:val="20"/>
                <w:szCs w:val="20"/>
              </w:rPr>
              <w:t>CEO</w:t>
            </w:r>
            <w:r w:rsidR="00C1570E">
              <w:rPr>
                <w:rFonts w:ascii="Times New Roman" w:eastAsia="Times New Roman" w:hAnsi="Times New Roman" w:cs="Times New Roman"/>
                <w:i/>
                <w:iCs/>
                <w:color w:val="000000"/>
                <w:sz w:val="20"/>
                <w:szCs w:val="20"/>
              </w:rPr>
              <w:t>Degree</w:t>
            </w:r>
            <w:proofErr w:type="spellEnd"/>
          </w:p>
        </w:tc>
        <w:tc>
          <w:tcPr>
            <w:tcW w:w="284" w:type="dxa"/>
            <w:tcBorders>
              <w:top w:val="nil"/>
              <w:left w:val="nil"/>
              <w:bottom w:val="nil"/>
              <w:right w:val="nil"/>
            </w:tcBorders>
            <w:shd w:val="clear" w:color="auto" w:fill="auto"/>
            <w:noWrap/>
            <w:vAlign w:val="bottom"/>
            <w:hideMark/>
          </w:tcPr>
          <w:p w14:paraId="330B09F3" w14:textId="77777777" w:rsidR="0093472B" w:rsidRPr="00C82EE1" w:rsidRDefault="0093472B" w:rsidP="0007748C">
            <w:pPr>
              <w:spacing w:after="0" w:line="240" w:lineRule="auto"/>
              <w:jc w:val="center"/>
              <w:rPr>
                <w:rFonts w:ascii="Times New Roman" w:eastAsia="Times New Roman" w:hAnsi="Times New Roman" w:cs="Times New Roman"/>
                <w:i/>
                <w:iCs/>
                <w:color w:val="000000"/>
                <w:sz w:val="20"/>
                <w:szCs w:val="20"/>
              </w:rPr>
            </w:pPr>
          </w:p>
        </w:tc>
        <w:tc>
          <w:tcPr>
            <w:tcW w:w="2834" w:type="dxa"/>
            <w:gridSpan w:val="2"/>
            <w:tcBorders>
              <w:top w:val="nil"/>
              <w:left w:val="nil"/>
              <w:bottom w:val="single" w:sz="4" w:space="0" w:color="auto"/>
              <w:right w:val="nil"/>
            </w:tcBorders>
            <w:shd w:val="clear" w:color="auto" w:fill="auto"/>
            <w:noWrap/>
            <w:vAlign w:val="bottom"/>
            <w:hideMark/>
          </w:tcPr>
          <w:p w14:paraId="49898BBD" w14:textId="736B509B" w:rsidR="0093472B" w:rsidRPr="00C82EE1" w:rsidRDefault="0093472B" w:rsidP="0007748C">
            <w:pPr>
              <w:spacing w:after="0" w:line="240" w:lineRule="auto"/>
              <w:jc w:val="center"/>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Panel C: Code</w:t>
            </w:r>
          </w:p>
        </w:tc>
      </w:tr>
      <w:tr w:rsidR="0093472B" w:rsidRPr="00C82EE1" w14:paraId="16AAB093"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140ED59B"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p>
        </w:tc>
        <w:tc>
          <w:tcPr>
            <w:tcW w:w="1064" w:type="dxa"/>
            <w:tcBorders>
              <w:top w:val="nil"/>
              <w:left w:val="nil"/>
              <w:bottom w:val="nil"/>
              <w:right w:val="nil"/>
            </w:tcBorders>
            <w:shd w:val="clear" w:color="auto" w:fill="auto"/>
            <w:noWrap/>
            <w:vAlign w:val="bottom"/>
            <w:hideMark/>
          </w:tcPr>
          <w:p w14:paraId="18255049" w14:textId="77777777" w:rsidR="0093472B" w:rsidRPr="00C82EE1" w:rsidRDefault="0093472B" w:rsidP="008355AB">
            <w:pPr>
              <w:spacing w:after="0" w:line="240" w:lineRule="auto"/>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&lt; median</w:t>
            </w:r>
          </w:p>
        </w:tc>
        <w:tc>
          <w:tcPr>
            <w:tcW w:w="1055" w:type="dxa"/>
            <w:tcBorders>
              <w:top w:val="nil"/>
              <w:left w:val="nil"/>
              <w:bottom w:val="nil"/>
              <w:right w:val="nil"/>
            </w:tcBorders>
            <w:shd w:val="clear" w:color="auto" w:fill="auto"/>
            <w:noWrap/>
            <w:vAlign w:val="bottom"/>
            <w:hideMark/>
          </w:tcPr>
          <w:p w14:paraId="6A85C41A" w14:textId="77777777" w:rsidR="0093472B" w:rsidRPr="00C82EE1" w:rsidRDefault="0093472B" w:rsidP="008355AB">
            <w:pPr>
              <w:spacing w:after="0" w:line="240" w:lineRule="auto"/>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median</w:t>
            </w:r>
          </w:p>
        </w:tc>
        <w:tc>
          <w:tcPr>
            <w:tcW w:w="284" w:type="dxa"/>
            <w:tcBorders>
              <w:top w:val="nil"/>
              <w:left w:val="nil"/>
              <w:bottom w:val="nil"/>
              <w:right w:val="nil"/>
            </w:tcBorders>
            <w:shd w:val="clear" w:color="auto" w:fill="auto"/>
            <w:noWrap/>
            <w:vAlign w:val="bottom"/>
            <w:hideMark/>
          </w:tcPr>
          <w:p w14:paraId="28C11381" w14:textId="77777777" w:rsidR="0093472B" w:rsidRPr="00C82EE1" w:rsidRDefault="0093472B" w:rsidP="008355AB">
            <w:pPr>
              <w:spacing w:after="0" w:line="240" w:lineRule="auto"/>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2161196" w14:textId="77777777" w:rsidR="0093472B" w:rsidRPr="00C82EE1" w:rsidRDefault="0093472B" w:rsidP="008355AB">
            <w:pPr>
              <w:spacing w:after="0" w:line="240" w:lineRule="auto"/>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Low education</w:t>
            </w:r>
          </w:p>
        </w:tc>
        <w:tc>
          <w:tcPr>
            <w:tcW w:w="1560" w:type="dxa"/>
            <w:tcBorders>
              <w:top w:val="nil"/>
              <w:left w:val="nil"/>
              <w:bottom w:val="nil"/>
              <w:right w:val="nil"/>
            </w:tcBorders>
            <w:shd w:val="clear" w:color="auto" w:fill="auto"/>
            <w:noWrap/>
            <w:vAlign w:val="bottom"/>
            <w:hideMark/>
          </w:tcPr>
          <w:p w14:paraId="73AD532C" w14:textId="77777777" w:rsidR="0093472B" w:rsidRPr="00C82EE1" w:rsidRDefault="0093472B" w:rsidP="008355AB">
            <w:pPr>
              <w:spacing w:after="0" w:line="240" w:lineRule="auto"/>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High education</w:t>
            </w:r>
          </w:p>
        </w:tc>
        <w:tc>
          <w:tcPr>
            <w:tcW w:w="284" w:type="dxa"/>
            <w:tcBorders>
              <w:top w:val="nil"/>
              <w:left w:val="nil"/>
              <w:bottom w:val="nil"/>
              <w:right w:val="nil"/>
            </w:tcBorders>
            <w:shd w:val="clear" w:color="auto" w:fill="auto"/>
            <w:noWrap/>
            <w:vAlign w:val="bottom"/>
            <w:hideMark/>
          </w:tcPr>
          <w:p w14:paraId="5B5CBB37" w14:textId="77777777" w:rsidR="0093472B" w:rsidRPr="00C82EE1" w:rsidRDefault="0093472B" w:rsidP="008355AB">
            <w:pPr>
              <w:spacing w:after="0" w:line="240" w:lineRule="auto"/>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0F870D1E" w14:textId="77777777" w:rsidR="0093472B" w:rsidRPr="00C82EE1" w:rsidRDefault="0093472B" w:rsidP="008355AB">
            <w:pPr>
              <w:spacing w:after="0" w:line="240" w:lineRule="auto"/>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Code absence</w:t>
            </w:r>
          </w:p>
        </w:tc>
        <w:tc>
          <w:tcPr>
            <w:tcW w:w="1417" w:type="dxa"/>
            <w:tcBorders>
              <w:top w:val="nil"/>
              <w:left w:val="nil"/>
              <w:bottom w:val="nil"/>
              <w:right w:val="nil"/>
            </w:tcBorders>
            <w:shd w:val="clear" w:color="auto" w:fill="auto"/>
            <w:noWrap/>
            <w:vAlign w:val="bottom"/>
            <w:hideMark/>
          </w:tcPr>
          <w:p w14:paraId="4B0EED19" w14:textId="77777777" w:rsidR="0093472B" w:rsidRPr="00C82EE1" w:rsidRDefault="0093472B" w:rsidP="008355AB">
            <w:pPr>
              <w:spacing w:after="0" w:line="240" w:lineRule="auto"/>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Code presence</w:t>
            </w:r>
          </w:p>
        </w:tc>
      </w:tr>
      <w:tr w:rsidR="0093472B" w:rsidRPr="00C82EE1" w14:paraId="379FC0C4" w14:textId="77777777" w:rsidTr="0007748C">
        <w:trPr>
          <w:trHeight w:val="227"/>
          <w:jc w:val="center"/>
        </w:trPr>
        <w:tc>
          <w:tcPr>
            <w:tcW w:w="2366" w:type="dxa"/>
            <w:tcBorders>
              <w:top w:val="nil"/>
              <w:left w:val="nil"/>
              <w:bottom w:val="single" w:sz="4" w:space="0" w:color="auto"/>
              <w:right w:val="nil"/>
            </w:tcBorders>
            <w:shd w:val="clear" w:color="auto" w:fill="auto"/>
            <w:noWrap/>
            <w:vAlign w:val="bottom"/>
            <w:hideMark/>
          </w:tcPr>
          <w:p w14:paraId="2D44BEB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Model</w:t>
            </w:r>
          </w:p>
        </w:tc>
        <w:tc>
          <w:tcPr>
            <w:tcW w:w="1064" w:type="dxa"/>
            <w:tcBorders>
              <w:top w:val="nil"/>
              <w:left w:val="nil"/>
              <w:bottom w:val="single" w:sz="4" w:space="0" w:color="auto"/>
              <w:right w:val="nil"/>
            </w:tcBorders>
            <w:shd w:val="clear" w:color="auto" w:fill="auto"/>
            <w:noWrap/>
            <w:vAlign w:val="bottom"/>
            <w:hideMark/>
          </w:tcPr>
          <w:p w14:paraId="4156092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w:t>
            </w:r>
          </w:p>
        </w:tc>
        <w:tc>
          <w:tcPr>
            <w:tcW w:w="1055" w:type="dxa"/>
            <w:tcBorders>
              <w:top w:val="nil"/>
              <w:left w:val="nil"/>
              <w:bottom w:val="single" w:sz="4" w:space="0" w:color="auto"/>
              <w:right w:val="nil"/>
            </w:tcBorders>
            <w:shd w:val="clear" w:color="auto" w:fill="auto"/>
            <w:noWrap/>
            <w:vAlign w:val="bottom"/>
            <w:hideMark/>
          </w:tcPr>
          <w:p w14:paraId="1CA9719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(2)</w:t>
            </w:r>
          </w:p>
        </w:tc>
        <w:tc>
          <w:tcPr>
            <w:tcW w:w="284" w:type="dxa"/>
            <w:tcBorders>
              <w:top w:val="nil"/>
              <w:left w:val="nil"/>
              <w:bottom w:val="single" w:sz="4" w:space="0" w:color="auto"/>
              <w:right w:val="nil"/>
            </w:tcBorders>
            <w:shd w:val="clear" w:color="auto" w:fill="auto"/>
            <w:noWrap/>
            <w:vAlign w:val="bottom"/>
            <w:hideMark/>
          </w:tcPr>
          <w:p w14:paraId="2B765FB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468" w:type="dxa"/>
            <w:tcBorders>
              <w:top w:val="nil"/>
              <w:left w:val="nil"/>
              <w:bottom w:val="single" w:sz="4" w:space="0" w:color="auto"/>
              <w:right w:val="nil"/>
            </w:tcBorders>
            <w:shd w:val="clear" w:color="auto" w:fill="auto"/>
            <w:noWrap/>
            <w:vAlign w:val="bottom"/>
            <w:hideMark/>
          </w:tcPr>
          <w:p w14:paraId="7743482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(3)</w:t>
            </w:r>
          </w:p>
        </w:tc>
        <w:tc>
          <w:tcPr>
            <w:tcW w:w="1560" w:type="dxa"/>
            <w:tcBorders>
              <w:top w:val="nil"/>
              <w:left w:val="nil"/>
              <w:bottom w:val="single" w:sz="4" w:space="0" w:color="auto"/>
              <w:right w:val="nil"/>
            </w:tcBorders>
            <w:shd w:val="clear" w:color="auto" w:fill="auto"/>
            <w:noWrap/>
            <w:vAlign w:val="bottom"/>
            <w:hideMark/>
          </w:tcPr>
          <w:p w14:paraId="6B34A58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(4)</w:t>
            </w:r>
          </w:p>
        </w:tc>
        <w:tc>
          <w:tcPr>
            <w:tcW w:w="284" w:type="dxa"/>
            <w:tcBorders>
              <w:top w:val="nil"/>
              <w:left w:val="nil"/>
              <w:bottom w:val="single" w:sz="4" w:space="0" w:color="auto"/>
              <w:right w:val="nil"/>
            </w:tcBorders>
            <w:shd w:val="clear" w:color="auto" w:fill="auto"/>
            <w:noWrap/>
            <w:vAlign w:val="bottom"/>
            <w:hideMark/>
          </w:tcPr>
          <w:p w14:paraId="5DBE713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417" w:type="dxa"/>
            <w:tcBorders>
              <w:top w:val="nil"/>
              <w:left w:val="nil"/>
              <w:bottom w:val="single" w:sz="4" w:space="0" w:color="auto"/>
              <w:right w:val="nil"/>
            </w:tcBorders>
            <w:shd w:val="clear" w:color="auto" w:fill="auto"/>
            <w:noWrap/>
            <w:vAlign w:val="bottom"/>
            <w:hideMark/>
          </w:tcPr>
          <w:p w14:paraId="6E0A816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(5)</w:t>
            </w:r>
          </w:p>
        </w:tc>
        <w:tc>
          <w:tcPr>
            <w:tcW w:w="1417" w:type="dxa"/>
            <w:tcBorders>
              <w:top w:val="nil"/>
              <w:left w:val="nil"/>
              <w:bottom w:val="single" w:sz="4" w:space="0" w:color="auto"/>
              <w:right w:val="nil"/>
            </w:tcBorders>
            <w:shd w:val="clear" w:color="auto" w:fill="auto"/>
            <w:noWrap/>
            <w:vAlign w:val="bottom"/>
            <w:hideMark/>
          </w:tcPr>
          <w:p w14:paraId="24143E1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(6)</w:t>
            </w:r>
          </w:p>
        </w:tc>
      </w:tr>
      <w:tr w:rsidR="0093472B" w:rsidRPr="00C82EE1" w14:paraId="19542203"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06B2FE11"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Constant</w:t>
            </w:r>
          </w:p>
        </w:tc>
        <w:tc>
          <w:tcPr>
            <w:tcW w:w="1064" w:type="dxa"/>
            <w:tcBorders>
              <w:top w:val="nil"/>
              <w:left w:val="nil"/>
              <w:bottom w:val="nil"/>
              <w:right w:val="nil"/>
            </w:tcBorders>
            <w:shd w:val="clear" w:color="auto" w:fill="auto"/>
            <w:noWrap/>
            <w:vAlign w:val="bottom"/>
            <w:hideMark/>
          </w:tcPr>
          <w:p w14:paraId="1BC9840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-1.146</w:t>
            </w:r>
          </w:p>
        </w:tc>
        <w:tc>
          <w:tcPr>
            <w:tcW w:w="1055" w:type="dxa"/>
            <w:tcBorders>
              <w:top w:val="nil"/>
              <w:left w:val="nil"/>
              <w:bottom w:val="nil"/>
              <w:right w:val="nil"/>
            </w:tcBorders>
            <w:shd w:val="clear" w:color="auto" w:fill="auto"/>
            <w:noWrap/>
            <w:vAlign w:val="bottom"/>
            <w:hideMark/>
          </w:tcPr>
          <w:p w14:paraId="1CD9EC3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8.288***</w:t>
            </w:r>
          </w:p>
        </w:tc>
        <w:tc>
          <w:tcPr>
            <w:tcW w:w="284" w:type="dxa"/>
            <w:tcBorders>
              <w:top w:val="nil"/>
              <w:left w:val="nil"/>
              <w:bottom w:val="nil"/>
              <w:right w:val="nil"/>
            </w:tcBorders>
            <w:shd w:val="clear" w:color="auto" w:fill="auto"/>
            <w:noWrap/>
            <w:vAlign w:val="bottom"/>
            <w:hideMark/>
          </w:tcPr>
          <w:p w14:paraId="6F46AE6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059D6B6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14.210***</w:t>
            </w:r>
          </w:p>
        </w:tc>
        <w:tc>
          <w:tcPr>
            <w:tcW w:w="1560" w:type="dxa"/>
            <w:tcBorders>
              <w:top w:val="nil"/>
              <w:left w:val="nil"/>
              <w:bottom w:val="nil"/>
              <w:right w:val="nil"/>
            </w:tcBorders>
            <w:shd w:val="clear" w:color="auto" w:fill="auto"/>
            <w:noWrap/>
            <w:vAlign w:val="bottom"/>
            <w:hideMark/>
          </w:tcPr>
          <w:p w14:paraId="032E1B1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13.930***</w:t>
            </w:r>
          </w:p>
        </w:tc>
        <w:tc>
          <w:tcPr>
            <w:tcW w:w="284" w:type="dxa"/>
            <w:tcBorders>
              <w:top w:val="nil"/>
              <w:left w:val="nil"/>
              <w:bottom w:val="nil"/>
              <w:right w:val="nil"/>
            </w:tcBorders>
            <w:shd w:val="clear" w:color="auto" w:fill="auto"/>
            <w:noWrap/>
            <w:vAlign w:val="bottom"/>
            <w:hideMark/>
          </w:tcPr>
          <w:p w14:paraId="1AD1546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6BA015F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13.887***</w:t>
            </w:r>
          </w:p>
        </w:tc>
        <w:tc>
          <w:tcPr>
            <w:tcW w:w="1417" w:type="dxa"/>
            <w:tcBorders>
              <w:top w:val="nil"/>
              <w:left w:val="nil"/>
              <w:bottom w:val="nil"/>
              <w:right w:val="nil"/>
            </w:tcBorders>
            <w:shd w:val="clear" w:color="auto" w:fill="auto"/>
            <w:noWrap/>
            <w:vAlign w:val="bottom"/>
            <w:hideMark/>
          </w:tcPr>
          <w:p w14:paraId="7776883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6.100***</w:t>
            </w:r>
          </w:p>
        </w:tc>
      </w:tr>
      <w:tr w:rsidR="0093472B" w:rsidRPr="00C82EE1" w14:paraId="6BB045FE"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4BA98EF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42DDF38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(1.678)</w:t>
            </w:r>
          </w:p>
        </w:tc>
        <w:tc>
          <w:tcPr>
            <w:tcW w:w="1055" w:type="dxa"/>
            <w:tcBorders>
              <w:top w:val="nil"/>
              <w:left w:val="nil"/>
              <w:bottom w:val="nil"/>
              <w:right w:val="nil"/>
            </w:tcBorders>
            <w:shd w:val="clear" w:color="auto" w:fill="auto"/>
            <w:noWrap/>
            <w:vAlign w:val="bottom"/>
            <w:hideMark/>
          </w:tcPr>
          <w:p w14:paraId="57D3F6B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(1.995)</w:t>
            </w:r>
          </w:p>
        </w:tc>
        <w:tc>
          <w:tcPr>
            <w:tcW w:w="284" w:type="dxa"/>
            <w:tcBorders>
              <w:top w:val="nil"/>
              <w:left w:val="nil"/>
              <w:bottom w:val="nil"/>
              <w:right w:val="nil"/>
            </w:tcBorders>
            <w:shd w:val="clear" w:color="auto" w:fill="auto"/>
            <w:noWrap/>
            <w:vAlign w:val="bottom"/>
            <w:hideMark/>
          </w:tcPr>
          <w:p w14:paraId="79AD2D5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03B222E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(2.513)</w:t>
            </w:r>
          </w:p>
        </w:tc>
        <w:tc>
          <w:tcPr>
            <w:tcW w:w="1560" w:type="dxa"/>
            <w:tcBorders>
              <w:top w:val="nil"/>
              <w:left w:val="nil"/>
              <w:bottom w:val="nil"/>
              <w:right w:val="nil"/>
            </w:tcBorders>
            <w:shd w:val="clear" w:color="auto" w:fill="auto"/>
            <w:noWrap/>
            <w:vAlign w:val="bottom"/>
            <w:hideMark/>
          </w:tcPr>
          <w:p w14:paraId="63F2A55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(3.156)</w:t>
            </w:r>
          </w:p>
        </w:tc>
        <w:tc>
          <w:tcPr>
            <w:tcW w:w="284" w:type="dxa"/>
            <w:tcBorders>
              <w:top w:val="nil"/>
              <w:left w:val="nil"/>
              <w:bottom w:val="nil"/>
              <w:right w:val="nil"/>
            </w:tcBorders>
            <w:shd w:val="clear" w:color="auto" w:fill="auto"/>
            <w:noWrap/>
            <w:vAlign w:val="bottom"/>
            <w:hideMark/>
          </w:tcPr>
          <w:p w14:paraId="6EBE63E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190C936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(1.847)</w:t>
            </w:r>
          </w:p>
        </w:tc>
        <w:tc>
          <w:tcPr>
            <w:tcW w:w="1417" w:type="dxa"/>
            <w:tcBorders>
              <w:top w:val="nil"/>
              <w:left w:val="nil"/>
              <w:bottom w:val="nil"/>
              <w:right w:val="nil"/>
            </w:tcBorders>
            <w:shd w:val="clear" w:color="auto" w:fill="auto"/>
            <w:noWrap/>
            <w:vAlign w:val="bottom"/>
            <w:hideMark/>
          </w:tcPr>
          <w:p w14:paraId="1280A11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(0.737)</w:t>
            </w:r>
          </w:p>
        </w:tc>
      </w:tr>
      <w:tr w:rsidR="0093472B" w:rsidRPr="00C82EE1" w14:paraId="02F76264"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647A1749"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LC</w:t>
            </w:r>
          </w:p>
        </w:tc>
        <w:tc>
          <w:tcPr>
            <w:tcW w:w="1064" w:type="dxa"/>
            <w:tcBorders>
              <w:top w:val="nil"/>
              <w:left w:val="nil"/>
              <w:bottom w:val="nil"/>
              <w:right w:val="nil"/>
            </w:tcBorders>
            <w:shd w:val="clear" w:color="auto" w:fill="auto"/>
            <w:noWrap/>
            <w:vAlign w:val="bottom"/>
            <w:hideMark/>
          </w:tcPr>
          <w:p w14:paraId="3ADC28A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0.118***</w:t>
            </w:r>
          </w:p>
        </w:tc>
        <w:tc>
          <w:tcPr>
            <w:tcW w:w="1055" w:type="dxa"/>
            <w:tcBorders>
              <w:top w:val="nil"/>
              <w:left w:val="nil"/>
              <w:bottom w:val="nil"/>
              <w:right w:val="nil"/>
            </w:tcBorders>
            <w:shd w:val="clear" w:color="auto" w:fill="auto"/>
            <w:noWrap/>
            <w:vAlign w:val="bottom"/>
            <w:hideMark/>
          </w:tcPr>
          <w:p w14:paraId="2B10866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0.075*</w:t>
            </w:r>
          </w:p>
        </w:tc>
        <w:tc>
          <w:tcPr>
            <w:tcW w:w="284" w:type="dxa"/>
            <w:tcBorders>
              <w:top w:val="nil"/>
              <w:left w:val="nil"/>
              <w:bottom w:val="nil"/>
              <w:right w:val="nil"/>
            </w:tcBorders>
            <w:shd w:val="clear" w:color="auto" w:fill="auto"/>
            <w:noWrap/>
            <w:vAlign w:val="bottom"/>
            <w:hideMark/>
          </w:tcPr>
          <w:p w14:paraId="3401014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259B9F5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0.210***</w:t>
            </w:r>
          </w:p>
        </w:tc>
        <w:tc>
          <w:tcPr>
            <w:tcW w:w="1560" w:type="dxa"/>
            <w:tcBorders>
              <w:top w:val="nil"/>
              <w:left w:val="nil"/>
              <w:bottom w:val="nil"/>
              <w:right w:val="nil"/>
            </w:tcBorders>
            <w:shd w:val="clear" w:color="auto" w:fill="auto"/>
            <w:noWrap/>
            <w:vAlign w:val="bottom"/>
            <w:hideMark/>
          </w:tcPr>
          <w:p w14:paraId="5E3BD70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0.007</w:t>
            </w:r>
          </w:p>
        </w:tc>
        <w:tc>
          <w:tcPr>
            <w:tcW w:w="284" w:type="dxa"/>
            <w:tcBorders>
              <w:top w:val="nil"/>
              <w:left w:val="nil"/>
              <w:bottom w:val="nil"/>
              <w:right w:val="nil"/>
            </w:tcBorders>
            <w:shd w:val="clear" w:color="auto" w:fill="auto"/>
            <w:noWrap/>
            <w:vAlign w:val="bottom"/>
            <w:hideMark/>
          </w:tcPr>
          <w:p w14:paraId="38B59B1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2A0A750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0.121***</w:t>
            </w:r>
          </w:p>
        </w:tc>
        <w:tc>
          <w:tcPr>
            <w:tcW w:w="1417" w:type="dxa"/>
            <w:tcBorders>
              <w:top w:val="nil"/>
              <w:left w:val="nil"/>
              <w:bottom w:val="nil"/>
              <w:right w:val="nil"/>
            </w:tcBorders>
            <w:shd w:val="clear" w:color="auto" w:fill="auto"/>
            <w:noWrap/>
            <w:vAlign w:val="bottom"/>
            <w:hideMark/>
          </w:tcPr>
          <w:p w14:paraId="6E385A9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0.111***</w:t>
            </w:r>
          </w:p>
        </w:tc>
      </w:tr>
      <w:tr w:rsidR="0093472B" w:rsidRPr="00C82EE1" w14:paraId="24A40548"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6786579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27DB1DB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(0.034)</w:t>
            </w:r>
          </w:p>
        </w:tc>
        <w:tc>
          <w:tcPr>
            <w:tcW w:w="1055" w:type="dxa"/>
            <w:tcBorders>
              <w:top w:val="nil"/>
              <w:left w:val="nil"/>
              <w:bottom w:val="nil"/>
              <w:right w:val="nil"/>
            </w:tcBorders>
            <w:shd w:val="clear" w:color="auto" w:fill="auto"/>
            <w:noWrap/>
            <w:vAlign w:val="bottom"/>
            <w:hideMark/>
          </w:tcPr>
          <w:p w14:paraId="1C0FC88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(0.038)</w:t>
            </w:r>
          </w:p>
        </w:tc>
        <w:tc>
          <w:tcPr>
            <w:tcW w:w="284" w:type="dxa"/>
            <w:tcBorders>
              <w:top w:val="nil"/>
              <w:left w:val="nil"/>
              <w:bottom w:val="nil"/>
              <w:right w:val="nil"/>
            </w:tcBorders>
            <w:shd w:val="clear" w:color="auto" w:fill="auto"/>
            <w:noWrap/>
            <w:vAlign w:val="bottom"/>
            <w:hideMark/>
          </w:tcPr>
          <w:p w14:paraId="248BBA3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F743A3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(0.035)</w:t>
            </w:r>
          </w:p>
        </w:tc>
        <w:tc>
          <w:tcPr>
            <w:tcW w:w="1560" w:type="dxa"/>
            <w:tcBorders>
              <w:top w:val="nil"/>
              <w:left w:val="nil"/>
              <w:bottom w:val="nil"/>
              <w:right w:val="nil"/>
            </w:tcBorders>
            <w:shd w:val="clear" w:color="auto" w:fill="auto"/>
            <w:noWrap/>
            <w:vAlign w:val="bottom"/>
            <w:hideMark/>
          </w:tcPr>
          <w:p w14:paraId="48E9D5C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(0.057)</w:t>
            </w:r>
          </w:p>
        </w:tc>
        <w:tc>
          <w:tcPr>
            <w:tcW w:w="284" w:type="dxa"/>
            <w:tcBorders>
              <w:top w:val="nil"/>
              <w:left w:val="nil"/>
              <w:bottom w:val="nil"/>
              <w:right w:val="nil"/>
            </w:tcBorders>
            <w:shd w:val="clear" w:color="auto" w:fill="auto"/>
            <w:noWrap/>
            <w:vAlign w:val="bottom"/>
            <w:hideMark/>
          </w:tcPr>
          <w:p w14:paraId="4DBA001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73A1536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(0.005)</w:t>
            </w:r>
          </w:p>
        </w:tc>
        <w:tc>
          <w:tcPr>
            <w:tcW w:w="1417" w:type="dxa"/>
            <w:tcBorders>
              <w:top w:val="nil"/>
              <w:left w:val="nil"/>
              <w:bottom w:val="nil"/>
              <w:right w:val="nil"/>
            </w:tcBorders>
            <w:shd w:val="clear" w:color="auto" w:fill="auto"/>
            <w:noWrap/>
            <w:vAlign w:val="bottom"/>
            <w:hideMark/>
          </w:tcPr>
          <w:p w14:paraId="0F0A993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(0.003)</w:t>
            </w:r>
          </w:p>
        </w:tc>
      </w:tr>
      <w:tr w:rsidR="0093472B" w:rsidRPr="00C82EE1" w14:paraId="0A6C193D"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436B6722"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proofErr w:type="spellStart"/>
            <w:r w:rsidRPr="00C82EE1">
              <w:rPr>
                <w:rFonts w:ascii="Times New Roman" w:eastAsia="Times New Roman" w:hAnsi="Times New Roman" w:cs="Times New Roman"/>
                <w:i/>
                <w:iCs/>
                <w:color w:val="000000"/>
                <w:sz w:val="20"/>
                <w:szCs w:val="20"/>
              </w:rPr>
              <w:t>Readability_Flesch</w:t>
            </w:r>
            <w:proofErr w:type="spellEnd"/>
          </w:p>
        </w:tc>
        <w:tc>
          <w:tcPr>
            <w:tcW w:w="1064" w:type="dxa"/>
            <w:tcBorders>
              <w:top w:val="nil"/>
              <w:left w:val="nil"/>
              <w:bottom w:val="nil"/>
              <w:right w:val="nil"/>
            </w:tcBorders>
            <w:shd w:val="clear" w:color="auto" w:fill="auto"/>
            <w:noWrap/>
            <w:vAlign w:val="bottom"/>
            <w:hideMark/>
          </w:tcPr>
          <w:p w14:paraId="0A60643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0.133</w:t>
            </w:r>
          </w:p>
        </w:tc>
        <w:tc>
          <w:tcPr>
            <w:tcW w:w="1055" w:type="dxa"/>
            <w:tcBorders>
              <w:top w:val="nil"/>
              <w:left w:val="nil"/>
              <w:bottom w:val="nil"/>
              <w:right w:val="nil"/>
            </w:tcBorders>
            <w:shd w:val="clear" w:color="auto" w:fill="auto"/>
            <w:noWrap/>
            <w:vAlign w:val="bottom"/>
            <w:hideMark/>
          </w:tcPr>
          <w:p w14:paraId="2EF2265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-0.108</w:t>
            </w:r>
          </w:p>
        </w:tc>
        <w:tc>
          <w:tcPr>
            <w:tcW w:w="284" w:type="dxa"/>
            <w:tcBorders>
              <w:top w:val="nil"/>
              <w:left w:val="nil"/>
              <w:bottom w:val="nil"/>
              <w:right w:val="nil"/>
            </w:tcBorders>
            <w:shd w:val="clear" w:color="auto" w:fill="auto"/>
            <w:noWrap/>
            <w:vAlign w:val="bottom"/>
            <w:hideMark/>
          </w:tcPr>
          <w:p w14:paraId="1AB4C71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2445C89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0.020</w:t>
            </w:r>
          </w:p>
        </w:tc>
        <w:tc>
          <w:tcPr>
            <w:tcW w:w="1560" w:type="dxa"/>
            <w:tcBorders>
              <w:top w:val="nil"/>
              <w:left w:val="nil"/>
              <w:bottom w:val="nil"/>
              <w:right w:val="nil"/>
            </w:tcBorders>
            <w:shd w:val="clear" w:color="auto" w:fill="auto"/>
            <w:noWrap/>
            <w:vAlign w:val="bottom"/>
            <w:hideMark/>
          </w:tcPr>
          <w:p w14:paraId="242E2F6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0.029</w:t>
            </w:r>
          </w:p>
        </w:tc>
        <w:tc>
          <w:tcPr>
            <w:tcW w:w="284" w:type="dxa"/>
            <w:tcBorders>
              <w:top w:val="nil"/>
              <w:left w:val="nil"/>
              <w:bottom w:val="nil"/>
              <w:right w:val="nil"/>
            </w:tcBorders>
            <w:shd w:val="clear" w:color="auto" w:fill="auto"/>
            <w:noWrap/>
            <w:vAlign w:val="bottom"/>
            <w:hideMark/>
          </w:tcPr>
          <w:p w14:paraId="1ADCC89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2307808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0.015</w:t>
            </w:r>
          </w:p>
        </w:tc>
        <w:tc>
          <w:tcPr>
            <w:tcW w:w="1417" w:type="dxa"/>
            <w:tcBorders>
              <w:top w:val="nil"/>
              <w:left w:val="nil"/>
              <w:bottom w:val="nil"/>
              <w:right w:val="nil"/>
            </w:tcBorders>
            <w:shd w:val="clear" w:color="auto" w:fill="auto"/>
            <w:noWrap/>
            <w:vAlign w:val="bottom"/>
            <w:hideMark/>
          </w:tcPr>
          <w:p w14:paraId="71DB703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0.103**</w:t>
            </w:r>
          </w:p>
        </w:tc>
      </w:tr>
      <w:tr w:rsidR="0093472B" w:rsidRPr="00C82EE1" w14:paraId="12EDCFF3"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7011025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5794956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(0.154)</w:t>
            </w:r>
          </w:p>
        </w:tc>
        <w:tc>
          <w:tcPr>
            <w:tcW w:w="1055" w:type="dxa"/>
            <w:tcBorders>
              <w:top w:val="nil"/>
              <w:left w:val="nil"/>
              <w:bottom w:val="nil"/>
              <w:right w:val="nil"/>
            </w:tcBorders>
            <w:shd w:val="clear" w:color="auto" w:fill="auto"/>
            <w:noWrap/>
            <w:vAlign w:val="bottom"/>
            <w:hideMark/>
          </w:tcPr>
          <w:p w14:paraId="7A33A42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(0.126)</w:t>
            </w:r>
          </w:p>
        </w:tc>
        <w:tc>
          <w:tcPr>
            <w:tcW w:w="284" w:type="dxa"/>
            <w:tcBorders>
              <w:top w:val="nil"/>
              <w:left w:val="nil"/>
              <w:bottom w:val="nil"/>
              <w:right w:val="nil"/>
            </w:tcBorders>
            <w:shd w:val="clear" w:color="auto" w:fill="auto"/>
            <w:noWrap/>
            <w:vAlign w:val="bottom"/>
            <w:hideMark/>
          </w:tcPr>
          <w:p w14:paraId="2A2D0D9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D6F0DE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(0.109)</w:t>
            </w:r>
          </w:p>
        </w:tc>
        <w:tc>
          <w:tcPr>
            <w:tcW w:w="1560" w:type="dxa"/>
            <w:tcBorders>
              <w:top w:val="nil"/>
              <w:left w:val="nil"/>
              <w:bottom w:val="nil"/>
              <w:right w:val="nil"/>
            </w:tcBorders>
            <w:shd w:val="clear" w:color="auto" w:fill="auto"/>
            <w:noWrap/>
            <w:vAlign w:val="bottom"/>
            <w:hideMark/>
          </w:tcPr>
          <w:p w14:paraId="4876468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(0.125)</w:t>
            </w:r>
          </w:p>
        </w:tc>
        <w:tc>
          <w:tcPr>
            <w:tcW w:w="284" w:type="dxa"/>
            <w:tcBorders>
              <w:top w:val="nil"/>
              <w:left w:val="nil"/>
              <w:bottom w:val="nil"/>
              <w:right w:val="nil"/>
            </w:tcBorders>
            <w:shd w:val="clear" w:color="auto" w:fill="auto"/>
            <w:noWrap/>
            <w:vAlign w:val="bottom"/>
            <w:hideMark/>
          </w:tcPr>
          <w:p w14:paraId="7C7C14B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3F3467E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(0.025)</w:t>
            </w:r>
          </w:p>
        </w:tc>
        <w:tc>
          <w:tcPr>
            <w:tcW w:w="1417" w:type="dxa"/>
            <w:tcBorders>
              <w:top w:val="nil"/>
              <w:left w:val="nil"/>
              <w:bottom w:val="nil"/>
              <w:right w:val="nil"/>
            </w:tcBorders>
            <w:shd w:val="clear" w:color="auto" w:fill="auto"/>
            <w:noWrap/>
            <w:vAlign w:val="bottom"/>
            <w:hideMark/>
          </w:tcPr>
          <w:p w14:paraId="58821F0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(0.049)</w:t>
            </w:r>
          </w:p>
        </w:tc>
      </w:tr>
      <w:tr w:rsidR="0093472B" w:rsidRPr="00C82EE1" w14:paraId="45432EAF"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484F66C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proofErr w:type="spellStart"/>
            <w:r w:rsidRPr="00C82EE1">
              <w:rPr>
                <w:rFonts w:ascii="Times New Roman" w:eastAsia="Times New Roman" w:hAnsi="Times New Roman" w:cs="Times New Roman"/>
                <w:i/>
                <w:iCs/>
                <w:color w:val="000000"/>
                <w:sz w:val="20"/>
                <w:szCs w:val="20"/>
              </w:rPr>
              <w:t>Readability_Flesch.square</w:t>
            </w:r>
            <w:proofErr w:type="spellEnd"/>
          </w:p>
        </w:tc>
        <w:tc>
          <w:tcPr>
            <w:tcW w:w="1064" w:type="dxa"/>
            <w:tcBorders>
              <w:top w:val="nil"/>
              <w:left w:val="nil"/>
              <w:bottom w:val="nil"/>
              <w:right w:val="nil"/>
            </w:tcBorders>
            <w:shd w:val="clear" w:color="auto" w:fill="auto"/>
            <w:noWrap/>
            <w:vAlign w:val="bottom"/>
            <w:hideMark/>
          </w:tcPr>
          <w:p w14:paraId="2926E7C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-0.002</w:t>
            </w:r>
          </w:p>
        </w:tc>
        <w:tc>
          <w:tcPr>
            <w:tcW w:w="1055" w:type="dxa"/>
            <w:tcBorders>
              <w:top w:val="nil"/>
              <w:left w:val="nil"/>
              <w:bottom w:val="nil"/>
              <w:right w:val="nil"/>
            </w:tcBorders>
            <w:shd w:val="clear" w:color="auto" w:fill="auto"/>
            <w:noWrap/>
            <w:vAlign w:val="bottom"/>
            <w:hideMark/>
          </w:tcPr>
          <w:p w14:paraId="54960D4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0.001</w:t>
            </w:r>
          </w:p>
        </w:tc>
        <w:tc>
          <w:tcPr>
            <w:tcW w:w="284" w:type="dxa"/>
            <w:tcBorders>
              <w:top w:val="nil"/>
              <w:left w:val="nil"/>
              <w:bottom w:val="nil"/>
              <w:right w:val="nil"/>
            </w:tcBorders>
            <w:shd w:val="clear" w:color="auto" w:fill="auto"/>
            <w:noWrap/>
            <w:vAlign w:val="bottom"/>
            <w:hideMark/>
          </w:tcPr>
          <w:p w14:paraId="1B87B2F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3FEA39C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-0.001</w:t>
            </w:r>
          </w:p>
        </w:tc>
        <w:tc>
          <w:tcPr>
            <w:tcW w:w="1560" w:type="dxa"/>
            <w:tcBorders>
              <w:top w:val="nil"/>
              <w:left w:val="nil"/>
              <w:bottom w:val="nil"/>
              <w:right w:val="nil"/>
            </w:tcBorders>
            <w:shd w:val="clear" w:color="auto" w:fill="auto"/>
            <w:noWrap/>
            <w:vAlign w:val="bottom"/>
            <w:hideMark/>
          </w:tcPr>
          <w:p w14:paraId="17B64A2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-0.001</w:t>
            </w:r>
          </w:p>
        </w:tc>
        <w:tc>
          <w:tcPr>
            <w:tcW w:w="284" w:type="dxa"/>
            <w:tcBorders>
              <w:top w:val="nil"/>
              <w:left w:val="nil"/>
              <w:bottom w:val="nil"/>
              <w:right w:val="nil"/>
            </w:tcBorders>
            <w:shd w:val="clear" w:color="auto" w:fill="auto"/>
            <w:noWrap/>
            <w:vAlign w:val="bottom"/>
            <w:hideMark/>
          </w:tcPr>
          <w:p w14:paraId="4748688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3FDDF3A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-0.001**</w:t>
            </w:r>
          </w:p>
        </w:tc>
        <w:tc>
          <w:tcPr>
            <w:tcW w:w="1417" w:type="dxa"/>
            <w:tcBorders>
              <w:top w:val="nil"/>
              <w:left w:val="nil"/>
              <w:bottom w:val="nil"/>
              <w:right w:val="nil"/>
            </w:tcBorders>
            <w:shd w:val="clear" w:color="auto" w:fill="auto"/>
            <w:noWrap/>
            <w:vAlign w:val="bottom"/>
            <w:hideMark/>
          </w:tcPr>
          <w:p w14:paraId="40D84E5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-0.001***</w:t>
            </w:r>
          </w:p>
        </w:tc>
      </w:tr>
      <w:tr w:rsidR="0093472B" w:rsidRPr="00C82EE1" w14:paraId="6A8105B2"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3D62D4C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138AA58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(0.002)</w:t>
            </w:r>
          </w:p>
        </w:tc>
        <w:tc>
          <w:tcPr>
            <w:tcW w:w="1055" w:type="dxa"/>
            <w:tcBorders>
              <w:top w:val="nil"/>
              <w:left w:val="nil"/>
              <w:bottom w:val="nil"/>
              <w:right w:val="nil"/>
            </w:tcBorders>
            <w:shd w:val="clear" w:color="auto" w:fill="auto"/>
            <w:noWrap/>
            <w:vAlign w:val="bottom"/>
            <w:hideMark/>
          </w:tcPr>
          <w:p w14:paraId="48FCD27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(0.002)</w:t>
            </w:r>
          </w:p>
        </w:tc>
        <w:tc>
          <w:tcPr>
            <w:tcW w:w="284" w:type="dxa"/>
            <w:tcBorders>
              <w:top w:val="nil"/>
              <w:left w:val="nil"/>
              <w:bottom w:val="nil"/>
              <w:right w:val="nil"/>
            </w:tcBorders>
            <w:shd w:val="clear" w:color="auto" w:fill="auto"/>
            <w:noWrap/>
            <w:vAlign w:val="bottom"/>
            <w:hideMark/>
          </w:tcPr>
          <w:p w14:paraId="2623997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3EC4445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(0.001)</w:t>
            </w:r>
          </w:p>
        </w:tc>
        <w:tc>
          <w:tcPr>
            <w:tcW w:w="1560" w:type="dxa"/>
            <w:tcBorders>
              <w:top w:val="nil"/>
              <w:left w:val="nil"/>
              <w:bottom w:val="nil"/>
              <w:right w:val="nil"/>
            </w:tcBorders>
            <w:shd w:val="clear" w:color="auto" w:fill="auto"/>
            <w:noWrap/>
            <w:vAlign w:val="bottom"/>
            <w:hideMark/>
          </w:tcPr>
          <w:p w14:paraId="0A7DFDE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(0.002)</w:t>
            </w:r>
          </w:p>
        </w:tc>
        <w:tc>
          <w:tcPr>
            <w:tcW w:w="284" w:type="dxa"/>
            <w:tcBorders>
              <w:top w:val="nil"/>
              <w:left w:val="nil"/>
              <w:bottom w:val="nil"/>
              <w:right w:val="nil"/>
            </w:tcBorders>
            <w:shd w:val="clear" w:color="auto" w:fill="auto"/>
            <w:noWrap/>
            <w:vAlign w:val="bottom"/>
            <w:hideMark/>
          </w:tcPr>
          <w:p w14:paraId="1E82EB1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1F81156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(0.0003)</w:t>
            </w:r>
          </w:p>
        </w:tc>
        <w:tc>
          <w:tcPr>
            <w:tcW w:w="1417" w:type="dxa"/>
            <w:tcBorders>
              <w:top w:val="nil"/>
              <w:left w:val="nil"/>
              <w:bottom w:val="nil"/>
              <w:right w:val="nil"/>
            </w:tcBorders>
            <w:shd w:val="clear" w:color="auto" w:fill="auto"/>
            <w:noWrap/>
            <w:vAlign w:val="bottom"/>
            <w:hideMark/>
          </w:tcPr>
          <w:p w14:paraId="361F515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(0.0004)</w:t>
            </w:r>
          </w:p>
        </w:tc>
      </w:tr>
      <w:tr w:rsidR="0093472B" w:rsidRPr="00C82EE1" w14:paraId="4D962CEB"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72C45E3E"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Sentiment</w:t>
            </w:r>
          </w:p>
        </w:tc>
        <w:tc>
          <w:tcPr>
            <w:tcW w:w="1064" w:type="dxa"/>
            <w:tcBorders>
              <w:top w:val="nil"/>
              <w:left w:val="nil"/>
              <w:bottom w:val="nil"/>
              <w:right w:val="nil"/>
            </w:tcBorders>
            <w:shd w:val="clear" w:color="auto" w:fill="auto"/>
            <w:noWrap/>
            <w:vAlign w:val="bottom"/>
            <w:hideMark/>
          </w:tcPr>
          <w:p w14:paraId="726075E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43.848</w:t>
            </w:r>
          </w:p>
        </w:tc>
        <w:tc>
          <w:tcPr>
            <w:tcW w:w="1055" w:type="dxa"/>
            <w:tcBorders>
              <w:top w:val="nil"/>
              <w:left w:val="nil"/>
              <w:bottom w:val="nil"/>
              <w:right w:val="nil"/>
            </w:tcBorders>
            <w:shd w:val="clear" w:color="auto" w:fill="auto"/>
            <w:noWrap/>
            <w:vAlign w:val="bottom"/>
            <w:hideMark/>
          </w:tcPr>
          <w:p w14:paraId="7997B85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4.471</w:t>
            </w:r>
          </w:p>
        </w:tc>
        <w:tc>
          <w:tcPr>
            <w:tcW w:w="284" w:type="dxa"/>
            <w:tcBorders>
              <w:top w:val="nil"/>
              <w:left w:val="nil"/>
              <w:bottom w:val="nil"/>
              <w:right w:val="nil"/>
            </w:tcBorders>
            <w:shd w:val="clear" w:color="auto" w:fill="auto"/>
            <w:noWrap/>
            <w:vAlign w:val="bottom"/>
            <w:hideMark/>
          </w:tcPr>
          <w:p w14:paraId="4C86EB7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6F033D2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-2.296</w:t>
            </w:r>
          </w:p>
        </w:tc>
        <w:tc>
          <w:tcPr>
            <w:tcW w:w="1560" w:type="dxa"/>
            <w:tcBorders>
              <w:top w:val="nil"/>
              <w:left w:val="nil"/>
              <w:bottom w:val="nil"/>
              <w:right w:val="nil"/>
            </w:tcBorders>
            <w:shd w:val="clear" w:color="auto" w:fill="auto"/>
            <w:noWrap/>
            <w:vAlign w:val="bottom"/>
            <w:hideMark/>
          </w:tcPr>
          <w:p w14:paraId="6A4E82C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-8.973</w:t>
            </w:r>
          </w:p>
        </w:tc>
        <w:tc>
          <w:tcPr>
            <w:tcW w:w="284" w:type="dxa"/>
            <w:tcBorders>
              <w:top w:val="nil"/>
              <w:left w:val="nil"/>
              <w:bottom w:val="nil"/>
              <w:right w:val="nil"/>
            </w:tcBorders>
            <w:shd w:val="clear" w:color="auto" w:fill="auto"/>
            <w:noWrap/>
            <w:vAlign w:val="bottom"/>
            <w:hideMark/>
          </w:tcPr>
          <w:p w14:paraId="60FBABF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3201DC6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6.023</w:t>
            </w:r>
          </w:p>
        </w:tc>
        <w:tc>
          <w:tcPr>
            <w:tcW w:w="1417" w:type="dxa"/>
            <w:tcBorders>
              <w:top w:val="nil"/>
              <w:left w:val="nil"/>
              <w:bottom w:val="nil"/>
              <w:right w:val="nil"/>
            </w:tcBorders>
            <w:shd w:val="clear" w:color="auto" w:fill="auto"/>
            <w:noWrap/>
            <w:vAlign w:val="bottom"/>
            <w:hideMark/>
          </w:tcPr>
          <w:p w14:paraId="0C705C6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-15.270***</w:t>
            </w:r>
          </w:p>
        </w:tc>
      </w:tr>
      <w:tr w:rsidR="0093472B" w:rsidRPr="00C82EE1" w14:paraId="10E0F19C"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1546081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3AB22B1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(48.407)</w:t>
            </w:r>
          </w:p>
        </w:tc>
        <w:tc>
          <w:tcPr>
            <w:tcW w:w="1055" w:type="dxa"/>
            <w:tcBorders>
              <w:top w:val="nil"/>
              <w:left w:val="nil"/>
              <w:bottom w:val="nil"/>
              <w:right w:val="nil"/>
            </w:tcBorders>
            <w:shd w:val="clear" w:color="auto" w:fill="auto"/>
            <w:noWrap/>
            <w:vAlign w:val="bottom"/>
            <w:hideMark/>
          </w:tcPr>
          <w:p w14:paraId="602BA9B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(22.710)</w:t>
            </w:r>
          </w:p>
        </w:tc>
        <w:tc>
          <w:tcPr>
            <w:tcW w:w="284" w:type="dxa"/>
            <w:tcBorders>
              <w:top w:val="nil"/>
              <w:left w:val="nil"/>
              <w:bottom w:val="nil"/>
              <w:right w:val="nil"/>
            </w:tcBorders>
            <w:shd w:val="clear" w:color="auto" w:fill="auto"/>
            <w:noWrap/>
            <w:vAlign w:val="bottom"/>
            <w:hideMark/>
          </w:tcPr>
          <w:p w14:paraId="061A5FD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3CDC9CB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(18.011)</w:t>
            </w:r>
          </w:p>
        </w:tc>
        <w:tc>
          <w:tcPr>
            <w:tcW w:w="1560" w:type="dxa"/>
            <w:tcBorders>
              <w:top w:val="nil"/>
              <w:left w:val="nil"/>
              <w:bottom w:val="nil"/>
              <w:right w:val="nil"/>
            </w:tcBorders>
            <w:shd w:val="clear" w:color="auto" w:fill="auto"/>
            <w:noWrap/>
            <w:vAlign w:val="bottom"/>
            <w:hideMark/>
          </w:tcPr>
          <w:p w14:paraId="7674125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(25.098)</w:t>
            </w:r>
          </w:p>
        </w:tc>
        <w:tc>
          <w:tcPr>
            <w:tcW w:w="284" w:type="dxa"/>
            <w:tcBorders>
              <w:top w:val="nil"/>
              <w:left w:val="nil"/>
              <w:bottom w:val="nil"/>
              <w:right w:val="nil"/>
            </w:tcBorders>
            <w:shd w:val="clear" w:color="auto" w:fill="auto"/>
            <w:noWrap/>
            <w:vAlign w:val="bottom"/>
            <w:hideMark/>
          </w:tcPr>
          <w:p w14:paraId="5DF1280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0798FE2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(6.868)</w:t>
            </w:r>
          </w:p>
        </w:tc>
        <w:tc>
          <w:tcPr>
            <w:tcW w:w="1417" w:type="dxa"/>
            <w:tcBorders>
              <w:top w:val="nil"/>
              <w:left w:val="nil"/>
              <w:bottom w:val="nil"/>
              <w:right w:val="nil"/>
            </w:tcBorders>
            <w:shd w:val="clear" w:color="auto" w:fill="auto"/>
            <w:noWrap/>
            <w:vAlign w:val="bottom"/>
            <w:hideMark/>
          </w:tcPr>
          <w:p w14:paraId="135A790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(1.580)</w:t>
            </w:r>
          </w:p>
        </w:tc>
      </w:tr>
      <w:tr w:rsidR="0093472B" w:rsidRPr="00C82EE1" w14:paraId="3E33F013"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20A1A3C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Institution</w:t>
            </w:r>
          </w:p>
        </w:tc>
        <w:tc>
          <w:tcPr>
            <w:tcW w:w="1064" w:type="dxa"/>
            <w:tcBorders>
              <w:top w:val="nil"/>
              <w:left w:val="nil"/>
              <w:bottom w:val="nil"/>
              <w:right w:val="nil"/>
            </w:tcBorders>
            <w:shd w:val="clear" w:color="auto" w:fill="auto"/>
            <w:noWrap/>
            <w:vAlign w:val="bottom"/>
            <w:hideMark/>
          </w:tcPr>
          <w:p w14:paraId="74149BF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0.135</w:t>
            </w:r>
          </w:p>
        </w:tc>
        <w:tc>
          <w:tcPr>
            <w:tcW w:w="1055" w:type="dxa"/>
            <w:tcBorders>
              <w:top w:val="nil"/>
              <w:left w:val="nil"/>
              <w:bottom w:val="nil"/>
              <w:right w:val="nil"/>
            </w:tcBorders>
            <w:shd w:val="clear" w:color="auto" w:fill="auto"/>
            <w:noWrap/>
            <w:vAlign w:val="bottom"/>
            <w:hideMark/>
          </w:tcPr>
          <w:p w14:paraId="55AF9BE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0.330***</w:t>
            </w:r>
          </w:p>
        </w:tc>
        <w:tc>
          <w:tcPr>
            <w:tcW w:w="284" w:type="dxa"/>
            <w:tcBorders>
              <w:top w:val="nil"/>
              <w:left w:val="nil"/>
              <w:bottom w:val="nil"/>
              <w:right w:val="nil"/>
            </w:tcBorders>
            <w:shd w:val="clear" w:color="auto" w:fill="auto"/>
            <w:noWrap/>
            <w:vAlign w:val="bottom"/>
            <w:hideMark/>
          </w:tcPr>
          <w:p w14:paraId="4CFC087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7BDC9AA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0.144**</w:t>
            </w:r>
          </w:p>
        </w:tc>
        <w:tc>
          <w:tcPr>
            <w:tcW w:w="1560" w:type="dxa"/>
            <w:tcBorders>
              <w:top w:val="nil"/>
              <w:left w:val="nil"/>
              <w:bottom w:val="nil"/>
              <w:right w:val="nil"/>
            </w:tcBorders>
            <w:shd w:val="clear" w:color="auto" w:fill="auto"/>
            <w:noWrap/>
            <w:vAlign w:val="bottom"/>
            <w:hideMark/>
          </w:tcPr>
          <w:p w14:paraId="592532E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0.293***</w:t>
            </w:r>
          </w:p>
        </w:tc>
        <w:tc>
          <w:tcPr>
            <w:tcW w:w="284" w:type="dxa"/>
            <w:tcBorders>
              <w:top w:val="nil"/>
              <w:left w:val="nil"/>
              <w:bottom w:val="nil"/>
              <w:right w:val="nil"/>
            </w:tcBorders>
            <w:shd w:val="clear" w:color="auto" w:fill="auto"/>
            <w:noWrap/>
            <w:vAlign w:val="bottom"/>
            <w:hideMark/>
          </w:tcPr>
          <w:p w14:paraId="031EEA7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5414A3B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0.223***</w:t>
            </w:r>
          </w:p>
        </w:tc>
        <w:tc>
          <w:tcPr>
            <w:tcW w:w="1417" w:type="dxa"/>
            <w:tcBorders>
              <w:top w:val="nil"/>
              <w:left w:val="nil"/>
              <w:bottom w:val="nil"/>
              <w:right w:val="nil"/>
            </w:tcBorders>
            <w:shd w:val="clear" w:color="auto" w:fill="auto"/>
            <w:noWrap/>
            <w:vAlign w:val="bottom"/>
            <w:hideMark/>
          </w:tcPr>
          <w:p w14:paraId="36D9022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0.060***</w:t>
            </w:r>
          </w:p>
        </w:tc>
      </w:tr>
      <w:tr w:rsidR="0093472B" w:rsidRPr="00C82EE1" w14:paraId="6C1B4D5E"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698DF04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0548AD4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(0.191)</w:t>
            </w:r>
          </w:p>
        </w:tc>
        <w:tc>
          <w:tcPr>
            <w:tcW w:w="1055" w:type="dxa"/>
            <w:tcBorders>
              <w:top w:val="nil"/>
              <w:left w:val="nil"/>
              <w:bottom w:val="nil"/>
              <w:right w:val="nil"/>
            </w:tcBorders>
            <w:shd w:val="clear" w:color="auto" w:fill="auto"/>
            <w:noWrap/>
            <w:vAlign w:val="bottom"/>
            <w:hideMark/>
          </w:tcPr>
          <w:p w14:paraId="502CB84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(0.039)</w:t>
            </w:r>
          </w:p>
        </w:tc>
        <w:tc>
          <w:tcPr>
            <w:tcW w:w="284" w:type="dxa"/>
            <w:tcBorders>
              <w:top w:val="nil"/>
              <w:left w:val="nil"/>
              <w:bottom w:val="nil"/>
              <w:right w:val="nil"/>
            </w:tcBorders>
            <w:shd w:val="clear" w:color="auto" w:fill="auto"/>
            <w:noWrap/>
            <w:vAlign w:val="bottom"/>
            <w:hideMark/>
          </w:tcPr>
          <w:p w14:paraId="5EA5CE0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9DD239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(0.062)</w:t>
            </w:r>
          </w:p>
        </w:tc>
        <w:tc>
          <w:tcPr>
            <w:tcW w:w="1560" w:type="dxa"/>
            <w:tcBorders>
              <w:top w:val="nil"/>
              <w:left w:val="nil"/>
              <w:bottom w:val="nil"/>
              <w:right w:val="nil"/>
            </w:tcBorders>
            <w:shd w:val="clear" w:color="auto" w:fill="auto"/>
            <w:noWrap/>
            <w:vAlign w:val="bottom"/>
            <w:hideMark/>
          </w:tcPr>
          <w:p w14:paraId="53ABB4F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(0.082)</w:t>
            </w:r>
          </w:p>
        </w:tc>
        <w:tc>
          <w:tcPr>
            <w:tcW w:w="284" w:type="dxa"/>
            <w:tcBorders>
              <w:top w:val="nil"/>
              <w:left w:val="nil"/>
              <w:bottom w:val="nil"/>
              <w:right w:val="nil"/>
            </w:tcBorders>
            <w:shd w:val="clear" w:color="auto" w:fill="auto"/>
            <w:noWrap/>
            <w:vAlign w:val="bottom"/>
            <w:hideMark/>
          </w:tcPr>
          <w:p w14:paraId="7D4A68C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2AA1AC1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(0.055)</w:t>
            </w:r>
          </w:p>
        </w:tc>
        <w:tc>
          <w:tcPr>
            <w:tcW w:w="1417" w:type="dxa"/>
            <w:tcBorders>
              <w:top w:val="nil"/>
              <w:left w:val="nil"/>
              <w:bottom w:val="nil"/>
              <w:right w:val="nil"/>
            </w:tcBorders>
            <w:shd w:val="clear" w:color="auto" w:fill="auto"/>
            <w:noWrap/>
            <w:vAlign w:val="bottom"/>
            <w:hideMark/>
          </w:tcPr>
          <w:p w14:paraId="1753276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(0.018)</w:t>
            </w:r>
          </w:p>
        </w:tc>
      </w:tr>
      <w:tr w:rsidR="0093472B" w:rsidRPr="00C82EE1" w14:paraId="5DD88098"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6E73FCC4"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US restrict</w:t>
            </w:r>
          </w:p>
        </w:tc>
        <w:tc>
          <w:tcPr>
            <w:tcW w:w="1064" w:type="dxa"/>
            <w:tcBorders>
              <w:top w:val="nil"/>
              <w:left w:val="nil"/>
              <w:bottom w:val="nil"/>
              <w:right w:val="nil"/>
            </w:tcBorders>
            <w:shd w:val="clear" w:color="auto" w:fill="auto"/>
            <w:noWrap/>
            <w:vAlign w:val="bottom"/>
            <w:hideMark/>
          </w:tcPr>
          <w:p w14:paraId="72B4E18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0.540</w:t>
            </w:r>
          </w:p>
        </w:tc>
        <w:tc>
          <w:tcPr>
            <w:tcW w:w="1055" w:type="dxa"/>
            <w:tcBorders>
              <w:top w:val="nil"/>
              <w:left w:val="nil"/>
              <w:bottom w:val="nil"/>
              <w:right w:val="nil"/>
            </w:tcBorders>
            <w:shd w:val="clear" w:color="auto" w:fill="auto"/>
            <w:noWrap/>
            <w:vAlign w:val="bottom"/>
            <w:hideMark/>
          </w:tcPr>
          <w:p w14:paraId="203C579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0.563</w:t>
            </w:r>
          </w:p>
        </w:tc>
        <w:tc>
          <w:tcPr>
            <w:tcW w:w="284" w:type="dxa"/>
            <w:tcBorders>
              <w:top w:val="nil"/>
              <w:left w:val="nil"/>
              <w:bottom w:val="nil"/>
              <w:right w:val="nil"/>
            </w:tcBorders>
            <w:shd w:val="clear" w:color="auto" w:fill="auto"/>
            <w:noWrap/>
            <w:vAlign w:val="bottom"/>
            <w:hideMark/>
          </w:tcPr>
          <w:p w14:paraId="45F96FE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0D4703A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0.287***</w:t>
            </w:r>
          </w:p>
        </w:tc>
        <w:tc>
          <w:tcPr>
            <w:tcW w:w="1560" w:type="dxa"/>
            <w:tcBorders>
              <w:top w:val="nil"/>
              <w:left w:val="nil"/>
              <w:bottom w:val="nil"/>
              <w:right w:val="nil"/>
            </w:tcBorders>
            <w:shd w:val="clear" w:color="auto" w:fill="auto"/>
            <w:noWrap/>
            <w:vAlign w:val="bottom"/>
            <w:hideMark/>
          </w:tcPr>
          <w:p w14:paraId="786303F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-0.094</w:t>
            </w:r>
          </w:p>
        </w:tc>
        <w:tc>
          <w:tcPr>
            <w:tcW w:w="284" w:type="dxa"/>
            <w:tcBorders>
              <w:top w:val="nil"/>
              <w:left w:val="nil"/>
              <w:bottom w:val="nil"/>
              <w:right w:val="nil"/>
            </w:tcBorders>
            <w:shd w:val="clear" w:color="auto" w:fill="auto"/>
            <w:noWrap/>
            <w:vAlign w:val="bottom"/>
            <w:hideMark/>
          </w:tcPr>
          <w:p w14:paraId="099CEC3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641E8B4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0.068***</w:t>
            </w:r>
          </w:p>
        </w:tc>
        <w:tc>
          <w:tcPr>
            <w:tcW w:w="1417" w:type="dxa"/>
            <w:tcBorders>
              <w:top w:val="nil"/>
              <w:left w:val="nil"/>
              <w:bottom w:val="nil"/>
              <w:right w:val="nil"/>
            </w:tcBorders>
            <w:shd w:val="clear" w:color="auto" w:fill="auto"/>
            <w:noWrap/>
            <w:vAlign w:val="bottom"/>
            <w:hideMark/>
          </w:tcPr>
          <w:p w14:paraId="02D26E2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0.815***</w:t>
            </w:r>
          </w:p>
        </w:tc>
      </w:tr>
      <w:tr w:rsidR="0093472B" w:rsidRPr="00C82EE1" w14:paraId="5D10CC6F"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55CA2A6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47CA74F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(0.875)</w:t>
            </w:r>
          </w:p>
        </w:tc>
        <w:tc>
          <w:tcPr>
            <w:tcW w:w="1055" w:type="dxa"/>
            <w:tcBorders>
              <w:top w:val="nil"/>
              <w:left w:val="nil"/>
              <w:bottom w:val="nil"/>
              <w:right w:val="nil"/>
            </w:tcBorders>
            <w:shd w:val="clear" w:color="auto" w:fill="auto"/>
            <w:noWrap/>
            <w:vAlign w:val="bottom"/>
            <w:hideMark/>
          </w:tcPr>
          <w:p w14:paraId="3CF5C14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(0.379)</w:t>
            </w:r>
          </w:p>
        </w:tc>
        <w:tc>
          <w:tcPr>
            <w:tcW w:w="284" w:type="dxa"/>
            <w:tcBorders>
              <w:top w:val="nil"/>
              <w:left w:val="nil"/>
              <w:bottom w:val="nil"/>
              <w:right w:val="nil"/>
            </w:tcBorders>
            <w:shd w:val="clear" w:color="auto" w:fill="auto"/>
            <w:noWrap/>
            <w:vAlign w:val="bottom"/>
            <w:hideMark/>
          </w:tcPr>
          <w:p w14:paraId="3B04BEA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4013AC5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(0.078)</w:t>
            </w:r>
          </w:p>
        </w:tc>
        <w:tc>
          <w:tcPr>
            <w:tcW w:w="1560" w:type="dxa"/>
            <w:tcBorders>
              <w:top w:val="nil"/>
              <w:left w:val="nil"/>
              <w:bottom w:val="nil"/>
              <w:right w:val="nil"/>
            </w:tcBorders>
            <w:shd w:val="clear" w:color="auto" w:fill="auto"/>
            <w:noWrap/>
            <w:vAlign w:val="bottom"/>
            <w:hideMark/>
          </w:tcPr>
          <w:p w14:paraId="4DC6857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(0.152)</w:t>
            </w:r>
          </w:p>
        </w:tc>
        <w:tc>
          <w:tcPr>
            <w:tcW w:w="284" w:type="dxa"/>
            <w:tcBorders>
              <w:top w:val="nil"/>
              <w:left w:val="nil"/>
              <w:bottom w:val="nil"/>
              <w:right w:val="nil"/>
            </w:tcBorders>
            <w:shd w:val="clear" w:color="auto" w:fill="auto"/>
            <w:noWrap/>
            <w:vAlign w:val="bottom"/>
            <w:hideMark/>
          </w:tcPr>
          <w:p w14:paraId="53FB824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72C2637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(0.026)</w:t>
            </w:r>
          </w:p>
        </w:tc>
        <w:tc>
          <w:tcPr>
            <w:tcW w:w="1417" w:type="dxa"/>
            <w:tcBorders>
              <w:top w:val="nil"/>
              <w:left w:val="nil"/>
              <w:bottom w:val="nil"/>
              <w:right w:val="nil"/>
            </w:tcBorders>
            <w:shd w:val="clear" w:color="auto" w:fill="auto"/>
            <w:noWrap/>
            <w:vAlign w:val="bottom"/>
            <w:hideMark/>
          </w:tcPr>
          <w:p w14:paraId="266DCAF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(0.053)</w:t>
            </w:r>
          </w:p>
        </w:tc>
      </w:tr>
      <w:tr w:rsidR="0093472B" w:rsidRPr="00C82EE1" w14:paraId="726A9743"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687FA293"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Social media</w:t>
            </w:r>
          </w:p>
        </w:tc>
        <w:tc>
          <w:tcPr>
            <w:tcW w:w="1064" w:type="dxa"/>
            <w:tcBorders>
              <w:top w:val="nil"/>
              <w:left w:val="nil"/>
              <w:bottom w:val="nil"/>
              <w:right w:val="nil"/>
            </w:tcBorders>
            <w:shd w:val="clear" w:color="auto" w:fill="auto"/>
            <w:noWrap/>
            <w:vAlign w:val="bottom"/>
            <w:hideMark/>
          </w:tcPr>
          <w:p w14:paraId="038CE2F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0.170***</w:t>
            </w:r>
          </w:p>
        </w:tc>
        <w:tc>
          <w:tcPr>
            <w:tcW w:w="1055" w:type="dxa"/>
            <w:tcBorders>
              <w:top w:val="nil"/>
              <w:left w:val="nil"/>
              <w:bottom w:val="nil"/>
              <w:right w:val="nil"/>
            </w:tcBorders>
            <w:shd w:val="clear" w:color="auto" w:fill="auto"/>
            <w:noWrap/>
            <w:vAlign w:val="bottom"/>
            <w:hideMark/>
          </w:tcPr>
          <w:p w14:paraId="4EEB86A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-0.039</w:t>
            </w:r>
          </w:p>
        </w:tc>
        <w:tc>
          <w:tcPr>
            <w:tcW w:w="284" w:type="dxa"/>
            <w:tcBorders>
              <w:top w:val="nil"/>
              <w:left w:val="nil"/>
              <w:bottom w:val="nil"/>
              <w:right w:val="nil"/>
            </w:tcBorders>
            <w:shd w:val="clear" w:color="auto" w:fill="auto"/>
            <w:noWrap/>
            <w:vAlign w:val="bottom"/>
            <w:hideMark/>
          </w:tcPr>
          <w:p w14:paraId="3C99909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6A4D5F4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-0.070</w:t>
            </w:r>
          </w:p>
        </w:tc>
        <w:tc>
          <w:tcPr>
            <w:tcW w:w="1560" w:type="dxa"/>
            <w:tcBorders>
              <w:top w:val="nil"/>
              <w:left w:val="nil"/>
              <w:bottom w:val="nil"/>
              <w:right w:val="nil"/>
            </w:tcBorders>
            <w:shd w:val="clear" w:color="auto" w:fill="auto"/>
            <w:noWrap/>
            <w:vAlign w:val="bottom"/>
            <w:hideMark/>
          </w:tcPr>
          <w:p w14:paraId="354CFFE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0.171***</w:t>
            </w:r>
          </w:p>
        </w:tc>
        <w:tc>
          <w:tcPr>
            <w:tcW w:w="284" w:type="dxa"/>
            <w:tcBorders>
              <w:top w:val="nil"/>
              <w:left w:val="nil"/>
              <w:bottom w:val="nil"/>
              <w:right w:val="nil"/>
            </w:tcBorders>
            <w:shd w:val="clear" w:color="auto" w:fill="auto"/>
            <w:noWrap/>
            <w:vAlign w:val="bottom"/>
            <w:hideMark/>
          </w:tcPr>
          <w:p w14:paraId="660159D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5CDF832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-0.037**</w:t>
            </w:r>
          </w:p>
        </w:tc>
        <w:tc>
          <w:tcPr>
            <w:tcW w:w="1417" w:type="dxa"/>
            <w:tcBorders>
              <w:top w:val="nil"/>
              <w:left w:val="nil"/>
              <w:bottom w:val="nil"/>
              <w:right w:val="nil"/>
            </w:tcBorders>
            <w:shd w:val="clear" w:color="auto" w:fill="auto"/>
            <w:noWrap/>
            <w:vAlign w:val="bottom"/>
            <w:hideMark/>
          </w:tcPr>
          <w:p w14:paraId="05B7ACB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0.219***</w:t>
            </w:r>
          </w:p>
        </w:tc>
      </w:tr>
      <w:tr w:rsidR="0093472B" w:rsidRPr="00C82EE1" w14:paraId="158AE69C"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7E39E5E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0E36368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(0.059)</w:t>
            </w:r>
          </w:p>
        </w:tc>
        <w:tc>
          <w:tcPr>
            <w:tcW w:w="1055" w:type="dxa"/>
            <w:tcBorders>
              <w:top w:val="nil"/>
              <w:left w:val="nil"/>
              <w:bottom w:val="nil"/>
              <w:right w:val="nil"/>
            </w:tcBorders>
            <w:shd w:val="clear" w:color="auto" w:fill="auto"/>
            <w:noWrap/>
            <w:vAlign w:val="bottom"/>
            <w:hideMark/>
          </w:tcPr>
          <w:p w14:paraId="50D6778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(0.032)</w:t>
            </w:r>
          </w:p>
        </w:tc>
        <w:tc>
          <w:tcPr>
            <w:tcW w:w="284" w:type="dxa"/>
            <w:tcBorders>
              <w:top w:val="nil"/>
              <w:left w:val="nil"/>
              <w:bottom w:val="nil"/>
              <w:right w:val="nil"/>
            </w:tcBorders>
            <w:shd w:val="clear" w:color="auto" w:fill="auto"/>
            <w:noWrap/>
            <w:vAlign w:val="bottom"/>
            <w:hideMark/>
          </w:tcPr>
          <w:p w14:paraId="4EB4C03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073E40E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(0.045)</w:t>
            </w:r>
          </w:p>
        </w:tc>
        <w:tc>
          <w:tcPr>
            <w:tcW w:w="1560" w:type="dxa"/>
            <w:tcBorders>
              <w:top w:val="nil"/>
              <w:left w:val="nil"/>
              <w:bottom w:val="nil"/>
              <w:right w:val="nil"/>
            </w:tcBorders>
            <w:shd w:val="clear" w:color="auto" w:fill="auto"/>
            <w:noWrap/>
            <w:vAlign w:val="bottom"/>
            <w:hideMark/>
          </w:tcPr>
          <w:p w14:paraId="7A4D296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(0.059)</w:t>
            </w:r>
          </w:p>
        </w:tc>
        <w:tc>
          <w:tcPr>
            <w:tcW w:w="284" w:type="dxa"/>
            <w:tcBorders>
              <w:top w:val="nil"/>
              <w:left w:val="nil"/>
              <w:bottom w:val="nil"/>
              <w:right w:val="nil"/>
            </w:tcBorders>
            <w:shd w:val="clear" w:color="auto" w:fill="auto"/>
            <w:noWrap/>
            <w:vAlign w:val="bottom"/>
            <w:hideMark/>
          </w:tcPr>
          <w:p w14:paraId="7D3AFAF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5ABA8A6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(0.015)</w:t>
            </w:r>
          </w:p>
        </w:tc>
        <w:tc>
          <w:tcPr>
            <w:tcW w:w="1417" w:type="dxa"/>
            <w:tcBorders>
              <w:top w:val="nil"/>
              <w:left w:val="nil"/>
              <w:bottom w:val="nil"/>
              <w:right w:val="nil"/>
            </w:tcBorders>
            <w:shd w:val="clear" w:color="auto" w:fill="auto"/>
            <w:noWrap/>
            <w:vAlign w:val="bottom"/>
            <w:hideMark/>
          </w:tcPr>
          <w:p w14:paraId="415C85E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(0.021)</w:t>
            </w:r>
          </w:p>
        </w:tc>
      </w:tr>
      <w:tr w:rsidR="0093472B" w:rsidRPr="00C82EE1" w14:paraId="0B1A2ED7"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0CBDBEC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Video</w:t>
            </w:r>
          </w:p>
        </w:tc>
        <w:tc>
          <w:tcPr>
            <w:tcW w:w="1064" w:type="dxa"/>
            <w:tcBorders>
              <w:top w:val="nil"/>
              <w:left w:val="nil"/>
              <w:bottom w:val="nil"/>
              <w:right w:val="nil"/>
            </w:tcBorders>
            <w:shd w:val="clear" w:color="auto" w:fill="auto"/>
            <w:noWrap/>
            <w:vAlign w:val="bottom"/>
            <w:hideMark/>
          </w:tcPr>
          <w:p w14:paraId="664C6C1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-0.363</w:t>
            </w:r>
          </w:p>
        </w:tc>
        <w:tc>
          <w:tcPr>
            <w:tcW w:w="1055" w:type="dxa"/>
            <w:tcBorders>
              <w:top w:val="nil"/>
              <w:left w:val="nil"/>
              <w:bottom w:val="nil"/>
              <w:right w:val="nil"/>
            </w:tcBorders>
            <w:shd w:val="clear" w:color="auto" w:fill="auto"/>
            <w:noWrap/>
            <w:vAlign w:val="bottom"/>
            <w:hideMark/>
          </w:tcPr>
          <w:p w14:paraId="1CDAECF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0.239</w:t>
            </w:r>
          </w:p>
        </w:tc>
        <w:tc>
          <w:tcPr>
            <w:tcW w:w="284" w:type="dxa"/>
            <w:tcBorders>
              <w:top w:val="nil"/>
              <w:left w:val="nil"/>
              <w:bottom w:val="nil"/>
              <w:right w:val="nil"/>
            </w:tcBorders>
            <w:shd w:val="clear" w:color="auto" w:fill="auto"/>
            <w:noWrap/>
            <w:vAlign w:val="bottom"/>
            <w:hideMark/>
          </w:tcPr>
          <w:p w14:paraId="15C0C3C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F2458A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0.368*</w:t>
            </w:r>
          </w:p>
        </w:tc>
        <w:tc>
          <w:tcPr>
            <w:tcW w:w="1560" w:type="dxa"/>
            <w:tcBorders>
              <w:top w:val="nil"/>
              <w:left w:val="nil"/>
              <w:bottom w:val="nil"/>
              <w:right w:val="nil"/>
            </w:tcBorders>
            <w:shd w:val="clear" w:color="auto" w:fill="auto"/>
            <w:noWrap/>
            <w:vAlign w:val="bottom"/>
            <w:hideMark/>
          </w:tcPr>
          <w:p w14:paraId="506AD07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-0.292</w:t>
            </w:r>
          </w:p>
        </w:tc>
        <w:tc>
          <w:tcPr>
            <w:tcW w:w="284" w:type="dxa"/>
            <w:tcBorders>
              <w:top w:val="nil"/>
              <w:left w:val="nil"/>
              <w:bottom w:val="nil"/>
              <w:right w:val="nil"/>
            </w:tcBorders>
            <w:shd w:val="clear" w:color="auto" w:fill="auto"/>
            <w:noWrap/>
            <w:vAlign w:val="bottom"/>
            <w:hideMark/>
          </w:tcPr>
          <w:p w14:paraId="2CCB78F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14EC3D2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0.287</w:t>
            </w:r>
          </w:p>
        </w:tc>
        <w:tc>
          <w:tcPr>
            <w:tcW w:w="1417" w:type="dxa"/>
            <w:tcBorders>
              <w:top w:val="nil"/>
              <w:left w:val="nil"/>
              <w:bottom w:val="nil"/>
              <w:right w:val="nil"/>
            </w:tcBorders>
            <w:shd w:val="clear" w:color="auto" w:fill="auto"/>
            <w:noWrap/>
            <w:vAlign w:val="bottom"/>
            <w:hideMark/>
          </w:tcPr>
          <w:p w14:paraId="45F2B51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0.297*</w:t>
            </w:r>
          </w:p>
        </w:tc>
      </w:tr>
      <w:tr w:rsidR="0093472B" w:rsidRPr="00C82EE1" w14:paraId="6E775065"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0683AEC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04D48C0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(0.893)</w:t>
            </w:r>
          </w:p>
        </w:tc>
        <w:tc>
          <w:tcPr>
            <w:tcW w:w="1055" w:type="dxa"/>
            <w:tcBorders>
              <w:top w:val="nil"/>
              <w:left w:val="nil"/>
              <w:bottom w:val="nil"/>
              <w:right w:val="nil"/>
            </w:tcBorders>
            <w:shd w:val="clear" w:color="auto" w:fill="auto"/>
            <w:noWrap/>
            <w:vAlign w:val="bottom"/>
            <w:hideMark/>
          </w:tcPr>
          <w:p w14:paraId="690D389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(0.252)</w:t>
            </w:r>
          </w:p>
        </w:tc>
        <w:tc>
          <w:tcPr>
            <w:tcW w:w="284" w:type="dxa"/>
            <w:tcBorders>
              <w:top w:val="nil"/>
              <w:left w:val="nil"/>
              <w:bottom w:val="nil"/>
              <w:right w:val="nil"/>
            </w:tcBorders>
            <w:shd w:val="clear" w:color="auto" w:fill="auto"/>
            <w:noWrap/>
            <w:vAlign w:val="bottom"/>
            <w:hideMark/>
          </w:tcPr>
          <w:p w14:paraId="3B41EF3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6B823D4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(0.195)</w:t>
            </w:r>
          </w:p>
        </w:tc>
        <w:tc>
          <w:tcPr>
            <w:tcW w:w="1560" w:type="dxa"/>
            <w:tcBorders>
              <w:top w:val="nil"/>
              <w:left w:val="nil"/>
              <w:bottom w:val="nil"/>
              <w:right w:val="nil"/>
            </w:tcBorders>
            <w:shd w:val="clear" w:color="auto" w:fill="auto"/>
            <w:noWrap/>
            <w:vAlign w:val="bottom"/>
            <w:hideMark/>
          </w:tcPr>
          <w:p w14:paraId="7E75F77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(0.538)</w:t>
            </w:r>
          </w:p>
        </w:tc>
        <w:tc>
          <w:tcPr>
            <w:tcW w:w="284" w:type="dxa"/>
            <w:tcBorders>
              <w:top w:val="nil"/>
              <w:left w:val="nil"/>
              <w:bottom w:val="nil"/>
              <w:right w:val="nil"/>
            </w:tcBorders>
            <w:shd w:val="clear" w:color="auto" w:fill="auto"/>
            <w:noWrap/>
            <w:vAlign w:val="bottom"/>
            <w:hideMark/>
          </w:tcPr>
          <w:p w14:paraId="0EA3FB2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43E60BE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(0.243)</w:t>
            </w:r>
          </w:p>
        </w:tc>
        <w:tc>
          <w:tcPr>
            <w:tcW w:w="1417" w:type="dxa"/>
            <w:tcBorders>
              <w:top w:val="nil"/>
              <w:left w:val="nil"/>
              <w:bottom w:val="nil"/>
              <w:right w:val="nil"/>
            </w:tcBorders>
            <w:shd w:val="clear" w:color="auto" w:fill="auto"/>
            <w:noWrap/>
            <w:vAlign w:val="bottom"/>
            <w:hideMark/>
          </w:tcPr>
          <w:p w14:paraId="6B63CB3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(0.171)</w:t>
            </w:r>
          </w:p>
        </w:tc>
      </w:tr>
      <w:tr w:rsidR="0093472B" w:rsidRPr="00C82EE1" w14:paraId="6F773684"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7254300B"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Eth</w:t>
            </w:r>
          </w:p>
        </w:tc>
        <w:tc>
          <w:tcPr>
            <w:tcW w:w="1064" w:type="dxa"/>
            <w:tcBorders>
              <w:top w:val="nil"/>
              <w:left w:val="nil"/>
              <w:bottom w:val="nil"/>
              <w:right w:val="nil"/>
            </w:tcBorders>
            <w:shd w:val="clear" w:color="auto" w:fill="auto"/>
            <w:noWrap/>
            <w:vAlign w:val="bottom"/>
            <w:hideMark/>
          </w:tcPr>
          <w:p w14:paraId="22C411D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0.093</w:t>
            </w:r>
          </w:p>
        </w:tc>
        <w:tc>
          <w:tcPr>
            <w:tcW w:w="1055" w:type="dxa"/>
            <w:tcBorders>
              <w:top w:val="nil"/>
              <w:left w:val="nil"/>
              <w:bottom w:val="nil"/>
              <w:right w:val="nil"/>
            </w:tcBorders>
            <w:shd w:val="clear" w:color="auto" w:fill="auto"/>
            <w:noWrap/>
            <w:vAlign w:val="bottom"/>
            <w:hideMark/>
          </w:tcPr>
          <w:p w14:paraId="56EDBBC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-0.723***</w:t>
            </w:r>
          </w:p>
        </w:tc>
        <w:tc>
          <w:tcPr>
            <w:tcW w:w="284" w:type="dxa"/>
            <w:tcBorders>
              <w:top w:val="nil"/>
              <w:left w:val="nil"/>
              <w:bottom w:val="nil"/>
              <w:right w:val="nil"/>
            </w:tcBorders>
            <w:shd w:val="clear" w:color="auto" w:fill="auto"/>
            <w:noWrap/>
            <w:vAlign w:val="bottom"/>
            <w:hideMark/>
          </w:tcPr>
          <w:p w14:paraId="7949842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45EC0B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-0.230</w:t>
            </w:r>
          </w:p>
        </w:tc>
        <w:tc>
          <w:tcPr>
            <w:tcW w:w="1560" w:type="dxa"/>
            <w:tcBorders>
              <w:top w:val="nil"/>
              <w:left w:val="nil"/>
              <w:bottom w:val="nil"/>
              <w:right w:val="nil"/>
            </w:tcBorders>
            <w:shd w:val="clear" w:color="auto" w:fill="auto"/>
            <w:noWrap/>
            <w:vAlign w:val="bottom"/>
            <w:hideMark/>
          </w:tcPr>
          <w:p w14:paraId="1214783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-1.197***</w:t>
            </w:r>
          </w:p>
        </w:tc>
        <w:tc>
          <w:tcPr>
            <w:tcW w:w="284" w:type="dxa"/>
            <w:tcBorders>
              <w:top w:val="nil"/>
              <w:left w:val="nil"/>
              <w:bottom w:val="nil"/>
              <w:right w:val="nil"/>
            </w:tcBorders>
            <w:shd w:val="clear" w:color="auto" w:fill="auto"/>
            <w:noWrap/>
            <w:vAlign w:val="bottom"/>
            <w:hideMark/>
          </w:tcPr>
          <w:p w14:paraId="365484E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637AC71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-0.058</w:t>
            </w:r>
          </w:p>
        </w:tc>
        <w:tc>
          <w:tcPr>
            <w:tcW w:w="1417" w:type="dxa"/>
            <w:tcBorders>
              <w:top w:val="nil"/>
              <w:left w:val="nil"/>
              <w:bottom w:val="nil"/>
              <w:right w:val="nil"/>
            </w:tcBorders>
            <w:shd w:val="clear" w:color="auto" w:fill="auto"/>
            <w:noWrap/>
            <w:vAlign w:val="bottom"/>
            <w:hideMark/>
          </w:tcPr>
          <w:p w14:paraId="78339F6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-0.584***</w:t>
            </w:r>
          </w:p>
        </w:tc>
      </w:tr>
      <w:tr w:rsidR="0093472B" w:rsidRPr="00C82EE1" w14:paraId="23A2C1A5"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4B7348C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20BC10F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(0.309)</w:t>
            </w:r>
          </w:p>
        </w:tc>
        <w:tc>
          <w:tcPr>
            <w:tcW w:w="1055" w:type="dxa"/>
            <w:tcBorders>
              <w:top w:val="nil"/>
              <w:left w:val="nil"/>
              <w:bottom w:val="nil"/>
              <w:right w:val="nil"/>
            </w:tcBorders>
            <w:shd w:val="clear" w:color="auto" w:fill="auto"/>
            <w:noWrap/>
            <w:vAlign w:val="bottom"/>
            <w:hideMark/>
          </w:tcPr>
          <w:p w14:paraId="69E4050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(0.207)</w:t>
            </w:r>
          </w:p>
        </w:tc>
        <w:tc>
          <w:tcPr>
            <w:tcW w:w="284" w:type="dxa"/>
            <w:tcBorders>
              <w:top w:val="nil"/>
              <w:left w:val="nil"/>
              <w:bottom w:val="nil"/>
              <w:right w:val="nil"/>
            </w:tcBorders>
            <w:shd w:val="clear" w:color="auto" w:fill="auto"/>
            <w:noWrap/>
            <w:vAlign w:val="bottom"/>
            <w:hideMark/>
          </w:tcPr>
          <w:p w14:paraId="6BA114C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DA754E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(0.277)</w:t>
            </w:r>
          </w:p>
        </w:tc>
        <w:tc>
          <w:tcPr>
            <w:tcW w:w="1560" w:type="dxa"/>
            <w:tcBorders>
              <w:top w:val="nil"/>
              <w:left w:val="nil"/>
              <w:bottom w:val="nil"/>
              <w:right w:val="nil"/>
            </w:tcBorders>
            <w:shd w:val="clear" w:color="auto" w:fill="auto"/>
            <w:noWrap/>
            <w:vAlign w:val="bottom"/>
            <w:hideMark/>
          </w:tcPr>
          <w:p w14:paraId="37714C1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(0.245)</w:t>
            </w:r>
          </w:p>
        </w:tc>
        <w:tc>
          <w:tcPr>
            <w:tcW w:w="284" w:type="dxa"/>
            <w:tcBorders>
              <w:top w:val="nil"/>
              <w:left w:val="nil"/>
              <w:bottom w:val="nil"/>
              <w:right w:val="nil"/>
            </w:tcBorders>
            <w:shd w:val="clear" w:color="auto" w:fill="auto"/>
            <w:noWrap/>
            <w:vAlign w:val="bottom"/>
            <w:hideMark/>
          </w:tcPr>
          <w:p w14:paraId="1080888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2E01DCF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(0.072)</w:t>
            </w:r>
          </w:p>
        </w:tc>
        <w:tc>
          <w:tcPr>
            <w:tcW w:w="1417" w:type="dxa"/>
            <w:tcBorders>
              <w:top w:val="nil"/>
              <w:left w:val="nil"/>
              <w:bottom w:val="nil"/>
              <w:right w:val="nil"/>
            </w:tcBorders>
            <w:shd w:val="clear" w:color="auto" w:fill="auto"/>
            <w:noWrap/>
            <w:vAlign w:val="bottom"/>
            <w:hideMark/>
          </w:tcPr>
          <w:p w14:paraId="18878FC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(0.027)</w:t>
            </w:r>
          </w:p>
        </w:tc>
      </w:tr>
      <w:tr w:rsidR="0093472B" w:rsidRPr="00C82EE1" w14:paraId="701517A0"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35EBAB50"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Token distribution</w:t>
            </w:r>
          </w:p>
        </w:tc>
        <w:tc>
          <w:tcPr>
            <w:tcW w:w="1064" w:type="dxa"/>
            <w:tcBorders>
              <w:top w:val="nil"/>
              <w:left w:val="nil"/>
              <w:bottom w:val="nil"/>
              <w:right w:val="nil"/>
            </w:tcBorders>
            <w:shd w:val="clear" w:color="auto" w:fill="auto"/>
            <w:noWrap/>
            <w:vAlign w:val="bottom"/>
            <w:hideMark/>
          </w:tcPr>
          <w:p w14:paraId="2D17E3C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-0.094</w:t>
            </w:r>
          </w:p>
        </w:tc>
        <w:tc>
          <w:tcPr>
            <w:tcW w:w="1055" w:type="dxa"/>
            <w:tcBorders>
              <w:top w:val="nil"/>
              <w:left w:val="nil"/>
              <w:bottom w:val="nil"/>
              <w:right w:val="nil"/>
            </w:tcBorders>
            <w:shd w:val="clear" w:color="auto" w:fill="auto"/>
            <w:noWrap/>
            <w:vAlign w:val="bottom"/>
            <w:hideMark/>
          </w:tcPr>
          <w:p w14:paraId="0889CFE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0.764</w:t>
            </w:r>
          </w:p>
        </w:tc>
        <w:tc>
          <w:tcPr>
            <w:tcW w:w="284" w:type="dxa"/>
            <w:tcBorders>
              <w:top w:val="nil"/>
              <w:left w:val="nil"/>
              <w:bottom w:val="nil"/>
              <w:right w:val="nil"/>
            </w:tcBorders>
            <w:shd w:val="clear" w:color="auto" w:fill="auto"/>
            <w:noWrap/>
            <w:vAlign w:val="bottom"/>
            <w:hideMark/>
          </w:tcPr>
          <w:p w14:paraId="29F910B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5302B00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-0.131</w:t>
            </w:r>
          </w:p>
        </w:tc>
        <w:tc>
          <w:tcPr>
            <w:tcW w:w="1560" w:type="dxa"/>
            <w:tcBorders>
              <w:top w:val="nil"/>
              <w:left w:val="nil"/>
              <w:bottom w:val="nil"/>
              <w:right w:val="nil"/>
            </w:tcBorders>
            <w:shd w:val="clear" w:color="auto" w:fill="auto"/>
            <w:noWrap/>
            <w:vAlign w:val="bottom"/>
            <w:hideMark/>
          </w:tcPr>
          <w:p w14:paraId="292869F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0.051</w:t>
            </w:r>
          </w:p>
        </w:tc>
        <w:tc>
          <w:tcPr>
            <w:tcW w:w="284" w:type="dxa"/>
            <w:tcBorders>
              <w:top w:val="nil"/>
              <w:left w:val="nil"/>
              <w:bottom w:val="nil"/>
              <w:right w:val="nil"/>
            </w:tcBorders>
            <w:shd w:val="clear" w:color="auto" w:fill="auto"/>
            <w:noWrap/>
            <w:vAlign w:val="bottom"/>
            <w:hideMark/>
          </w:tcPr>
          <w:p w14:paraId="0E77008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065B166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-0.329***</w:t>
            </w:r>
          </w:p>
        </w:tc>
        <w:tc>
          <w:tcPr>
            <w:tcW w:w="1417" w:type="dxa"/>
            <w:tcBorders>
              <w:top w:val="nil"/>
              <w:left w:val="nil"/>
              <w:bottom w:val="nil"/>
              <w:right w:val="nil"/>
            </w:tcBorders>
            <w:shd w:val="clear" w:color="auto" w:fill="auto"/>
            <w:noWrap/>
            <w:vAlign w:val="bottom"/>
            <w:hideMark/>
          </w:tcPr>
          <w:p w14:paraId="6F782AF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1.308</w:t>
            </w:r>
          </w:p>
        </w:tc>
      </w:tr>
      <w:tr w:rsidR="0093472B" w:rsidRPr="00C82EE1" w14:paraId="4AFA5844"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7438437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2D82280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(1.063)</w:t>
            </w:r>
          </w:p>
        </w:tc>
        <w:tc>
          <w:tcPr>
            <w:tcW w:w="1055" w:type="dxa"/>
            <w:tcBorders>
              <w:top w:val="nil"/>
              <w:left w:val="nil"/>
              <w:bottom w:val="nil"/>
              <w:right w:val="nil"/>
            </w:tcBorders>
            <w:shd w:val="clear" w:color="auto" w:fill="auto"/>
            <w:noWrap/>
            <w:vAlign w:val="bottom"/>
            <w:hideMark/>
          </w:tcPr>
          <w:p w14:paraId="7546FDC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(1.617)</w:t>
            </w:r>
          </w:p>
        </w:tc>
        <w:tc>
          <w:tcPr>
            <w:tcW w:w="284" w:type="dxa"/>
            <w:tcBorders>
              <w:top w:val="nil"/>
              <w:left w:val="nil"/>
              <w:bottom w:val="nil"/>
              <w:right w:val="nil"/>
            </w:tcBorders>
            <w:shd w:val="clear" w:color="auto" w:fill="auto"/>
            <w:noWrap/>
            <w:vAlign w:val="bottom"/>
            <w:hideMark/>
          </w:tcPr>
          <w:p w14:paraId="3F833FB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2931448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(0.390)</w:t>
            </w:r>
          </w:p>
        </w:tc>
        <w:tc>
          <w:tcPr>
            <w:tcW w:w="1560" w:type="dxa"/>
            <w:tcBorders>
              <w:top w:val="nil"/>
              <w:left w:val="nil"/>
              <w:bottom w:val="nil"/>
              <w:right w:val="nil"/>
            </w:tcBorders>
            <w:shd w:val="clear" w:color="auto" w:fill="auto"/>
            <w:noWrap/>
            <w:vAlign w:val="bottom"/>
            <w:hideMark/>
          </w:tcPr>
          <w:p w14:paraId="621F979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(0.317)</w:t>
            </w:r>
          </w:p>
        </w:tc>
        <w:tc>
          <w:tcPr>
            <w:tcW w:w="284" w:type="dxa"/>
            <w:tcBorders>
              <w:top w:val="nil"/>
              <w:left w:val="nil"/>
              <w:bottom w:val="nil"/>
              <w:right w:val="nil"/>
            </w:tcBorders>
            <w:shd w:val="clear" w:color="auto" w:fill="auto"/>
            <w:noWrap/>
            <w:vAlign w:val="bottom"/>
            <w:hideMark/>
          </w:tcPr>
          <w:p w14:paraId="710812F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5DCC58A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(0.099)</w:t>
            </w:r>
          </w:p>
        </w:tc>
        <w:tc>
          <w:tcPr>
            <w:tcW w:w="1417" w:type="dxa"/>
            <w:tcBorders>
              <w:top w:val="nil"/>
              <w:left w:val="nil"/>
              <w:bottom w:val="nil"/>
              <w:right w:val="nil"/>
            </w:tcBorders>
            <w:shd w:val="clear" w:color="auto" w:fill="auto"/>
            <w:noWrap/>
            <w:vAlign w:val="bottom"/>
            <w:hideMark/>
          </w:tcPr>
          <w:p w14:paraId="0372177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(1.434)</w:t>
            </w:r>
          </w:p>
        </w:tc>
      </w:tr>
      <w:tr w:rsidR="0093472B" w:rsidRPr="00C82EE1" w14:paraId="40474898"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0118F91B"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Minimum investment</w:t>
            </w:r>
          </w:p>
        </w:tc>
        <w:tc>
          <w:tcPr>
            <w:tcW w:w="1064" w:type="dxa"/>
            <w:tcBorders>
              <w:top w:val="nil"/>
              <w:left w:val="nil"/>
              <w:bottom w:val="nil"/>
              <w:right w:val="nil"/>
            </w:tcBorders>
            <w:shd w:val="clear" w:color="auto" w:fill="auto"/>
            <w:noWrap/>
            <w:vAlign w:val="bottom"/>
            <w:hideMark/>
          </w:tcPr>
          <w:p w14:paraId="3619307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-0.305</w:t>
            </w:r>
          </w:p>
        </w:tc>
        <w:tc>
          <w:tcPr>
            <w:tcW w:w="1055" w:type="dxa"/>
            <w:tcBorders>
              <w:top w:val="nil"/>
              <w:left w:val="nil"/>
              <w:bottom w:val="nil"/>
              <w:right w:val="nil"/>
            </w:tcBorders>
            <w:shd w:val="clear" w:color="auto" w:fill="auto"/>
            <w:noWrap/>
            <w:vAlign w:val="bottom"/>
            <w:hideMark/>
          </w:tcPr>
          <w:p w14:paraId="7F650CC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-0.242</w:t>
            </w:r>
          </w:p>
        </w:tc>
        <w:tc>
          <w:tcPr>
            <w:tcW w:w="284" w:type="dxa"/>
            <w:tcBorders>
              <w:top w:val="nil"/>
              <w:left w:val="nil"/>
              <w:bottom w:val="nil"/>
              <w:right w:val="nil"/>
            </w:tcBorders>
            <w:shd w:val="clear" w:color="auto" w:fill="auto"/>
            <w:noWrap/>
            <w:vAlign w:val="bottom"/>
            <w:hideMark/>
          </w:tcPr>
          <w:p w14:paraId="62A8723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73331AF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0.091</w:t>
            </w:r>
          </w:p>
        </w:tc>
        <w:tc>
          <w:tcPr>
            <w:tcW w:w="1560" w:type="dxa"/>
            <w:tcBorders>
              <w:top w:val="nil"/>
              <w:left w:val="nil"/>
              <w:bottom w:val="nil"/>
              <w:right w:val="nil"/>
            </w:tcBorders>
            <w:shd w:val="clear" w:color="auto" w:fill="auto"/>
            <w:noWrap/>
            <w:vAlign w:val="bottom"/>
            <w:hideMark/>
          </w:tcPr>
          <w:p w14:paraId="0A9E9E9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-0.141</w:t>
            </w:r>
          </w:p>
        </w:tc>
        <w:tc>
          <w:tcPr>
            <w:tcW w:w="284" w:type="dxa"/>
            <w:tcBorders>
              <w:top w:val="nil"/>
              <w:left w:val="nil"/>
              <w:bottom w:val="nil"/>
              <w:right w:val="nil"/>
            </w:tcBorders>
            <w:shd w:val="clear" w:color="auto" w:fill="auto"/>
            <w:noWrap/>
            <w:vAlign w:val="bottom"/>
            <w:hideMark/>
          </w:tcPr>
          <w:p w14:paraId="0237FD6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3901F2E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0.061</w:t>
            </w:r>
          </w:p>
        </w:tc>
        <w:tc>
          <w:tcPr>
            <w:tcW w:w="1417" w:type="dxa"/>
            <w:tcBorders>
              <w:top w:val="nil"/>
              <w:left w:val="nil"/>
              <w:bottom w:val="nil"/>
              <w:right w:val="nil"/>
            </w:tcBorders>
            <w:shd w:val="clear" w:color="auto" w:fill="auto"/>
            <w:noWrap/>
            <w:vAlign w:val="bottom"/>
            <w:hideMark/>
          </w:tcPr>
          <w:p w14:paraId="1AD0332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0.037</w:t>
            </w:r>
          </w:p>
        </w:tc>
      </w:tr>
      <w:tr w:rsidR="0093472B" w:rsidRPr="00C82EE1" w14:paraId="44E5FE36"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09B8B88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0E8AD2B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(0.349)</w:t>
            </w:r>
          </w:p>
        </w:tc>
        <w:tc>
          <w:tcPr>
            <w:tcW w:w="1055" w:type="dxa"/>
            <w:tcBorders>
              <w:top w:val="nil"/>
              <w:left w:val="nil"/>
              <w:bottom w:val="nil"/>
              <w:right w:val="nil"/>
            </w:tcBorders>
            <w:shd w:val="clear" w:color="auto" w:fill="auto"/>
            <w:noWrap/>
            <w:vAlign w:val="bottom"/>
            <w:hideMark/>
          </w:tcPr>
          <w:p w14:paraId="7EC212D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(0.174)</w:t>
            </w:r>
          </w:p>
        </w:tc>
        <w:tc>
          <w:tcPr>
            <w:tcW w:w="284" w:type="dxa"/>
            <w:tcBorders>
              <w:top w:val="nil"/>
              <w:left w:val="nil"/>
              <w:bottom w:val="nil"/>
              <w:right w:val="nil"/>
            </w:tcBorders>
            <w:shd w:val="clear" w:color="auto" w:fill="auto"/>
            <w:noWrap/>
            <w:vAlign w:val="bottom"/>
            <w:hideMark/>
          </w:tcPr>
          <w:p w14:paraId="7658A41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419B907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(0.249)</w:t>
            </w:r>
          </w:p>
        </w:tc>
        <w:tc>
          <w:tcPr>
            <w:tcW w:w="1560" w:type="dxa"/>
            <w:tcBorders>
              <w:top w:val="nil"/>
              <w:left w:val="nil"/>
              <w:bottom w:val="nil"/>
              <w:right w:val="nil"/>
            </w:tcBorders>
            <w:shd w:val="clear" w:color="auto" w:fill="auto"/>
            <w:noWrap/>
            <w:vAlign w:val="bottom"/>
            <w:hideMark/>
          </w:tcPr>
          <w:p w14:paraId="0802398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(0.265)</w:t>
            </w:r>
          </w:p>
        </w:tc>
        <w:tc>
          <w:tcPr>
            <w:tcW w:w="284" w:type="dxa"/>
            <w:tcBorders>
              <w:top w:val="nil"/>
              <w:left w:val="nil"/>
              <w:bottom w:val="nil"/>
              <w:right w:val="nil"/>
            </w:tcBorders>
            <w:shd w:val="clear" w:color="auto" w:fill="auto"/>
            <w:noWrap/>
            <w:vAlign w:val="bottom"/>
            <w:hideMark/>
          </w:tcPr>
          <w:p w14:paraId="5865425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3FAEBEB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(0.057)</w:t>
            </w:r>
          </w:p>
        </w:tc>
        <w:tc>
          <w:tcPr>
            <w:tcW w:w="1417" w:type="dxa"/>
            <w:tcBorders>
              <w:top w:val="nil"/>
              <w:left w:val="nil"/>
              <w:bottom w:val="nil"/>
              <w:right w:val="nil"/>
            </w:tcBorders>
            <w:shd w:val="clear" w:color="auto" w:fill="auto"/>
            <w:noWrap/>
            <w:vAlign w:val="bottom"/>
            <w:hideMark/>
          </w:tcPr>
          <w:p w14:paraId="2DD7A51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(0.096)</w:t>
            </w:r>
          </w:p>
        </w:tc>
      </w:tr>
      <w:tr w:rsidR="0093472B" w:rsidRPr="00C82EE1" w14:paraId="401F7A2A"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46562BB1"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Fiat</w:t>
            </w:r>
          </w:p>
        </w:tc>
        <w:tc>
          <w:tcPr>
            <w:tcW w:w="1064" w:type="dxa"/>
            <w:tcBorders>
              <w:top w:val="nil"/>
              <w:left w:val="nil"/>
              <w:bottom w:val="nil"/>
              <w:right w:val="nil"/>
            </w:tcBorders>
            <w:shd w:val="clear" w:color="auto" w:fill="auto"/>
            <w:noWrap/>
            <w:vAlign w:val="bottom"/>
            <w:hideMark/>
          </w:tcPr>
          <w:p w14:paraId="72D7097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0.718</w:t>
            </w:r>
          </w:p>
        </w:tc>
        <w:tc>
          <w:tcPr>
            <w:tcW w:w="1055" w:type="dxa"/>
            <w:tcBorders>
              <w:top w:val="nil"/>
              <w:left w:val="nil"/>
              <w:bottom w:val="nil"/>
              <w:right w:val="nil"/>
            </w:tcBorders>
            <w:shd w:val="clear" w:color="auto" w:fill="auto"/>
            <w:noWrap/>
            <w:vAlign w:val="bottom"/>
            <w:hideMark/>
          </w:tcPr>
          <w:p w14:paraId="3E9387E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0.009</w:t>
            </w:r>
          </w:p>
        </w:tc>
        <w:tc>
          <w:tcPr>
            <w:tcW w:w="284" w:type="dxa"/>
            <w:tcBorders>
              <w:top w:val="nil"/>
              <w:left w:val="nil"/>
              <w:bottom w:val="nil"/>
              <w:right w:val="nil"/>
            </w:tcBorders>
            <w:shd w:val="clear" w:color="auto" w:fill="auto"/>
            <w:noWrap/>
            <w:vAlign w:val="bottom"/>
            <w:hideMark/>
          </w:tcPr>
          <w:p w14:paraId="3CD1890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4D83934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0.312</w:t>
            </w:r>
          </w:p>
        </w:tc>
        <w:tc>
          <w:tcPr>
            <w:tcW w:w="1560" w:type="dxa"/>
            <w:tcBorders>
              <w:top w:val="nil"/>
              <w:left w:val="nil"/>
              <w:bottom w:val="nil"/>
              <w:right w:val="nil"/>
            </w:tcBorders>
            <w:shd w:val="clear" w:color="auto" w:fill="auto"/>
            <w:noWrap/>
            <w:vAlign w:val="bottom"/>
            <w:hideMark/>
          </w:tcPr>
          <w:p w14:paraId="4BB6300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0.256</w:t>
            </w:r>
          </w:p>
        </w:tc>
        <w:tc>
          <w:tcPr>
            <w:tcW w:w="284" w:type="dxa"/>
            <w:tcBorders>
              <w:top w:val="nil"/>
              <w:left w:val="nil"/>
              <w:bottom w:val="nil"/>
              <w:right w:val="nil"/>
            </w:tcBorders>
            <w:shd w:val="clear" w:color="auto" w:fill="auto"/>
            <w:noWrap/>
            <w:vAlign w:val="bottom"/>
            <w:hideMark/>
          </w:tcPr>
          <w:p w14:paraId="275CAA6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2902C81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0.484***</w:t>
            </w:r>
          </w:p>
        </w:tc>
        <w:tc>
          <w:tcPr>
            <w:tcW w:w="1417" w:type="dxa"/>
            <w:tcBorders>
              <w:top w:val="nil"/>
              <w:left w:val="nil"/>
              <w:bottom w:val="nil"/>
              <w:right w:val="nil"/>
            </w:tcBorders>
            <w:shd w:val="clear" w:color="auto" w:fill="auto"/>
            <w:noWrap/>
            <w:vAlign w:val="bottom"/>
            <w:hideMark/>
          </w:tcPr>
          <w:p w14:paraId="6AC26EB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0.356***</w:t>
            </w:r>
          </w:p>
        </w:tc>
      </w:tr>
      <w:tr w:rsidR="0093472B" w:rsidRPr="00C82EE1" w14:paraId="2440BD2C"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129E82D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660F177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(0.532)</w:t>
            </w:r>
          </w:p>
        </w:tc>
        <w:tc>
          <w:tcPr>
            <w:tcW w:w="1055" w:type="dxa"/>
            <w:tcBorders>
              <w:top w:val="nil"/>
              <w:left w:val="nil"/>
              <w:bottom w:val="nil"/>
              <w:right w:val="nil"/>
            </w:tcBorders>
            <w:shd w:val="clear" w:color="auto" w:fill="auto"/>
            <w:noWrap/>
            <w:vAlign w:val="bottom"/>
            <w:hideMark/>
          </w:tcPr>
          <w:p w14:paraId="6C03755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(0.135)</w:t>
            </w:r>
          </w:p>
        </w:tc>
        <w:tc>
          <w:tcPr>
            <w:tcW w:w="284" w:type="dxa"/>
            <w:tcBorders>
              <w:top w:val="nil"/>
              <w:left w:val="nil"/>
              <w:bottom w:val="nil"/>
              <w:right w:val="nil"/>
            </w:tcBorders>
            <w:shd w:val="clear" w:color="auto" w:fill="auto"/>
            <w:noWrap/>
            <w:vAlign w:val="bottom"/>
            <w:hideMark/>
          </w:tcPr>
          <w:p w14:paraId="5BB946E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6DE2AE1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(0.202)</w:t>
            </w:r>
          </w:p>
        </w:tc>
        <w:tc>
          <w:tcPr>
            <w:tcW w:w="1560" w:type="dxa"/>
            <w:tcBorders>
              <w:top w:val="nil"/>
              <w:left w:val="nil"/>
              <w:bottom w:val="nil"/>
              <w:right w:val="nil"/>
            </w:tcBorders>
            <w:shd w:val="clear" w:color="auto" w:fill="auto"/>
            <w:noWrap/>
            <w:vAlign w:val="bottom"/>
            <w:hideMark/>
          </w:tcPr>
          <w:p w14:paraId="2C3E7B5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(0.440)</w:t>
            </w:r>
          </w:p>
        </w:tc>
        <w:tc>
          <w:tcPr>
            <w:tcW w:w="284" w:type="dxa"/>
            <w:tcBorders>
              <w:top w:val="nil"/>
              <w:left w:val="nil"/>
              <w:bottom w:val="nil"/>
              <w:right w:val="nil"/>
            </w:tcBorders>
            <w:shd w:val="clear" w:color="auto" w:fill="auto"/>
            <w:noWrap/>
            <w:vAlign w:val="bottom"/>
            <w:hideMark/>
          </w:tcPr>
          <w:p w14:paraId="740E3BD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611A069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(0.156)</w:t>
            </w:r>
          </w:p>
        </w:tc>
        <w:tc>
          <w:tcPr>
            <w:tcW w:w="1417" w:type="dxa"/>
            <w:tcBorders>
              <w:top w:val="nil"/>
              <w:left w:val="nil"/>
              <w:bottom w:val="nil"/>
              <w:right w:val="nil"/>
            </w:tcBorders>
            <w:shd w:val="clear" w:color="auto" w:fill="auto"/>
            <w:noWrap/>
            <w:vAlign w:val="bottom"/>
            <w:hideMark/>
          </w:tcPr>
          <w:p w14:paraId="3E7B88E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(0.017)</w:t>
            </w:r>
          </w:p>
        </w:tc>
      </w:tr>
      <w:tr w:rsidR="0093472B" w:rsidRPr="00C82EE1" w14:paraId="69C073EC"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62A608FD"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proofErr w:type="spellStart"/>
            <w:r w:rsidRPr="00C82EE1">
              <w:rPr>
                <w:rFonts w:ascii="Times New Roman" w:eastAsia="Times New Roman" w:hAnsi="Times New Roman" w:cs="Times New Roman"/>
                <w:i/>
                <w:iCs/>
                <w:color w:val="000000"/>
                <w:sz w:val="20"/>
                <w:szCs w:val="20"/>
              </w:rPr>
              <w:t>Hardcap</w:t>
            </w:r>
            <w:proofErr w:type="spellEnd"/>
          </w:p>
        </w:tc>
        <w:tc>
          <w:tcPr>
            <w:tcW w:w="1064" w:type="dxa"/>
            <w:tcBorders>
              <w:top w:val="nil"/>
              <w:left w:val="nil"/>
              <w:bottom w:val="nil"/>
              <w:right w:val="nil"/>
            </w:tcBorders>
            <w:shd w:val="clear" w:color="auto" w:fill="auto"/>
            <w:noWrap/>
            <w:vAlign w:val="bottom"/>
            <w:hideMark/>
          </w:tcPr>
          <w:p w14:paraId="16B3C11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-0.443</w:t>
            </w:r>
          </w:p>
        </w:tc>
        <w:tc>
          <w:tcPr>
            <w:tcW w:w="1055" w:type="dxa"/>
            <w:tcBorders>
              <w:top w:val="nil"/>
              <w:left w:val="nil"/>
              <w:bottom w:val="nil"/>
              <w:right w:val="nil"/>
            </w:tcBorders>
            <w:shd w:val="clear" w:color="auto" w:fill="auto"/>
            <w:noWrap/>
            <w:vAlign w:val="bottom"/>
            <w:hideMark/>
          </w:tcPr>
          <w:p w14:paraId="0903F19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0.364***</w:t>
            </w:r>
          </w:p>
        </w:tc>
        <w:tc>
          <w:tcPr>
            <w:tcW w:w="284" w:type="dxa"/>
            <w:tcBorders>
              <w:top w:val="nil"/>
              <w:left w:val="nil"/>
              <w:bottom w:val="nil"/>
              <w:right w:val="nil"/>
            </w:tcBorders>
            <w:shd w:val="clear" w:color="auto" w:fill="auto"/>
            <w:noWrap/>
            <w:vAlign w:val="bottom"/>
            <w:hideMark/>
          </w:tcPr>
          <w:p w14:paraId="7757097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6112E02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-0.282</w:t>
            </w:r>
          </w:p>
        </w:tc>
        <w:tc>
          <w:tcPr>
            <w:tcW w:w="1560" w:type="dxa"/>
            <w:tcBorders>
              <w:top w:val="nil"/>
              <w:left w:val="nil"/>
              <w:bottom w:val="nil"/>
              <w:right w:val="nil"/>
            </w:tcBorders>
            <w:shd w:val="clear" w:color="auto" w:fill="auto"/>
            <w:noWrap/>
            <w:vAlign w:val="bottom"/>
            <w:hideMark/>
          </w:tcPr>
          <w:p w14:paraId="2C2D8AB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-0.019</w:t>
            </w:r>
          </w:p>
        </w:tc>
        <w:tc>
          <w:tcPr>
            <w:tcW w:w="284" w:type="dxa"/>
            <w:tcBorders>
              <w:top w:val="nil"/>
              <w:left w:val="nil"/>
              <w:bottom w:val="nil"/>
              <w:right w:val="nil"/>
            </w:tcBorders>
            <w:shd w:val="clear" w:color="auto" w:fill="auto"/>
            <w:noWrap/>
            <w:vAlign w:val="bottom"/>
            <w:hideMark/>
          </w:tcPr>
          <w:p w14:paraId="6A2E51F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0E0B23E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0.143**</w:t>
            </w:r>
          </w:p>
        </w:tc>
        <w:tc>
          <w:tcPr>
            <w:tcW w:w="1417" w:type="dxa"/>
            <w:tcBorders>
              <w:top w:val="nil"/>
              <w:left w:val="nil"/>
              <w:bottom w:val="nil"/>
              <w:right w:val="nil"/>
            </w:tcBorders>
            <w:shd w:val="clear" w:color="auto" w:fill="auto"/>
            <w:noWrap/>
            <w:vAlign w:val="bottom"/>
            <w:hideMark/>
          </w:tcPr>
          <w:p w14:paraId="5C6D577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0.323*</w:t>
            </w:r>
          </w:p>
        </w:tc>
      </w:tr>
      <w:tr w:rsidR="0093472B" w:rsidRPr="00C82EE1" w14:paraId="341059A6"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172C17D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119AD37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(0.733)</w:t>
            </w:r>
          </w:p>
        </w:tc>
        <w:tc>
          <w:tcPr>
            <w:tcW w:w="1055" w:type="dxa"/>
            <w:tcBorders>
              <w:top w:val="nil"/>
              <w:left w:val="nil"/>
              <w:bottom w:val="nil"/>
              <w:right w:val="nil"/>
            </w:tcBorders>
            <w:shd w:val="clear" w:color="auto" w:fill="auto"/>
            <w:noWrap/>
            <w:vAlign w:val="bottom"/>
            <w:hideMark/>
          </w:tcPr>
          <w:p w14:paraId="7BB05A7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(0.044)</w:t>
            </w:r>
          </w:p>
        </w:tc>
        <w:tc>
          <w:tcPr>
            <w:tcW w:w="284" w:type="dxa"/>
            <w:tcBorders>
              <w:top w:val="nil"/>
              <w:left w:val="nil"/>
              <w:bottom w:val="nil"/>
              <w:right w:val="nil"/>
            </w:tcBorders>
            <w:shd w:val="clear" w:color="auto" w:fill="auto"/>
            <w:noWrap/>
            <w:vAlign w:val="bottom"/>
            <w:hideMark/>
          </w:tcPr>
          <w:p w14:paraId="378AA0C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5C47CD2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(0.202)</w:t>
            </w:r>
          </w:p>
        </w:tc>
        <w:tc>
          <w:tcPr>
            <w:tcW w:w="1560" w:type="dxa"/>
            <w:tcBorders>
              <w:top w:val="nil"/>
              <w:left w:val="nil"/>
              <w:bottom w:val="nil"/>
              <w:right w:val="nil"/>
            </w:tcBorders>
            <w:shd w:val="clear" w:color="auto" w:fill="auto"/>
            <w:noWrap/>
            <w:vAlign w:val="bottom"/>
            <w:hideMark/>
          </w:tcPr>
          <w:p w14:paraId="49958A6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(0.411)</w:t>
            </w:r>
          </w:p>
        </w:tc>
        <w:tc>
          <w:tcPr>
            <w:tcW w:w="284" w:type="dxa"/>
            <w:tcBorders>
              <w:top w:val="nil"/>
              <w:left w:val="nil"/>
              <w:bottom w:val="nil"/>
              <w:right w:val="nil"/>
            </w:tcBorders>
            <w:shd w:val="clear" w:color="auto" w:fill="auto"/>
            <w:noWrap/>
            <w:vAlign w:val="bottom"/>
            <w:hideMark/>
          </w:tcPr>
          <w:p w14:paraId="08ECB28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7B8A5FC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(0.061)</w:t>
            </w:r>
          </w:p>
        </w:tc>
        <w:tc>
          <w:tcPr>
            <w:tcW w:w="1417" w:type="dxa"/>
            <w:tcBorders>
              <w:top w:val="nil"/>
              <w:left w:val="nil"/>
              <w:bottom w:val="nil"/>
              <w:right w:val="nil"/>
            </w:tcBorders>
            <w:shd w:val="clear" w:color="auto" w:fill="auto"/>
            <w:noWrap/>
            <w:vAlign w:val="bottom"/>
            <w:hideMark/>
          </w:tcPr>
          <w:p w14:paraId="0688401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(0.177)</w:t>
            </w:r>
          </w:p>
        </w:tc>
      </w:tr>
      <w:tr w:rsidR="0093472B" w:rsidRPr="00C82EE1" w14:paraId="1FD2451C"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724C0939"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proofErr w:type="spellStart"/>
            <w:r w:rsidRPr="00C82EE1">
              <w:rPr>
                <w:rFonts w:ascii="Times New Roman" w:eastAsia="Times New Roman" w:hAnsi="Times New Roman" w:cs="Times New Roman"/>
                <w:i/>
                <w:iCs/>
                <w:color w:val="000000"/>
                <w:sz w:val="20"/>
                <w:szCs w:val="20"/>
              </w:rPr>
              <w:t>Softcap</w:t>
            </w:r>
            <w:proofErr w:type="spellEnd"/>
          </w:p>
        </w:tc>
        <w:tc>
          <w:tcPr>
            <w:tcW w:w="1064" w:type="dxa"/>
            <w:tcBorders>
              <w:top w:val="nil"/>
              <w:left w:val="nil"/>
              <w:bottom w:val="nil"/>
              <w:right w:val="nil"/>
            </w:tcBorders>
            <w:shd w:val="clear" w:color="auto" w:fill="auto"/>
            <w:noWrap/>
            <w:vAlign w:val="bottom"/>
            <w:hideMark/>
          </w:tcPr>
          <w:p w14:paraId="6A0ABA5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0.247</w:t>
            </w:r>
          </w:p>
        </w:tc>
        <w:tc>
          <w:tcPr>
            <w:tcW w:w="1055" w:type="dxa"/>
            <w:tcBorders>
              <w:top w:val="nil"/>
              <w:left w:val="nil"/>
              <w:bottom w:val="nil"/>
              <w:right w:val="nil"/>
            </w:tcBorders>
            <w:shd w:val="clear" w:color="auto" w:fill="auto"/>
            <w:noWrap/>
            <w:vAlign w:val="bottom"/>
            <w:hideMark/>
          </w:tcPr>
          <w:p w14:paraId="389B14A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-0.777</w:t>
            </w:r>
          </w:p>
        </w:tc>
        <w:tc>
          <w:tcPr>
            <w:tcW w:w="284" w:type="dxa"/>
            <w:tcBorders>
              <w:top w:val="nil"/>
              <w:left w:val="nil"/>
              <w:bottom w:val="nil"/>
              <w:right w:val="nil"/>
            </w:tcBorders>
            <w:shd w:val="clear" w:color="auto" w:fill="auto"/>
            <w:noWrap/>
            <w:vAlign w:val="bottom"/>
            <w:hideMark/>
          </w:tcPr>
          <w:p w14:paraId="30738F2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5C4882A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-0.089</w:t>
            </w:r>
          </w:p>
        </w:tc>
        <w:tc>
          <w:tcPr>
            <w:tcW w:w="1560" w:type="dxa"/>
            <w:tcBorders>
              <w:top w:val="nil"/>
              <w:left w:val="nil"/>
              <w:bottom w:val="nil"/>
              <w:right w:val="nil"/>
            </w:tcBorders>
            <w:shd w:val="clear" w:color="auto" w:fill="auto"/>
            <w:noWrap/>
            <w:vAlign w:val="bottom"/>
            <w:hideMark/>
          </w:tcPr>
          <w:p w14:paraId="64C8D0D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0.710</w:t>
            </w:r>
          </w:p>
        </w:tc>
        <w:tc>
          <w:tcPr>
            <w:tcW w:w="284" w:type="dxa"/>
            <w:tcBorders>
              <w:top w:val="nil"/>
              <w:left w:val="nil"/>
              <w:bottom w:val="nil"/>
              <w:right w:val="nil"/>
            </w:tcBorders>
            <w:shd w:val="clear" w:color="auto" w:fill="auto"/>
            <w:noWrap/>
            <w:vAlign w:val="bottom"/>
            <w:hideMark/>
          </w:tcPr>
          <w:p w14:paraId="07011E0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50E9BC6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0.023</w:t>
            </w:r>
          </w:p>
        </w:tc>
        <w:tc>
          <w:tcPr>
            <w:tcW w:w="1417" w:type="dxa"/>
            <w:tcBorders>
              <w:top w:val="nil"/>
              <w:left w:val="nil"/>
              <w:bottom w:val="nil"/>
              <w:right w:val="nil"/>
            </w:tcBorders>
            <w:shd w:val="clear" w:color="auto" w:fill="auto"/>
            <w:noWrap/>
            <w:vAlign w:val="bottom"/>
            <w:hideMark/>
          </w:tcPr>
          <w:p w14:paraId="31EE58D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0.055</w:t>
            </w:r>
          </w:p>
        </w:tc>
      </w:tr>
      <w:tr w:rsidR="0093472B" w:rsidRPr="00C82EE1" w14:paraId="5E68B9F5"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60B20E5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29DC671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(0.235)</w:t>
            </w:r>
          </w:p>
        </w:tc>
        <w:tc>
          <w:tcPr>
            <w:tcW w:w="1055" w:type="dxa"/>
            <w:tcBorders>
              <w:top w:val="nil"/>
              <w:left w:val="nil"/>
              <w:bottom w:val="nil"/>
              <w:right w:val="nil"/>
            </w:tcBorders>
            <w:shd w:val="clear" w:color="auto" w:fill="auto"/>
            <w:noWrap/>
            <w:vAlign w:val="bottom"/>
            <w:hideMark/>
          </w:tcPr>
          <w:p w14:paraId="076C78A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(1.070)</w:t>
            </w:r>
          </w:p>
        </w:tc>
        <w:tc>
          <w:tcPr>
            <w:tcW w:w="284" w:type="dxa"/>
            <w:tcBorders>
              <w:top w:val="nil"/>
              <w:left w:val="nil"/>
              <w:bottom w:val="nil"/>
              <w:right w:val="nil"/>
            </w:tcBorders>
            <w:shd w:val="clear" w:color="auto" w:fill="auto"/>
            <w:noWrap/>
            <w:vAlign w:val="bottom"/>
            <w:hideMark/>
          </w:tcPr>
          <w:p w14:paraId="675DBCE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2254ED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(0.336)</w:t>
            </w:r>
          </w:p>
        </w:tc>
        <w:tc>
          <w:tcPr>
            <w:tcW w:w="1560" w:type="dxa"/>
            <w:tcBorders>
              <w:top w:val="nil"/>
              <w:left w:val="nil"/>
              <w:bottom w:val="nil"/>
              <w:right w:val="nil"/>
            </w:tcBorders>
            <w:shd w:val="clear" w:color="auto" w:fill="auto"/>
            <w:noWrap/>
            <w:vAlign w:val="bottom"/>
            <w:hideMark/>
          </w:tcPr>
          <w:p w14:paraId="3C4DCB1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(0.490)</w:t>
            </w:r>
          </w:p>
        </w:tc>
        <w:tc>
          <w:tcPr>
            <w:tcW w:w="284" w:type="dxa"/>
            <w:tcBorders>
              <w:top w:val="nil"/>
              <w:left w:val="nil"/>
              <w:bottom w:val="nil"/>
              <w:right w:val="nil"/>
            </w:tcBorders>
            <w:shd w:val="clear" w:color="auto" w:fill="auto"/>
            <w:noWrap/>
            <w:vAlign w:val="bottom"/>
            <w:hideMark/>
          </w:tcPr>
          <w:p w14:paraId="0F762F4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440016B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(0.146)</w:t>
            </w:r>
          </w:p>
        </w:tc>
        <w:tc>
          <w:tcPr>
            <w:tcW w:w="1417" w:type="dxa"/>
            <w:tcBorders>
              <w:top w:val="nil"/>
              <w:left w:val="nil"/>
              <w:bottom w:val="nil"/>
              <w:right w:val="nil"/>
            </w:tcBorders>
            <w:shd w:val="clear" w:color="auto" w:fill="auto"/>
            <w:noWrap/>
            <w:vAlign w:val="bottom"/>
            <w:hideMark/>
          </w:tcPr>
          <w:p w14:paraId="52749AF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(0.087)</w:t>
            </w:r>
          </w:p>
        </w:tc>
      </w:tr>
      <w:tr w:rsidR="0093472B" w:rsidRPr="00C82EE1" w14:paraId="4C9DDBF7"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72B2E4DC"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Bonus</w:t>
            </w:r>
          </w:p>
        </w:tc>
        <w:tc>
          <w:tcPr>
            <w:tcW w:w="1064" w:type="dxa"/>
            <w:tcBorders>
              <w:top w:val="nil"/>
              <w:left w:val="nil"/>
              <w:bottom w:val="nil"/>
              <w:right w:val="nil"/>
            </w:tcBorders>
            <w:shd w:val="clear" w:color="auto" w:fill="auto"/>
            <w:noWrap/>
            <w:vAlign w:val="bottom"/>
            <w:hideMark/>
          </w:tcPr>
          <w:p w14:paraId="5402CB9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0.665***</w:t>
            </w:r>
          </w:p>
        </w:tc>
        <w:tc>
          <w:tcPr>
            <w:tcW w:w="1055" w:type="dxa"/>
            <w:tcBorders>
              <w:top w:val="nil"/>
              <w:left w:val="nil"/>
              <w:bottom w:val="nil"/>
              <w:right w:val="nil"/>
            </w:tcBorders>
            <w:shd w:val="clear" w:color="auto" w:fill="auto"/>
            <w:noWrap/>
            <w:vAlign w:val="bottom"/>
            <w:hideMark/>
          </w:tcPr>
          <w:p w14:paraId="0A499A3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-0.294**</w:t>
            </w:r>
          </w:p>
        </w:tc>
        <w:tc>
          <w:tcPr>
            <w:tcW w:w="284" w:type="dxa"/>
            <w:tcBorders>
              <w:top w:val="nil"/>
              <w:left w:val="nil"/>
              <w:bottom w:val="nil"/>
              <w:right w:val="nil"/>
            </w:tcBorders>
            <w:shd w:val="clear" w:color="auto" w:fill="auto"/>
            <w:noWrap/>
            <w:vAlign w:val="bottom"/>
            <w:hideMark/>
          </w:tcPr>
          <w:p w14:paraId="44AD8CC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50FE06C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-0.060</w:t>
            </w:r>
          </w:p>
        </w:tc>
        <w:tc>
          <w:tcPr>
            <w:tcW w:w="1560" w:type="dxa"/>
            <w:tcBorders>
              <w:top w:val="nil"/>
              <w:left w:val="nil"/>
              <w:bottom w:val="nil"/>
              <w:right w:val="nil"/>
            </w:tcBorders>
            <w:shd w:val="clear" w:color="auto" w:fill="auto"/>
            <w:noWrap/>
            <w:vAlign w:val="bottom"/>
            <w:hideMark/>
          </w:tcPr>
          <w:p w14:paraId="3C57F13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-0.253</w:t>
            </w:r>
          </w:p>
        </w:tc>
        <w:tc>
          <w:tcPr>
            <w:tcW w:w="284" w:type="dxa"/>
            <w:tcBorders>
              <w:top w:val="nil"/>
              <w:left w:val="nil"/>
              <w:bottom w:val="nil"/>
              <w:right w:val="nil"/>
            </w:tcBorders>
            <w:shd w:val="clear" w:color="auto" w:fill="auto"/>
            <w:noWrap/>
            <w:vAlign w:val="bottom"/>
            <w:hideMark/>
          </w:tcPr>
          <w:p w14:paraId="14CE9A4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5501B64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0.016</w:t>
            </w:r>
          </w:p>
        </w:tc>
        <w:tc>
          <w:tcPr>
            <w:tcW w:w="1417" w:type="dxa"/>
            <w:tcBorders>
              <w:top w:val="nil"/>
              <w:left w:val="nil"/>
              <w:bottom w:val="nil"/>
              <w:right w:val="nil"/>
            </w:tcBorders>
            <w:shd w:val="clear" w:color="auto" w:fill="auto"/>
            <w:noWrap/>
            <w:vAlign w:val="bottom"/>
            <w:hideMark/>
          </w:tcPr>
          <w:p w14:paraId="3DBB119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-0.146*</w:t>
            </w:r>
          </w:p>
        </w:tc>
      </w:tr>
      <w:tr w:rsidR="0093472B" w:rsidRPr="00C82EE1" w14:paraId="534A714C"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5F0C68F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7A23F4E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(0.215)</w:t>
            </w:r>
          </w:p>
        </w:tc>
        <w:tc>
          <w:tcPr>
            <w:tcW w:w="1055" w:type="dxa"/>
            <w:tcBorders>
              <w:top w:val="nil"/>
              <w:left w:val="nil"/>
              <w:bottom w:val="nil"/>
              <w:right w:val="nil"/>
            </w:tcBorders>
            <w:shd w:val="clear" w:color="auto" w:fill="auto"/>
            <w:noWrap/>
            <w:vAlign w:val="bottom"/>
            <w:hideMark/>
          </w:tcPr>
          <w:p w14:paraId="5077BAC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(0.119)</w:t>
            </w:r>
          </w:p>
        </w:tc>
        <w:tc>
          <w:tcPr>
            <w:tcW w:w="284" w:type="dxa"/>
            <w:tcBorders>
              <w:top w:val="nil"/>
              <w:left w:val="nil"/>
              <w:bottom w:val="nil"/>
              <w:right w:val="nil"/>
            </w:tcBorders>
            <w:shd w:val="clear" w:color="auto" w:fill="auto"/>
            <w:noWrap/>
            <w:vAlign w:val="bottom"/>
            <w:hideMark/>
          </w:tcPr>
          <w:p w14:paraId="1C4460C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06422E0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(0.141)</w:t>
            </w:r>
          </w:p>
        </w:tc>
        <w:tc>
          <w:tcPr>
            <w:tcW w:w="1560" w:type="dxa"/>
            <w:tcBorders>
              <w:top w:val="nil"/>
              <w:left w:val="nil"/>
              <w:bottom w:val="nil"/>
              <w:right w:val="nil"/>
            </w:tcBorders>
            <w:shd w:val="clear" w:color="auto" w:fill="auto"/>
            <w:noWrap/>
            <w:vAlign w:val="bottom"/>
            <w:hideMark/>
          </w:tcPr>
          <w:p w14:paraId="33ED8E8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(0.177)</w:t>
            </w:r>
          </w:p>
        </w:tc>
        <w:tc>
          <w:tcPr>
            <w:tcW w:w="284" w:type="dxa"/>
            <w:tcBorders>
              <w:top w:val="nil"/>
              <w:left w:val="nil"/>
              <w:bottom w:val="nil"/>
              <w:right w:val="nil"/>
            </w:tcBorders>
            <w:shd w:val="clear" w:color="auto" w:fill="auto"/>
            <w:noWrap/>
            <w:vAlign w:val="bottom"/>
            <w:hideMark/>
          </w:tcPr>
          <w:p w14:paraId="3B828B4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1A268E7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(0.049)</w:t>
            </w:r>
          </w:p>
        </w:tc>
        <w:tc>
          <w:tcPr>
            <w:tcW w:w="1417" w:type="dxa"/>
            <w:tcBorders>
              <w:top w:val="nil"/>
              <w:left w:val="nil"/>
              <w:bottom w:val="nil"/>
              <w:right w:val="nil"/>
            </w:tcBorders>
            <w:shd w:val="clear" w:color="auto" w:fill="auto"/>
            <w:noWrap/>
            <w:vAlign w:val="bottom"/>
            <w:hideMark/>
          </w:tcPr>
          <w:p w14:paraId="543368D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(0.075)</w:t>
            </w:r>
          </w:p>
        </w:tc>
      </w:tr>
      <w:tr w:rsidR="0093472B" w:rsidRPr="00C82EE1" w14:paraId="56AB9572"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69E96558"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proofErr w:type="spellStart"/>
            <w:r w:rsidRPr="00C82EE1">
              <w:rPr>
                <w:rFonts w:ascii="Times New Roman" w:eastAsia="Times New Roman" w:hAnsi="Times New Roman" w:cs="Times New Roman"/>
                <w:i/>
                <w:iCs/>
                <w:color w:val="000000"/>
                <w:sz w:val="20"/>
                <w:szCs w:val="20"/>
              </w:rPr>
              <w:t>TopicDiversity</w:t>
            </w:r>
            <w:proofErr w:type="spellEnd"/>
          </w:p>
        </w:tc>
        <w:tc>
          <w:tcPr>
            <w:tcW w:w="1064" w:type="dxa"/>
            <w:tcBorders>
              <w:top w:val="nil"/>
              <w:left w:val="nil"/>
              <w:bottom w:val="nil"/>
              <w:right w:val="nil"/>
            </w:tcBorders>
            <w:shd w:val="clear" w:color="auto" w:fill="auto"/>
            <w:noWrap/>
            <w:vAlign w:val="bottom"/>
            <w:hideMark/>
          </w:tcPr>
          <w:p w14:paraId="39E1E10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-0.038</w:t>
            </w:r>
          </w:p>
        </w:tc>
        <w:tc>
          <w:tcPr>
            <w:tcW w:w="1055" w:type="dxa"/>
            <w:tcBorders>
              <w:top w:val="nil"/>
              <w:left w:val="nil"/>
              <w:bottom w:val="nil"/>
              <w:right w:val="nil"/>
            </w:tcBorders>
            <w:shd w:val="clear" w:color="auto" w:fill="auto"/>
            <w:noWrap/>
            <w:vAlign w:val="bottom"/>
            <w:hideMark/>
          </w:tcPr>
          <w:p w14:paraId="298266E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-0.676**</w:t>
            </w:r>
          </w:p>
        </w:tc>
        <w:tc>
          <w:tcPr>
            <w:tcW w:w="284" w:type="dxa"/>
            <w:tcBorders>
              <w:top w:val="nil"/>
              <w:left w:val="nil"/>
              <w:bottom w:val="nil"/>
              <w:right w:val="nil"/>
            </w:tcBorders>
            <w:shd w:val="clear" w:color="auto" w:fill="auto"/>
            <w:noWrap/>
            <w:vAlign w:val="bottom"/>
            <w:hideMark/>
          </w:tcPr>
          <w:p w14:paraId="0AB300A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02C610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-0.513**</w:t>
            </w:r>
          </w:p>
        </w:tc>
        <w:tc>
          <w:tcPr>
            <w:tcW w:w="1560" w:type="dxa"/>
            <w:tcBorders>
              <w:top w:val="nil"/>
              <w:left w:val="nil"/>
              <w:bottom w:val="nil"/>
              <w:right w:val="nil"/>
            </w:tcBorders>
            <w:shd w:val="clear" w:color="auto" w:fill="auto"/>
            <w:noWrap/>
            <w:vAlign w:val="bottom"/>
            <w:hideMark/>
          </w:tcPr>
          <w:p w14:paraId="119428E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-0.268</w:t>
            </w:r>
          </w:p>
        </w:tc>
        <w:tc>
          <w:tcPr>
            <w:tcW w:w="284" w:type="dxa"/>
            <w:tcBorders>
              <w:top w:val="nil"/>
              <w:left w:val="nil"/>
              <w:bottom w:val="nil"/>
              <w:right w:val="nil"/>
            </w:tcBorders>
            <w:shd w:val="clear" w:color="auto" w:fill="auto"/>
            <w:noWrap/>
            <w:vAlign w:val="bottom"/>
            <w:hideMark/>
          </w:tcPr>
          <w:p w14:paraId="7BF134E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6F88453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-0.113</w:t>
            </w:r>
          </w:p>
        </w:tc>
        <w:tc>
          <w:tcPr>
            <w:tcW w:w="1417" w:type="dxa"/>
            <w:tcBorders>
              <w:top w:val="nil"/>
              <w:left w:val="nil"/>
              <w:bottom w:val="nil"/>
              <w:right w:val="nil"/>
            </w:tcBorders>
            <w:shd w:val="clear" w:color="auto" w:fill="auto"/>
            <w:noWrap/>
            <w:vAlign w:val="bottom"/>
            <w:hideMark/>
          </w:tcPr>
          <w:p w14:paraId="59D4E03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-0.641***</w:t>
            </w:r>
          </w:p>
        </w:tc>
      </w:tr>
      <w:tr w:rsidR="0093472B" w:rsidRPr="00C82EE1" w14:paraId="6A40CE2D"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0F9117F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4C5171F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(0.255)</w:t>
            </w:r>
          </w:p>
        </w:tc>
        <w:tc>
          <w:tcPr>
            <w:tcW w:w="1055" w:type="dxa"/>
            <w:tcBorders>
              <w:top w:val="nil"/>
              <w:left w:val="nil"/>
              <w:bottom w:val="nil"/>
              <w:right w:val="nil"/>
            </w:tcBorders>
            <w:shd w:val="clear" w:color="auto" w:fill="auto"/>
            <w:noWrap/>
            <w:vAlign w:val="bottom"/>
            <w:hideMark/>
          </w:tcPr>
          <w:p w14:paraId="6B8DE7A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(0.302)</w:t>
            </w:r>
          </w:p>
        </w:tc>
        <w:tc>
          <w:tcPr>
            <w:tcW w:w="284" w:type="dxa"/>
            <w:tcBorders>
              <w:top w:val="nil"/>
              <w:left w:val="nil"/>
              <w:bottom w:val="nil"/>
              <w:right w:val="nil"/>
            </w:tcBorders>
            <w:shd w:val="clear" w:color="auto" w:fill="auto"/>
            <w:noWrap/>
            <w:vAlign w:val="bottom"/>
            <w:hideMark/>
          </w:tcPr>
          <w:p w14:paraId="3DFC99C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EA361D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(0.204)</w:t>
            </w:r>
          </w:p>
        </w:tc>
        <w:tc>
          <w:tcPr>
            <w:tcW w:w="1560" w:type="dxa"/>
            <w:tcBorders>
              <w:top w:val="nil"/>
              <w:left w:val="nil"/>
              <w:bottom w:val="nil"/>
              <w:right w:val="nil"/>
            </w:tcBorders>
            <w:shd w:val="clear" w:color="auto" w:fill="auto"/>
            <w:noWrap/>
            <w:vAlign w:val="bottom"/>
            <w:hideMark/>
          </w:tcPr>
          <w:p w14:paraId="7CED886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(0.201)</w:t>
            </w:r>
          </w:p>
        </w:tc>
        <w:tc>
          <w:tcPr>
            <w:tcW w:w="284" w:type="dxa"/>
            <w:tcBorders>
              <w:top w:val="nil"/>
              <w:left w:val="nil"/>
              <w:bottom w:val="nil"/>
              <w:right w:val="nil"/>
            </w:tcBorders>
            <w:shd w:val="clear" w:color="auto" w:fill="auto"/>
            <w:noWrap/>
            <w:vAlign w:val="bottom"/>
            <w:hideMark/>
          </w:tcPr>
          <w:p w14:paraId="3F97286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24F5751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(0.195)</w:t>
            </w:r>
          </w:p>
        </w:tc>
        <w:tc>
          <w:tcPr>
            <w:tcW w:w="1417" w:type="dxa"/>
            <w:tcBorders>
              <w:top w:val="nil"/>
              <w:left w:val="nil"/>
              <w:bottom w:val="nil"/>
              <w:right w:val="nil"/>
            </w:tcBorders>
            <w:shd w:val="clear" w:color="auto" w:fill="auto"/>
            <w:noWrap/>
            <w:vAlign w:val="bottom"/>
            <w:hideMark/>
          </w:tcPr>
          <w:p w14:paraId="779A01B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(0.062)</w:t>
            </w:r>
          </w:p>
        </w:tc>
      </w:tr>
      <w:tr w:rsidR="0093472B" w:rsidRPr="00C82EE1" w14:paraId="2414AC55"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53328890"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proofErr w:type="spellStart"/>
            <w:r w:rsidRPr="00C82EE1">
              <w:rPr>
                <w:rFonts w:ascii="Times New Roman" w:eastAsia="Times New Roman" w:hAnsi="Times New Roman" w:cs="Times New Roman"/>
                <w:i/>
                <w:iCs/>
                <w:color w:val="000000"/>
                <w:sz w:val="20"/>
                <w:szCs w:val="20"/>
              </w:rPr>
              <w:t>PriceBit</w:t>
            </w:r>
            <w:proofErr w:type="spellEnd"/>
          </w:p>
        </w:tc>
        <w:tc>
          <w:tcPr>
            <w:tcW w:w="1064" w:type="dxa"/>
            <w:tcBorders>
              <w:top w:val="nil"/>
              <w:left w:val="nil"/>
              <w:bottom w:val="nil"/>
              <w:right w:val="nil"/>
            </w:tcBorders>
            <w:shd w:val="clear" w:color="auto" w:fill="auto"/>
            <w:noWrap/>
            <w:vAlign w:val="bottom"/>
            <w:hideMark/>
          </w:tcPr>
          <w:p w14:paraId="54ADCB9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1.774***</w:t>
            </w:r>
          </w:p>
        </w:tc>
        <w:tc>
          <w:tcPr>
            <w:tcW w:w="1055" w:type="dxa"/>
            <w:tcBorders>
              <w:top w:val="nil"/>
              <w:left w:val="nil"/>
              <w:bottom w:val="nil"/>
              <w:right w:val="nil"/>
            </w:tcBorders>
            <w:shd w:val="clear" w:color="auto" w:fill="auto"/>
            <w:noWrap/>
            <w:vAlign w:val="bottom"/>
            <w:hideMark/>
          </w:tcPr>
          <w:p w14:paraId="2A681A1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1.108*</w:t>
            </w:r>
          </w:p>
        </w:tc>
        <w:tc>
          <w:tcPr>
            <w:tcW w:w="284" w:type="dxa"/>
            <w:tcBorders>
              <w:top w:val="nil"/>
              <w:left w:val="nil"/>
              <w:bottom w:val="nil"/>
              <w:right w:val="nil"/>
            </w:tcBorders>
            <w:shd w:val="clear" w:color="auto" w:fill="auto"/>
            <w:noWrap/>
            <w:vAlign w:val="bottom"/>
            <w:hideMark/>
          </w:tcPr>
          <w:p w14:paraId="76BD29E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51FDB5C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0.774</w:t>
            </w:r>
          </w:p>
        </w:tc>
        <w:tc>
          <w:tcPr>
            <w:tcW w:w="1560" w:type="dxa"/>
            <w:tcBorders>
              <w:top w:val="nil"/>
              <w:left w:val="nil"/>
              <w:bottom w:val="nil"/>
              <w:right w:val="nil"/>
            </w:tcBorders>
            <w:shd w:val="clear" w:color="auto" w:fill="auto"/>
            <w:noWrap/>
            <w:vAlign w:val="bottom"/>
            <w:hideMark/>
          </w:tcPr>
          <w:p w14:paraId="0D33369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0.373</w:t>
            </w:r>
          </w:p>
        </w:tc>
        <w:tc>
          <w:tcPr>
            <w:tcW w:w="284" w:type="dxa"/>
            <w:tcBorders>
              <w:top w:val="nil"/>
              <w:left w:val="nil"/>
              <w:bottom w:val="nil"/>
              <w:right w:val="nil"/>
            </w:tcBorders>
            <w:shd w:val="clear" w:color="auto" w:fill="auto"/>
            <w:noWrap/>
            <w:vAlign w:val="bottom"/>
            <w:hideMark/>
          </w:tcPr>
          <w:p w14:paraId="00C1E12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28E8362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0.583***</w:t>
            </w:r>
          </w:p>
        </w:tc>
        <w:tc>
          <w:tcPr>
            <w:tcW w:w="1417" w:type="dxa"/>
            <w:tcBorders>
              <w:top w:val="nil"/>
              <w:left w:val="nil"/>
              <w:bottom w:val="nil"/>
              <w:right w:val="nil"/>
            </w:tcBorders>
            <w:shd w:val="clear" w:color="auto" w:fill="auto"/>
            <w:noWrap/>
            <w:vAlign w:val="bottom"/>
            <w:hideMark/>
          </w:tcPr>
          <w:p w14:paraId="6F72D9A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1.110***</w:t>
            </w:r>
          </w:p>
        </w:tc>
      </w:tr>
      <w:tr w:rsidR="0093472B" w:rsidRPr="00C82EE1" w14:paraId="269A2883"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4823EDD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064" w:type="dxa"/>
            <w:tcBorders>
              <w:top w:val="nil"/>
              <w:left w:val="nil"/>
              <w:bottom w:val="nil"/>
              <w:right w:val="nil"/>
            </w:tcBorders>
            <w:shd w:val="clear" w:color="auto" w:fill="auto"/>
            <w:noWrap/>
            <w:vAlign w:val="bottom"/>
            <w:hideMark/>
          </w:tcPr>
          <w:p w14:paraId="2568AE2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(0.196)</w:t>
            </w:r>
          </w:p>
        </w:tc>
        <w:tc>
          <w:tcPr>
            <w:tcW w:w="1055" w:type="dxa"/>
            <w:tcBorders>
              <w:top w:val="nil"/>
              <w:left w:val="nil"/>
              <w:bottom w:val="nil"/>
              <w:right w:val="nil"/>
            </w:tcBorders>
            <w:shd w:val="clear" w:color="auto" w:fill="auto"/>
            <w:noWrap/>
            <w:vAlign w:val="bottom"/>
            <w:hideMark/>
          </w:tcPr>
          <w:p w14:paraId="3BED952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(0.592)</w:t>
            </w:r>
          </w:p>
        </w:tc>
        <w:tc>
          <w:tcPr>
            <w:tcW w:w="284" w:type="dxa"/>
            <w:tcBorders>
              <w:top w:val="nil"/>
              <w:left w:val="nil"/>
              <w:bottom w:val="nil"/>
              <w:right w:val="nil"/>
            </w:tcBorders>
            <w:shd w:val="clear" w:color="auto" w:fill="auto"/>
            <w:noWrap/>
            <w:vAlign w:val="bottom"/>
            <w:hideMark/>
          </w:tcPr>
          <w:p w14:paraId="247F356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3F31B55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(0.522)</w:t>
            </w:r>
          </w:p>
        </w:tc>
        <w:tc>
          <w:tcPr>
            <w:tcW w:w="1560" w:type="dxa"/>
            <w:tcBorders>
              <w:top w:val="nil"/>
              <w:left w:val="nil"/>
              <w:bottom w:val="nil"/>
              <w:right w:val="nil"/>
            </w:tcBorders>
            <w:shd w:val="clear" w:color="auto" w:fill="auto"/>
            <w:noWrap/>
            <w:vAlign w:val="bottom"/>
            <w:hideMark/>
          </w:tcPr>
          <w:p w14:paraId="7107D36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(0.523)</w:t>
            </w:r>
          </w:p>
        </w:tc>
        <w:tc>
          <w:tcPr>
            <w:tcW w:w="284" w:type="dxa"/>
            <w:tcBorders>
              <w:top w:val="nil"/>
              <w:left w:val="nil"/>
              <w:bottom w:val="nil"/>
              <w:right w:val="nil"/>
            </w:tcBorders>
            <w:shd w:val="clear" w:color="auto" w:fill="auto"/>
            <w:noWrap/>
            <w:vAlign w:val="bottom"/>
            <w:hideMark/>
          </w:tcPr>
          <w:p w14:paraId="5445103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788C286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(0.127)</w:t>
            </w:r>
          </w:p>
        </w:tc>
        <w:tc>
          <w:tcPr>
            <w:tcW w:w="1417" w:type="dxa"/>
            <w:tcBorders>
              <w:top w:val="nil"/>
              <w:left w:val="nil"/>
              <w:bottom w:val="nil"/>
              <w:right w:val="nil"/>
            </w:tcBorders>
            <w:shd w:val="clear" w:color="auto" w:fill="auto"/>
            <w:noWrap/>
            <w:vAlign w:val="bottom"/>
            <w:hideMark/>
          </w:tcPr>
          <w:p w14:paraId="33F7057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(0.062)</w:t>
            </w:r>
          </w:p>
        </w:tc>
      </w:tr>
      <w:tr w:rsidR="0093472B" w:rsidRPr="00C82EE1" w14:paraId="23A1ED72"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0310E17E"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Region fixed effect</w:t>
            </w:r>
          </w:p>
        </w:tc>
        <w:tc>
          <w:tcPr>
            <w:tcW w:w="1064" w:type="dxa"/>
            <w:tcBorders>
              <w:top w:val="nil"/>
              <w:left w:val="nil"/>
              <w:bottom w:val="nil"/>
              <w:right w:val="nil"/>
            </w:tcBorders>
            <w:shd w:val="clear" w:color="auto" w:fill="auto"/>
            <w:noWrap/>
            <w:vAlign w:val="bottom"/>
            <w:hideMark/>
          </w:tcPr>
          <w:p w14:paraId="39A73F3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055" w:type="dxa"/>
            <w:tcBorders>
              <w:top w:val="nil"/>
              <w:left w:val="nil"/>
              <w:bottom w:val="nil"/>
              <w:right w:val="nil"/>
            </w:tcBorders>
            <w:shd w:val="clear" w:color="auto" w:fill="auto"/>
            <w:noWrap/>
            <w:vAlign w:val="bottom"/>
            <w:hideMark/>
          </w:tcPr>
          <w:p w14:paraId="603113C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284" w:type="dxa"/>
            <w:tcBorders>
              <w:top w:val="nil"/>
              <w:left w:val="nil"/>
              <w:bottom w:val="nil"/>
              <w:right w:val="nil"/>
            </w:tcBorders>
            <w:shd w:val="clear" w:color="auto" w:fill="auto"/>
            <w:noWrap/>
            <w:vAlign w:val="bottom"/>
            <w:hideMark/>
          </w:tcPr>
          <w:p w14:paraId="55D067E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372EBBA5"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560" w:type="dxa"/>
            <w:tcBorders>
              <w:top w:val="nil"/>
              <w:left w:val="nil"/>
              <w:bottom w:val="nil"/>
              <w:right w:val="nil"/>
            </w:tcBorders>
            <w:shd w:val="clear" w:color="auto" w:fill="auto"/>
            <w:noWrap/>
            <w:vAlign w:val="bottom"/>
            <w:hideMark/>
          </w:tcPr>
          <w:p w14:paraId="16E181A9"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284" w:type="dxa"/>
            <w:tcBorders>
              <w:top w:val="nil"/>
              <w:left w:val="nil"/>
              <w:bottom w:val="nil"/>
              <w:right w:val="nil"/>
            </w:tcBorders>
            <w:shd w:val="clear" w:color="auto" w:fill="auto"/>
            <w:noWrap/>
            <w:vAlign w:val="bottom"/>
            <w:hideMark/>
          </w:tcPr>
          <w:p w14:paraId="6437E64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4F89AF8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417" w:type="dxa"/>
            <w:tcBorders>
              <w:top w:val="nil"/>
              <w:left w:val="nil"/>
              <w:bottom w:val="nil"/>
              <w:right w:val="nil"/>
            </w:tcBorders>
            <w:shd w:val="clear" w:color="auto" w:fill="auto"/>
            <w:noWrap/>
            <w:vAlign w:val="bottom"/>
            <w:hideMark/>
          </w:tcPr>
          <w:p w14:paraId="7020567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r>
      <w:tr w:rsidR="0093472B" w:rsidRPr="00C82EE1" w14:paraId="12C65A41"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161EFC91"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Year-Quarter fixed effect</w:t>
            </w:r>
          </w:p>
        </w:tc>
        <w:tc>
          <w:tcPr>
            <w:tcW w:w="1064" w:type="dxa"/>
            <w:tcBorders>
              <w:top w:val="nil"/>
              <w:left w:val="nil"/>
              <w:bottom w:val="nil"/>
              <w:right w:val="nil"/>
            </w:tcBorders>
            <w:shd w:val="clear" w:color="auto" w:fill="auto"/>
            <w:noWrap/>
            <w:vAlign w:val="bottom"/>
            <w:hideMark/>
          </w:tcPr>
          <w:p w14:paraId="3DCC0B7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055" w:type="dxa"/>
            <w:tcBorders>
              <w:top w:val="nil"/>
              <w:left w:val="nil"/>
              <w:bottom w:val="nil"/>
              <w:right w:val="nil"/>
            </w:tcBorders>
            <w:shd w:val="clear" w:color="auto" w:fill="auto"/>
            <w:noWrap/>
            <w:vAlign w:val="bottom"/>
            <w:hideMark/>
          </w:tcPr>
          <w:p w14:paraId="57E07DF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284" w:type="dxa"/>
            <w:tcBorders>
              <w:top w:val="nil"/>
              <w:left w:val="nil"/>
              <w:bottom w:val="nil"/>
              <w:right w:val="nil"/>
            </w:tcBorders>
            <w:shd w:val="clear" w:color="auto" w:fill="auto"/>
            <w:noWrap/>
            <w:vAlign w:val="bottom"/>
            <w:hideMark/>
          </w:tcPr>
          <w:p w14:paraId="5A4D4D3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6298F53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560" w:type="dxa"/>
            <w:tcBorders>
              <w:top w:val="nil"/>
              <w:left w:val="nil"/>
              <w:bottom w:val="nil"/>
              <w:right w:val="nil"/>
            </w:tcBorders>
            <w:shd w:val="clear" w:color="auto" w:fill="auto"/>
            <w:noWrap/>
            <w:vAlign w:val="bottom"/>
            <w:hideMark/>
          </w:tcPr>
          <w:p w14:paraId="21038FC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284" w:type="dxa"/>
            <w:tcBorders>
              <w:top w:val="nil"/>
              <w:left w:val="nil"/>
              <w:bottom w:val="nil"/>
              <w:right w:val="nil"/>
            </w:tcBorders>
            <w:shd w:val="clear" w:color="auto" w:fill="auto"/>
            <w:noWrap/>
            <w:vAlign w:val="bottom"/>
            <w:hideMark/>
          </w:tcPr>
          <w:p w14:paraId="20AF8E8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09FA89B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417" w:type="dxa"/>
            <w:tcBorders>
              <w:top w:val="nil"/>
              <w:left w:val="nil"/>
              <w:bottom w:val="nil"/>
              <w:right w:val="nil"/>
            </w:tcBorders>
            <w:shd w:val="clear" w:color="auto" w:fill="auto"/>
            <w:noWrap/>
            <w:vAlign w:val="bottom"/>
            <w:hideMark/>
          </w:tcPr>
          <w:p w14:paraId="6B82C4D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r>
      <w:tr w:rsidR="0093472B" w:rsidRPr="00C82EE1" w14:paraId="111D82B6" w14:textId="77777777" w:rsidTr="0007748C">
        <w:trPr>
          <w:trHeight w:val="227"/>
          <w:jc w:val="center"/>
        </w:trPr>
        <w:tc>
          <w:tcPr>
            <w:tcW w:w="2366" w:type="dxa"/>
            <w:tcBorders>
              <w:top w:val="nil"/>
              <w:left w:val="nil"/>
              <w:bottom w:val="single" w:sz="4" w:space="0" w:color="auto"/>
              <w:right w:val="nil"/>
            </w:tcBorders>
            <w:shd w:val="clear" w:color="auto" w:fill="auto"/>
            <w:noWrap/>
            <w:vAlign w:val="bottom"/>
            <w:hideMark/>
          </w:tcPr>
          <w:p w14:paraId="5E8123B0"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szCs w:val="20"/>
              </w:rPr>
            </w:pPr>
            <w:r w:rsidRPr="00C82EE1">
              <w:rPr>
                <w:rFonts w:ascii="Times New Roman" w:eastAsia="Times New Roman" w:hAnsi="Times New Roman" w:cs="Times New Roman"/>
                <w:i/>
                <w:iCs/>
                <w:color w:val="000000"/>
                <w:sz w:val="20"/>
                <w:szCs w:val="20"/>
              </w:rPr>
              <w:t>Industry fixed effect</w:t>
            </w:r>
          </w:p>
        </w:tc>
        <w:tc>
          <w:tcPr>
            <w:tcW w:w="1064" w:type="dxa"/>
            <w:tcBorders>
              <w:top w:val="nil"/>
              <w:left w:val="nil"/>
              <w:bottom w:val="single" w:sz="4" w:space="0" w:color="auto"/>
              <w:right w:val="nil"/>
            </w:tcBorders>
            <w:shd w:val="clear" w:color="auto" w:fill="auto"/>
            <w:noWrap/>
            <w:vAlign w:val="bottom"/>
            <w:hideMark/>
          </w:tcPr>
          <w:p w14:paraId="1B42F9F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055" w:type="dxa"/>
            <w:tcBorders>
              <w:top w:val="nil"/>
              <w:left w:val="nil"/>
              <w:bottom w:val="single" w:sz="4" w:space="0" w:color="auto"/>
              <w:right w:val="nil"/>
            </w:tcBorders>
            <w:shd w:val="clear" w:color="auto" w:fill="auto"/>
            <w:noWrap/>
            <w:vAlign w:val="bottom"/>
            <w:hideMark/>
          </w:tcPr>
          <w:p w14:paraId="737D640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284" w:type="dxa"/>
            <w:tcBorders>
              <w:top w:val="nil"/>
              <w:left w:val="nil"/>
              <w:bottom w:val="single" w:sz="4" w:space="0" w:color="auto"/>
              <w:right w:val="nil"/>
            </w:tcBorders>
            <w:shd w:val="clear" w:color="auto" w:fill="auto"/>
            <w:noWrap/>
            <w:vAlign w:val="bottom"/>
            <w:hideMark/>
          </w:tcPr>
          <w:p w14:paraId="2C7464A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468" w:type="dxa"/>
            <w:tcBorders>
              <w:top w:val="nil"/>
              <w:left w:val="nil"/>
              <w:bottom w:val="single" w:sz="4" w:space="0" w:color="auto"/>
              <w:right w:val="nil"/>
            </w:tcBorders>
            <w:shd w:val="clear" w:color="auto" w:fill="auto"/>
            <w:noWrap/>
            <w:vAlign w:val="bottom"/>
            <w:hideMark/>
          </w:tcPr>
          <w:p w14:paraId="0846F06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560" w:type="dxa"/>
            <w:tcBorders>
              <w:top w:val="nil"/>
              <w:left w:val="nil"/>
              <w:bottom w:val="single" w:sz="4" w:space="0" w:color="auto"/>
              <w:right w:val="nil"/>
            </w:tcBorders>
            <w:shd w:val="clear" w:color="auto" w:fill="auto"/>
            <w:noWrap/>
            <w:vAlign w:val="bottom"/>
            <w:hideMark/>
          </w:tcPr>
          <w:p w14:paraId="24826C8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284" w:type="dxa"/>
            <w:tcBorders>
              <w:top w:val="nil"/>
              <w:left w:val="nil"/>
              <w:bottom w:val="single" w:sz="4" w:space="0" w:color="auto"/>
              <w:right w:val="nil"/>
            </w:tcBorders>
            <w:shd w:val="clear" w:color="auto" w:fill="auto"/>
            <w:noWrap/>
            <w:vAlign w:val="bottom"/>
            <w:hideMark/>
          </w:tcPr>
          <w:p w14:paraId="3A8B26B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417" w:type="dxa"/>
            <w:tcBorders>
              <w:top w:val="nil"/>
              <w:left w:val="nil"/>
              <w:bottom w:val="single" w:sz="4" w:space="0" w:color="auto"/>
              <w:right w:val="nil"/>
            </w:tcBorders>
            <w:shd w:val="clear" w:color="auto" w:fill="auto"/>
            <w:noWrap/>
            <w:vAlign w:val="bottom"/>
            <w:hideMark/>
          </w:tcPr>
          <w:p w14:paraId="07598EAE"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c>
          <w:tcPr>
            <w:tcW w:w="1417" w:type="dxa"/>
            <w:tcBorders>
              <w:top w:val="nil"/>
              <w:left w:val="nil"/>
              <w:bottom w:val="single" w:sz="4" w:space="0" w:color="auto"/>
              <w:right w:val="nil"/>
            </w:tcBorders>
            <w:shd w:val="clear" w:color="auto" w:fill="auto"/>
            <w:noWrap/>
            <w:vAlign w:val="bottom"/>
            <w:hideMark/>
          </w:tcPr>
          <w:p w14:paraId="11C36C4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Yes</w:t>
            </w:r>
          </w:p>
        </w:tc>
      </w:tr>
      <w:tr w:rsidR="0093472B" w:rsidRPr="00C82EE1" w14:paraId="61335AC7"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342C4C52"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Observations</w:t>
            </w:r>
          </w:p>
        </w:tc>
        <w:tc>
          <w:tcPr>
            <w:tcW w:w="1064" w:type="dxa"/>
            <w:tcBorders>
              <w:top w:val="nil"/>
              <w:left w:val="nil"/>
              <w:bottom w:val="nil"/>
              <w:right w:val="nil"/>
            </w:tcBorders>
            <w:shd w:val="clear" w:color="auto" w:fill="auto"/>
            <w:noWrap/>
            <w:vAlign w:val="bottom"/>
            <w:hideMark/>
          </w:tcPr>
          <w:p w14:paraId="2278B53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112</w:t>
            </w:r>
          </w:p>
        </w:tc>
        <w:tc>
          <w:tcPr>
            <w:tcW w:w="1055" w:type="dxa"/>
            <w:tcBorders>
              <w:top w:val="nil"/>
              <w:left w:val="nil"/>
              <w:bottom w:val="nil"/>
              <w:right w:val="nil"/>
            </w:tcBorders>
            <w:shd w:val="clear" w:color="auto" w:fill="auto"/>
            <w:noWrap/>
            <w:vAlign w:val="bottom"/>
            <w:hideMark/>
          </w:tcPr>
          <w:p w14:paraId="0BCCC724"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203</w:t>
            </w:r>
          </w:p>
        </w:tc>
        <w:tc>
          <w:tcPr>
            <w:tcW w:w="284" w:type="dxa"/>
            <w:tcBorders>
              <w:top w:val="nil"/>
              <w:left w:val="nil"/>
              <w:bottom w:val="nil"/>
              <w:right w:val="nil"/>
            </w:tcBorders>
            <w:shd w:val="clear" w:color="auto" w:fill="auto"/>
            <w:noWrap/>
            <w:vAlign w:val="bottom"/>
            <w:hideMark/>
          </w:tcPr>
          <w:p w14:paraId="4A00607B"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0B82359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471</w:t>
            </w:r>
          </w:p>
        </w:tc>
        <w:tc>
          <w:tcPr>
            <w:tcW w:w="1560" w:type="dxa"/>
            <w:tcBorders>
              <w:top w:val="nil"/>
              <w:left w:val="nil"/>
              <w:bottom w:val="nil"/>
              <w:right w:val="nil"/>
            </w:tcBorders>
            <w:shd w:val="clear" w:color="auto" w:fill="auto"/>
            <w:noWrap/>
            <w:vAlign w:val="bottom"/>
            <w:hideMark/>
          </w:tcPr>
          <w:p w14:paraId="1D4D97D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322</w:t>
            </w:r>
          </w:p>
        </w:tc>
        <w:tc>
          <w:tcPr>
            <w:tcW w:w="284" w:type="dxa"/>
            <w:tcBorders>
              <w:top w:val="nil"/>
              <w:left w:val="nil"/>
              <w:bottom w:val="nil"/>
              <w:right w:val="nil"/>
            </w:tcBorders>
            <w:shd w:val="clear" w:color="auto" w:fill="auto"/>
            <w:noWrap/>
            <w:vAlign w:val="bottom"/>
            <w:hideMark/>
          </w:tcPr>
          <w:p w14:paraId="44C7450F"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2BB13980"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894</w:t>
            </w:r>
          </w:p>
        </w:tc>
        <w:tc>
          <w:tcPr>
            <w:tcW w:w="1417" w:type="dxa"/>
            <w:tcBorders>
              <w:top w:val="nil"/>
              <w:left w:val="nil"/>
              <w:bottom w:val="nil"/>
              <w:right w:val="nil"/>
            </w:tcBorders>
            <w:shd w:val="clear" w:color="auto" w:fill="auto"/>
            <w:noWrap/>
            <w:vAlign w:val="bottom"/>
            <w:hideMark/>
          </w:tcPr>
          <w:p w14:paraId="48F7B04D"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308</w:t>
            </w:r>
          </w:p>
        </w:tc>
      </w:tr>
      <w:tr w:rsidR="00960333" w:rsidRPr="00C82EE1" w14:paraId="2B074817" w14:textId="77777777" w:rsidTr="0007748C">
        <w:trPr>
          <w:trHeight w:val="227"/>
          <w:jc w:val="center"/>
        </w:trPr>
        <w:tc>
          <w:tcPr>
            <w:tcW w:w="2366" w:type="dxa"/>
            <w:tcBorders>
              <w:top w:val="nil"/>
              <w:left w:val="nil"/>
              <w:bottom w:val="nil"/>
              <w:right w:val="nil"/>
            </w:tcBorders>
            <w:shd w:val="clear" w:color="auto" w:fill="auto"/>
            <w:noWrap/>
            <w:vAlign w:val="bottom"/>
            <w:hideMark/>
          </w:tcPr>
          <w:p w14:paraId="0A2E7836" w14:textId="3F689C3E"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r w:rsidRPr="00960333">
              <w:rPr>
                <w:rFonts w:ascii="Times New Roman" w:hAnsi="Times New Roman" w:cs="Times New Roman"/>
                <w:color w:val="000000"/>
                <w:sz w:val="20"/>
              </w:rPr>
              <w:t>Adjusted R2</w:t>
            </w:r>
          </w:p>
        </w:tc>
        <w:tc>
          <w:tcPr>
            <w:tcW w:w="1064" w:type="dxa"/>
            <w:tcBorders>
              <w:top w:val="nil"/>
              <w:left w:val="nil"/>
              <w:bottom w:val="nil"/>
              <w:right w:val="nil"/>
            </w:tcBorders>
            <w:shd w:val="clear" w:color="auto" w:fill="auto"/>
            <w:noWrap/>
            <w:vAlign w:val="bottom"/>
            <w:hideMark/>
          </w:tcPr>
          <w:p w14:paraId="33C66305" w14:textId="20EC7291"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r w:rsidRPr="00960333">
              <w:rPr>
                <w:rFonts w:ascii="Times New Roman" w:hAnsi="Times New Roman" w:cs="Times New Roman"/>
                <w:color w:val="000000"/>
                <w:sz w:val="20"/>
              </w:rPr>
              <w:t xml:space="preserve"> 0.219</w:t>
            </w:r>
          </w:p>
        </w:tc>
        <w:tc>
          <w:tcPr>
            <w:tcW w:w="1055" w:type="dxa"/>
            <w:tcBorders>
              <w:top w:val="nil"/>
              <w:left w:val="nil"/>
              <w:bottom w:val="nil"/>
              <w:right w:val="nil"/>
            </w:tcBorders>
            <w:shd w:val="clear" w:color="auto" w:fill="auto"/>
            <w:noWrap/>
            <w:vAlign w:val="bottom"/>
            <w:hideMark/>
          </w:tcPr>
          <w:p w14:paraId="5CD18185" w14:textId="0D86C183"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r w:rsidRPr="00960333">
              <w:rPr>
                <w:rFonts w:ascii="Times New Roman" w:hAnsi="Times New Roman" w:cs="Times New Roman"/>
                <w:color w:val="000000"/>
                <w:sz w:val="20"/>
              </w:rPr>
              <w:t>0.246</w:t>
            </w:r>
          </w:p>
        </w:tc>
        <w:tc>
          <w:tcPr>
            <w:tcW w:w="284" w:type="dxa"/>
            <w:tcBorders>
              <w:top w:val="nil"/>
              <w:left w:val="nil"/>
              <w:bottom w:val="nil"/>
              <w:right w:val="nil"/>
            </w:tcBorders>
            <w:shd w:val="clear" w:color="auto" w:fill="auto"/>
            <w:noWrap/>
            <w:vAlign w:val="bottom"/>
            <w:hideMark/>
          </w:tcPr>
          <w:p w14:paraId="6C62A8D3" w14:textId="77777777"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p>
        </w:tc>
        <w:tc>
          <w:tcPr>
            <w:tcW w:w="1468" w:type="dxa"/>
            <w:tcBorders>
              <w:top w:val="nil"/>
              <w:left w:val="nil"/>
              <w:bottom w:val="nil"/>
              <w:right w:val="nil"/>
            </w:tcBorders>
            <w:shd w:val="clear" w:color="auto" w:fill="auto"/>
            <w:noWrap/>
            <w:vAlign w:val="bottom"/>
            <w:hideMark/>
          </w:tcPr>
          <w:p w14:paraId="1FF39ADE" w14:textId="5D7A3F0D"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r w:rsidRPr="00960333">
              <w:rPr>
                <w:rFonts w:ascii="Times New Roman" w:hAnsi="Times New Roman" w:cs="Times New Roman"/>
                <w:color w:val="000000"/>
                <w:sz w:val="20"/>
              </w:rPr>
              <w:t>0.163</w:t>
            </w:r>
          </w:p>
        </w:tc>
        <w:tc>
          <w:tcPr>
            <w:tcW w:w="1560" w:type="dxa"/>
            <w:tcBorders>
              <w:top w:val="nil"/>
              <w:left w:val="nil"/>
              <w:bottom w:val="nil"/>
              <w:right w:val="nil"/>
            </w:tcBorders>
            <w:shd w:val="clear" w:color="auto" w:fill="auto"/>
            <w:noWrap/>
            <w:vAlign w:val="bottom"/>
            <w:hideMark/>
          </w:tcPr>
          <w:p w14:paraId="5F8905FF" w14:textId="4C370BB8"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r w:rsidRPr="00960333">
              <w:rPr>
                <w:rFonts w:ascii="Times New Roman" w:hAnsi="Times New Roman" w:cs="Times New Roman"/>
                <w:color w:val="000000"/>
                <w:sz w:val="20"/>
              </w:rPr>
              <w:t>0.187</w:t>
            </w:r>
          </w:p>
        </w:tc>
        <w:tc>
          <w:tcPr>
            <w:tcW w:w="284" w:type="dxa"/>
            <w:tcBorders>
              <w:top w:val="nil"/>
              <w:left w:val="nil"/>
              <w:bottom w:val="nil"/>
              <w:right w:val="nil"/>
            </w:tcBorders>
            <w:shd w:val="clear" w:color="auto" w:fill="auto"/>
            <w:noWrap/>
            <w:vAlign w:val="bottom"/>
            <w:hideMark/>
          </w:tcPr>
          <w:p w14:paraId="26B7EF31" w14:textId="77777777"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p>
        </w:tc>
        <w:tc>
          <w:tcPr>
            <w:tcW w:w="1417" w:type="dxa"/>
            <w:tcBorders>
              <w:top w:val="nil"/>
              <w:left w:val="nil"/>
              <w:bottom w:val="nil"/>
              <w:right w:val="nil"/>
            </w:tcBorders>
            <w:shd w:val="clear" w:color="auto" w:fill="auto"/>
            <w:noWrap/>
            <w:vAlign w:val="bottom"/>
            <w:hideMark/>
          </w:tcPr>
          <w:p w14:paraId="795FDF53" w14:textId="2A73D062"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r w:rsidRPr="00960333">
              <w:rPr>
                <w:rFonts w:ascii="Times New Roman" w:hAnsi="Times New Roman" w:cs="Times New Roman"/>
                <w:color w:val="000000"/>
                <w:sz w:val="20"/>
              </w:rPr>
              <w:t>0.165</w:t>
            </w:r>
          </w:p>
        </w:tc>
        <w:tc>
          <w:tcPr>
            <w:tcW w:w="1417" w:type="dxa"/>
            <w:tcBorders>
              <w:top w:val="nil"/>
              <w:left w:val="nil"/>
              <w:bottom w:val="nil"/>
              <w:right w:val="nil"/>
            </w:tcBorders>
            <w:shd w:val="clear" w:color="auto" w:fill="auto"/>
            <w:noWrap/>
            <w:vAlign w:val="bottom"/>
            <w:hideMark/>
          </w:tcPr>
          <w:p w14:paraId="6E0759A7" w14:textId="0D1E7651" w:rsidR="00960333" w:rsidRPr="00960333" w:rsidRDefault="00960333" w:rsidP="00960333">
            <w:pPr>
              <w:spacing w:after="0" w:line="240" w:lineRule="auto"/>
              <w:jc w:val="both"/>
              <w:rPr>
                <w:rFonts w:ascii="Times New Roman" w:eastAsia="Times New Roman" w:hAnsi="Times New Roman" w:cs="Times New Roman"/>
                <w:color w:val="000000"/>
                <w:sz w:val="20"/>
                <w:szCs w:val="20"/>
              </w:rPr>
            </w:pPr>
            <w:r w:rsidRPr="00960333">
              <w:rPr>
                <w:rFonts w:ascii="Times New Roman" w:hAnsi="Times New Roman" w:cs="Times New Roman"/>
                <w:color w:val="000000"/>
                <w:sz w:val="20"/>
              </w:rPr>
              <w:t>0.175</w:t>
            </w:r>
          </w:p>
        </w:tc>
      </w:tr>
      <w:tr w:rsidR="0093472B" w:rsidRPr="00C82EE1" w14:paraId="2B2CA928" w14:textId="77777777" w:rsidTr="0007748C">
        <w:trPr>
          <w:trHeight w:val="227"/>
          <w:jc w:val="center"/>
        </w:trPr>
        <w:tc>
          <w:tcPr>
            <w:tcW w:w="2366" w:type="dxa"/>
            <w:tcBorders>
              <w:top w:val="nil"/>
              <w:left w:val="nil"/>
              <w:bottom w:val="single" w:sz="4" w:space="0" w:color="auto"/>
              <w:right w:val="nil"/>
            </w:tcBorders>
            <w:shd w:val="clear" w:color="auto" w:fill="auto"/>
            <w:noWrap/>
            <w:vAlign w:val="bottom"/>
            <w:hideMark/>
          </w:tcPr>
          <w:p w14:paraId="51656DE6"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Z-test</w:t>
            </w:r>
          </w:p>
        </w:tc>
        <w:tc>
          <w:tcPr>
            <w:tcW w:w="1064" w:type="dxa"/>
            <w:tcBorders>
              <w:top w:val="nil"/>
              <w:left w:val="nil"/>
              <w:bottom w:val="single" w:sz="4" w:space="0" w:color="auto"/>
              <w:right w:val="nil"/>
            </w:tcBorders>
            <w:shd w:val="clear" w:color="auto" w:fill="auto"/>
            <w:noWrap/>
            <w:vAlign w:val="bottom"/>
            <w:hideMark/>
          </w:tcPr>
          <w:p w14:paraId="3B35FEB3"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055" w:type="dxa"/>
            <w:tcBorders>
              <w:top w:val="nil"/>
              <w:left w:val="nil"/>
              <w:bottom w:val="single" w:sz="4" w:space="0" w:color="auto"/>
              <w:right w:val="nil"/>
            </w:tcBorders>
            <w:shd w:val="clear" w:color="auto" w:fill="auto"/>
            <w:noWrap/>
            <w:vAlign w:val="bottom"/>
            <w:hideMark/>
          </w:tcPr>
          <w:p w14:paraId="2178F351"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3.006*</w:t>
            </w:r>
          </w:p>
        </w:tc>
        <w:tc>
          <w:tcPr>
            <w:tcW w:w="284" w:type="dxa"/>
            <w:tcBorders>
              <w:top w:val="nil"/>
              <w:left w:val="nil"/>
              <w:bottom w:val="single" w:sz="4" w:space="0" w:color="auto"/>
              <w:right w:val="nil"/>
            </w:tcBorders>
            <w:shd w:val="clear" w:color="auto" w:fill="auto"/>
            <w:noWrap/>
            <w:vAlign w:val="bottom"/>
            <w:hideMark/>
          </w:tcPr>
          <w:p w14:paraId="381B3F8C"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468" w:type="dxa"/>
            <w:tcBorders>
              <w:top w:val="nil"/>
              <w:left w:val="nil"/>
              <w:bottom w:val="single" w:sz="4" w:space="0" w:color="auto"/>
              <w:right w:val="nil"/>
            </w:tcBorders>
            <w:shd w:val="clear" w:color="auto" w:fill="auto"/>
            <w:noWrap/>
            <w:vAlign w:val="bottom"/>
            <w:hideMark/>
          </w:tcPr>
          <w:p w14:paraId="08619E8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560" w:type="dxa"/>
            <w:tcBorders>
              <w:top w:val="nil"/>
              <w:left w:val="nil"/>
              <w:bottom w:val="single" w:sz="4" w:space="0" w:color="auto"/>
              <w:right w:val="nil"/>
            </w:tcBorders>
            <w:shd w:val="clear" w:color="auto" w:fill="auto"/>
            <w:noWrap/>
            <w:vAlign w:val="bottom"/>
            <w:hideMark/>
          </w:tcPr>
          <w:p w14:paraId="240B4B28"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8.200***</w:t>
            </w:r>
          </w:p>
        </w:tc>
        <w:tc>
          <w:tcPr>
            <w:tcW w:w="284" w:type="dxa"/>
            <w:tcBorders>
              <w:top w:val="nil"/>
              <w:left w:val="nil"/>
              <w:bottom w:val="single" w:sz="4" w:space="0" w:color="auto"/>
              <w:right w:val="nil"/>
            </w:tcBorders>
            <w:shd w:val="clear" w:color="auto" w:fill="auto"/>
            <w:noWrap/>
            <w:vAlign w:val="bottom"/>
            <w:hideMark/>
          </w:tcPr>
          <w:p w14:paraId="604EF42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417" w:type="dxa"/>
            <w:tcBorders>
              <w:top w:val="nil"/>
              <w:left w:val="nil"/>
              <w:bottom w:val="single" w:sz="4" w:space="0" w:color="auto"/>
              <w:right w:val="nil"/>
            </w:tcBorders>
            <w:shd w:val="clear" w:color="auto" w:fill="auto"/>
            <w:noWrap/>
            <w:vAlign w:val="bottom"/>
            <w:hideMark/>
          </w:tcPr>
          <w:p w14:paraId="4FF965F7"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 </w:t>
            </w:r>
          </w:p>
        </w:tc>
        <w:tc>
          <w:tcPr>
            <w:tcW w:w="1417" w:type="dxa"/>
            <w:tcBorders>
              <w:top w:val="nil"/>
              <w:left w:val="nil"/>
              <w:bottom w:val="single" w:sz="4" w:space="0" w:color="auto"/>
              <w:right w:val="nil"/>
            </w:tcBorders>
            <w:shd w:val="clear" w:color="auto" w:fill="auto"/>
            <w:noWrap/>
            <w:vAlign w:val="bottom"/>
            <w:hideMark/>
          </w:tcPr>
          <w:p w14:paraId="2DC9A0DA" w14:textId="77777777" w:rsidR="0093472B" w:rsidRPr="00C82EE1" w:rsidRDefault="0093472B" w:rsidP="00026FCB">
            <w:pPr>
              <w:spacing w:after="0" w:line="240" w:lineRule="auto"/>
              <w:jc w:val="both"/>
              <w:rPr>
                <w:rFonts w:ascii="Times New Roman" w:eastAsia="Times New Roman" w:hAnsi="Times New Roman" w:cs="Times New Roman"/>
                <w:color w:val="000000"/>
                <w:sz w:val="20"/>
                <w:szCs w:val="20"/>
              </w:rPr>
            </w:pPr>
            <w:r w:rsidRPr="00C82EE1">
              <w:rPr>
                <w:rFonts w:ascii="Times New Roman" w:eastAsia="Times New Roman" w:hAnsi="Times New Roman" w:cs="Times New Roman"/>
                <w:color w:val="000000"/>
                <w:sz w:val="20"/>
                <w:szCs w:val="20"/>
              </w:rPr>
              <w:t>4.304**</w:t>
            </w:r>
          </w:p>
        </w:tc>
      </w:tr>
      <w:tr w:rsidR="0093472B" w:rsidRPr="00C82EE1" w14:paraId="319185EE" w14:textId="77777777" w:rsidTr="0007748C">
        <w:trPr>
          <w:trHeight w:val="1208"/>
          <w:jc w:val="center"/>
        </w:trPr>
        <w:tc>
          <w:tcPr>
            <w:tcW w:w="10915" w:type="dxa"/>
            <w:gridSpan w:val="9"/>
            <w:tcBorders>
              <w:top w:val="single" w:sz="4" w:space="0" w:color="auto"/>
              <w:left w:val="nil"/>
              <w:bottom w:val="nil"/>
              <w:right w:val="nil"/>
            </w:tcBorders>
            <w:shd w:val="clear" w:color="auto" w:fill="auto"/>
            <w:vAlign w:val="bottom"/>
            <w:hideMark/>
          </w:tcPr>
          <w:p w14:paraId="6B6234D3" w14:textId="70F454CC" w:rsidR="0093472B" w:rsidRPr="00C82EE1" w:rsidRDefault="0003319F" w:rsidP="00026FCB">
            <w:pPr>
              <w:spacing w:after="0" w:line="240" w:lineRule="auto"/>
              <w:jc w:val="both"/>
              <w:rPr>
                <w:rFonts w:ascii="Times New Roman" w:eastAsia="Times New Roman" w:hAnsi="Times New Roman" w:cs="Times New Roman"/>
                <w:color w:val="000000"/>
                <w:sz w:val="20"/>
                <w:szCs w:val="20"/>
              </w:rPr>
            </w:pPr>
            <w:r w:rsidRPr="00C82EE1">
              <w:rPr>
                <w:rStyle w:val="lev"/>
                <w:rFonts w:ascii="Times New Roman" w:hAnsi="Times New Roman" w:cs="Times New Roman"/>
                <w:b w:val="0"/>
                <w:i/>
                <w:sz w:val="20"/>
                <w:szCs w:val="20"/>
              </w:rPr>
              <w:t>Notes.</w:t>
            </w:r>
            <w:r w:rsidRPr="00C82EE1">
              <w:rPr>
                <w:rFonts w:ascii="Times New Roman" w:hAnsi="Times New Roman" w:cs="Times New Roman"/>
                <w:sz w:val="20"/>
                <w:szCs w:val="20"/>
              </w:rPr>
              <w:t xml:space="preserve"> This table presents OLS regression results. Variable definitions are provided in Table 1. We estimate Equation (1) and split the sample based on three criteria: the median literacy rate of the ICO country (Panel A), the education level of the ICO CEO (Panel B), and whether the ICO source code is publicly available on GitHub (Panel C). Model (3) captures the impact of LC on fundraising for ICOs led by CEOs without a degree or with only a </w:t>
            </w:r>
            <w:r w:rsidR="00E25CAA">
              <w:rPr>
                <w:rFonts w:ascii="Times New Roman" w:hAnsi="Times New Roman" w:cs="Times New Roman"/>
                <w:sz w:val="20"/>
                <w:szCs w:val="20"/>
              </w:rPr>
              <w:t>B</w:t>
            </w:r>
            <w:r w:rsidRPr="00C82EE1">
              <w:rPr>
                <w:rFonts w:ascii="Times New Roman" w:hAnsi="Times New Roman" w:cs="Times New Roman"/>
                <w:sz w:val="20"/>
                <w:szCs w:val="20"/>
              </w:rPr>
              <w:t>achelor</w:t>
            </w:r>
            <w:r w:rsidR="00E25CAA">
              <w:rPr>
                <w:rFonts w:ascii="Times New Roman" w:hAnsi="Times New Roman" w:cs="Times New Roman"/>
                <w:sz w:val="20"/>
                <w:szCs w:val="20"/>
              </w:rPr>
              <w:t>’s</w:t>
            </w:r>
            <w:r w:rsidRPr="00C82EE1">
              <w:rPr>
                <w:rFonts w:ascii="Times New Roman" w:hAnsi="Times New Roman" w:cs="Times New Roman"/>
                <w:sz w:val="20"/>
                <w:szCs w:val="20"/>
              </w:rPr>
              <w:t xml:space="preserve"> degree, while Model (4) includes those led by CEOs holding a </w:t>
            </w:r>
            <w:r w:rsidR="00E25CAA">
              <w:rPr>
                <w:rFonts w:ascii="Times New Roman" w:hAnsi="Times New Roman" w:cs="Times New Roman"/>
                <w:sz w:val="20"/>
                <w:szCs w:val="20"/>
              </w:rPr>
              <w:t>M</w:t>
            </w:r>
            <w:r w:rsidRPr="00C82EE1">
              <w:rPr>
                <w:rFonts w:ascii="Times New Roman" w:hAnsi="Times New Roman" w:cs="Times New Roman"/>
                <w:sz w:val="20"/>
                <w:szCs w:val="20"/>
              </w:rPr>
              <w:t>aster</w:t>
            </w:r>
            <w:r w:rsidR="00E25CAA">
              <w:rPr>
                <w:rFonts w:ascii="Times New Roman" w:hAnsi="Times New Roman" w:cs="Times New Roman"/>
                <w:sz w:val="20"/>
                <w:szCs w:val="20"/>
              </w:rPr>
              <w:t>’s</w:t>
            </w:r>
            <w:r w:rsidRPr="00C82EE1">
              <w:rPr>
                <w:rFonts w:ascii="Times New Roman" w:hAnsi="Times New Roman" w:cs="Times New Roman"/>
                <w:sz w:val="20"/>
                <w:szCs w:val="20"/>
              </w:rPr>
              <w:t xml:space="preserve"> or Ph.D. degree. We conduct a Z-test on the coefficients across each sub</w:t>
            </w:r>
            <w:r w:rsidR="00AF5A16">
              <w:rPr>
                <w:rFonts w:ascii="Times New Roman" w:hAnsi="Times New Roman" w:cs="Times New Roman"/>
                <w:sz w:val="20"/>
                <w:szCs w:val="20"/>
              </w:rPr>
              <w:t>-</w:t>
            </w:r>
            <w:r w:rsidRPr="00C82EE1">
              <w:rPr>
                <w:rFonts w:ascii="Times New Roman" w:hAnsi="Times New Roman" w:cs="Times New Roman"/>
                <w:sz w:val="20"/>
                <w:szCs w:val="20"/>
              </w:rPr>
              <w:t xml:space="preserve">sample to assess whether the effect of LC differs significantly within each split. </w:t>
            </w:r>
            <w:r w:rsidR="0093472B" w:rsidRPr="00C82EE1">
              <w:rPr>
                <w:rFonts w:ascii="Times New Roman" w:eastAsia="Times New Roman" w:hAnsi="Times New Roman" w:cs="Times New Roman"/>
                <w:color w:val="000000"/>
                <w:sz w:val="20"/>
                <w:szCs w:val="20"/>
              </w:rPr>
              <w:t>Significance levels: * indicates p&lt;0.1, ** indicates p&lt;0.05, *** indicates p&lt;0.01.</w:t>
            </w:r>
          </w:p>
        </w:tc>
      </w:tr>
    </w:tbl>
    <w:p w14:paraId="7865FADB" w14:textId="77777777" w:rsidR="000B4071" w:rsidRPr="00C82EE1" w:rsidRDefault="000B4071" w:rsidP="00026FCB">
      <w:pPr>
        <w:jc w:val="both"/>
        <w:rPr>
          <w:rFonts w:ascii="Times New Roman" w:hAnsi="Times New Roman" w:cs="Times New Roman"/>
          <w:sz w:val="24"/>
          <w:szCs w:val="24"/>
        </w:rPr>
      </w:pPr>
    </w:p>
    <w:tbl>
      <w:tblPr>
        <w:tblW w:w="10434" w:type="dxa"/>
        <w:jc w:val="center"/>
        <w:tblLook w:val="04A0" w:firstRow="1" w:lastRow="0" w:firstColumn="1" w:lastColumn="0" w:noHBand="0" w:noVBand="1"/>
      </w:tblPr>
      <w:tblGrid>
        <w:gridCol w:w="2372"/>
        <w:gridCol w:w="1052"/>
        <w:gridCol w:w="1086"/>
        <w:gridCol w:w="919"/>
        <w:gridCol w:w="1744"/>
        <w:gridCol w:w="1141"/>
        <w:gridCol w:w="1025"/>
        <w:gridCol w:w="1095"/>
      </w:tblGrid>
      <w:tr w:rsidR="0093472B" w:rsidRPr="00C82EE1" w14:paraId="737485F6" w14:textId="77777777" w:rsidTr="00086E4A">
        <w:trPr>
          <w:trHeight w:val="366"/>
          <w:jc w:val="center"/>
        </w:trPr>
        <w:tc>
          <w:tcPr>
            <w:tcW w:w="10434" w:type="dxa"/>
            <w:gridSpan w:val="8"/>
            <w:tcBorders>
              <w:top w:val="nil"/>
              <w:left w:val="nil"/>
              <w:bottom w:val="nil"/>
              <w:right w:val="nil"/>
            </w:tcBorders>
            <w:shd w:val="clear" w:color="auto" w:fill="auto"/>
            <w:noWrap/>
            <w:vAlign w:val="bottom"/>
            <w:hideMark/>
          </w:tcPr>
          <w:p w14:paraId="0468BEA0" w14:textId="1780D7FA" w:rsidR="0093472B" w:rsidRPr="00C82EE1" w:rsidRDefault="0093472B" w:rsidP="00E223E9">
            <w:pPr>
              <w:tabs>
                <w:tab w:val="left" w:pos="2297"/>
                <w:tab w:val="left" w:pos="2691"/>
              </w:tabs>
              <w:spacing w:after="240" w:line="240" w:lineRule="auto"/>
              <w:jc w:val="center"/>
              <w:rPr>
                <w:rFonts w:ascii="Times New Roman" w:eastAsia="Times New Roman" w:hAnsi="Times New Roman" w:cs="Times New Roman"/>
                <w:b/>
                <w:bCs/>
                <w:color w:val="000000"/>
                <w:sz w:val="28"/>
                <w:szCs w:val="24"/>
              </w:rPr>
            </w:pPr>
            <w:r w:rsidRPr="00C82EE1">
              <w:rPr>
                <w:rFonts w:ascii="Times New Roman" w:eastAsia="Times New Roman" w:hAnsi="Times New Roman" w:cs="Times New Roman"/>
                <w:b/>
                <w:bCs/>
                <w:color w:val="000000"/>
                <w:sz w:val="28"/>
                <w:szCs w:val="24"/>
              </w:rPr>
              <w:lastRenderedPageBreak/>
              <w:t>Table 8: Token returns and ICO survival</w:t>
            </w:r>
            <w:r w:rsidR="0050429C" w:rsidRPr="00C82EE1">
              <w:rPr>
                <w:rFonts w:ascii="Times New Roman" w:eastAsia="Times New Roman" w:hAnsi="Times New Roman" w:cs="Times New Roman"/>
                <w:b/>
                <w:bCs/>
                <w:color w:val="000000"/>
                <w:sz w:val="28"/>
                <w:szCs w:val="24"/>
              </w:rPr>
              <w:t>.</w:t>
            </w:r>
          </w:p>
          <w:p w14:paraId="4165A4EA" w14:textId="77777777" w:rsidR="0093472B" w:rsidRPr="00C82EE1" w:rsidRDefault="0093472B" w:rsidP="00026FCB">
            <w:pPr>
              <w:spacing w:after="0" w:line="240" w:lineRule="auto"/>
              <w:jc w:val="both"/>
              <w:rPr>
                <w:rFonts w:ascii="Times New Roman" w:eastAsia="Times New Roman" w:hAnsi="Times New Roman" w:cs="Times New Roman"/>
                <w:b/>
                <w:bCs/>
                <w:color w:val="000000"/>
                <w:sz w:val="24"/>
                <w:szCs w:val="24"/>
              </w:rPr>
            </w:pPr>
          </w:p>
        </w:tc>
      </w:tr>
      <w:tr w:rsidR="0093472B" w:rsidRPr="00C82EE1" w14:paraId="4AFAA5F1" w14:textId="77777777" w:rsidTr="00086E4A">
        <w:trPr>
          <w:trHeight w:val="117"/>
          <w:jc w:val="center"/>
        </w:trPr>
        <w:tc>
          <w:tcPr>
            <w:tcW w:w="10434" w:type="dxa"/>
            <w:gridSpan w:val="8"/>
            <w:tcBorders>
              <w:top w:val="nil"/>
              <w:left w:val="nil"/>
              <w:bottom w:val="single" w:sz="4" w:space="0" w:color="auto"/>
              <w:right w:val="nil"/>
            </w:tcBorders>
            <w:shd w:val="clear" w:color="auto" w:fill="auto"/>
            <w:noWrap/>
            <w:vAlign w:val="bottom"/>
            <w:hideMark/>
          </w:tcPr>
          <w:p w14:paraId="58443037"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Panel A: Summary statistics</w:t>
            </w:r>
          </w:p>
        </w:tc>
      </w:tr>
      <w:tr w:rsidR="00086E4A" w:rsidRPr="00C82EE1" w14:paraId="63628A6C" w14:textId="77777777" w:rsidTr="00086E4A">
        <w:trPr>
          <w:trHeight w:val="167"/>
          <w:jc w:val="center"/>
        </w:trPr>
        <w:tc>
          <w:tcPr>
            <w:tcW w:w="2372" w:type="dxa"/>
            <w:tcBorders>
              <w:top w:val="nil"/>
              <w:left w:val="nil"/>
              <w:bottom w:val="single" w:sz="4" w:space="0" w:color="auto"/>
              <w:right w:val="nil"/>
            </w:tcBorders>
            <w:shd w:val="clear" w:color="auto" w:fill="auto"/>
            <w:noWrap/>
            <w:vAlign w:val="bottom"/>
            <w:hideMark/>
          </w:tcPr>
          <w:p w14:paraId="0CBCE0FA" w14:textId="7A766391" w:rsidR="0093472B" w:rsidRPr="00C82EE1" w:rsidRDefault="0007748C" w:rsidP="00086E4A">
            <w:pPr>
              <w:spacing w:after="0" w:line="240" w:lineRule="auto"/>
              <w:jc w:val="both"/>
              <w:rPr>
                <w:rFonts w:ascii="Times New Roman" w:eastAsia="Times New Roman" w:hAnsi="Times New Roman" w:cs="Times New Roman"/>
                <w:b/>
                <w:color w:val="000000"/>
                <w:sz w:val="20"/>
              </w:rPr>
            </w:pPr>
            <w:r w:rsidRPr="00C82EE1">
              <w:rPr>
                <w:rFonts w:ascii="Times New Roman" w:eastAsia="Times New Roman" w:hAnsi="Times New Roman" w:cs="Times New Roman"/>
                <w:b/>
                <w:color w:val="000000"/>
                <w:sz w:val="20"/>
              </w:rPr>
              <w:t>Variable</w:t>
            </w:r>
          </w:p>
        </w:tc>
        <w:tc>
          <w:tcPr>
            <w:tcW w:w="1052" w:type="dxa"/>
            <w:tcBorders>
              <w:top w:val="nil"/>
              <w:left w:val="nil"/>
              <w:bottom w:val="single" w:sz="4" w:space="0" w:color="auto"/>
              <w:right w:val="nil"/>
            </w:tcBorders>
            <w:shd w:val="clear" w:color="auto" w:fill="auto"/>
            <w:noWrap/>
            <w:vAlign w:val="bottom"/>
            <w:hideMark/>
          </w:tcPr>
          <w:p w14:paraId="450F82CE" w14:textId="77777777" w:rsidR="0093472B" w:rsidRPr="00C82EE1" w:rsidRDefault="0093472B" w:rsidP="00086E4A">
            <w:pPr>
              <w:spacing w:after="0" w:line="240" w:lineRule="auto"/>
              <w:jc w:val="both"/>
              <w:rPr>
                <w:rFonts w:ascii="Times New Roman" w:eastAsia="Times New Roman" w:hAnsi="Times New Roman" w:cs="Times New Roman"/>
                <w:b/>
                <w:color w:val="000000"/>
                <w:sz w:val="20"/>
              </w:rPr>
            </w:pPr>
            <w:r w:rsidRPr="00C82EE1">
              <w:rPr>
                <w:rFonts w:ascii="Times New Roman" w:eastAsia="Times New Roman" w:hAnsi="Times New Roman" w:cs="Times New Roman"/>
                <w:b/>
                <w:color w:val="000000"/>
                <w:sz w:val="20"/>
              </w:rPr>
              <w:t>N</w:t>
            </w:r>
          </w:p>
        </w:tc>
        <w:tc>
          <w:tcPr>
            <w:tcW w:w="1085" w:type="dxa"/>
            <w:tcBorders>
              <w:top w:val="nil"/>
              <w:left w:val="nil"/>
              <w:bottom w:val="single" w:sz="4" w:space="0" w:color="auto"/>
              <w:right w:val="nil"/>
            </w:tcBorders>
            <w:shd w:val="clear" w:color="auto" w:fill="auto"/>
            <w:noWrap/>
            <w:vAlign w:val="bottom"/>
            <w:hideMark/>
          </w:tcPr>
          <w:p w14:paraId="7F19E436" w14:textId="77777777" w:rsidR="0093472B" w:rsidRPr="00C82EE1" w:rsidRDefault="0093472B" w:rsidP="00086E4A">
            <w:pPr>
              <w:spacing w:after="0" w:line="240" w:lineRule="auto"/>
              <w:jc w:val="both"/>
              <w:rPr>
                <w:rFonts w:ascii="Times New Roman" w:eastAsia="Times New Roman" w:hAnsi="Times New Roman" w:cs="Times New Roman"/>
                <w:b/>
                <w:color w:val="000000"/>
                <w:sz w:val="20"/>
              </w:rPr>
            </w:pPr>
            <w:r w:rsidRPr="00C82EE1">
              <w:rPr>
                <w:rFonts w:ascii="Times New Roman" w:eastAsia="Times New Roman" w:hAnsi="Times New Roman" w:cs="Times New Roman"/>
                <w:b/>
                <w:color w:val="000000"/>
                <w:sz w:val="20"/>
              </w:rPr>
              <w:t>Mean</w:t>
            </w:r>
          </w:p>
        </w:tc>
        <w:tc>
          <w:tcPr>
            <w:tcW w:w="919" w:type="dxa"/>
            <w:tcBorders>
              <w:top w:val="nil"/>
              <w:left w:val="nil"/>
              <w:bottom w:val="single" w:sz="4" w:space="0" w:color="auto"/>
              <w:right w:val="nil"/>
            </w:tcBorders>
            <w:shd w:val="clear" w:color="auto" w:fill="auto"/>
            <w:noWrap/>
            <w:vAlign w:val="bottom"/>
            <w:hideMark/>
          </w:tcPr>
          <w:p w14:paraId="1F54E17B" w14:textId="77777777" w:rsidR="0093472B" w:rsidRPr="00C82EE1" w:rsidRDefault="0093472B" w:rsidP="00086E4A">
            <w:pPr>
              <w:spacing w:after="0" w:line="240" w:lineRule="auto"/>
              <w:jc w:val="both"/>
              <w:rPr>
                <w:rFonts w:ascii="Times New Roman" w:eastAsia="Times New Roman" w:hAnsi="Times New Roman" w:cs="Times New Roman"/>
                <w:b/>
                <w:color w:val="000000"/>
                <w:sz w:val="20"/>
              </w:rPr>
            </w:pPr>
            <w:r w:rsidRPr="00C82EE1">
              <w:rPr>
                <w:rFonts w:ascii="Times New Roman" w:eastAsia="Times New Roman" w:hAnsi="Times New Roman" w:cs="Times New Roman"/>
                <w:b/>
                <w:color w:val="000000"/>
                <w:sz w:val="20"/>
              </w:rPr>
              <w:t>St/Dev</w:t>
            </w:r>
          </w:p>
        </w:tc>
        <w:tc>
          <w:tcPr>
            <w:tcW w:w="1743" w:type="dxa"/>
            <w:tcBorders>
              <w:top w:val="nil"/>
              <w:left w:val="nil"/>
              <w:bottom w:val="single" w:sz="4" w:space="0" w:color="auto"/>
              <w:right w:val="nil"/>
            </w:tcBorders>
            <w:shd w:val="clear" w:color="auto" w:fill="auto"/>
            <w:noWrap/>
            <w:vAlign w:val="bottom"/>
            <w:hideMark/>
          </w:tcPr>
          <w:p w14:paraId="165AFAE3" w14:textId="77777777" w:rsidR="0093472B" w:rsidRPr="00C82EE1" w:rsidRDefault="0093472B" w:rsidP="00086E4A">
            <w:pPr>
              <w:spacing w:after="0" w:line="240" w:lineRule="auto"/>
              <w:jc w:val="both"/>
              <w:rPr>
                <w:rFonts w:ascii="Times New Roman" w:eastAsia="Times New Roman" w:hAnsi="Times New Roman" w:cs="Times New Roman"/>
                <w:b/>
                <w:color w:val="000000"/>
                <w:sz w:val="20"/>
              </w:rPr>
            </w:pPr>
            <w:r w:rsidRPr="00C82EE1">
              <w:rPr>
                <w:rFonts w:ascii="Times New Roman" w:eastAsia="Times New Roman" w:hAnsi="Times New Roman" w:cs="Times New Roman"/>
                <w:b/>
                <w:color w:val="000000"/>
                <w:sz w:val="20"/>
              </w:rPr>
              <w:t>25th Percentile</w:t>
            </w:r>
          </w:p>
        </w:tc>
        <w:tc>
          <w:tcPr>
            <w:tcW w:w="1141" w:type="dxa"/>
            <w:tcBorders>
              <w:top w:val="nil"/>
              <w:left w:val="nil"/>
              <w:bottom w:val="single" w:sz="4" w:space="0" w:color="auto"/>
              <w:right w:val="nil"/>
            </w:tcBorders>
            <w:shd w:val="clear" w:color="auto" w:fill="auto"/>
            <w:noWrap/>
            <w:vAlign w:val="bottom"/>
            <w:hideMark/>
          </w:tcPr>
          <w:p w14:paraId="3B5789B7" w14:textId="77777777" w:rsidR="0093472B" w:rsidRPr="00C82EE1" w:rsidRDefault="0093472B" w:rsidP="00086E4A">
            <w:pPr>
              <w:spacing w:after="0" w:line="240" w:lineRule="auto"/>
              <w:jc w:val="both"/>
              <w:rPr>
                <w:rFonts w:ascii="Times New Roman" w:eastAsia="Times New Roman" w:hAnsi="Times New Roman" w:cs="Times New Roman"/>
                <w:b/>
                <w:color w:val="000000"/>
                <w:sz w:val="20"/>
              </w:rPr>
            </w:pPr>
            <w:r w:rsidRPr="00C82EE1">
              <w:rPr>
                <w:rFonts w:ascii="Times New Roman" w:eastAsia="Times New Roman" w:hAnsi="Times New Roman" w:cs="Times New Roman"/>
                <w:b/>
                <w:color w:val="000000"/>
                <w:sz w:val="20"/>
              </w:rPr>
              <w:t>Median</w:t>
            </w:r>
          </w:p>
        </w:tc>
        <w:tc>
          <w:tcPr>
            <w:tcW w:w="2118" w:type="dxa"/>
            <w:gridSpan w:val="2"/>
            <w:tcBorders>
              <w:top w:val="single" w:sz="4" w:space="0" w:color="auto"/>
              <w:left w:val="nil"/>
              <w:bottom w:val="single" w:sz="4" w:space="0" w:color="auto"/>
              <w:right w:val="nil"/>
            </w:tcBorders>
            <w:shd w:val="clear" w:color="auto" w:fill="auto"/>
            <w:noWrap/>
            <w:vAlign w:val="bottom"/>
            <w:hideMark/>
          </w:tcPr>
          <w:p w14:paraId="284B149D" w14:textId="77777777" w:rsidR="0093472B" w:rsidRPr="00C82EE1" w:rsidRDefault="0093472B" w:rsidP="00086E4A">
            <w:pPr>
              <w:spacing w:after="0" w:line="240" w:lineRule="auto"/>
              <w:jc w:val="both"/>
              <w:rPr>
                <w:rFonts w:ascii="Times New Roman" w:eastAsia="Times New Roman" w:hAnsi="Times New Roman" w:cs="Times New Roman"/>
                <w:b/>
                <w:color w:val="000000"/>
                <w:sz w:val="20"/>
              </w:rPr>
            </w:pPr>
            <w:r w:rsidRPr="00C82EE1">
              <w:rPr>
                <w:rFonts w:ascii="Times New Roman" w:eastAsia="Times New Roman" w:hAnsi="Times New Roman" w:cs="Times New Roman"/>
                <w:b/>
                <w:color w:val="000000"/>
                <w:sz w:val="20"/>
              </w:rPr>
              <w:t>75th Percentile</w:t>
            </w:r>
          </w:p>
        </w:tc>
      </w:tr>
      <w:tr w:rsidR="00086E4A" w:rsidRPr="00C82EE1" w14:paraId="72BBC219"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566544B3"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proofErr w:type="spellStart"/>
            <w:r w:rsidRPr="00C82EE1">
              <w:rPr>
                <w:rFonts w:ascii="Times New Roman" w:eastAsia="Times New Roman" w:hAnsi="Times New Roman" w:cs="Times New Roman"/>
                <w:i/>
                <w:iCs/>
                <w:color w:val="000000"/>
                <w:sz w:val="20"/>
              </w:rPr>
              <w:t>InitialCAR</w:t>
            </w:r>
            <w:proofErr w:type="spellEnd"/>
          </w:p>
        </w:tc>
        <w:tc>
          <w:tcPr>
            <w:tcW w:w="1052" w:type="dxa"/>
            <w:tcBorders>
              <w:top w:val="nil"/>
              <w:left w:val="nil"/>
              <w:bottom w:val="nil"/>
              <w:right w:val="nil"/>
            </w:tcBorders>
            <w:shd w:val="clear" w:color="auto" w:fill="auto"/>
            <w:noWrap/>
            <w:vAlign w:val="bottom"/>
            <w:hideMark/>
          </w:tcPr>
          <w:p w14:paraId="06095D59"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248</w:t>
            </w:r>
          </w:p>
        </w:tc>
        <w:tc>
          <w:tcPr>
            <w:tcW w:w="1085" w:type="dxa"/>
            <w:tcBorders>
              <w:top w:val="nil"/>
              <w:left w:val="nil"/>
              <w:bottom w:val="nil"/>
              <w:right w:val="nil"/>
            </w:tcBorders>
            <w:shd w:val="clear" w:color="auto" w:fill="auto"/>
            <w:noWrap/>
            <w:vAlign w:val="bottom"/>
            <w:hideMark/>
          </w:tcPr>
          <w:p w14:paraId="304EDC66"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0.084</w:t>
            </w:r>
          </w:p>
        </w:tc>
        <w:tc>
          <w:tcPr>
            <w:tcW w:w="919" w:type="dxa"/>
            <w:tcBorders>
              <w:top w:val="nil"/>
              <w:left w:val="nil"/>
              <w:bottom w:val="nil"/>
              <w:right w:val="nil"/>
            </w:tcBorders>
            <w:shd w:val="clear" w:color="auto" w:fill="auto"/>
            <w:noWrap/>
            <w:vAlign w:val="bottom"/>
            <w:hideMark/>
          </w:tcPr>
          <w:p w14:paraId="5C6A1051"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0.302</w:t>
            </w:r>
          </w:p>
        </w:tc>
        <w:tc>
          <w:tcPr>
            <w:tcW w:w="1743" w:type="dxa"/>
            <w:tcBorders>
              <w:top w:val="nil"/>
              <w:left w:val="nil"/>
              <w:bottom w:val="nil"/>
              <w:right w:val="nil"/>
            </w:tcBorders>
            <w:shd w:val="clear" w:color="auto" w:fill="auto"/>
            <w:noWrap/>
            <w:vAlign w:val="bottom"/>
            <w:hideMark/>
          </w:tcPr>
          <w:p w14:paraId="6C00D667"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-0.028</w:t>
            </w:r>
          </w:p>
        </w:tc>
        <w:tc>
          <w:tcPr>
            <w:tcW w:w="1141" w:type="dxa"/>
            <w:tcBorders>
              <w:top w:val="nil"/>
              <w:left w:val="nil"/>
              <w:bottom w:val="nil"/>
              <w:right w:val="nil"/>
            </w:tcBorders>
            <w:shd w:val="clear" w:color="auto" w:fill="auto"/>
            <w:noWrap/>
            <w:vAlign w:val="bottom"/>
            <w:hideMark/>
          </w:tcPr>
          <w:p w14:paraId="772E2B9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0.025</w:t>
            </w:r>
          </w:p>
        </w:tc>
        <w:tc>
          <w:tcPr>
            <w:tcW w:w="1025" w:type="dxa"/>
            <w:tcBorders>
              <w:top w:val="nil"/>
              <w:left w:val="nil"/>
              <w:bottom w:val="nil"/>
              <w:right w:val="nil"/>
            </w:tcBorders>
            <w:shd w:val="clear" w:color="auto" w:fill="auto"/>
            <w:noWrap/>
            <w:vAlign w:val="bottom"/>
            <w:hideMark/>
          </w:tcPr>
          <w:p w14:paraId="414B61E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0.112</w:t>
            </w:r>
          </w:p>
        </w:tc>
        <w:tc>
          <w:tcPr>
            <w:tcW w:w="1093" w:type="dxa"/>
            <w:tcBorders>
              <w:top w:val="nil"/>
              <w:left w:val="nil"/>
              <w:bottom w:val="nil"/>
              <w:right w:val="nil"/>
            </w:tcBorders>
            <w:shd w:val="clear" w:color="auto" w:fill="auto"/>
            <w:noWrap/>
            <w:vAlign w:val="bottom"/>
            <w:hideMark/>
          </w:tcPr>
          <w:p w14:paraId="03F896B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r>
      <w:tr w:rsidR="00086E4A" w:rsidRPr="00C82EE1" w14:paraId="45997C42"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28123970"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proofErr w:type="spellStart"/>
            <w:r w:rsidRPr="00C82EE1">
              <w:rPr>
                <w:rFonts w:ascii="Times New Roman" w:eastAsia="Times New Roman" w:hAnsi="Times New Roman" w:cs="Times New Roman"/>
                <w:i/>
                <w:iCs/>
                <w:color w:val="000000"/>
                <w:sz w:val="20"/>
              </w:rPr>
              <w:t>LongTermCAR</w:t>
            </w:r>
            <w:proofErr w:type="spellEnd"/>
          </w:p>
        </w:tc>
        <w:tc>
          <w:tcPr>
            <w:tcW w:w="1052" w:type="dxa"/>
            <w:tcBorders>
              <w:top w:val="nil"/>
              <w:left w:val="nil"/>
              <w:bottom w:val="nil"/>
              <w:right w:val="nil"/>
            </w:tcBorders>
            <w:shd w:val="clear" w:color="auto" w:fill="auto"/>
            <w:noWrap/>
            <w:vAlign w:val="bottom"/>
            <w:hideMark/>
          </w:tcPr>
          <w:p w14:paraId="5E323702"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292</w:t>
            </w:r>
          </w:p>
        </w:tc>
        <w:tc>
          <w:tcPr>
            <w:tcW w:w="1085" w:type="dxa"/>
            <w:tcBorders>
              <w:top w:val="nil"/>
              <w:left w:val="nil"/>
              <w:bottom w:val="nil"/>
              <w:right w:val="nil"/>
            </w:tcBorders>
            <w:shd w:val="clear" w:color="auto" w:fill="auto"/>
            <w:noWrap/>
            <w:vAlign w:val="bottom"/>
            <w:hideMark/>
          </w:tcPr>
          <w:p w14:paraId="47751FD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-0.345</w:t>
            </w:r>
          </w:p>
        </w:tc>
        <w:tc>
          <w:tcPr>
            <w:tcW w:w="919" w:type="dxa"/>
            <w:tcBorders>
              <w:top w:val="nil"/>
              <w:left w:val="nil"/>
              <w:bottom w:val="nil"/>
              <w:right w:val="nil"/>
            </w:tcBorders>
            <w:shd w:val="clear" w:color="auto" w:fill="auto"/>
            <w:noWrap/>
            <w:vAlign w:val="bottom"/>
            <w:hideMark/>
          </w:tcPr>
          <w:p w14:paraId="73536C52"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2.865</w:t>
            </w:r>
          </w:p>
        </w:tc>
        <w:tc>
          <w:tcPr>
            <w:tcW w:w="1743" w:type="dxa"/>
            <w:tcBorders>
              <w:top w:val="nil"/>
              <w:left w:val="nil"/>
              <w:bottom w:val="nil"/>
              <w:right w:val="nil"/>
            </w:tcBorders>
            <w:shd w:val="clear" w:color="auto" w:fill="auto"/>
            <w:noWrap/>
            <w:vAlign w:val="bottom"/>
            <w:hideMark/>
          </w:tcPr>
          <w:p w14:paraId="626F713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-0.954</w:t>
            </w:r>
          </w:p>
        </w:tc>
        <w:tc>
          <w:tcPr>
            <w:tcW w:w="1141" w:type="dxa"/>
            <w:tcBorders>
              <w:top w:val="nil"/>
              <w:left w:val="nil"/>
              <w:bottom w:val="nil"/>
              <w:right w:val="nil"/>
            </w:tcBorders>
            <w:shd w:val="clear" w:color="auto" w:fill="auto"/>
            <w:noWrap/>
            <w:vAlign w:val="bottom"/>
            <w:hideMark/>
          </w:tcPr>
          <w:p w14:paraId="6857F6E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-0.443</w:t>
            </w:r>
          </w:p>
        </w:tc>
        <w:tc>
          <w:tcPr>
            <w:tcW w:w="1025" w:type="dxa"/>
            <w:tcBorders>
              <w:top w:val="nil"/>
              <w:left w:val="nil"/>
              <w:bottom w:val="nil"/>
              <w:right w:val="nil"/>
            </w:tcBorders>
            <w:shd w:val="clear" w:color="auto" w:fill="auto"/>
            <w:noWrap/>
            <w:vAlign w:val="bottom"/>
            <w:hideMark/>
          </w:tcPr>
          <w:p w14:paraId="11A87356"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-0.180</w:t>
            </w:r>
          </w:p>
        </w:tc>
        <w:tc>
          <w:tcPr>
            <w:tcW w:w="1093" w:type="dxa"/>
            <w:tcBorders>
              <w:top w:val="nil"/>
              <w:left w:val="nil"/>
              <w:bottom w:val="nil"/>
              <w:right w:val="nil"/>
            </w:tcBorders>
            <w:shd w:val="clear" w:color="auto" w:fill="auto"/>
            <w:noWrap/>
            <w:vAlign w:val="bottom"/>
            <w:hideMark/>
          </w:tcPr>
          <w:p w14:paraId="065D552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r>
      <w:tr w:rsidR="00086E4A" w:rsidRPr="00C82EE1" w14:paraId="06162B9E"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2C40D2CF"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Delisted</w:t>
            </w:r>
          </w:p>
        </w:tc>
        <w:tc>
          <w:tcPr>
            <w:tcW w:w="1052" w:type="dxa"/>
            <w:tcBorders>
              <w:top w:val="nil"/>
              <w:left w:val="nil"/>
              <w:bottom w:val="nil"/>
              <w:right w:val="nil"/>
            </w:tcBorders>
            <w:shd w:val="clear" w:color="auto" w:fill="auto"/>
            <w:noWrap/>
            <w:vAlign w:val="bottom"/>
            <w:hideMark/>
          </w:tcPr>
          <w:p w14:paraId="4DE41914"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388</w:t>
            </w:r>
          </w:p>
        </w:tc>
        <w:tc>
          <w:tcPr>
            <w:tcW w:w="1085" w:type="dxa"/>
            <w:tcBorders>
              <w:top w:val="nil"/>
              <w:left w:val="nil"/>
              <w:bottom w:val="nil"/>
              <w:right w:val="nil"/>
            </w:tcBorders>
            <w:shd w:val="clear" w:color="auto" w:fill="auto"/>
            <w:noWrap/>
            <w:vAlign w:val="bottom"/>
            <w:hideMark/>
          </w:tcPr>
          <w:p w14:paraId="42A2F1DA"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0.356</w:t>
            </w:r>
          </w:p>
        </w:tc>
        <w:tc>
          <w:tcPr>
            <w:tcW w:w="919" w:type="dxa"/>
            <w:tcBorders>
              <w:top w:val="nil"/>
              <w:left w:val="nil"/>
              <w:bottom w:val="nil"/>
              <w:right w:val="nil"/>
            </w:tcBorders>
            <w:shd w:val="clear" w:color="auto" w:fill="auto"/>
            <w:noWrap/>
            <w:vAlign w:val="bottom"/>
            <w:hideMark/>
          </w:tcPr>
          <w:p w14:paraId="00250D05"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0.479</w:t>
            </w:r>
          </w:p>
        </w:tc>
        <w:tc>
          <w:tcPr>
            <w:tcW w:w="1743" w:type="dxa"/>
            <w:tcBorders>
              <w:top w:val="nil"/>
              <w:left w:val="nil"/>
              <w:bottom w:val="nil"/>
              <w:right w:val="nil"/>
            </w:tcBorders>
            <w:shd w:val="clear" w:color="auto" w:fill="auto"/>
            <w:noWrap/>
            <w:vAlign w:val="bottom"/>
            <w:hideMark/>
          </w:tcPr>
          <w:p w14:paraId="28711D9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w:t>
            </w:r>
          </w:p>
        </w:tc>
        <w:tc>
          <w:tcPr>
            <w:tcW w:w="1141" w:type="dxa"/>
            <w:tcBorders>
              <w:top w:val="nil"/>
              <w:left w:val="nil"/>
              <w:bottom w:val="nil"/>
              <w:right w:val="nil"/>
            </w:tcBorders>
            <w:shd w:val="clear" w:color="auto" w:fill="auto"/>
            <w:noWrap/>
            <w:vAlign w:val="bottom"/>
            <w:hideMark/>
          </w:tcPr>
          <w:p w14:paraId="1689A445"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w:t>
            </w:r>
          </w:p>
        </w:tc>
        <w:tc>
          <w:tcPr>
            <w:tcW w:w="1025" w:type="dxa"/>
            <w:tcBorders>
              <w:top w:val="nil"/>
              <w:left w:val="nil"/>
              <w:bottom w:val="nil"/>
              <w:right w:val="nil"/>
            </w:tcBorders>
            <w:shd w:val="clear" w:color="auto" w:fill="auto"/>
            <w:noWrap/>
            <w:vAlign w:val="bottom"/>
            <w:hideMark/>
          </w:tcPr>
          <w:p w14:paraId="396FAE94"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w:t>
            </w:r>
          </w:p>
        </w:tc>
        <w:tc>
          <w:tcPr>
            <w:tcW w:w="1093" w:type="dxa"/>
            <w:tcBorders>
              <w:top w:val="nil"/>
              <w:left w:val="nil"/>
              <w:bottom w:val="nil"/>
              <w:right w:val="nil"/>
            </w:tcBorders>
            <w:shd w:val="clear" w:color="auto" w:fill="auto"/>
            <w:noWrap/>
            <w:vAlign w:val="bottom"/>
            <w:hideMark/>
          </w:tcPr>
          <w:p w14:paraId="0C89307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r>
      <w:tr w:rsidR="00086E4A" w:rsidRPr="00C82EE1" w14:paraId="61EE78BD"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1B93F7B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Volatility</w:t>
            </w:r>
          </w:p>
        </w:tc>
        <w:tc>
          <w:tcPr>
            <w:tcW w:w="1052" w:type="dxa"/>
            <w:tcBorders>
              <w:top w:val="nil"/>
              <w:left w:val="nil"/>
              <w:bottom w:val="nil"/>
              <w:right w:val="nil"/>
            </w:tcBorders>
            <w:shd w:val="clear" w:color="auto" w:fill="auto"/>
            <w:noWrap/>
            <w:vAlign w:val="bottom"/>
            <w:hideMark/>
          </w:tcPr>
          <w:p w14:paraId="1692B425"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310</w:t>
            </w:r>
          </w:p>
        </w:tc>
        <w:tc>
          <w:tcPr>
            <w:tcW w:w="1085" w:type="dxa"/>
            <w:tcBorders>
              <w:top w:val="nil"/>
              <w:left w:val="nil"/>
              <w:bottom w:val="nil"/>
              <w:right w:val="nil"/>
            </w:tcBorders>
            <w:shd w:val="clear" w:color="auto" w:fill="auto"/>
            <w:noWrap/>
            <w:vAlign w:val="bottom"/>
            <w:hideMark/>
          </w:tcPr>
          <w:p w14:paraId="1515BDA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0.833</w:t>
            </w:r>
          </w:p>
        </w:tc>
        <w:tc>
          <w:tcPr>
            <w:tcW w:w="919" w:type="dxa"/>
            <w:tcBorders>
              <w:top w:val="nil"/>
              <w:left w:val="nil"/>
              <w:bottom w:val="nil"/>
              <w:right w:val="nil"/>
            </w:tcBorders>
            <w:shd w:val="clear" w:color="auto" w:fill="auto"/>
            <w:noWrap/>
            <w:vAlign w:val="bottom"/>
            <w:hideMark/>
          </w:tcPr>
          <w:p w14:paraId="7E1A14D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0.463</w:t>
            </w:r>
          </w:p>
        </w:tc>
        <w:tc>
          <w:tcPr>
            <w:tcW w:w="1743" w:type="dxa"/>
            <w:tcBorders>
              <w:top w:val="nil"/>
              <w:left w:val="nil"/>
              <w:bottom w:val="nil"/>
              <w:right w:val="nil"/>
            </w:tcBorders>
            <w:shd w:val="clear" w:color="auto" w:fill="auto"/>
            <w:noWrap/>
            <w:vAlign w:val="bottom"/>
            <w:hideMark/>
          </w:tcPr>
          <w:p w14:paraId="499FA15A"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0.525</w:t>
            </w:r>
          </w:p>
        </w:tc>
        <w:tc>
          <w:tcPr>
            <w:tcW w:w="1141" w:type="dxa"/>
            <w:tcBorders>
              <w:top w:val="nil"/>
              <w:left w:val="nil"/>
              <w:bottom w:val="nil"/>
              <w:right w:val="nil"/>
            </w:tcBorders>
            <w:shd w:val="clear" w:color="auto" w:fill="auto"/>
            <w:noWrap/>
            <w:vAlign w:val="bottom"/>
            <w:hideMark/>
          </w:tcPr>
          <w:p w14:paraId="0BFDDAB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0.706</w:t>
            </w:r>
          </w:p>
        </w:tc>
        <w:tc>
          <w:tcPr>
            <w:tcW w:w="1025" w:type="dxa"/>
            <w:tcBorders>
              <w:top w:val="nil"/>
              <w:left w:val="nil"/>
              <w:bottom w:val="nil"/>
              <w:right w:val="nil"/>
            </w:tcBorders>
            <w:shd w:val="clear" w:color="auto" w:fill="auto"/>
            <w:noWrap/>
            <w:vAlign w:val="bottom"/>
            <w:hideMark/>
          </w:tcPr>
          <w:p w14:paraId="24BCF407"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1.035</w:t>
            </w:r>
          </w:p>
        </w:tc>
        <w:tc>
          <w:tcPr>
            <w:tcW w:w="1093" w:type="dxa"/>
            <w:tcBorders>
              <w:top w:val="nil"/>
              <w:left w:val="nil"/>
              <w:bottom w:val="nil"/>
              <w:right w:val="nil"/>
            </w:tcBorders>
            <w:shd w:val="clear" w:color="auto" w:fill="auto"/>
            <w:noWrap/>
            <w:vAlign w:val="bottom"/>
            <w:hideMark/>
          </w:tcPr>
          <w:p w14:paraId="7FEA7DF1"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r>
      <w:tr w:rsidR="00086E4A" w:rsidRPr="00C82EE1" w14:paraId="42183BF5" w14:textId="77777777" w:rsidTr="00086E4A">
        <w:trPr>
          <w:trHeight w:val="366"/>
          <w:jc w:val="center"/>
        </w:trPr>
        <w:tc>
          <w:tcPr>
            <w:tcW w:w="2372" w:type="dxa"/>
            <w:tcBorders>
              <w:top w:val="nil"/>
              <w:left w:val="nil"/>
              <w:bottom w:val="single" w:sz="4" w:space="0" w:color="auto"/>
              <w:right w:val="nil"/>
            </w:tcBorders>
            <w:shd w:val="clear" w:color="auto" w:fill="auto"/>
            <w:noWrap/>
            <w:vAlign w:val="bottom"/>
            <w:hideMark/>
          </w:tcPr>
          <w:p w14:paraId="149AE3F9"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Scam</w:t>
            </w:r>
          </w:p>
        </w:tc>
        <w:tc>
          <w:tcPr>
            <w:tcW w:w="1052" w:type="dxa"/>
            <w:tcBorders>
              <w:top w:val="nil"/>
              <w:left w:val="nil"/>
              <w:bottom w:val="single" w:sz="4" w:space="0" w:color="auto"/>
              <w:right w:val="nil"/>
            </w:tcBorders>
            <w:shd w:val="clear" w:color="auto" w:fill="auto"/>
            <w:noWrap/>
            <w:vAlign w:val="bottom"/>
            <w:hideMark/>
          </w:tcPr>
          <w:p w14:paraId="15287DD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1202</w:t>
            </w:r>
          </w:p>
        </w:tc>
        <w:tc>
          <w:tcPr>
            <w:tcW w:w="1085" w:type="dxa"/>
            <w:tcBorders>
              <w:top w:val="nil"/>
              <w:left w:val="nil"/>
              <w:bottom w:val="single" w:sz="4" w:space="0" w:color="auto"/>
              <w:right w:val="nil"/>
            </w:tcBorders>
            <w:shd w:val="clear" w:color="auto" w:fill="auto"/>
            <w:noWrap/>
            <w:vAlign w:val="bottom"/>
            <w:hideMark/>
          </w:tcPr>
          <w:p w14:paraId="4D710F74"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0.334</w:t>
            </w:r>
          </w:p>
        </w:tc>
        <w:tc>
          <w:tcPr>
            <w:tcW w:w="919" w:type="dxa"/>
            <w:tcBorders>
              <w:top w:val="nil"/>
              <w:left w:val="nil"/>
              <w:bottom w:val="single" w:sz="4" w:space="0" w:color="auto"/>
              <w:right w:val="nil"/>
            </w:tcBorders>
            <w:shd w:val="clear" w:color="auto" w:fill="auto"/>
            <w:noWrap/>
            <w:vAlign w:val="bottom"/>
            <w:hideMark/>
          </w:tcPr>
          <w:p w14:paraId="056AA744"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0.472</w:t>
            </w:r>
          </w:p>
        </w:tc>
        <w:tc>
          <w:tcPr>
            <w:tcW w:w="1743" w:type="dxa"/>
            <w:tcBorders>
              <w:top w:val="nil"/>
              <w:left w:val="nil"/>
              <w:bottom w:val="single" w:sz="4" w:space="0" w:color="auto"/>
              <w:right w:val="nil"/>
            </w:tcBorders>
            <w:shd w:val="clear" w:color="auto" w:fill="auto"/>
            <w:noWrap/>
            <w:vAlign w:val="bottom"/>
            <w:hideMark/>
          </w:tcPr>
          <w:p w14:paraId="679F922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w:t>
            </w:r>
          </w:p>
        </w:tc>
        <w:tc>
          <w:tcPr>
            <w:tcW w:w="1141" w:type="dxa"/>
            <w:tcBorders>
              <w:top w:val="nil"/>
              <w:left w:val="nil"/>
              <w:bottom w:val="single" w:sz="4" w:space="0" w:color="auto"/>
              <w:right w:val="nil"/>
            </w:tcBorders>
            <w:shd w:val="clear" w:color="auto" w:fill="auto"/>
            <w:noWrap/>
            <w:vAlign w:val="bottom"/>
            <w:hideMark/>
          </w:tcPr>
          <w:p w14:paraId="6FB7A435"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w:t>
            </w:r>
          </w:p>
        </w:tc>
        <w:tc>
          <w:tcPr>
            <w:tcW w:w="1025" w:type="dxa"/>
            <w:tcBorders>
              <w:top w:val="nil"/>
              <w:left w:val="nil"/>
              <w:bottom w:val="single" w:sz="4" w:space="0" w:color="auto"/>
              <w:right w:val="nil"/>
            </w:tcBorders>
            <w:shd w:val="clear" w:color="auto" w:fill="auto"/>
            <w:noWrap/>
            <w:vAlign w:val="bottom"/>
            <w:hideMark/>
          </w:tcPr>
          <w:p w14:paraId="7323799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w:t>
            </w:r>
          </w:p>
        </w:tc>
        <w:tc>
          <w:tcPr>
            <w:tcW w:w="1093" w:type="dxa"/>
            <w:tcBorders>
              <w:top w:val="nil"/>
              <w:left w:val="nil"/>
              <w:bottom w:val="single" w:sz="4" w:space="0" w:color="auto"/>
              <w:right w:val="nil"/>
            </w:tcBorders>
            <w:shd w:val="clear" w:color="auto" w:fill="auto"/>
            <w:noWrap/>
            <w:vAlign w:val="bottom"/>
            <w:hideMark/>
          </w:tcPr>
          <w:p w14:paraId="32FD7FA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 </w:t>
            </w:r>
          </w:p>
        </w:tc>
      </w:tr>
      <w:tr w:rsidR="0093472B" w:rsidRPr="00C82EE1" w14:paraId="26742403" w14:textId="77777777" w:rsidTr="00086E4A">
        <w:trPr>
          <w:trHeight w:val="366"/>
          <w:jc w:val="center"/>
        </w:trPr>
        <w:tc>
          <w:tcPr>
            <w:tcW w:w="10434" w:type="dxa"/>
            <w:gridSpan w:val="8"/>
            <w:tcBorders>
              <w:top w:val="single" w:sz="4" w:space="0" w:color="auto"/>
              <w:left w:val="nil"/>
              <w:bottom w:val="single" w:sz="4" w:space="0" w:color="auto"/>
              <w:right w:val="nil"/>
            </w:tcBorders>
            <w:shd w:val="clear" w:color="auto" w:fill="auto"/>
            <w:noWrap/>
            <w:vAlign w:val="bottom"/>
            <w:hideMark/>
          </w:tcPr>
          <w:p w14:paraId="36C1089C"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Panel B: Regression results</w:t>
            </w:r>
          </w:p>
        </w:tc>
      </w:tr>
      <w:tr w:rsidR="00086E4A" w:rsidRPr="00C82EE1" w14:paraId="71D6F19C" w14:textId="77777777" w:rsidTr="00086E4A">
        <w:trPr>
          <w:trHeight w:val="174"/>
          <w:jc w:val="center"/>
        </w:trPr>
        <w:tc>
          <w:tcPr>
            <w:tcW w:w="2372" w:type="dxa"/>
            <w:tcBorders>
              <w:top w:val="nil"/>
              <w:left w:val="nil"/>
              <w:bottom w:val="single" w:sz="4" w:space="0" w:color="auto"/>
              <w:right w:val="nil"/>
            </w:tcBorders>
            <w:shd w:val="clear" w:color="auto" w:fill="auto"/>
            <w:noWrap/>
            <w:vAlign w:val="bottom"/>
            <w:hideMark/>
          </w:tcPr>
          <w:p w14:paraId="50964AAD" w14:textId="77777777" w:rsidR="0093472B" w:rsidRPr="00C82EE1" w:rsidRDefault="0093472B" w:rsidP="00026FCB">
            <w:pPr>
              <w:spacing w:after="0" w:line="240" w:lineRule="auto"/>
              <w:jc w:val="both"/>
              <w:rPr>
                <w:rFonts w:ascii="Times New Roman" w:eastAsia="Times New Roman" w:hAnsi="Times New Roman" w:cs="Times New Roman"/>
                <w:b/>
                <w:bCs/>
                <w:color w:val="000000"/>
                <w:sz w:val="20"/>
              </w:rPr>
            </w:pPr>
            <w:r w:rsidRPr="00C82EE1">
              <w:rPr>
                <w:rFonts w:ascii="Times New Roman" w:eastAsia="Times New Roman" w:hAnsi="Times New Roman" w:cs="Times New Roman"/>
                <w:b/>
                <w:bCs/>
                <w:color w:val="000000"/>
                <w:sz w:val="20"/>
              </w:rPr>
              <w:t>Dependent variables</w:t>
            </w:r>
          </w:p>
        </w:tc>
        <w:tc>
          <w:tcPr>
            <w:tcW w:w="2138" w:type="dxa"/>
            <w:gridSpan w:val="2"/>
            <w:tcBorders>
              <w:top w:val="single" w:sz="4" w:space="0" w:color="auto"/>
              <w:left w:val="nil"/>
              <w:bottom w:val="single" w:sz="4" w:space="0" w:color="auto"/>
              <w:right w:val="nil"/>
            </w:tcBorders>
            <w:shd w:val="clear" w:color="auto" w:fill="auto"/>
            <w:noWrap/>
            <w:vAlign w:val="bottom"/>
            <w:hideMark/>
          </w:tcPr>
          <w:p w14:paraId="30BBA28B" w14:textId="77777777" w:rsidR="0093472B" w:rsidRPr="00C82EE1" w:rsidRDefault="0093472B" w:rsidP="00074781">
            <w:pPr>
              <w:spacing w:after="0" w:line="240" w:lineRule="auto"/>
              <w:jc w:val="center"/>
              <w:rPr>
                <w:rFonts w:ascii="Times New Roman" w:eastAsia="Times New Roman" w:hAnsi="Times New Roman" w:cs="Times New Roman"/>
                <w:b/>
                <w:i/>
                <w:iCs/>
                <w:color w:val="000000"/>
                <w:sz w:val="20"/>
              </w:rPr>
            </w:pPr>
            <w:proofErr w:type="spellStart"/>
            <w:r w:rsidRPr="00C82EE1">
              <w:rPr>
                <w:rFonts w:ascii="Times New Roman" w:eastAsia="Times New Roman" w:hAnsi="Times New Roman" w:cs="Times New Roman"/>
                <w:b/>
                <w:i/>
                <w:iCs/>
                <w:color w:val="000000"/>
                <w:sz w:val="20"/>
              </w:rPr>
              <w:t>InitialCAR</w:t>
            </w:r>
            <w:proofErr w:type="spellEnd"/>
          </w:p>
        </w:tc>
        <w:tc>
          <w:tcPr>
            <w:tcW w:w="2663" w:type="dxa"/>
            <w:gridSpan w:val="2"/>
            <w:tcBorders>
              <w:top w:val="single" w:sz="4" w:space="0" w:color="auto"/>
              <w:left w:val="nil"/>
              <w:bottom w:val="single" w:sz="4" w:space="0" w:color="auto"/>
              <w:right w:val="nil"/>
            </w:tcBorders>
            <w:shd w:val="clear" w:color="auto" w:fill="auto"/>
            <w:noWrap/>
            <w:vAlign w:val="bottom"/>
            <w:hideMark/>
          </w:tcPr>
          <w:p w14:paraId="29578437" w14:textId="77777777" w:rsidR="0093472B" w:rsidRPr="00C82EE1" w:rsidRDefault="0093472B" w:rsidP="00074781">
            <w:pPr>
              <w:spacing w:after="0" w:line="240" w:lineRule="auto"/>
              <w:jc w:val="center"/>
              <w:rPr>
                <w:rFonts w:ascii="Times New Roman" w:eastAsia="Times New Roman" w:hAnsi="Times New Roman" w:cs="Times New Roman"/>
                <w:b/>
                <w:i/>
                <w:iCs/>
                <w:color w:val="000000"/>
                <w:sz w:val="20"/>
              </w:rPr>
            </w:pPr>
            <w:proofErr w:type="spellStart"/>
            <w:r w:rsidRPr="00C82EE1">
              <w:rPr>
                <w:rFonts w:ascii="Times New Roman" w:eastAsia="Times New Roman" w:hAnsi="Times New Roman" w:cs="Times New Roman"/>
                <w:b/>
                <w:i/>
                <w:iCs/>
                <w:color w:val="000000"/>
                <w:sz w:val="20"/>
              </w:rPr>
              <w:t>LongTermCAR</w:t>
            </w:r>
            <w:proofErr w:type="spellEnd"/>
          </w:p>
        </w:tc>
        <w:tc>
          <w:tcPr>
            <w:tcW w:w="1141" w:type="dxa"/>
            <w:tcBorders>
              <w:top w:val="nil"/>
              <w:left w:val="nil"/>
              <w:bottom w:val="single" w:sz="4" w:space="0" w:color="auto"/>
              <w:right w:val="nil"/>
            </w:tcBorders>
            <w:shd w:val="clear" w:color="auto" w:fill="auto"/>
            <w:noWrap/>
            <w:vAlign w:val="bottom"/>
            <w:hideMark/>
          </w:tcPr>
          <w:p w14:paraId="1D780408" w14:textId="77777777" w:rsidR="0093472B" w:rsidRPr="00C82EE1" w:rsidRDefault="0093472B" w:rsidP="00074781">
            <w:pPr>
              <w:spacing w:after="0" w:line="240" w:lineRule="auto"/>
              <w:jc w:val="center"/>
              <w:rPr>
                <w:rFonts w:ascii="Times New Roman" w:eastAsia="Times New Roman" w:hAnsi="Times New Roman" w:cs="Times New Roman"/>
                <w:b/>
                <w:i/>
                <w:iCs/>
                <w:color w:val="000000"/>
                <w:sz w:val="20"/>
              </w:rPr>
            </w:pPr>
            <w:r w:rsidRPr="00C82EE1">
              <w:rPr>
                <w:rFonts w:ascii="Times New Roman" w:eastAsia="Times New Roman" w:hAnsi="Times New Roman" w:cs="Times New Roman"/>
                <w:b/>
                <w:i/>
                <w:iCs/>
                <w:color w:val="000000"/>
                <w:sz w:val="20"/>
              </w:rPr>
              <w:t>Delisted</w:t>
            </w:r>
          </w:p>
        </w:tc>
        <w:tc>
          <w:tcPr>
            <w:tcW w:w="1025" w:type="dxa"/>
            <w:tcBorders>
              <w:top w:val="nil"/>
              <w:left w:val="nil"/>
              <w:bottom w:val="single" w:sz="4" w:space="0" w:color="auto"/>
              <w:right w:val="nil"/>
            </w:tcBorders>
            <w:shd w:val="clear" w:color="auto" w:fill="auto"/>
            <w:noWrap/>
            <w:vAlign w:val="bottom"/>
            <w:hideMark/>
          </w:tcPr>
          <w:p w14:paraId="203F566A" w14:textId="77777777" w:rsidR="0093472B" w:rsidRPr="00C82EE1" w:rsidRDefault="0093472B" w:rsidP="00074781">
            <w:pPr>
              <w:spacing w:after="0" w:line="240" w:lineRule="auto"/>
              <w:jc w:val="center"/>
              <w:rPr>
                <w:rFonts w:ascii="Times New Roman" w:eastAsia="Times New Roman" w:hAnsi="Times New Roman" w:cs="Times New Roman"/>
                <w:b/>
                <w:i/>
                <w:iCs/>
                <w:color w:val="000000"/>
                <w:sz w:val="20"/>
              </w:rPr>
            </w:pPr>
            <w:r w:rsidRPr="00C82EE1">
              <w:rPr>
                <w:rFonts w:ascii="Times New Roman" w:eastAsia="Times New Roman" w:hAnsi="Times New Roman" w:cs="Times New Roman"/>
                <w:b/>
                <w:i/>
                <w:iCs/>
                <w:color w:val="000000"/>
                <w:sz w:val="20"/>
              </w:rPr>
              <w:t>Volatility</w:t>
            </w:r>
          </w:p>
        </w:tc>
        <w:tc>
          <w:tcPr>
            <w:tcW w:w="1093" w:type="dxa"/>
            <w:tcBorders>
              <w:top w:val="nil"/>
              <w:left w:val="nil"/>
              <w:bottom w:val="single" w:sz="4" w:space="0" w:color="auto"/>
              <w:right w:val="nil"/>
            </w:tcBorders>
            <w:shd w:val="clear" w:color="auto" w:fill="auto"/>
            <w:noWrap/>
            <w:vAlign w:val="bottom"/>
            <w:hideMark/>
          </w:tcPr>
          <w:p w14:paraId="38E2DA21" w14:textId="77777777" w:rsidR="0093472B" w:rsidRPr="00C82EE1" w:rsidRDefault="0093472B" w:rsidP="00074781">
            <w:pPr>
              <w:spacing w:after="0" w:line="240" w:lineRule="auto"/>
              <w:jc w:val="center"/>
              <w:rPr>
                <w:rFonts w:ascii="Times New Roman" w:eastAsia="Times New Roman" w:hAnsi="Times New Roman" w:cs="Times New Roman"/>
                <w:b/>
                <w:i/>
                <w:iCs/>
                <w:color w:val="000000"/>
                <w:sz w:val="20"/>
              </w:rPr>
            </w:pPr>
            <w:r w:rsidRPr="00C82EE1">
              <w:rPr>
                <w:rFonts w:ascii="Times New Roman" w:eastAsia="Times New Roman" w:hAnsi="Times New Roman" w:cs="Times New Roman"/>
                <w:b/>
                <w:i/>
                <w:iCs/>
                <w:color w:val="000000"/>
                <w:sz w:val="20"/>
              </w:rPr>
              <w:t>Scam</w:t>
            </w:r>
          </w:p>
        </w:tc>
      </w:tr>
      <w:tr w:rsidR="00086E4A" w:rsidRPr="00C82EE1" w14:paraId="5C0C605D"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5DFFF4C4"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p>
        </w:tc>
        <w:tc>
          <w:tcPr>
            <w:tcW w:w="1052" w:type="dxa"/>
            <w:tcBorders>
              <w:top w:val="nil"/>
              <w:left w:val="nil"/>
              <w:bottom w:val="nil"/>
              <w:right w:val="nil"/>
            </w:tcBorders>
            <w:shd w:val="clear" w:color="auto" w:fill="auto"/>
            <w:noWrap/>
            <w:vAlign w:val="bottom"/>
            <w:hideMark/>
          </w:tcPr>
          <w:p w14:paraId="3F5DF039" w14:textId="77777777" w:rsidR="0093472B" w:rsidRPr="00C82EE1" w:rsidRDefault="0093472B" w:rsidP="0007748C">
            <w:pPr>
              <w:spacing w:after="0" w:line="240" w:lineRule="auto"/>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OLS</w:t>
            </w:r>
          </w:p>
        </w:tc>
        <w:tc>
          <w:tcPr>
            <w:tcW w:w="1085" w:type="dxa"/>
            <w:tcBorders>
              <w:top w:val="nil"/>
              <w:left w:val="nil"/>
              <w:bottom w:val="nil"/>
              <w:right w:val="nil"/>
            </w:tcBorders>
            <w:shd w:val="clear" w:color="auto" w:fill="auto"/>
            <w:noWrap/>
            <w:vAlign w:val="bottom"/>
            <w:hideMark/>
          </w:tcPr>
          <w:p w14:paraId="11D59F90" w14:textId="77777777" w:rsidR="0093472B" w:rsidRPr="00C82EE1" w:rsidRDefault="0093472B" w:rsidP="0007748C">
            <w:pPr>
              <w:spacing w:after="0" w:line="240" w:lineRule="auto"/>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Quantile regression</w:t>
            </w:r>
          </w:p>
        </w:tc>
        <w:tc>
          <w:tcPr>
            <w:tcW w:w="919" w:type="dxa"/>
            <w:tcBorders>
              <w:top w:val="nil"/>
              <w:left w:val="nil"/>
              <w:bottom w:val="nil"/>
              <w:right w:val="nil"/>
            </w:tcBorders>
            <w:shd w:val="clear" w:color="auto" w:fill="auto"/>
            <w:noWrap/>
            <w:vAlign w:val="bottom"/>
            <w:hideMark/>
          </w:tcPr>
          <w:p w14:paraId="4B571D85" w14:textId="77777777" w:rsidR="0093472B" w:rsidRPr="00C82EE1" w:rsidRDefault="0093472B" w:rsidP="0007748C">
            <w:pPr>
              <w:spacing w:after="0" w:line="240" w:lineRule="auto"/>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OLS</w:t>
            </w:r>
          </w:p>
        </w:tc>
        <w:tc>
          <w:tcPr>
            <w:tcW w:w="1743" w:type="dxa"/>
            <w:tcBorders>
              <w:top w:val="nil"/>
              <w:left w:val="nil"/>
              <w:bottom w:val="nil"/>
              <w:right w:val="nil"/>
            </w:tcBorders>
            <w:shd w:val="clear" w:color="auto" w:fill="auto"/>
            <w:noWrap/>
            <w:vAlign w:val="bottom"/>
            <w:hideMark/>
          </w:tcPr>
          <w:p w14:paraId="681458B9" w14:textId="77777777" w:rsidR="0093472B" w:rsidRPr="00C82EE1" w:rsidRDefault="0093472B" w:rsidP="0007748C">
            <w:pPr>
              <w:spacing w:after="0" w:line="240" w:lineRule="auto"/>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Quantile regression</w:t>
            </w:r>
          </w:p>
        </w:tc>
        <w:tc>
          <w:tcPr>
            <w:tcW w:w="1141" w:type="dxa"/>
            <w:tcBorders>
              <w:top w:val="nil"/>
              <w:left w:val="nil"/>
              <w:bottom w:val="nil"/>
              <w:right w:val="nil"/>
            </w:tcBorders>
            <w:shd w:val="clear" w:color="auto" w:fill="auto"/>
            <w:noWrap/>
            <w:vAlign w:val="bottom"/>
            <w:hideMark/>
          </w:tcPr>
          <w:p w14:paraId="6F9C9023"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1025" w:type="dxa"/>
            <w:tcBorders>
              <w:top w:val="nil"/>
              <w:left w:val="nil"/>
              <w:bottom w:val="nil"/>
              <w:right w:val="nil"/>
            </w:tcBorders>
            <w:shd w:val="clear" w:color="auto" w:fill="auto"/>
            <w:noWrap/>
            <w:vAlign w:val="bottom"/>
            <w:hideMark/>
          </w:tcPr>
          <w:p w14:paraId="6452943C" w14:textId="77777777" w:rsidR="0093472B" w:rsidRPr="00C82EE1" w:rsidRDefault="0093472B" w:rsidP="00026FCB">
            <w:pPr>
              <w:spacing w:after="0" w:line="240" w:lineRule="auto"/>
              <w:jc w:val="both"/>
              <w:rPr>
                <w:rFonts w:ascii="Times New Roman" w:eastAsia="Times New Roman" w:hAnsi="Times New Roman" w:cs="Times New Roman"/>
                <w:sz w:val="20"/>
              </w:rPr>
            </w:pPr>
          </w:p>
        </w:tc>
        <w:tc>
          <w:tcPr>
            <w:tcW w:w="1093" w:type="dxa"/>
            <w:tcBorders>
              <w:top w:val="nil"/>
              <w:left w:val="nil"/>
              <w:bottom w:val="nil"/>
              <w:right w:val="nil"/>
            </w:tcBorders>
            <w:shd w:val="clear" w:color="auto" w:fill="auto"/>
            <w:noWrap/>
            <w:vAlign w:val="bottom"/>
            <w:hideMark/>
          </w:tcPr>
          <w:p w14:paraId="4F0DB603" w14:textId="77777777" w:rsidR="0093472B" w:rsidRPr="00C82EE1" w:rsidRDefault="0093472B" w:rsidP="00026FCB">
            <w:pPr>
              <w:spacing w:after="0" w:line="240" w:lineRule="auto"/>
              <w:jc w:val="both"/>
              <w:rPr>
                <w:rFonts w:ascii="Times New Roman" w:eastAsia="Times New Roman" w:hAnsi="Times New Roman" w:cs="Times New Roman"/>
                <w:sz w:val="20"/>
              </w:rPr>
            </w:pPr>
          </w:p>
        </w:tc>
      </w:tr>
      <w:tr w:rsidR="00086E4A" w:rsidRPr="00C82EE1" w14:paraId="3F02E8A7" w14:textId="77777777" w:rsidTr="00086E4A">
        <w:trPr>
          <w:trHeight w:val="366"/>
          <w:jc w:val="center"/>
        </w:trPr>
        <w:tc>
          <w:tcPr>
            <w:tcW w:w="2372" w:type="dxa"/>
            <w:tcBorders>
              <w:top w:val="nil"/>
              <w:left w:val="nil"/>
              <w:bottom w:val="single" w:sz="4" w:space="0" w:color="auto"/>
              <w:right w:val="nil"/>
            </w:tcBorders>
            <w:shd w:val="clear" w:color="auto" w:fill="auto"/>
            <w:noWrap/>
            <w:vAlign w:val="bottom"/>
            <w:hideMark/>
          </w:tcPr>
          <w:p w14:paraId="61D9B05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Model</w:t>
            </w:r>
          </w:p>
        </w:tc>
        <w:tc>
          <w:tcPr>
            <w:tcW w:w="1052" w:type="dxa"/>
            <w:tcBorders>
              <w:top w:val="nil"/>
              <w:left w:val="nil"/>
              <w:bottom w:val="single" w:sz="4" w:space="0" w:color="auto"/>
              <w:right w:val="nil"/>
            </w:tcBorders>
            <w:shd w:val="clear" w:color="auto" w:fill="auto"/>
            <w:noWrap/>
            <w:vAlign w:val="bottom"/>
            <w:hideMark/>
          </w:tcPr>
          <w:p w14:paraId="774FE52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w:t>
            </w:r>
          </w:p>
        </w:tc>
        <w:tc>
          <w:tcPr>
            <w:tcW w:w="1085" w:type="dxa"/>
            <w:tcBorders>
              <w:top w:val="nil"/>
              <w:left w:val="nil"/>
              <w:bottom w:val="single" w:sz="4" w:space="0" w:color="auto"/>
              <w:right w:val="nil"/>
            </w:tcBorders>
            <w:shd w:val="clear" w:color="auto" w:fill="auto"/>
            <w:noWrap/>
            <w:vAlign w:val="bottom"/>
            <w:hideMark/>
          </w:tcPr>
          <w:p w14:paraId="4F1715A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w:t>
            </w:r>
          </w:p>
        </w:tc>
        <w:tc>
          <w:tcPr>
            <w:tcW w:w="919" w:type="dxa"/>
            <w:tcBorders>
              <w:top w:val="nil"/>
              <w:left w:val="nil"/>
              <w:bottom w:val="single" w:sz="4" w:space="0" w:color="auto"/>
              <w:right w:val="nil"/>
            </w:tcBorders>
            <w:shd w:val="clear" w:color="auto" w:fill="auto"/>
            <w:noWrap/>
            <w:vAlign w:val="bottom"/>
            <w:hideMark/>
          </w:tcPr>
          <w:p w14:paraId="43A6BE0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(3)</w:t>
            </w:r>
          </w:p>
        </w:tc>
        <w:tc>
          <w:tcPr>
            <w:tcW w:w="1743" w:type="dxa"/>
            <w:tcBorders>
              <w:top w:val="nil"/>
              <w:left w:val="nil"/>
              <w:bottom w:val="single" w:sz="4" w:space="0" w:color="auto"/>
              <w:right w:val="nil"/>
            </w:tcBorders>
            <w:shd w:val="clear" w:color="auto" w:fill="auto"/>
            <w:noWrap/>
            <w:vAlign w:val="bottom"/>
            <w:hideMark/>
          </w:tcPr>
          <w:p w14:paraId="6ED5C167"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(4)</w:t>
            </w:r>
          </w:p>
        </w:tc>
        <w:tc>
          <w:tcPr>
            <w:tcW w:w="1141" w:type="dxa"/>
            <w:tcBorders>
              <w:top w:val="nil"/>
              <w:left w:val="nil"/>
              <w:bottom w:val="single" w:sz="4" w:space="0" w:color="auto"/>
              <w:right w:val="nil"/>
            </w:tcBorders>
            <w:shd w:val="clear" w:color="auto" w:fill="auto"/>
            <w:noWrap/>
            <w:vAlign w:val="bottom"/>
            <w:hideMark/>
          </w:tcPr>
          <w:p w14:paraId="19696D9A"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(5)</w:t>
            </w:r>
          </w:p>
        </w:tc>
        <w:tc>
          <w:tcPr>
            <w:tcW w:w="1025" w:type="dxa"/>
            <w:tcBorders>
              <w:top w:val="nil"/>
              <w:left w:val="nil"/>
              <w:bottom w:val="single" w:sz="4" w:space="0" w:color="auto"/>
              <w:right w:val="nil"/>
            </w:tcBorders>
            <w:shd w:val="clear" w:color="auto" w:fill="auto"/>
            <w:noWrap/>
            <w:vAlign w:val="bottom"/>
            <w:hideMark/>
          </w:tcPr>
          <w:p w14:paraId="7C9E770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(6)</w:t>
            </w:r>
          </w:p>
        </w:tc>
        <w:tc>
          <w:tcPr>
            <w:tcW w:w="1093" w:type="dxa"/>
            <w:tcBorders>
              <w:top w:val="nil"/>
              <w:left w:val="nil"/>
              <w:bottom w:val="single" w:sz="4" w:space="0" w:color="auto"/>
              <w:right w:val="nil"/>
            </w:tcBorders>
            <w:shd w:val="clear" w:color="auto" w:fill="auto"/>
            <w:noWrap/>
            <w:vAlign w:val="bottom"/>
            <w:hideMark/>
          </w:tcPr>
          <w:p w14:paraId="6649F9D9"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(7)</w:t>
            </w:r>
          </w:p>
        </w:tc>
      </w:tr>
      <w:tr w:rsidR="00086E4A" w:rsidRPr="00C82EE1" w14:paraId="559B08B6"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6DA41AF1"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Constant</w:t>
            </w:r>
          </w:p>
        </w:tc>
        <w:tc>
          <w:tcPr>
            <w:tcW w:w="1052" w:type="dxa"/>
            <w:tcBorders>
              <w:top w:val="nil"/>
              <w:left w:val="nil"/>
              <w:bottom w:val="nil"/>
              <w:right w:val="nil"/>
            </w:tcBorders>
            <w:shd w:val="clear" w:color="auto" w:fill="auto"/>
            <w:noWrap/>
            <w:vAlign w:val="bottom"/>
            <w:hideMark/>
          </w:tcPr>
          <w:p w14:paraId="4BAA8C4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-0.927**</w:t>
            </w:r>
          </w:p>
        </w:tc>
        <w:tc>
          <w:tcPr>
            <w:tcW w:w="1085" w:type="dxa"/>
            <w:tcBorders>
              <w:top w:val="nil"/>
              <w:left w:val="nil"/>
              <w:bottom w:val="nil"/>
              <w:right w:val="nil"/>
            </w:tcBorders>
            <w:shd w:val="clear" w:color="auto" w:fill="auto"/>
            <w:noWrap/>
            <w:vAlign w:val="bottom"/>
            <w:hideMark/>
          </w:tcPr>
          <w:p w14:paraId="68D576C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-0.637*</w:t>
            </w:r>
          </w:p>
        </w:tc>
        <w:tc>
          <w:tcPr>
            <w:tcW w:w="919" w:type="dxa"/>
            <w:tcBorders>
              <w:top w:val="nil"/>
              <w:left w:val="nil"/>
              <w:bottom w:val="nil"/>
              <w:right w:val="nil"/>
            </w:tcBorders>
            <w:shd w:val="clear" w:color="auto" w:fill="auto"/>
            <w:noWrap/>
            <w:vAlign w:val="bottom"/>
            <w:hideMark/>
          </w:tcPr>
          <w:p w14:paraId="603BC14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11.648*</w:t>
            </w:r>
          </w:p>
        </w:tc>
        <w:tc>
          <w:tcPr>
            <w:tcW w:w="1743" w:type="dxa"/>
            <w:tcBorders>
              <w:top w:val="nil"/>
              <w:left w:val="nil"/>
              <w:bottom w:val="nil"/>
              <w:right w:val="nil"/>
            </w:tcBorders>
            <w:shd w:val="clear" w:color="auto" w:fill="auto"/>
            <w:noWrap/>
            <w:vAlign w:val="bottom"/>
            <w:hideMark/>
          </w:tcPr>
          <w:p w14:paraId="6F73D2E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-0.786</w:t>
            </w:r>
          </w:p>
        </w:tc>
        <w:tc>
          <w:tcPr>
            <w:tcW w:w="1141" w:type="dxa"/>
            <w:tcBorders>
              <w:top w:val="nil"/>
              <w:left w:val="nil"/>
              <w:bottom w:val="nil"/>
              <w:right w:val="nil"/>
            </w:tcBorders>
            <w:shd w:val="clear" w:color="auto" w:fill="auto"/>
            <w:noWrap/>
            <w:vAlign w:val="bottom"/>
            <w:hideMark/>
          </w:tcPr>
          <w:p w14:paraId="496FEF7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-12.101***</w:t>
            </w:r>
          </w:p>
        </w:tc>
        <w:tc>
          <w:tcPr>
            <w:tcW w:w="1025" w:type="dxa"/>
            <w:tcBorders>
              <w:top w:val="nil"/>
              <w:left w:val="nil"/>
              <w:bottom w:val="nil"/>
              <w:right w:val="nil"/>
            </w:tcBorders>
            <w:shd w:val="clear" w:color="auto" w:fill="auto"/>
            <w:noWrap/>
            <w:vAlign w:val="bottom"/>
            <w:hideMark/>
          </w:tcPr>
          <w:p w14:paraId="66439880"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1.069</w:t>
            </w:r>
          </w:p>
        </w:tc>
        <w:tc>
          <w:tcPr>
            <w:tcW w:w="1093" w:type="dxa"/>
            <w:tcBorders>
              <w:top w:val="nil"/>
              <w:left w:val="nil"/>
              <w:bottom w:val="nil"/>
              <w:right w:val="nil"/>
            </w:tcBorders>
            <w:shd w:val="clear" w:color="auto" w:fill="auto"/>
            <w:noWrap/>
            <w:vAlign w:val="bottom"/>
            <w:hideMark/>
          </w:tcPr>
          <w:p w14:paraId="4A3E5DA3"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-3.694**</w:t>
            </w:r>
          </w:p>
        </w:tc>
      </w:tr>
      <w:tr w:rsidR="00086E4A" w:rsidRPr="00C82EE1" w14:paraId="2B5334EC"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37AA076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1052" w:type="dxa"/>
            <w:tcBorders>
              <w:top w:val="nil"/>
              <w:left w:val="nil"/>
              <w:bottom w:val="nil"/>
              <w:right w:val="nil"/>
            </w:tcBorders>
            <w:shd w:val="clear" w:color="auto" w:fill="auto"/>
            <w:noWrap/>
            <w:vAlign w:val="bottom"/>
            <w:hideMark/>
          </w:tcPr>
          <w:p w14:paraId="10EBF496"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(0.466)</w:t>
            </w:r>
          </w:p>
        </w:tc>
        <w:tc>
          <w:tcPr>
            <w:tcW w:w="1085" w:type="dxa"/>
            <w:tcBorders>
              <w:top w:val="nil"/>
              <w:left w:val="nil"/>
              <w:bottom w:val="nil"/>
              <w:right w:val="nil"/>
            </w:tcBorders>
            <w:shd w:val="clear" w:color="auto" w:fill="auto"/>
            <w:noWrap/>
            <w:vAlign w:val="bottom"/>
            <w:hideMark/>
          </w:tcPr>
          <w:p w14:paraId="4712C801"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(0.331)</w:t>
            </w:r>
          </w:p>
        </w:tc>
        <w:tc>
          <w:tcPr>
            <w:tcW w:w="919" w:type="dxa"/>
            <w:tcBorders>
              <w:top w:val="nil"/>
              <w:left w:val="nil"/>
              <w:bottom w:val="nil"/>
              <w:right w:val="nil"/>
            </w:tcBorders>
            <w:shd w:val="clear" w:color="auto" w:fill="auto"/>
            <w:noWrap/>
            <w:vAlign w:val="bottom"/>
            <w:hideMark/>
          </w:tcPr>
          <w:p w14:paraId="368F99F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(6.196)</w:t>
            </w:r>
          </w:p>
        </w:tc>
        <w:tc>
          <w:tcPr>
            <w:tcW w:w="1743" w:type="dxa"/>
            <w:tcBorders>
              <w:top w:val="nil"/>
              <w:left w:val="nil"/>
              <w:bottom w:val="nil"/>
              <w:right w:val="nil"/>
            </w:tcBorders>
            <w:shd w:val="clear" w:color="auto" w:fill="auto"/>
            <w:noWrap/>
            <w:vAlign w:val="bottom"/>
            <w:hideMark/>
          </w:tcPr>
          <w:p w14:paraId="3E127D23"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(1.921)</w:t>
            </w:r>
          </w:p>
        </w:tc>
        <w:tc>
          <w:tcPr>
            <w:tcW w:w="1141" w:type="dxa"/>
            <w:tcBorders>
              <w:top w:val="nil"/>
              <w:left w:val="nil"/>
              <w:bottom w:val="nil"/>
              <w:right w:val="nil"/>
            </w:tcBorders>
            <w:shd w:val="clear" w:color="auto" w:fill="auto"/>
            <w:noWrap/>
            <w:vAlign w:val="bottom"/>
            <w:hideMark/>
          </w:tcPr>
          <w:p w14:paraId="66576A79"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(2.275)</w:t>
            </w:r>
          </w:p>
        </w:tc>
        <w:tc>
          <w:tcPr>
            <w:tcW w:w="1025" w:type="dxa"/>
            <w:tcBorders>
              <w:top w:val="nil"/>
              <w:left w:val="nil"/>
              <w:bottom w:val="nil"/>
              <w:right w:val="nil"/>
            </w:tcBorders>
            <w:shd w:val="clear" w:color="auto" w:fill="auto"/>
            <w:noWrap/>
            <w:vAlign w:val="bottom"/>
            <w:hideMark/>
          </w:tcPr>
          <w:p w14:paraId="429C9E17"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(1.191)</w:t>
            </w:r>
          </w:p>
        </w:tc>
        <w:tc>
          <w:tcPr>
            <w:tcW w:w="1093" w:type="dxa"/>
            <w:tcBorders>
              <w:top w:val="nil"/>
              <w:left w:val="nil"/>
              <w:bottom w:val="nil"/>
              <w:right w:val="nil"/>
            </w:tcBorders>
            <w:shd w:val="clear" w:color="auto" w:fill="auto"/>
            <w:noWrap/>
            <w:vAlign w:val="bottom"/>
            <w:hideMark/>
          </w:tcPr>
          <w:p w14:paraId="0D69B50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(1.811)</w:t>
            </w:r>
          </w:p>
        </w:tc>
      </w:tr>
      <w:tr w:rsidR="00086E4A" w:rsidRPr="00C82EE1" w14:paraId="11BE5DC9"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322217FA"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LC</w:t>
            </w:r>
          </w:p>
        </w:tc>
        <w:tc>
          <w:tcPr>
            <w:tcW w:w="1052" w:type="dxa"/>
            <w:tcBorders>
              <w:top w:val="nil"/>
              <w:left w:val="nil"/>
              <w:bottom w:val="nil"/>
              <w:right w:val="nil"/>
            </w:tcBorders>
            <w:shd w:val="clear" w:color="auto" w:fill="auto"/>
            <w:noWrap/>
            <w:vAlign w:val="bottom"/>
            <w:hideMark/>
          </w:tcPr>
          <w:p w14:paraId="60FEAE4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0.021*</w:t>
            </w:r>
          </w:p>
        </w:tc>
        <w:tc>
          <w:tcPr>
            <w:tcW w:w="1085" w:type="dxa"/>
            <w:tcBorders>
              <w:top w:val="nil"/>
              <w:left w:val="nil"/>
              <w:bottom w:val="nil"/>
              <w:right w:val="nil"/>
            </w:tcBorders>
            <w:shd w:val="clear" w:color="auto" w:fill="auto"/>
            <w:noWrap/>
            <w:vAlign w:val="bottom"/>
            <w:hideMark/>
          </w:tcPr>
          <w:p w14:paraId="2570DF8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0.008*</w:t>
            </w:r>
          </w:p>
        </w:tc>
        <w:tc>
          <w:tcPr>
            <w:tcW w:w="919" w:type="dxa"/>
            <w:tcBorders>
              <w:top w:val="nil"/>
              <w:left w:val="nil"/>
              <w:bottom w:val="nil"/>
              <w:right w:val="nil"/>
            </w:tcBorders>
            <w:shd w:val="clear" w:color="auto" w:fill="auto"/>
            <w:noWrap/>
            <w:vAlign w:val="bottom"/>
            <w:hideMark/>
          </w:tcPr>
          <w:p w14:paraId="763C93B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0.147*</w:t>
            </w:r>
          </w:p>
        </w:tc>
        <w:tc>
          <w:tcPr>
            <w:tcW w:w="1743" w:type="dxa"/>
            <w:tcBorders>
              <w:top w:val="nil"/>
              <w:left w:val="nil"/>
              <w:bottom w:val="nil"/>
              <w:right w:val="nil"/>
            </w:tcBorders>
            <w:shd w:val="clear" w:color="auto" w:fill="auto"/>
            <w:noWrap/>
            <w:vAlign w:val="bottom"/>
            <w:hideMark/>
          </w:tcPr>
          <w:p w14:paraId="0CFC9500"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0.047**</w:t>
            </w:r>
          </w:p>
        </w:tc>
        <w:tc>
          <w:tcPr>
            <w:tcW w:w="1141" w:type="dxa"/>
            <w:tcBorders>
              <w:top w:val="nil"/>
              <w:left w:val="nil"/>
              <w:bottom w:val="nil"/>
              <w:right w:val="nil"/>
            </w:tcBorders>
            <w:shd w:val="clear" w:color="auto" w:fill="auto"/>
            <w:noWrap/>
            <w:vAlign w:val="bottom"/>
            <w:hideMark/>
          </w:tcPr>
          <w:p w14:paraId="50ECE4A9"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-0.137**</w:t>
            </w:r>
          </w:p>
        </w:tc>
        <w:tc>
          <w:tcPr>
            <w:tcW w:w="1025" w:type="dxa"/>
            <w:tcBorders>
              <w:top w:val="nil"/>
              <w:left w:val="nil"/>
              <w:bottom w:val="nil"/>
              <w:right w:val="nil"/>
            </w:tcBorders>
            <w:shd w:val="clear" w:color="auto" w:fill="auto"/>
            <w:noWrap/>
            <w:vAlign w:val="bottom"/>
            <w:hideMark/>
          </w:tcPr>
          <w:p w14:paraId="2B0D020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-0.007</w:t>
            </w:r>
          </w:p>
        </w:tc>
        <w:tc>
          <w:tcPr>
            <w:tcW w:w="1093" w:type="dxa"/>
            <w:tcBorders>
              <w:top w:val="nil"/>
              <w:left w:val="nil"/>
              <w:bottom w:val="nil"/>
              <w:right w:val="nil"/>
            </w:tcBorders>
            <w:shd w:val="clear" w:color="auto" w:fill="auto"/>
            <w:noWrap/>
            <w:vAlign w:val="bottom"/>
            <w:hideMark/>
          </w:tcPr>
          <w:p w14:paraId="2D14CB0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-0.028</w:t>
            </w:r>
          </w:p>
        </w:tc>
      </w:tr>
      <w:tr w:rsidR="00086E4A" w:rsidRPr="00C82EE1" w14:paraId="209CF384"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4F209400"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1052" w:type="dxa"/>
            <w:tcBorders>
              <w:top w:val="nil"/>
              <w:left w:val="nil"/>
              <w:bottom w:val="nil"/>
              <w:right w:val="nil"/>
            </w:tcBorders>
            <w:shd w:val="clear" w:color="auto" w:fill="auto"/>
            <w:noWrap/>
            <w:vAlign w:val="bottom"/>
            <w:hideMark/>
          </w:tcPr>
          <w:p w14:paraId="2FDAB5B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(0.011)</w:t>
            </w:r>
          </w:p>
        </w:tc>
        <w:tc>
          <w:tcPr>
            <w:tcW w:w="1085" w:type="dxa"/>
            <w:tcBorders>
              <w:top w:val="nil"/>
              <w:left w:val="nil"/>
              <w:bottom w:val="nil"/>
              <w:right w:val="nil"/>
            </w:tcBorders>
            <w:shd w:val="clear" w:color="auto" w:fill="auto"/>
            <w:noWrap/>
            <w:vAlign w:val="bottom"/>
            <w:hideMark/>
          </w:tcPr>
          <w:p w14:paraId="747B0985"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(0.004)</w:t>
            </w:r>
          </w:p>
        </w:tc>
        <w:tc>
          <w:tcPr>
            <w:tcW w:w="919" w:type="dxa"/>
            <w:tcBorders>
              <w:top w:val="nil"/>
              <w:left w:val="nil"/>
              <w:bottom w:val="nil"/>
              <w:right w:val="nil"/>
            </w:tcBorders>
            <w:shd w:val="clear" w:color="auto" w:fill="auto"/>
            <w:noWrap/>
            <w:vAlign w:val="bottom"/>
            <w:hideMark/>
          </w:tcPr>
          <w:p w14:paraId="2F2928C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(0.081)</w:t>
            </w:r>
          </w:p>
        </w:tc>
        <w:tc>
          <w:tcPr>
            <w:tcW w:w="1743" w:type="dxa"/>
            <w:tcBorders>
              <w:top w:val="nil"/>
              <w:left w:val="nil"/>
              <w:bottom w:val="nil"/>
              <w:right w:val="nil"/>
            </w:tcBorders>
            <w:shd w:val="clear" w:color="auto" w:fill="auto"/>
            <w:noWrap/>
            <w:vAlign w:val="bottom"/>
            <w:hideMark/>
          </w:tcPr>
          <w:p w14:paraId="590F397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(0.024)</w:t>
            </w:r>
          </w:p>
        </w:tc>
        <w:tc>
          <w:tcPr>
            <w:tcW w:w="1141" w:type="dxa"/>
            <w:tcBorders>
              <w:top w:val="nil"/>
              <w:left w:val="nil"/>
              <w:bottom w:val="nil"/>
              <w:right w:val="nil"/>
            </w:tcBorders>
            <w:shd w:val="clear" w:color="auto" w:fill="auto"/>
            <w:noWrap/>
            <w:vAlign w:val="bottom"/>
            <w:hideMark/>
          </w:tcPr>
          <w:p w14:paraId="381D0AF0"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(0.067)</w:t>
            </w:r>
          </w:p>
        </w:tc>
        <w:tc>
          <w:tcPr>
            <w:tcW w:w="1025" w:type="dxa"/>
            <w:tcBorders>
              <w:top w:val="nil"/>
              <w:left w:val="nil"/>
              <w:bottom w:val="nil"/>
              <w:right w:val="nil"/>
            </w:tcBorders>
            <w:shd w:val="clear" w:color="auto" w:fill="auto"/>
            <w:noWrap/>
            <w:vAlign w:val="bottom"/>
            <w:hideMark/>
          </w:tcPr>
          <w:p w14:paraId="4D395834"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(0.008)</w:t>
            </w:r>
          </w:p>
        </w:tc>
        <w:tc>
          <w:tcPr>
            <w:tcW w:w="1093" w:type="dxa"/>
            <w:tcBorders>
              <w:top w:val="nil"/>
              <w:left w:val="nil"/>
              <w:bottom w:val="nil"/>
              <w:right w:val="nil"/>
            </w:tcBorders>
            <w:shd w:val="clear" w:color="auto" w:fill="auto"/>
            <w:noWrap/>
            <w:vAlign w:val="bottom"/>
            <w:hideMark/>
          </w:tcPr>
          <w:p w14:paraId="2BF99384"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(0.027)</w:t>
            </w:r>
          </w:p>
        </w:tc>
      </w:tr>
      <w:tr w:rsidR="00086E4A" w:rsidRPr="00C82EE1" w14:paraId="3C2650C8"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4036CA26"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Controls</w:t>
            </w:r>
          </w:p>
        </w:tc>
        <w:tc>
          <w:tcPr>
            <w:tcW w:w="1052" w:type="dxa"/>
            <w:tcBorders>
              <w:top w:val="nil"/>
              <w:left w:val="nil"/>
              <w:bottom w:val="nil"/>
              <w:right w:val="nil"/>
            </w:tcBorders>
            <w:shd w:val="clear" w:color="auto" w:fill="auto"/>
            <w:noWrap/>
            <w:vAlign w:val="bottom"/>
            <w:hideMark/>
          </w:tcPr>
          <w:p w14:paraId="10F5DA51"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85" w:type="dxa"/>
            <w:tcBorders>
              <w:top w:val="nil"/>
              <w:left w:val="nil"/>
              <w:bottom w:val="nil"/>
              <w:right w:val="nil"/>
            </w:tcBorders>
            <w:shd w:val="clear" w:color="auto" w:fill="auto"/>
            <w:noWrap/>
            <w:vAlign w:val="bottom"/>
            <w:hideMark/>
          </w:tcPr>
          <w:p w14:paraId="42C505F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919" w:type="dxa"/>
            <w:tcBorders>
              <w:top w:val="nil"/>
              <w:left w:val="nil"/>
              <w:bottom w:val="nil"/>
              <w:right w:val="nil"/>
            </w:tcBorders>
            <w:shd w:val="clear" w:color="auto" w:fill="auto"/>
            <w:noWrap/>
            <w:vAlign w:val="bottom"/>
            <w:hideMark/>
          </w:tcPr>
          <w:p w14:paraId="1B833CA3"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743" w:type="dxa"/>
            <w:tcBorders>
              <w:top w:val="nil"/>
              <w:left w:val="nil"/>
              <w:bottom w:val="nil"/>
              <w:right w:val="nil"/>
            </w:tcBorders>
            <w:shd w:val="clear" w:color="auto" w:fill="auto"/>
            <w:noWrap/>
            <w:vAlign w:val="bottom"/>
            <w:hideMark/>
          </w:tcPr>
          <w:p w14:paraId="14B9F383"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141" w:type="dxa"/>
            <w:tcBorders>
              <w:top w:val="nil"/>
              <w:left w:val="nil"/>
              <w:bottom w:val="nil"/>
              <w:right w:val="nil"/>
            </w:tcBorders>
            <w:shd w:val="clear" w:color="auto" w:fill="auto"/>
            <w:noWrap/>
            <w:vAlign w:val="bottom"/>
            <w:hideMark/>
          </w:tcPr>
          <w:p w14:paraId="3CBFA834"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25" w:type="dxa"/>
            <w:tcBorders>
              <w:top w:val="nil"/>
              <w:left w:val="nil"/>
              <w:bottom w:val="nil"/>
              <w:right w:val="nil"/>
            </w:tcBorders>
            <w:shd w:val="clear" w:color="auto" w:fill="auto"/>
            <w:noWrap/>
            <w:vAlign w:val="bottom"/>
            <w:hideMark/>
          </w:tcPr>
          <w:p w14:paraId="1FA4B4E6"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93" w:type="dxa"/>
            <w:tcBorders>
              <w:top w:val="nil"/>
              <w:left w:val="nil"/>
              <w:bottom w:val="nil"/>
              <w:right w:val="nil"/>
            </w:tcBorders>
            <w:shd w:val="clear" w:color="auto" w:fill="auto"/>
            <w:noWrap/>
            <w:vAlign w:val="bottom"/>
            <w:hideMark/>
          </w:tcPr>
          <w:p w14:paraId="0CBCA583"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r>
      <w:tr w:rsidR="00086E4A" w:rsidRPr="00C82EE1" w14:paraId="26AADAF6"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24F5D95B"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Region fixed effect</w:t>
            </w:r>
          </w:p>
        </w:tc>
        <w:tc>
          <w:tcPr>
            <w:tcW w:w="1052" w:type="dxa"/>
            <w:tcBorders>
              <w:top w:val="nil"/>
              <w:left w:val="nil"/>
              <w:bottom w:val="nil"/>
              <w:right w:val="nil"/>
            </w:tcBorders>
            <w:shd w:val="clear" w:color="auto" w:fill="auto"/>
            <w:noWrap/>
            <w:vAlign w:val="bottom"/>
            <w:hideMark/>
          </w:tcPr>
          <w:p w14:paraId="06A04397"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85" w:type="dxa"/>
            <w:tcBorders>
              <w:top w:val="nil"/>
              <w:left w:val="nil"/>
              <w:bottom w:val="nil"/>
              <w:right w:val="nil"/>
            </w:tcBorders>
            <w:shd w:val="clear" w:color="auto" w:fill="auto"/>
            <w:noWrap/>
            <w:vAlign w:val="bottom"/>
            <w:hideMark/>
          </w:tcPr>
          <w:p w14:paraId="4D4DAEE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919" w:type="dxa"/>
            <w:tcBorders>
              <w:top w:val="nil"/>
              <w:left w:val="nil"/>
              <w:bottom w:val="nil"/>
              <w:right w:val="nil"/>
            </w:tcBorders>
            <w:shd w:val="clear" w:color="auto" w:fill="auto"/>
            <w:noWrap/>
            <w:vAlign w:val="bottom"/>
            <w:hideMark/>
          </w:tcPr>
          <w:p w14:paraId="383CA75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743" w:type="dxa"/>
            <w:tcBorders>
              <w:top w:val="nil"/>
              <w:left w:val="nil"/>
              <w:bottom w:val="nil"/>
              <w:right w:val="nil"/>
            </w:tcBorders>
            <w:shd w:val="clear" w:color="auto" w:fill="auto"/>
            <w:noWrap/>
            <w:vAlign w:val="bottom"/>
            <w:hideMark/>
          </w:tcPr>
          <w:p w14:paraId="09ECAE5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141" w:type="dxa"/>
            <w:tcBorders>
              <w:top w:val="nil"/>
              <w:left w:val="nil"/>
              <w:bottom w:val="nil"/>
              <w:right w:val="nil"/>
            </w:tcBorders>
            <w:shd w:val="clear" w:color="auto" w:fill="auto"/>
            <w:noWrap/>
            <w:vAlign w:val="bottom"/>
            <w:hideMark/>
          </w:tcPr>
          <w:p w14:paraId="57EA05F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25" w:type="dxa"/>
            <w:tcBorders>
              <w:top w:val="nil"/>
              <w:left w:val="nil"/>
              <w:bottom w:val="nil"/>
              <w:right w:val="nil"/>
            </w:tcBorders>
            <w:shd w:val="clear" w:color="auto" w:fill="auto"/>
            <w:noWrap/>
            <w:vAlign w:val="bottom"/>
            <w:hideMark/>
          </w:tcPr>
          <w:p w14:paraId="47F4C3C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93" w:type="dxa"/>
            <w:tcBorders>
              <w:top w:val="nil"/>
              <w:left w:val="nil"/>
              <w:bottom w:val="nil"/>
              <w:right w:val="nil"/>
            </w:tcBorders>
            <w:shd w:val="clear" w:color="auto" w:fill="auto"/>
            <w:noWrap/>
            <w:vAlign w:val="bottom"/>
            <w:hideMark/>
          </w:tcPr>
          <w:p w14:paraId="14088A35"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r>
      <w:tr w:rsidR="00086E4A" w:rsidRPr="00C82EE1" w14:paraId="1F75D053"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039EE2B1"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Year-Quarter fixed effect</w:t>
            </w:r>
          </w:p>
        </w:tc>
        <w:tc>
          <w:tcPr>
            <w:tcW w:w="1052" w:type="dxa"/>
            <w:tcBorders>
              <w:top w:val="nil"/>
              <w:left w:val="nil"/>
              <w:bottom w:val="nil"/>
              <w:right w:val="nil"/>
            </w:tcBorders>
            <w:shd w:val="clear" w:color="auto" w:fill="auto"/>
            <w:noWrap/>
            <w:vAlign w:val="bottom"/>
            <w:hideMark/>
          </w:tcPr>
          <w:p w14:paraId="016B532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85" w:type="dxa"/>
            <w:tcBorders>
              <w:top w:val="nil"/>
              <w:left w:val="nil"/>
              <w:bottom w:val="nil"/>
              <w:right w:val="nil"/>
            </w:tcBorders>
            <w:shd w:val="clear" w:color="auto" w:fill="auto"/>
            <w:noWrap/>
            <w:vAlign w:val="bottom"/>
            <w:hideMark/>
          </w:tcPr>
          <w:p w14:paraId="0D62CC01"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919" w:type="dxa"/>
            <w:tcBorders>
              <w:top w:val="nil"/>
              <w:left w:val="nil"/>
              <w:bottom w:val="nil"/>
              <w:right w:val="nil"/>
            </w:tcBorders>
            <w:shd w:val="clear" w:color="auto" w:fill="auto"/>
            <w:noWrap/>
            <w:vAlign w:val="bottom"/>
            <w:hideMark/>
          </w:tcPr>
          <w:p w14:paraId="2238EFF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743" w:type="dxa"/>
            <w:tcBorders>
              <w:top w:val="nil"/>
              <w:left w:val="nil"/>
              <w:bottom w:val="nil"/>
              <w:right w:val="nil"/>
            </w:tcBorders>
            <w:shd w:val="clear" w:color="auto" w:fill="auto"/>
            <w:noWrap/>
            <w:vAlign w:val="bottom"/>
            <w:hideMark/>
          </w:tcPr>
          <w:p w14:paraId="7D5BE05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141" w:type="dxa"/>
            <w:tcBorders>
              <w:top w:val="nil"/>
              <w:left w:val="nil"/>
              <w:bottom w:val="nil"/>
              <w:right w:val="nil"/>
            </w:tcBorders>
            <w:shd w:val="clear" w:color="auto" w:fill="auto"/>
            <w:noWrap/>
            <w:vAlign w:val="bottom"/>
            <w:hideMark/>
          </w:tcPr>
          <w:p w14:paraId="48BB465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25" w:type="dxa"/>
            <w:tcBorders>
              <w:top w:val="nil"/>
              <w:left w:val="nil"/>
              <w:bottom w:val="nil"/>
              <w:right w:val="nil"/>
            </w:tcBorders>
            <w:shd w:val="clear" w:color="auto" w:fill="auto"/>
            <w:noWrap/>
            <w:vAlign w:val="bottom"/>
            <w:hideMark/>
          </w:tcPr>
          <w:p w14:paraId="53870F50"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93" w:type="dxa"/>
            <w:tcBorders>
              <w:top w:val="nil"/>
              <w:left w:val="nil"/>
              <w:bottom w:val="nil"/>
              <w:right w:val="nil"/>
            </w:tcBorders>
            <w:shd w:val="clear" w:color="auto" w:fill="auto"/>
            <w:noWrap/>
            <w:vAlign w:val="bottom"/>
            <w:hideMark/>
          </w:tcPr>
          <w:p w14:paraId="7F634C5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r>
      <w:tr w:rsidR="00086E4A" w:rsidRPr="00C82EE1" w14:paraId="06F28ECA" w14:textId="77777777" w:rsidTr="00086E4A">
        <w:trPr>
          <w:trHeight w:val="366"/>
          <w:jc w:val="center"/>
        </w:trPr>
        <w:tc>
          <w:tcPr>
            <w:tcW w:w="2372" w:type="dxa"/>
            <w:tcBorders>
              <w:top w:val="nil"/>
              <w:left w:val="nil"/>
              <w:bottom w:val="single" w:sz="4" w:space="0" w:color="auto"/>
              <w:right w:val="nil"/>
            </w:tcBorders>
            <w:shd w:val="clear" w:color="auto" w:fill="auto"/>
            <w:noWrap/>
            <w:vAlign w:val="bottom"/>
            <w:hideMark/>
          </w:tcPr>
          <w:p w14:paraId="05C5C4B7" w14:textId="77777777" w:rsidR="0093472B" w:rsidRPr="00C82EE1" w:rsidRDefault="0093472B" w:rsidP="00026FCB">
            <w:pPr>
              <w:spacing w:after="0" w:line="240" w:lineRule="auto"/>
              <w:jc w:val="both"/>
              <w:rPr>
                <w:rFonts w:ascii="Times New Roman" w:eastAsia="Times New Roman" w:hAnsi="Times New Roman" w:cs="Times New Roman"/>
                <w:i/>
                <w:iCs/>
                <w:color w:val="000000"/>
                <w:sz w:val="20"/>
              </w:rPr>
            </w:pPr>
            <w:r w:rsidRPr="00C82EE1">
              <w:rPr>
                <w:rFonts w:ascii="Times New Roman" w:eastAsia="Times New Roman" w:hAnsi="Times New Roman" w:cs="Times New Roman"/>
                <w:i/>
                <w:iCs/>
                <w:color w:val="000000"/>
                <w:sz w:val="20"/>
              </w:rPr>
              <w:t>Industry fixed effect</w:t>
            </w:r>
          </w:p>
        </w:tc>
        <w:tc>
          <w:tcPr>
            <w:tcW w:w="1052" w:type="dxa"/>
            <w:tcBorders>
              <w:top w:val="nil"/>
              <w:left w:val="nil"/>
              <w:bottom w:val="single" w:sz="4" w:space="0" w:color="auto"/>
              <w:right w:val="nil"/>
            </w:tcBorders>
            <w:shd w:val="clear" w:color="auto" w:fill="auto"/>
            <w:noWrap/>
            <w:vAlign w:val="bottom"/>
            <w:hideMark/>
          </w:tcPr>
          <w:p w14:paraId="0F185BA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85" w:type="dxa"/>
            <w:tcBorders>
              <w:top w:val="nil"/>
              <w:left w:val="nil"/>
              <w:bottom w:val="single" w:sz="4" w:space="0" w:color="auto"/>
              <w:right w:val="nil"/>
            </w:tcBorders>
            <w:shd w:val="clear" w:color="auto" w:fill="auto"/>
            <w:noWrap/>
            <w:vAlign w:val="bottom"/>
            <w:hideMark/>
          </w:tcPr>
          <w:p w14:paraId="3481C25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919" w:type="dxa"/>
            <w:tcBorders>
              <w:top w:val="nil"/>
              <w:left w:val="nil"/>
              <w:bottom w:val="single" w:sz="4" w:space="0" w:color="auto"/>
              <w:right w:val="nil"/>
            </w:tcBorders>
            <w:shd w:val="clear" w:color="auto" w:fill="auto"/>
            <w:noWrap/>
            <w:vAlign w:val="bottom"/>
            <w:hideMark/>
          </w:tcPr>
          <w:p w14:paraId="7109F3F9"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743" w:type="dxa"/>
            <w:tcBorders>
              <w:top w:val="nil"/>
              <w:left w:val="nil"/>
              <w:bottom w:val="single" w:sz="4" w:space="0" w:color="auto"/>
              <w:right w:val="nil"/>
            </w:tcBorders>
            <w:shd w:val="clear" w:color="auto" w:fill="auto"/>
            <w:noWrap/>
            <w:vAlign w:val="bottom"/>
            <w:hideMark/>
          </w:tcPr>
          <w:p w14:paraId="25E18C46"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141" w:type="dxa"/>
            <w:tcBorders>
              <w:top w:val="nil"/>
              <w:left w:val="nil"/>
              <w:bottom w:val="single" w:sz="4" w:space="0" w:color="auto"/>
              <w:right w:val="nil"/>
            </w:tcBorders>
            <w:shd w:val="clear" w:color="auto" w:fill="auto"/>
            <w:noWrap/>
            <w:vAlign w:val="bottom"/>
            <w:hideMark/>
          </w:tcPr>
          <w:p w14:paraId="58CF13C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25" w:type="dxa"/>
            <w:tcBorders>
              <w:top w:val="nil"/>
              <w:left w:val="nil"/>
              <w:bottom w:val="single" w:sz="4" w:space="0" w:color="auto"/>
              <w:right w:val="nil"/>
            </w:tcBorders>
            <w:shd w:val="clear" w:color="auto" w:fill="auto"/>
            <w:noWrap/>
            <w:vAlign w:val="bottom"/>
            <w:hideMark/>
          </w:tcPr>
          <w:p w14:paraId="1B37660F"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c>
          <w:tcPr>
            <w:tcW w:w="1093" w:type="dxa"/>
            <w:tcBorders>
              <w:top w:val="nil"/>
              <w:left w:val="nil"/>
              <w:bottom w:val="single" w:sz="4" w:space="0" w:color="auto"/>
              <w:right w:val="nil"/>
            </w:tcBorders>
            <w:shd w:val="clear" w:color="auto" w:fill="auto"/>
            <w:noWrap/>
            <w:vAlign w:val="bottom"/>
            <w:hideMark/>
          </w:tcPr>
          <w:p w14:paraId="375304F9"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Yes</w:t>
            </w:r>
          </w:p>
        </w:tc>
      </w:tr>
      <w:tr w:rsidR="00086E4A" w:rsidRPr="00C82EE1" w14:paraId="141C6961"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225C960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Observations</w:t>
            </w:r>
          </w:p>
        </w:tc>
        <w:tc>
          <w:tcPr>
            <w:tcW w:w="1052" w:type="dxa"/>
            <w:tcBorders>
              <w:top w:val="nil"/>
              <w:left w:val="nil"/>
              <w:bottom w:val="nil"/>
              <w:right w:val="nil"/>
            </w:tcBorders>
            <w:shd w:val="clear" w:color="auto" w:fill="auto"/>
            <w:noWrap/>
            <w:vAlign w:val="bottom"/>
            <w:hideMark/>
          </w:tcPr>
          <w:p w14:paraId="54F5532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248</w:t>
            </w:r>
          </w:p>
        </w:tc>
        <w:tc>
          <w:tcPr>
            <w:tcW w:w="1085" w:type="dxa"/>
            <w:tcBorders>
              <w:top w:val="nil"/>
              <w:left w:val="nil"/>
              <w:bottom w:val="nil"/>
              <w:right w:val="nil"/>
            </w:tcBorders>
            <w:shd w:val="clear" w:color="auto" w:fill="auto"/>
            <w:noWrap/>
            <w:vAlign w:val="bottom"/>
            <w:hideMark/>
          </w:tcPr>
          <w:p w14:paraId="6284D91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248</w:t>
            </w:r>
          </w:p>
        </w:tc>
        <w:tc>
          <w:tcPr>
            <w:tcW w:w="919" w:type="dxa"/>
            <w:tcBorders>
              <w:top w:val="nil"/>
              <w:left w:val="nil"/>
              <w:bottom w:val="nil"/>
              <w:right w:val="nil"/>
            </w:tcBorders>
            <w:shd w:val="clear" w:color="auto" w:fill="auto"/>
            <w:noWrap/>
            <w:vAlign w:val="bottom"/>
            <w:hideMark/>
          </w:tcPr>
          <w:p w14:paraId="1D89F95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292</w:t>
            </w:r>
          </w:p>
        </w:tc>
        <w:tc>
          <w:tcPr>
            <w:tcW w:w="1743" w:type="dxa"/>
            <w:tcBorders>
              <w:top w:val="nil"/>
              <w:left w:val="nil"/>
              <w:bottom w:val="nil"/>
              <w:right w:val="nil"/>
            </w:tcBorders>
            <w:shd w:val="clear" w:color="auto" w:fill="auto"/>
            <w:noWrap/>
            <w:vAlign w:val="bottom"/>
            <w:hideMark/>
          </w:tcPr>
          <w:p w14:paraId="513037B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292</w:t>
            </w:r>
          </w:p>
        </w:tc>
        <w:tc>
          <w:tcPr>
            <w:tcW w:w="1141" w:type="dxa"/>
            <w:tcBorders>
              <w:top w:val="nil"/>
              <w:left w:val="nil"/>
              <w:bottom w:val="nil"/>
              <w:right w:val="nil"/>
            </w:tcBorders>
            <w:shd w:val="clear" w:color="auto" w:fill="auto"/>
            <w:noWrap/>
            <w:vAlign w:val="bottom"/>
            <w:hideMark/>
          </w:tcPr>
          <w:p w14:paraId="41D6DDB2"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388</w:t>
            </w:r>
          </w:p>
        </w:tc>
        <w:tc>
          <w:tcPr>
            <w:tcW w:w="1025" w:type="dxa"/>
            <w:tcBorders>
              <w:top w:val="nil"/>
              <w:left w:val="nil"/>
              <w:bottom w:val="nil"/>
              <w:right w:val="nil"/>
            </w:tcBorders>
            <w:shd w:val="clear" w:color="auto" w:fill="auto"/>
            <w:noWrap/>
            <w:vAlign w:val="bottom"/>
            <w:hideMark/>
          </w:tcPr>
          <w:p w14:paraId="6B03CA8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310</w:t>
            </w:r>
          </w:p>
        </w:tc>
        <w:tc>
          <w:tcPr>
            <w:tcW w:w="1093" w:type="dxa"/>
            <w:tcBorders>
              <w:top w:val="nil"/>
              <w:left w:val="nil"/>
              <w:bottom w:val="nil"/>
              <w:right w:val="nil"/>
            </w:tcBorders>
            <w:shd w:val="clear" w:color="auto" w:fill="auto"/>
            <w:noWrap/>
            <w:vAlign w:val="bottom"/>
            <w:hideMark/>
          </w:tcPr>
          <w:p w14:paraId="0B7EA213"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1,202</w:t>
            </w:r>
          </w:p>
        </w:tc>
      </w:tr>
      <w:tr w:rsidR="00086E4A" w:rsidRPr="00C82EE1" w14:paraId="3F08DD0E"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210363B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Adjusted R2</w:t>
            </w:r>
          </w:p>
        </w:tc>
        <w:tc>
          <w:tcPr>
            <w:tcW w:w="1052" w:type="dxa"/>
            <w:tcBorders>
              <w:top w:val="nil"/>
              <w:left w:val="nil"/>
              <w:bottom w:val="nil"/>
              <w:right w:val="nil"/>
            </w:tcBorders>
            <w:shd w:val="clear" w:color="auto" w:fill="auto"/>
            <w:noWrap/>
            <w:vAlign w:val="bottom"/>
            <w:hideMark/>
          </w:tcPr>
          <w:p w14:paraId="1A1617AA"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0.033</w:t>
            </w:r>
          </w:p>
        </w:tc>
        <w:tc>
          <w:tcPr>
            <w:tcW w:w="1085" w:type="dxa"/>
            <w:tcBorders>
              <w:top w:val="nil"/>
              <w:left w:val="nil"/>
              <w:bottom w:val="nil"/>
              <w:right w:val="nil"/>
            </w:tcBorders>
            <w:shd w:val="clear" w:color="auto" w:fill="auto"/>
            <w:noWrap/>
            <w:vAlign w:val="bottom"/>
            <w:hideMark/>
          </w:tcPr>
          <w:p w14:paraId="5C968B9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919" w:type="dxa"/>
            <w:tcBorders>
              <w:top w:val="nil"/>
              <w:left w:val="nil"/>
              <w:bottom w:val="nil"/>
              <w:right w:val="nil"/>
            </w:tcBorders>
            <w:shd w:val="clear" w:color="auto" w:fill="auto"/>
            <w:noWrap/>
            <w:vAlign w:val="bottom"/>
            <w:hideMark/>
          </w:tcPr>
          <w:p w14:paraId="167691A7"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0.103</w:t>
            </w:r>
          </w:p>
        </w:tc>
        <w:tc>
          <w:tcPr>
            <w:tcW w:w="1743" w:type="dxa"/>
            <w:tcBorders>
              <w:top w:val="nil"/>
              <w:left w:val="nil"/>
              <w:bottom w:val="nil"/>
              <w:right w:val="nil"/>
            </w:tcBorders>
            <w:shd w:val="clear" w:color="auto" w:fill="auto"/>
            <w:noWrap/>
            <w:vAlign w:val="bottom"/>
            <w:hideMark/>
          </w:tcPr>
          <w:p w14:paraId="5DBE6D10"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1141" w:type="dxa"/>
            <w:tcBorders>
              <w:top w:val="nil"/>
              <w:left w:val="nil"/>
              <w:bottom w:val="nil"/>
              <w:right w:val="nil"/>
            </w:tcBorders>
            <w:shd w:val="clear" w:color="auto" w:fill="auto"/>
            <w:noWrap/>
            <w:vAlign w:val="bottom"/>
            <w:hideMark/>
          </w:tcPr>
          <w:p w14:paraId="6D6ADDE5" w14:textId="77777777" w:rsidR="0093472B" w:rsidRPr="00C82EE1" w:rsidRDefault="0093472B" w:rsidP="00026FCB">
            <w:pPr>
              <w:spacing w:after="0" w:line="240" w:lineRule="auto"/>
              <w:jc w:val="both"/>
              <w:rPr>
                <w:rFonts w:ascii="Times New Roman" w:eastAsia="Times New Roman" w:hAnsi="Times New Roman" w:cs="Times New Roman"/>
                <w:sz w:val="20"/>
              </w:rPr>
            </w:pPr>
          </w:p>
        </w:tc>
        <w:tc>
          <w:tcPr>
            <w:tcW w:w="1025" w:type="dxa"/>
            <w:tcBorders>
              <w:top w:val="nil"/>
              <w:left w:val="nil"/>
              <w:bottom w:val="nil"/>
              <w:right w:val="nil"/>
            </w:tcBorders>
            <w:shd w:val="clear" w:color="auto" w:fill="auto"/>
            <w:noWrap/>
            <w:vAlign w:val="bottom"/>
            <w:hideMark/>
          </w:tcPr>
          <w:p w14:paraId="37CF874A"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0.078</w:t>
            </w:r>
          </w:p>
        </w:tc>
        <w:tc>
          <w:tcPr>
            <w:tcW w:w="1093" w:type="dxa"/>
            <w:tcBorders>
              <w:top w:val="nil"/>
              <w:left w:val="nil"/>
              <w:bottom w:val="nil"/>
              <w:right w:val="nil"/>
            </w:tcBorders>
            <w:shd w:val="clear" w:color="auto" w:fill="auto"/>
            <w:noWrap/>
            <w:vAlign w:val="bottom"/>
            <w:hideMark/>
          </w:tcPr>
          <w:p w14:paraId="2F85E75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r>
      <w:tr w:rsidR="00086E4A" w:rsidRPr="00C82EE1" w14:paraId="241341C9"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521543DE"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Log Likelihood</w:t>
            </w:r>
          </w:p>
        </w:tc>
        <w:tc>
          <w:tcPr>
            <w:tcW w:w="1052" w:type="dxa"/>
            <w:tcBorders>
              <w:top w:val="nil"/>
              <w:left w:val="nil"/>
              <w:bottom w:val="nil"/>
              <w:right w:val="nil"/>
            </w:tcBorders>
            <w:shd w:val="clear" w:color="auto" w:fill="auto"/>
            <w:noWrap/>
            <w:vAlign w:val="bottom"/>
            <w:hideMark/>
          </w:tcPr>
          <w:p w14:paraId="14D97710"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1085" w:type="dxa"/>
            <w:tcBorders>
              <w:top w:val="nil"/>
              <w:left w:val="nil"/>
              <w:bottom w:val="nil"/>
              <w:right w:val="nil"/>
            </w:tcBorders>
            <w:shd w:val="clear" w:color="auto" w:fill="auto"/>
            <w:noWrap/>
            <w:vAlign w:val="bottom"/>
            <w:hideMark/>
          </w:tcPr>
          <w:p w14:paraId="75B96B5D" w14:textId="77777777" w:rsidR="0093472B" w:rsidRPr="00C82EE1" w:rsidRDefault="0093472B" w:rsidP="00026FCB">
            <w:pPr>
              <w:spacing w:after="0" w:line="240" w:lineRule="auto"/>
              <w:jc w:val="both"/>
              <w:rPr>
                <w:rFonts w:ascii="Times New Roman" w:eastAsia="Times New Roman" w:hAnsi="Times New Roman" w:cs="Times New Roman"/>
                <w:sz w:val="20"/>
              </w:rPr>
            </w:pPr>
          </w:p>
        </w:tc>
        <w:tc>
          <w:tcPr>
            <w:tcW w:w="919" w:type="dxa"/>
            <w:tcBorders>
              <w:top w:val="nil"/>
              <w:left w:val="nil"/>
              <w:bottom w:val="nil"/>
              <w:right w:val="nil"/>
            </w:tcBorders>
            <w:shd w:val="clear" w:color="auto" w:fill="auto"/>
            <w:noWrap/>
            <w:vAlign w:val="bottom"/>
            <w:hideMark/>
          </w:tcPr>
          <w:p w14:paraId="6558C4B8" w14:textId="77777777" w:rsidR="0093472B" w:rsidRPr="00C82EE1" w:rsidRDefault="0093472B" w:rsidP="00026FCB">
            <w:pPr>
              <w:spacing w:after="0" w:line="240" w:lineRule="auto"/>
              <w:jc w:val="both"/>
              <w:rPr>
                <w:rFonts w:ascii="Times New Roman" w:eastAsia="Times New Roman" w:hAnsi="Times New Roman" w:cs="Times New Roman"/>
                <w:sz w:val="20"/>
              </w:rPr>
            </w:pPr>
          </w:p>
        </w:tc>
        <w:tc>
          <w:tcPr>
            <w:tcW w:w="1743" w:type="dxa"/>
            <w:tcBorders>
              <w:top w:val="nil"/>
              <w:left w:val="nil"/>
              <w:bottom w:val="nil"/>
              <w:right w:val="nil"/>
            </w:tcBorders>
            <w:shd w:val="clear" w:color="auto" w:fill="auto"/>
            <w:noWrap/>
            <w:vAlign w:val="bottom"/>
            <w:hideMark/>
          </w:tcPr>
          <w:p w14:paraId="197FC374" w14:textId="77777777" w:rsidR="0093472B" w:rsidRPr="00C82EE1" w:rsidRDefault="0093472B" w:rsidP="00026FCB">
            <w:pPr>
              <w:spacing w:after="0" w:line="240" w:lineRule="auto"/>
              <w:jc w:val="both"/>
              <w:rPr>
                <w:rFonts w:ascii="Times New Roman" w:eastAsia="Times New Roman" w:hAnsi="Times New Roman" w:cs="Times New Roman"/>
                <w:sz w:val="20"/>
              </w:rPr>
            </w:pPr>
          </w:p>
        </w:tc>
        <w:tc>
          <w:tcPr>
            <w:tcW w:w="1141" w:type="dxa"/>
            <w:tcBorders>
              <w:top w:val="nil"/>
              <w:left w:val="nil"/>
              <w:bottom w:val="nil"/>
              <w:right w:val="nil"/>
            </w:tcBorders>
            <w:shd w:val="clear" w:color="auto" w:fill="auto"/>
            <w:noWrap/>
            <w:vAlign w:val="bottom"/>
            <w:hideMark/>
          </w:tcPr>
          <w:p w14:paraId="5579EF3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-209.696</w:t>
            </w:r>
          </w:p>
        </w:tc>
        <w:tc>
          <w:tcPr>
            <w:tcW w:w="1025" w:type="dxa"/>
            <w:tcBorders>
              <w:top w:val="nil"/>
              <w:left w:val="nil"/>
              <w:bottom w:val="nil"/>
              <w:right w:val="nil"/>
            </w:tcBorders>
            <w:shd w:val="clear" w:color="auto" w:fill="auto"/>
            <w:noWrap/>
            <w:vAlign w:val="bottom"/>
            <w:hideMark/>
          </w:tcPr>
          <w:p w14:paraId="41DBD68B"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1093" w:type="dxa"/>
            <w:tcBorders>
              <w:top w:val="nil"/>
              <w:left w:val="nil"/>
              <w:bottom w:val="nil"/>
              <w:right w:val="nil"/>
            </w:tcBorders>
            <w:shd w:val="clear" w:color="auto" w:fill="auto"/>
            <w:noWrap/>
            <w:vAlign w:val="bottom"/>
            <w:hideMark/>
          </w:tcPr>
          <w:p w14:paraId="29C2751A"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-690.962</w:t>
            </w:r>
          </w:p>
        </w:tc>
      </w:tr>
      <w:tr w:rsidR="00086E4A" w:rsidRPr="00C82EE1" w14:paraId="41BF09E7" w14:textId="77777777" w:rsidTr="00086E4A">
        <w:trPr>
          <w:trHeight w:val="366"/>
          <w:jc w:val="center"/>
        </w:trPr>
        <w:tc>
          <w:tcPr>
            <w:tcW w:w="2372" w:type="dxa"/>
            <w:tcBorders>
              <w:top w:val="nil"/>
              <w:left w:val="nil"/>
              <w:bottom w:val="nil"/>
              <w:right w:val="nil"/>
            </w:tcBorders>
            <w:shd w:val="clear" w:color="auto" w:fill="auto"/>
            <w:noWrap/>
            <w:vAlign w:val="bottom"/>
            <w:hideMark/>
          </w:tcPr>
          <w:p w14:paraId="11CF7F9C"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Akaike Inf. Crit.</w:t>
            </w:r>
          </w:p>
        </w:tc>
        <w:tc>
          <w:tcPr>
            <w:tcW w:w="1052" w:type="dxa"/>
            <w:tcBorders>
              <w:top w:val="nil"/>
              <w:left w:val="nil"/>
              <w:bottom w:val="nil"/>
              <w:right w:val="nil"/>
            </w:tcBorders>
            <w:shd w:val="clear" w:color="auto" w:fill="auto"/>
            <w:noWrap/>
            <w:vAlign w:val="bottom"/>
            <w:hideMark/>
          </w:tcPr>
          <w:p w14:paraId="605F3100"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1085" w:type="dxa"/>
            <w:tcBorders>
              <w:top w:val="nil"/>
              <w:left w:val="nil"/>
              <w:bottom w:val="nil"/>
              <w:right w:val="nil"/>
            </w:tcBorders>
            <w:shd w:val="clear" w:color="auto" w:fill="auto"/>
            <w:noWrap/>
            <w:vAlign w:val="bottom"/>
            <w:hideMark/>
          </w:tcPr>
          <w:p w14:paraId="3EE7C915" w14:textId="77777777" w:rsidR="0093472B" w:rsidRPr="00C82EE1" w:rsidRDefault="0093472B" w:rsidP="00026FCB">
            <w:pPr>
              <w:spacing w:after="0" w:line="240" w:lineRule="auto"/>
              <w:jc w:val="both"/>
              <w:rPr>
                <w:rFonts w:ascii="Times New Roman" w:eastAsia="Times New Roman" w:hAnsi="Times New Roman" w:cs="Times New Roman"/>
                <w:sz w:val="20"/>
              </w:rPr>
            </w:pPr>
          </w:p>
        </w:tc>
        <w:tc>
          <w:tcPr>
            <w:tcW w:w="919" w:type="dxa"/>
            <w:tcBorders>
              <w:top w:val="nil"/>
              <w:left w:val="nil"/>
              <w:bottom w:val="nil"/>
              <w:right w:val="nil"/>
            </w:tcBorders>
            <w:shd w:val="clear" w:color="auto" w:fill="auto"/>
            <w:noWrap/>
            <w:vAlign w:val="bottom"/>
            <w:hideMark/>
          </w:tcPr>
          <w:p w14:paraId="5D19FCAD" w14:textId="77777777" w:rsidR="0093472B" w:rsidRPr="00C82EE1" w:rsidRDefault="0093472B" w:rsidP="00026FCB">
            <w:pPr>
              <w:spacing w:after="0" w:line="240" w:lineRule="auto"/>
              <w:jc w:val="both"/>
              <w:rPr>
                <w:rFonts w:ascii="Times New Roman" w:eastAsia="Times New Roman" w:hAnsi="Times New Roman" w:cs="Times New Roman"/>
                <w:sz w:val="20"/>
              </w:rPr>
            </w:pPr>
          </w:p>
        </w:tc>
        <w:tc>
          <w:tcPr>
            <w:tcW w:w="1743" w:type="dxa"/>
            <w:tcBorders>
              <w:top w:val="nil"/>
              <w:left w:val="nil"/>
              <w:bottom w:val="nil"/>
              <w:right w:val="nil"/>
            </w:tcBorders>
            <w:shd w:val="clear" w:color="auto" w:fill="auto"/>
            <w:noWrap/>
            <w:vAlign w:val="bottom"/>
            <w:hideMark/>
          </w:tcPr>
          <w:p w14:paraId="48FF4EB7" w14:textId="77777777" w:rsidR="0093472B" w:rsidRPr="00C82EE1" w:rsidRDefault="0093472B" w:rsidP="00026FCB">
            <w:pPr>
              <w:spacing w:after="0" w:line="240" w:lineRule="auto"/>
              <w:jc w:val="both"/>
              <w:rPr>
                <w:rFonts w:ascii="Times New Roman" w:eastAsia="Times New Roman" w:hAnsi="Times New Roman" w:cs="Times New Roman"/>
                <w:sz w:val="20"/>
              </w:rPr>
            </w:pPr>
          </w:p>
        </w:tc>
        <w:tc>
          <w:tcPr>
            <w:tcW w:w="1141" w:type="dxa"/>
            <w:tcBorders>
              <w:top w:val="nil"/>
              <w:left w:val="nil"/>
              <w:bottom w:val="nil"/>
              <w:right w:val="nil"/>
            </w:tcBorders>
            <w:shd w:val="clear" w:color="auto" w:fill="auto"/>
            <w:noWrap/>
            <w:vAlign w:val="bottom"/>
            <w:hideMark/>
          </w:tcPr>
          <w:p w14:paraId="057BA27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515.393</w:t>
            </w:r>
          </w:p>
        </w:tc>
        <w:tc>
          <w:tcPr>
            <w:tcW w:w="1025" w:type="dxa"/>
            <w:tcBorders>
              <w:top w:val="nil"/>
              <w:left w:val="nil"/>
              <w:bottom w:val="nil"/>
              <w:right w:val="nil"/>
            </w:tcBorders>
            <w:shd w:val="clear" w:color="auto" w:fill="auto"/>
            <w:noWrap/>
            <w:vAlign w:val="bottom"/>
            <w:hideMark/>
          </w:tcPr>
          <w:p w14:paraId="73147CDA"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p>
        </w:tc>
        <w:tc>
          <w:tcPr>
            <w:tcW w:w="1093" w:type="dxa"/>
            <w:tcBorders>
              <w:top w:val="nil"/>
              <w:left w:val="nil"/>
              <w:bottom w:val="nil"/>
              <w:right w:val="nil"/>
            </w:tcBorders>
            <w:shd w:val="clear" w:color="auto" w:fill="auto"/>
            <w:noWrap/>
            <w:vAlign w:val="bottom"/>
            <w:hideMark/>
          </w:tcPr>
          <w:p w14:paraId="7406BE4A"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1,487.924</w:t>
            </w:r>
          </w:p>
        </w:tc>
      </w:tr>
      <w:tr w:rsidR="00086E4A" w:rsidRPr="00C82EE1" w14:paraId="74B70482" w14:textId="77777777" w:rsidTr="00086E4A">
        <w:trPr>
          <w:trHeight w:val="366"/>
          <w:jc w:val="center"/>
        </w:trPr>
        <w:tc>
          <w:tcPr>
            <w:tcW w:w="2372" w:type="dxa"/>
            <w:tcBorders>
              <w:top w:val="nil"/>
              <w:left w:val="nil"/>
              <w:bottom w:val="single" w:sz="4" w:space="0" w:color="auto"/>
              <w:right w:val="nil"/>
            </w:tcBorders>
            <w:shd w:val="clear" w:color="auto" w:fill="auto"/>
            <w:noWrap/>
            <w:vAlign w:val="bottom"/>
            <w:hideMark/>
          </w:tcPr>
          <w:p w14:paraId="58EBC7D8"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Pseudo R2</w:t>
            </w:r>
          </w:p>
        </w:tc>
        <w:tc>
          <w:tcPr>
            <w:tcW w:w="1052" w:type="dxa"/>
            <w:tcBorders>
              <w:top w:val="nil"/>
              <w:left w:val="nil"/>
              <w:bottom w:val="single" w:sz="4" w:space="0" w:color="auto"/>
              <w:right w:val="nil"/>
            </w:tcBorders>
            <w:shd w:val="clear" w:color="auto" w:fill="auto"/>
            <w:noWrap/>
            <w:vAlign w:val="bottom"/>
            <w:hideMark/>
          </w:tcPr>
          <w:p w14:paraId="685E9D02"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 </w:t>
            </w:r>
          </w:p>
        </w:tc>
        <w:tc>
          <w:tcPr>
            <w:tcW w:w="1085" w:type="dxa"/>
            <w:tcBorders>
              <w:top w:val="nil"/>
              <w:left w:val="nil"/>
              <w:bottom w:val="single" w:sz="4" w:space="0" w:color="auto"/>
              <w:right w:val="nil"/>
            </w:tcBorders>
            <w:shd w:val="clear" w:color="auto" w:fill="auto"/>
            <w:noWrap/>
            <w:vAlign w:val="bottom"/>
            <w:hideMark/>
          </w:tcPr>
          <w:p w14:paraId="10BA3304"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0.277</w:t>
            </w:r>
          </w:p>
        </w:tc>
        <w:tc>
          <w:tcPr>
            <w:tcW w:w="919" w:type="dxa"/>
            <w:tcBorders>
              <w:top w:val="nil"/>
              <w:left w:val="nil"/>
              <w:bottom w:val="single" w:sz="4" w:space="0" w:color="auto"/>
              <w:right w:val="nil"/>
            </w:tcBorders>
            <w:shd w:val="clear" w:color="auto" w:fill="auto"/>
            <w:noWrap/>
            <w:vAlign w:val="bottom"/>
            <w:hideMark/>
          </w:tcPr>
          <w:p w14:paraId="5243D966"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 </w:t>
            </w:r>
          </w:p>
        </w:tc>
        <w:tc>
          <w:tcPr>
            <w:tcW w:w="1743" w:type="dxa"/>
            <w:tcBorders>
              <w:top w:val="nil"/>
              <w:left w:val="nil"/>
              <w:bottom w:val="single" w:sz="4" w:space="0" w:color="auto"/>
              <w:right w:val="nil"/>
            </w:tcBorders>
            <w:shd w:val="clear" w:color="auto" w:fill="auto"/>
            <w:noWrap/>
            <w:vAlign w:val="bottom"/>
            <w:hideMark/>
          </w:tcPr>
          <w:p w14:paraId="0FF7F9B2"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0.621</w:t>
            </w:r>
          </w:p>
        </w:tc>
        <w:tc>
          <w:tcPr>
            <w:tcW w:w="1141" w:type="dxa"/>
            <w:tcBorders>
              <w:top w:val="nil"/>
              <w:left w:val="nil"/>
              <w:bottom w:val="single" w:sz="4" w:space="0" w:color="auto"/>
              <w:right w:val="nil"/>
            </w:tcBorders>
            <w:shd w:val="clear" w:color="auto" w:fill="auto"/>
            <w:noWrap/>
            <w:vAlign w:val="bottom"/>
            <w:hideMark/>
          </w:tcPr>
          <w:p w14:paraId="3732DAC3"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 </w:t>
            </w:r>
          </w:p>
        </w:tc>
        <w:tc>
          <w:tcPr>
            <w:tcW w:w="1025" w:type="dxa"/>
            <w:tcBorders>
              <w:top w:val="nil"/>
              <w:left w:val="nil"/>
              <w:bottom w:val="single" w:sz="4" w:space="0" w:color="auto"/>
              <w:right w:val="nil"/>
            </w:tcBorders>
            <w:shd w:val="clear" w:color="auto" w:fill="auto"/>
            <w:noWrap/>
            <w:vAlign w:val="bottom"/>
            <w:hideMark/>
          </w:tcPr>
          <w:p w14:paraId="34FF2E0D"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 </w:t>
            </w:r>
          </w:p>
        </w:tc>
        <w:tc>
          <w:tcPr>
            <w:tcW w:w="1093" w:type="dxa"/>
            <w:tcBorders>
              <w:top w:val="nil"/>
              <w:left w:val="nil"/>
              <w:bottom w:val="single" w:sz="4" w:space="0" w:color="auto"/>
              <w:right w:val="nil"/>
            </w:tcBorders>
            <w:shd w:val="clear" w:color="auto" w:fill="auto"/>
            <w:noWrap/>
            <w:vAlign w:val="bottom"/>
            <w:hideMark/>
          </w:tcPr>
          <w:p w14:paraId="3C967FF1" w14:textId="77777777" w:rsidR="0093472B" w:rsidRPr="00C82EE1" w:rsidRDefault="0093472B" w:rsidP="00026FCB">
            <w:pPr>
              <w:spacing w:after="0" w:line="240" w:lineRule="auto"/>
              <w:jc w:val="both"/>
              <w:rPr>
                <w:rFonts w:ascii="Times New Roman" w:eastAsia="Times New Roman" w:hAnsi="Times New Roman" w:cs="Times New Roman"/>
                <w:color w:val="000000"/>
                <w:sz w:val="20"/>
              </w:rPr>
            </w:pPr>
            <w:r w:rsidRPr="00C82EE1">
              <w:rPr>
                <w:rFonts w:ascii="Times New Roman" w:eastAsia="Times New Roman" w:hAnsi="Times New Roman" w:cs="Times New Roman"/>
                <w:color w:val="000000"/>
                <w:sz w:val="20"/>
              </w:rPr>
              <w:t> </w:t>
            </w:r>
          </w:p>
        </w:tc>
      </w:tr>
      <w:tr w:rsidR="0093472B" w:rsidRPr="00C82EE1" w14:paraId="045F5178" w14:textId="77777777" w:rsidTr="00086E4A">
        <w:trPr>
          <w:trHeight w:val="366"/>
          <w:jc w:val="center"/>
        </w:trPr>
        <w:tc>
          <w:tcPr>
            <w:tcW w:w="10434" w:type="dxa"/>
            <w:gridSpan w:val="8"/>
            <w:tcBorders>
              <w:top w:val="single" w:sz="4" w:space="0" w:color="auto"/>
              <w:left w:val="nil"/>
              <w:bottom w:val="nil"/>
              <w:right w:val="nil"/>
            </w:tcBorders>
            <w:shd w:val="clear" w:color="auto" w:fill="auto"/>
            <w:vAlign w:val="bottom"/>
            <w:hideMark/>
          </w:tcPr>
          <w:p w14:paraId="2C34E5C4" w14:textId="70DFAF16" w:rsidR="0093472B" w:rsidRPr="00C82EE1" w:rsidRDefault="0050429C" w:rsidP="00026FCB">
            <w:pPr>
              <w:spacing w:after="0" w:line="240" w:lineRule="auto"/>
              <w:jc w:val="both"/>
              <w:rPr>
                <w:rFonts w:ascii="Times New Roman" w:eastAsia="Times New Roman" w:hAnsi="Times New Roman" w:cs="Times New Roman"/>
                <w:color w:val="000000"/>
                <w:szCs w:val="24"/>
              </w:rPr>
            </w:pPr>
            <w:r w:rsidRPr="00C82EE1">
              <w:rPr>
                <w:rFonts w:ascii="Times New Roman" w:eastAsia="Times New Roman" w:hAnsi="Times New Roman" w:cs="Times New Roman"/>
                <w:i/>
                <w:iCs/>
                <w:color w:val="000000"/>
                <w:sz w:val="20"/>
                <w:szCs w:val="24"/>
              </w:rPr>
              <w:t>Notes.</w:t>
            </w:r>
            <w:r w:rsidRPr="00C82EE1">
              <w:rPr>
                <w:rFonts w:ascii="Times New Roman" w:eastAsia="Times New Roman" w:hAnsi="Times New Roman" w:cs="Times New Roman"/>
                <w:iCs/>
                <w:color w:val="000000"/>
                <w:sz w:val="20"/>
                <w:szCs w:val="24"/>
              </w:rPr>
              <w:t xml:space="preserve"> This table presents the regression results. Variable definitions are provided in Table 1. Model (1) and (2) use the 1-day market abnormal return </w:t>
            </w:r>
            <m:oMath>
              <m:r>
                <w:rPr>
                  <w:rFonts w:ascii="Cambria Math" w:eastAsia="Times New Roman" w:hAnsi="Cambria Math" w:cs="Times New Roman"/>
                  <w:color w:val="000000"/>
                  <w:sz w:val="20"/>
                  <w:szCs w:val="24"/>
                </w:rPr>
                <m:t>(InitialCAR)</m:t>
              </m:r>
            </m:oMath>
            <w:r w:rsidRPr="00C82EE1">
              <w:rPr>
                <w:rFonts w:ascii="Times New Roman" w:eastAsia="Times New Roman" w:hAnsi="Times New Roman" w:cs="Times New Roman"/>
                <w:iCs/>
                <w:color w:val="000000"/>
                <w:sz w:val="20"/>
                <w:szCs w:val="24"/>
              </w:rPr>
              <w:t xml:space="preserve"> as the dependent variable in OLS and quantile regressions, respectively. Model (3) and (4) use the 180-day</w:t>
            </w:r>
            <w:r w:rsidR="00960333">
              <w:rPr>
                <w:rFonts w:ascii="Times New Roman" w:eastAsia="Times New Roman" w:hAnsi="Times New Roman" w:cs="Times New Roman"/>
                <w:iCs/>
                <w:color w:val="000000"/>
                <w:sz w:val="20"/>
                <w:szCs w:val="24"/>
              </w:rPr>
              <w:t>s</w:t>
            </w:r>
            <w:r w:rsidRPr="00C82EE1">
              <w:rPr>
                <w:rFonts w:ascii="Times New Roman" w:eastAsia="Times New Roman" w:hAnsi="Times New Roman" w:cs="Times New Roman"/>
                <w:iCs/>
                <w:color w:val="000000"/>
                <w:sz w:val="20"/>
                <w:szCs w:val="24"/>
              </w:rPr>
              <w:t xml:space="preserve"> market abnormal return </w:t>
            </w:r>
            <m:oMath>
              <m:r>
                <w:rPr>
                  <w:rFonts w:ascii="Cambria Math" w:eastAsia="Times New Roman" w:hAnsi="Cambria Math" w:cs="Times New Roman"/>
                  <w:color w:val="000000"/>
                  <w:sz w:val="20"/>
                  <w:szCs w:val="24"/>
                </w:rPr>
                <m:t>(LongTermCAR)</m:t>
              </m:r>
            </m:oMath>
            <w:r w:rsidRPr="00C82EE1">
              <w:rPr>
                <w:rFonts w:ascii="Times New Roman" w:eastAsia="Times New Roman" w:hAnsi="Times New Roman" w:cs="Times New Roman"/>
                <w:iCs/>
                <w:color w:val="000000"/>
                <w:sz w:val="20"/>
                <w:szCs w:val="24"/>
              </w:rPr>
              <w:t xml:space="preserve"> as the dependent variable in OLS and quantile regressions, respectively. Standard errors are clustered at the </w:t>
            </w:r>
            <w:r w:rsidR="000B1375">
              <w:rPr>
                <w:rFonts w:ascii="Times New Roman" w:eastAsia="Times New Roman" w:hAnsi="Times New Roman" w:cs="Times New Roman"/>
                <w:iCs/>
                <w:color w:val="000000"/>
                <w:sz w:val="20"/>
                <w:szCs w:val="24"/>
              </w:rPr>
              <w:t>y</w:t>
            </w:r>
            <w:r w:rsidR="000B1375" w:rsidRPr="000B1375">
              <w:rPr>
                <w:rFonts w:ascii="Times New Roman" w:eastAsia="Times New Roman" w:hAnsi="Times New Roman" w:cs="Times New Roman"/>
                <w:color w:val="000000"/>
                <w:sz w:val="20"/>
                <w:szCs w:val="24"/>
              </w:rPr>
              <w:t>ear-</w:t>
            </w:r>
            <w:r w:rsidR="000B1375">
              <w:rPr>
                <w:rFonts w:ascii="Times New Roman" w:eastAsia="Times New Roman" w:hAnsi="Times New Roman" w:cs="Times New Roman"/>
                <w:color w:val="000000"/>
                <w:sz w:val="20"/>
                <w:szCs w:val="24"/>
              </w:rPr>
              <w:t>q</w:t>
            </w:r>
            <w:r w:rsidR="000B1375" w:rsidRPr="000B1375">
              <w:rPr>
                <w:rFonts w:ascii="Times New Roman" w:eastAsia="Times New Roman" w:hAnsi="Times New Roman" w:cs="Times New Roman"/>
                <w:color w:val="000000"/>
                <w:sz w:val="20"/>
                <w:szCs w:val="24"/>
              </w:rPr>
              <w:t>uarter</w:t>
            </w:r>
            <w:r w:rsidRPr="00C82EE1">
              <w:rPr>
                <w:rFonts w:ascii="Times New Roman" w:eastAsia="Times New Roman" w:hAnsi="Times New Roman" w:cs="Times New Roman"/>
                <w:iCs/>
                <w:color w:val="000000"/>
                <w:sz w:val="20"/>
                <w:szCs w:val="24"/>
              </w:rPr>
              <w:t xml:space="preserve"> level. </w:t>
            </w:r>
            <w:r w:rsidR="0093472B" w:rsidRPr="00C82EE1">
              <w:rPr>
                <w:rFonts w:ascii="Times New Roman" w:eastAsia="Times New Roman" w:hAnsi="Times New Roman" w:cs="Times New Roman"/>
                <w:color w:val="000000"/>
                <w:sz w:val="20"/>
                <w:szCs w:val="24"/>
              </w:rPr>
              <w:t>Significance levels: * indicates p&lt;0.1, ** indicates p&lt;0.05, *** indicates p&lt;0.01.</w:t>
            </w:r>
          </w:p>
        </w:tc>
      </w:tr>
    </w:tbl>
    <w:p w14:paraId="57C52416" w14:textId="77777777" w:rsidR="0093472B" w:rsidRPr="00C82EE1" w:rsidRDefault="0093472B" w:rsidP="00026FCB">
      <w:pPr>
        <w:jc w:val="both"/>
        <w:rPr>
          <w:rFonts w:ascii="Times New Roman" w:hAnsi="Times New Roman" w:cs="Times New Roman"/>
          <w:sz w:val="24"/>
          <w:szCs w:val="24"/>
        </w:rPr>
      </w:pPr>
    </w:p>
    <w:p w14:paraId="41064260" w14:textId="77777777" w:rsidR="0093472B" w:rsidRPr="00C82EE1" w:rsidRDefault="0093472B" w:rsidP="00026FCB">
      <w:pPr>
        <w:jc w:val="both"/>
        <w:rPr>
          <w:rFonts w:ascii="Times New Roman" w:hAnsi="Times New Roman" w:cs="Times New Roman"/>
          <w:sz w:val="24"/>
          <w:szCs w:val="24"/>
        </w:rPr>
      </w:pPr>
    </w:p>
    <w:p w14:paraId="282D234F" w14:textId="77777777" w:rsidR="0093472B" w:rsidRPr="00C82EE1" w:rsidRDefault="0093472B" w:rsidP="00026FCB">
      <w:pPr>
        <w:jc w:val="both"/>
        <w:rPr>
          <w:rFonts w:ascii="Times New Roman" w:hAnsi="Times New Roman" w:cs="Times New Roman"/>
          <w:sz w:val="24"/>
          <w:szCs w:val="24"/>
        </w:rPr>
      </w:pPr>
    </w:p>
    <w:p w14:paraId="2AC5CA75" w14:textId="69DBCD01" w:rsidR="00FA76CA" w:rsidRPr="00C82EE1" w:rsidRDefault="00FA76CA" w:rsidP="00026FCB">
      <w:pPr>
        <w:jc w:val="both"/>
        <w:rPr>
          <w:rFonts w:ascii="Times New Roman" w:hAnsi="Times New Roman" w:cs="Times New Roman"/>
          <w:sz w:val="24"/>
          <w:szCs w:val="24"/>
        </w:rPr>
      </w:pPr>
    </w:p>
    <w:p w14:paraId="30548F3C" w14:textId="2C5AA969" w:rsidR="0050429C" w:rsidRPr="00C82EE1" w:rsidRDefault="0050429C" w:rsidP="00026FCB">
      <w:pPr>
        <w:jc w:val="both"/>
        <w:rPr>
          <w:rFonts w:ascii="Times New Roman" w:hAnsi="Times New Roman" w:cs="Times New Roman"/>
          <w:sz w:val="24"/>
          <w:szCs w:val="24"/>
        </w:rPr>
      </w:pPr>
    </w:p>
    <w:p w14:paraId="2D21F404" w14:textId="0A9B1340" w:rsidR="0007748C" w:rsidRPr="00C82EE1" w:rsidRDefault="0007748C" w:rsidP="00026FCB">
      <w:pPr>
        <w:jc w:val="both"/>
        <w:rPr>
          <w:rFonts w:ascii="Times New Roman" w:hAnsi="Times New Roman" w:cs="Times New Roman"/>
          <w:sz w:val="24"/>
          <w:szCs w:val="24"/>
        </w:rPr>
      </w:pPr>
    </w:p>
    <w:p w14:paraId="156A6807" w14:textId="5903A114" w:rsidR="00EA725B" w:rsidRDefault="00EA725B" w:rsidP="003C73FB">
      <w:r>
        <w:fldChar w:fldCharType="begin"/>
      </w:r>
      <w:r>
        <w:instrText xml:space="preserve"> LINK </w:instrText>
      </w:r>
      <w:r w:rsidR="002C79E6">
        <w:instrText xml:space="preserve">Excel.Sheet.12 "C:\\Users\\barrioherrez.OASIS\\Dropbox\\Doctorat\\Papers\\ICO and Lexical Diversity\\Manuscripts\\Submission financial review\\R&amp;R\\Round 2\\Tables.xlsx" "Table 9!L1:L1048576" </w:instrText>
      </w:r>
      <w:r>
        <w:instrText xml:space="preserve">\a \f 4 \h  \* MERGEFORMAT </w:instrText>
      </w:r>
      <w:r>
        <w:fldChar w:fldCharType="separate"/>
      </w:r>
    </w:p>
    <w:tbl>
      <w:tblPr>
        <w:tblW w:w="10717" w:type="dxa"/>
        <w:jc w:val="center"/>
        <w:tblLook w:val="04A0" w:firstRow="1" w:lastRow="0" w:firstColumn="1" w:lastColumn="0" w:noHBand="0" w:noVBand="1"/>
      </w:tblPr>
      <w:tblGrid>
        <w:gridCol w:w="2041"/>
        <w:gridCol w:w="1220"/>
        <w:gridCol w:w="1134"/>
        <w:gridCol w:w="261"/>
        <w:gridCol w:w="8"/>
        <w:gridCol w:w="1006"/>
        <w:gridCol w:w="1051"/>
        <w:gridCol w:w="9"/>
        <w:gridCol w:w="252"/>
        <w:gridCol w:w="9"/>
        <w:gridCol w:w="972"/>
        <w:gridCol w:w="9"/>
        <w:gridCol w:w="286"/>
        <w:gridCol w:w="9"/>
        <w:gridCol w:w="972"/>
        <w:gridCol w:w="9"/>
        <w:gridCol w:w="252"/>
        <w:gridCol w:w="9"/>
        <w:gridCol w:w="1185"/>
        <w:gridCol w:w="14"/>
        <w:gridCol w:w="9"/>
      </w:tblGrid>
      <w:tr w:rsidR="00EA725B" w:rsidRPr="00EA725B" w14:paraId="39B2F077" w14:textId="77777777" w:rsidTr="0047162D">
        <w:trPr>
          <w:gridAfter w:val="2"/>
          <w:wAfter w:w="23" w:type="dxa"/>
          <w:trHeight w:val="91"/>
          <w:jc w:val="center"/>
        </w:trPr>
        <w:tc>
          <w:tcPr>
            <w:tcW w:w="10694" w:type="dxa"/>
            <w:gridSpan w:val="19"/>
            <w:tcBorders>
              <w:top w:val="nil"/>
              <w:left w:val="nil"/>
              <w:bottom w:val="nil"/>
              <w:right w:val="nil"/>
            </w:tcBorders>
            <w:shd w:val="clear" w:color="auto" w:fill="auto"/>
            <w:noWrap/>
            <w:vAlign w:val="bottom"/>
            <w:hideMark/>
          </w:tcPr>
          <w:p w14:paraId="6F43B7FC" w14:textId="77777777" w:rsidR="00EA725B" w:rsidRDefault="00EA725B">
            <w:pPr>
              <w:jc w:val="center"/>
              <w:rPr>
                <w:rFonts w:ascii="Times New Roman" w:eastAsia="Times New Roman" w:hAnsi="Times New Roman" w:cs="Times New Roman"/>
                <w:b/>
                <w:bCs/>
                <w:color w:val="000000"/>
                <w:sz w:val="28"/>
                <w:szCs w:val="18"/>
              </w:rPr>
            </w:pPr>
            <w:r w:rsidRPr="0047162D">
              <w:rPr>
                <w:rFonts w:ascii="Times New Roman" w:eastAsia="Times New Roman" w:hAnsi="Times New Roman" w:cs="Times New Roman"/>
                <w:b/>
                <w:bCs/>
                <w:color w:val="000000"/>
                <w:sz w:val="28"/>
                <w:szCs w:val="18"/>
              </w:rPr>
              <w:lastRenderedPageBreak/>
              <w:t>Table 9: Additional robustness checks</w:t>
            </w:r>
            <w:r>
              <w:rPr>
                <w:rFonts w:ascii="Times New Roman" w:eastAsia="Times New Roman" w:hAnsi="Times New Roman" w:cs="Times New Roman"/>
                <w:b/>
                <w:bCs/>
                <w:color w:val="000000"/>
                <w:sz w:val="28"/>
                <w:szCs w:val="18"/>
              </w:rPr>
              <w:t>.</w:t>
            </w:r>
          </w:p>
          <w:p w14:paraId="3F40F2E4" w14:textId="09391E15" w:rsidR="00EA725B" w:rsidRPr="0047162D" w:rsidRDefault="00EA725B" w:rsidP="0047162D">
            <w:pPr>
              <w:tabs>
                <w:tab w:val="left" w:pos="2589"/>
              </w:tabs>
              <w:jc w:val="center"/>
              <w:rPr>
                <w:rFonts w:ascii="Times New Roman" w:eastAsia="Times New Roman" w:hAnsi="Times New Roman" w:cs="Times New Roman"/>
                <w:b/>
                <w:bCs/>
                <w:color w:val="000000"/>
                <w:sz w:val="28"/>
                <w:szCs w:val="18"/>
              </w:rPr>
            </w:pPr>
          </w:p>
        </w:tc>
      </w:tr>
      <w:tr w:rsidR="00EA725B" w:rsidRPr="00EA725B" w14:paraId="4B3A01CE" w14:textId="77777777" w:rsidTr="0047162D">
        <w:trPr>
          <w:gridAfter w:val="2"/>
          <w:wAfter w:w="23" w:type="dxa"/>
          <w:trHeight w:val="91"/>
          <w:jc w:val="center"/>
        </w:trPr>
        <w:tc>
          <w:tcPr>
            <w:tcW w:w="2041" w:type="dxa"/>
            <w:tcBorders>
              <w:top w:val="single" w:sz="4" w:space="0" w:color="auto"/>
              <w:left w:val="nil"/>
              <w:bottom w:val="single" w:sz="4" w:space="0" w:color="auto"/>
              <w:right w:val="nil"/>
            </w:tcBorders>
            <w:shd w:val="clear" w:color="auto" w:fill="auto"/>
            <w:noWrap/>
            <w:vAlign w:val="bottom"/>
            <w:hideMark/>
          </w:tcPr>
          <w:p w14:paraId="20BFE4B1" w14:textId="77777777" w:rsidR="00EA725B" w:rsidRPr="0047162D" w:rsidRDefault="00EA725B" w:rsidP="0047162D">
            <w:pPr>
              <w:spacing w:after="0" w:line="240" w:lineRule="auto"/>
              <w:rPr>
                <w:rFonts w:ascii="Times New Roman" w:eastAsia="Times New Roman" w:hAnsi="Times New Roman" w:cs="Times New Roman"/>
                <w:b/>
                <w:bCs/>
                <w:color w:val="000000"/>
                <w:sz w:val="18"/>
                <w:szCs w:val="18"/>
              </w:rPr>
            </w:pPr>
            <w:r w:rsidRPr="0047162D">
              <w:rPr>
                <w:rFonts w:ascii="Times New Roman" w:eastAsia="Times New Roman" w:hAnsi="Times New Roman" w:cs="Times New Roman"/>
                <w:b/>
                <w:bCs/>
                <w:color w:val="000000"/>
                <w:sz w:val="18"/>
                <w:szCs w:val="18"/>
              </w:rPr>
              <w:t>Dependent variable</w:t>
            </w:r>
          </w:p>
        </w:tc>
        <w:tc>
          <w:tcPr>
            <w:tcW w:w="8653" w:type="dxa"/>
            <w:gridSpan w:val="18"/>
            <w:tcBorders>
              <w:top w:val="single" w:sz="4" w:space="0" w:color="auto"/>
              <w:left w:val="nil"/>
              <w:bottom w:val="single" w:sz="4" w:space="0" w:color="auto"/>
              <w:right w:val="nil"/>
            </w:tcBorders>
            <w:shd w:val="clear" w:color="auto" w:fill="auto"/>
            <w:noWrap/>
            <w:vAlign w:val="bottom"/>
            <w:hideMark/>
          </w:tcPr>
          <w:p w14:paraId="7CB51D82" w14:textId="77777777" w:rsidR="00EA725B" w:rsidRPr="0047162D" w:rsidRDefault="00EA725B" w:rsidP="0047162D">
            <w:pPr>
              <w:spacing w:after="0" w:line="240" w:lineRule="auto"/>
              <w:jc w:val="center"/>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Amount raised</w:t>
            </w:r>
          </w:p>
        </w:tc>
      </w:tr>
      <w:tr w:rsidR="00366A38" w:rsidRPr="00EA725B" w14:paraId="7D004AA6" w14:textId="77777777" w:rsidTr="0047162D">
        <w:trPr>
          <w:gridAfter w:val="2"/>
          <w:wAfter w:w="23" w:type="dxa"/>
          <w:trHeight w:val="91"/>
          <w:jc w:val="center"/>
        </w:trPr>
        <w:tc>
          <w:tcPr>
            <w:tcW w:w="10694" w:type="dxa"/>
            <w:gridSpan w:val="19"/>
            <w:tcBorders>
              <w:top w:val="single" w:sz="4" w:space="0" w:color="auto"/>
              <w:left w:val="nil"/>
              <w:bottom w:val="single" w:sz="4" w:space="0" w:color="auto"/>
              <w:right w:val="nil"/>
            </w:tcBorders>
            <w:shd w:val="clear" w:color="auto" w:fill="auto"/>
            <w:noWrap/>
            <w:vAlign w:val="bottom"/>
            <w:hideMark/>
          </w:tcPr>
          <w:p w14:paraId="1C18C312" w14:textId="653209C4" w:rsidR="00366A38" w:rsidRPr="0047162D" w:rsidRDefault="00366A38" w:rsidP="0047162D">
            <w:pPr>
              <w:spacing w:after="0" w:line="240" w:lineRule="auto"/>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Panel A: Alternative readability metrics</w:t>
            </w:r>
          </w:p>
        </w:tc>
      </w:tr>
      <w:tr w:rsidR="00EA725B" w:rsidRPr="00EA725B" w14:paraId="2220A114" w14:textId="77777777" w:rsidTr="00EA725B">
        <w:trPr>
          <w:trHeight w:val="91"/>
          <w:jc w:val="center"/>
        </w:trPr>
        <w:tc>
          <w:tcPr>
            <w:tcW w:w="2041" w:type="dxa"/>
            <w:tcBorders>
              <w:top w:val="nil"/>
              <w:left w:val="nil"/>
              <w:bottom w:val="nil"/>
              <w:right w:val="nil"/>
            </w:tcBorders>
            <w:shd w:val="clear" w:color="auto" w:fill="auto"/>
            <w:noWrap/>
            <w:vAlign w:val="bottom"/>
            <w:hideMark/>
          </w:tcPr>
          <w:p w14:paraId="0F3CBC97"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
        </w:tc>
        <w:tc>
          <w:tcPr>
            <w:tcW w:w="2354" w:type="dxa"/>
            <w:gridSpan w:val="2"/>
            <w:tcBorders>
              <w:top w:val="single" w:sz="4" w:space="0" w:color="auto"/>
              <w:left w:val="nil"/>
              <w:bottom w:val="single" w:sz="4" w:space="0" w:color="auto"/>
              <w:right w:val="nil"/>
            </w:tcBorders>
            <w:shd w:val="clear" w:color="auto" w:fill="auto"/>
            <w:noWrap/>
            <w:vAlign w:val="bottom"/>
            <w:hideMark/>
          </w:tcPr>
          <w:p w14:paraId="281BB11E" w14:textId="77777777" w:rsidR="00EA725B" w:rsidRPr="0047162D" w:rsidRDefault="00EA725B" w:rsidP="0047162D">
            <w:pPr>
              <w:spacing w:after="0" w:line="240" w:lineRule="auto"/>
              <w:jc w:val="center"/>
              <w:rPr>
                <w:rFonts w:ascii="Times New Roman" w:eastAsia="Times New Roman" w:hAnsi="Times New Roman" w:cs="Times New Roman"/>
                <w:i/>
                <w:color w:val="000000"/>
                <w:sz w:val="18"/>
                <w:szCs w:val="18"/>
              </w:rPr>
            </w:pPr>
            <w:proofErr w:type="spellStart"/>
            <w:r w:rsidRPr="0047162D">
              <w:rPr>
                <w:rFonts w:ascii="Times New Roman" w:eastAsia="Times New Roman" w:hAnsi="Times New Roman" w:cs="Times New Roman"/>
                <w:i/>
                <w:color w:val="000000"/>
                <w:sz w:val="18"/>
                <w:szCs w:val="18"/>
              </w:rPr>
              <w:t>Readability_FOG</w:t>
            </w:r>
            <w:proofErr w:type="spellEnd"/>
          </w:p>
        </w:tc>
        <w:tc>
          <w:tcPr>
            <w:tcW w:w="269" w:type="dxa"/>
            <w:gridSpan w:val="2"/>
            <w:tcBorders>
              <w:top w:val="nil"/>
              <w:left w:val="nil"/>
              <w:bottom w:val="nil"/>
              <w:right w:val="nil"/>
            </w:tcBorders>
            <w:shd w:val="clear" w:color="auto" w:fill="auto"/>
            <w:noWrap/>
            <w:vAlign w:val="bottom"/>
            <w:hideMark/>
          </w:tcPr>
          <w:p w14:paraId="49669195" w14:textId="77777777" w:rsidR="00EA725B" w:rsidRPr="0047162D" w:rsidRDefault="00EA725B" w:rsidP="0047162D">
            <w:pPr>
              <w:spacing w:after="0" w:line="240" w:lineRule="auto"/>
              <w:jc w:val="center"/>
              <w:rPr>
                <w:rFonts w:ascii="Times New Roman" w:eastAsia="Times New Roman" w:hAnsi="Times New Roman" w:cs="Times New Roman"/>
                <w:color w:val="000000"/>
                <w:sz w:val="18"/>
                <w:szCs w:val="18"/>
              </w:rPr>
            </w:pPr>
          </w:p>
        </w:tc>
        <w:tc>
          <w:tcPr>
            <w:tcW w:w="2066" w:type="dxa"/>
            <w:gridSpan w:val="3"/>
            <w:tcBorders>
              <w:top w:val="single" w:sz="4" w:space="0" w:color="auto"/>
              <w:left w:val="nil"/>
              <w:bottom w:val="single" w:sz="4" w:space="0" w:color="auto"/>
              <w:right w:val="nil"/>
            </w:tcBorders>
            <w:shd w:val="clear" w:color="auto" w:fill="auto"/>
            <w:noWrap/>
            <w:vAlign w:val="bottom"/>
            <w:hideMark/>
          </w:tcPr>
          <w:p w14:paraId="7EEBD81E" w14:textId="77777777" w:rsidR="00EA725B" w:rsidRPr="0047162D" w:rsidRDefault="00EA725B" w:rsidP="0047162D">
            <w:pPr>
              <w:spacing w:after="0" w:line="240" w:lineRule="auto"/>
              <w:jc w:val="center"/>
              <w:rPr>
                <w:rFonts w:ascii="Times New Roman" w:eastAsia="Times New Roman" w:hAnsi="Times New Roman" w:cs="Times New Roman"/>
                <w:i/>
                <w:color w:val="000000"/>
                <w:sz w:val="18"/>
                <w:szCs w:val="18"/>
              </w:rPr>
            </w:pPr>
            <w:proofErr w:type="spellStart"/>
            <w:r w:rsidRPr="0047162D">
              <w:rPr>
                <w:rFonts w:ascii="Times New Roman" w:eastAsia="Times New Roman" w:hAnsi="Times New Roman" w:cs="Times New Roman"/>
                <w:i/>
                <w:color w:val="000000"/>
                <w:sz w:val="18"/>
                <w:szCs w:val="18"/>
              </w:rPr>
              <w:t>Readability_Size</w:t>
            </w:r>
            <w:proofErr w:type="spellEnd"/>
          </w:p>
        </w:tc>
        <w:tc>
          <w:tcPr>
            <w:tcW w:w="261" w:type="dxa"/>
            <w:gridSpan w:val="2"/>
            <w:tcBorders>
              <w:top w:val="nil"/>
              <w:left w:val="nil"/>
              <w:bottom w:val="nil"/>
              <w:right w:val="nil"/>
            </w:tcBorders>
            <w:shd w:val="clear" w:color="auto" w:fill="auto"/>
            <w:noWrap/>
            <w:vAlign w:val="bottom"/>
            <w:hideMark/>
          </w:tcPr>
          <w:p w14:paraId="38CEF2AE" w14:textId="77777777" w:rsidR="00EA725B" w:rsidRPr="0047162D" w:rsidRDefault="00EA725B" w:rsidP="0047162D">
            <w:pPr>
              <w:spacing w:after="0" w:line="240" w:lineRule="auto"/>
              <w:jc w:val="center"/>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7640D9BF" w14:textId="77777777" w:rsidR="00EA725B" w:rsidRPr="0047162D" w:rsidRDefault="00EA725B" w:rsidP="0047162D">
            <w:pPr>
              <w:spacing w:after="0" w:line="240" w:lineRule="auto"/>
              <w:jc w:val="center"/>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30EE5AB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431BE34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1FEB9DE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2D153861"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0ABD14E3"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58D04CD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4A1FAB8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&lt; median</w:t>
            </w:r>
          </w:p>
        </w:tc>
        <w:tc>
          <w:tcPr>
            <w:tcW w:w="1134" w:type="dxa"/>
            <w:tcBorders>
              <w:top w:val="nil"/>
              <w:left w:val="nil"/>
              <w:bottom w:val="nil"/>
              <w:right w:val="nil"/>
            </w:tcBorders>
            <w:shd w:val="clear" w:color="auto" w:fill="auto"/>
            <w:noWrap/>
            <w:vAlign w:val="bottom"/>
            <w:hideMark/>
          </w:tcPr>
          <w:p w14:paraId="3C03CCA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median</w:t>
            </w:r>
          </w:p>
        </w:tc>
        <w:tc>
          <w:tcPr>
            <w:tcW w:w="261" w:type="dxa"/>
            <w:tcBorders>
              <w:top w:val="nil"/>
              <w:left w:val="nil"/>
              <w:bottom w:val="nil"/>
              <w:right w:val="nil"/>
            </w:tcBorders>
            <w:shd w:val="clear" w:color="auto" w:fill="auto"/>
            <w:noWrap/>
            <w:vAlign w:val="bottom"/>
            <w:hideMark/>
          </w:tcPr>
          <w:p w14:paraId="78CE28F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180725F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&lt; median</w:t>
            </w:r>
          </w:p>
        </w:tc>
        <w:tc>
          <w:tcPr>
            <w:tcW w:w="1051" w:type="dxa"/>
            <w:tcBorders>
              <w:top w:val="nil"/>
              <w:left w:val="nil"/>
              <w:bottom w:val="nil"/>
              <w:right w:val="nil"/>
            </w:tcBorders>
            <w:shd w:val="clear" w:color="auto" w:fill="auto"/>
            <w:noWrap/>
            <w:vAlign w:val="bottom"/>
            <w:hideMark/>
          </w:tcPr>
          <w:p w14:paraId="654917AD" w14:textId="77777777" w:rsidR="00EA725B" w:rsidRPr="0047162D" w:rsidRDefault="00EA725B" w:rsidP="0047162D">
            <w:pPr>
              <w:spacing w:after="0" w:line="240" w:lineRule="auto"/>
              <w:ind w:left="13" w:hanging="13"/>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median</w:t>
            </w:r>
          </w:p>
        </w:tc>
        <w:tc>
          <w:tcPr>
            <w:tcW w:w="261" w:type="dxa"/>
            <w:gridSpan w:val="2"/>
            <w:tcBorders>
              <w:top w:val="nil"/>
              <w:left w:val="nil"/>
              <w:bottom w:val="nil"/>
              <w:right w:val="nil"/>
            </w:tcBorders>
            <w:shd w:val="clear" w:color="auto" w:fill="auto"/>
            <w:noWrap/>
            <w:vAlign w:val="bottom"/>
            <w:hideMark/>
          </w:tcPr>
          <w:p w14:paraId="401E2D9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60C83A0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7C67B4A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318B344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4461632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6724D2EF"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1FF91320" w14:textId="77777777" w:rsidTr="0047162D">
        <w:trPr>
          <w:gridAfter w:val="1"/>
          <w:wAfter w:w="9" w:type="dxa"/>
          <w:trHeight w:val="91"/>
          <w:jc w:val="center"/>
        </w:trPr>
        <w:tc>
          <w:tcPr>
            <w:tcW w:w="2041" w:type="dxa"/>
            <w:tcBorders>
              <w:top w:val="nil"/>
              <w:left w:val="nil"/>
              <w:bottom w:val="single" w:sz="4" w:space="0" w:color="auto"/>
              <w:right w:val="nil"/>
            </w:tcBorders>
            <w:shd w:val="clear" w:color="auto" w:fill="auto"/>
            <w:noWrap/>
            <w:vAlign w:val="bottom"/>
            <w:hideMark/>
          </w:tcPr>
          <w:p w14:paraId="12D6F7D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Model</w:t>
            </w:r>
          </w:p>
        </w:tc>
        <w:tc>
          <w:tcPr>
            <w:tcW w:w="1220" w:type="dxa"/>
            <w:tcBorders>
              <w:top w:val="nil"/>
              <w:left w:val="nil"/>
              <w:bottom w:val="single" w:sz="4" w:space="0" w:color="auto"/>
              <w:right w:val="nil"/>
            </w:tcBorders>
            <w:shd w:val="clear" w:color="auto" w:fill="auto"/>
            <w:noWrap/>
            <w:vAlign w:val="bottom"/>
            <w:hideMark/>
          </w:tcPr>
          <w:p w14:paraId="5BEE055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w:t>
            </w:r>
          </w:p>
        </w:tc>
        <w:tc>
          <w:tcPr>
            <w:tcW w:w="1134" w:type="dxa"/>
            <w:tcBorders>
              <w:top w:val="nil"/>
              <w:left w:val="nil"/>
              <w:bottom w:val="single" w:sz="4" w:space="0" w:color="auto"/>
              <w:right w:val="nil"/>
            </w:tcBorders>
            <w:shd w:val="clear" w:color="auto" w:fill="auto"/>
            <w:noWrap/>
            <w:vAlign w:val="bottom"/>
            <w:hideMark/>
          </w:tcPr>
          <w:p w14:paraId="554F8A1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(2)</w:t>
            </w:r>
          </w:p>
        </w:tc>
        <w:tc>
          <w:tcPr>
            <w:tcW w:w="261" w:type="dxa"/>
            <w:tcBorders>
              <w:top w:val="nil"/>
              <w:left w:val="nil"/>
              <w:bottom w:val="single" w:sz="4" w:space="0" w:color="auto"/>
              <w:right w:val="nil"/>
            </w:tcBorders>
            <w:shd w:val="clear" w:color="auto" w:fill="auto"/>
            <w:noWrap/>
            <w:vAlign w:val="bottom"/>
            <w:hideMark/>
          </w:tcPr>
          <w:p w14:paraId="6772342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14" w:type="dxa"/>
            <w:gridSpan w:val="2"/>
            <w:tcBorders>
              <w:top w:val="nil"/>
              <w:left w:val="nil"/>
              <w:bottom w:val="single" w:sz="4" w:space="0" w:color="auto"/>
              <w:right w:val="nil"/>
            </w:tcBorders>
            <w:shd w:val="clear" w:color="auto" w:fill="auto"/>
            <w:noWrap/>
            <w:vAlign w:val="bottom"/>
            <w:hideMark/>
          </w:tcPr>
          <w:p w14:paraId="2347B02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(3)</w:t>
            </w:r>
          </w:p>
        </w:tc>
        <w:tc>
          <w:tcPr>
            <w:tcW w:w="1051" w:type="dxa"/>
            <w:tcBorders>
              <w:top w:val="nil"/>
              <w:left w:val="nil"/>
              <w:bottom w:val="single" w:sz="4" w:space="0" w:color="auto"/>
              <w:right w:val="nil"/>
            </w:tcBorders>
            <w:shd w:val="clear" w:color="auto" w:fill="auto"/>
            <w:noWrap/>
            <w:vAlign w:val="bottom"/>
            <w:hideMark/>
          </w:tcPr>
          <w:p w14:paraId="103DCF4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(4)</w:t>
            </w:r>
          </w:p>
        </w:tc>
        <w:tc>
          <w:tcPr>
            <w:tcW w:w="261" w:type="dxa"/>
            <w:gridSpan w:val="2"/>
            <w:tcBorders>
              <w:top w:val="nil"/>
              <w:left w:val="nil"/>
              <w:bottom w:val="single" w:sz="4" w:space="0" w:color="auto"/>
              <w:right w:val="nil"/>
            </w:tcBorders>
            <w:shd w:val="clear" w:color="auto" w:fill="auto"/>
            <w:noWrap/>
            <w:vAlign w:val="bottom"/>
            <w:hideMark/>
          </w:tcPr>
          <w:p w14:paraId="2E452A4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2E74106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(5)</w:t>
            </w:r>
          </w:p>
        </w:tc>
        <w:tc>
          <w:tcPr>
            <w:tcW w:w="295" w:type="dxa"/>
            <w:gridSpan w:val="2"/>
            <w:tcBorders>
              <w:top w:val="nil"/>
              <w:left w:val="nil"/>
              <w:bottom w:val="single" w:sz="4" w:space="0" w:color="auto"/>
              <w:right w:val="nil"/>
            </w:tcBorders>
            <w:shd w:val="clear" w:color="auto" w:fill="auto"/>
            <w:noWrap/>
            <w:vAlign w:val="bottom"/>
            <w:hideMark/>
          </w:tcPr>
          <w:p w14:paraId="35A6301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4390833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(6)</w:t>
            </w:r>
          </w:p>
        </w:tc>
        <w:tc>
          <w:tcPr>
            <w:tcW w:w="261" w:type="dxa"/>
            <w:gridSpan w:val="2"/>
            <w:tcBorders>
              <w:top w:val="nil"/>
              <w:left w:val="nil"/>
              <w:bottom w:val="single" w:sz="4" w:space="0" w:color="auto"/>
              <w:right w:val="nil"/>
            </w:tcBorders>
            <w:shd w:val="clear" w:color="auto" w:fill="auto"/>
            <w:noWrap/>
            <w:vAlign w:val="bottom"/>
            <w:hideMark/>
          </w:tcPr>
          <w:p w14:paraId="1A06445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208" w:type="dxa"/>
            <w:gridSpan w:val="3"/>
            <w:tcBorders>
              <w:top w:val="nil"/>
              <w:left w:val="nil"/>
              <w:bottom w:val="single" w:sz="4" w:space="0" w:color="auto"/>
              <w:right w:val="nil"/>
            </w:tcBorders>
            <w:shd w:val="clear" w:color="auto" w:fill="auto"/>
            <w:noWrap/>
            <w:vAlign w:val="bottom"/>
            <w:hideMark/>
          </w:tcPr>
          <w:p w14:paraId="7D78D7B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(7)</w:t>
            </w:r>
          </w:p>
        </w:tc>
      </w:tr>
      <w:tr w:rsidR="00EA725B" w:rsidRPr="00EA725B" w14:paraId="6D60D18D"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315F8592"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Constant</w:t>
            </w:r>
          </w:p>
        </w:tc>
        <w:tc>
          <w:tcPr>
            <w:tcW w:w="1220" w:type="dxa"/>
            <w:tcBorders>
              <w:top w:val="nil"/>
              <w:left w:val="nil"/>
              <w:bottom w:val="nil"/>
              <w:right w:val="nil"/>
            </w:tcBorders>
            <w:shd w:val="clear" w:color="auto" w:fill="auto"/>
            <w:noWrap/>
            <w:vAlign w:val="bottom"/>
            <w:hideMark/>
          </w:tcPr>
          <w:p w14:paraId="38940EC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-3.425</w:t>
            </w:r>
          </w:p>
        </w:tc>
        <w:tc>
          <w:tcPr>
            <w:tcW w:w="1134" w:type="dxa"/>
            <w:tcBorders>
              <w:top w:val="nil"/>
              <w:left w:val="nil"/>
              <w:bottom w:val="nil"/>
              <w:right w:val="nil"/>
            </w:tcBorders>
            <w:shd w:val="clear" w:color="auto" w:fill="auto"/>
            <w:noWrap/>
            <w:vAlign w:val="bottom"/>
            <w:hideMark/>
          </w:tcPr>
          <w:p w14:paraId="2308A35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18.166**</w:t>
            </w:r>
          </w:p>
        </w:tc>
        <w:tc>
          <w:tcPr>
            <w:tcW w:w="261" w:type="dxa"/>
            <w:tcBorders>
              <w:top w:val="nil"/>
              <w:left w:val="nil"/>
              <w:bottom w:val="nil"/>
              <w:right w:val="nil"/>
            </w:tcBorders>
            <w:shd w:val="clear" w:color="auto" w:fill="auto"/>
            <w:noWrap/>
            <w:vAlign w:val="bottom"/>
            <w:hideMark/>
          </w:tcPr>
          <w:p w14:paraId="1D701F4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716C76E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9.417***</w:t>
            </w:r>
          </w:p>
        </w:tc>
        <w:tc>
          <w:tcPr>
            <w:tcW w:w="1051" w:type="dxa"/>
            <w:tcBorders>
              <w:top w:val="nil"/>
              <w:left w:val="nil"/>
              <w:bottom w:val="nil"/>
              <w:right w:val="nil"/>
            </w:tcBorders>
            <w:shd w:val="clear" w:color="auto" w:fill="auto"/>
            <w:noWrap/>
            <w:vAlign w:val="bottom"/>
            <w:hideMark/>
          </w:tcPr>
          <w:p w14:paraId="691A57C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15.074***</w:t>
            </w:r>
          </w:p>
        </w:tc>
        <w:tc>
          <w:tcPr>
            <w:tcW w:w="261" w:type="dxa"/>
            <w:gridSpan w:val="2"/>
            <w:tcBorders>
              <w:top w:val="nil"/>
              <w:left w:val="nil"/>
              <w:bottom w:val="nil"/>
              <w:right w:val="nil"/>
            </w:tcBorders>
            <w:shd w:val="clear" w:color="auto" w:fill="auto"/>
            <w:noWrap/>
            <w:vAlign w:val="bottom"/>
            <w:hideMark/>
          </w:tcPr>
          <w:p w14:paraId="32A661C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340306F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13.113***</w:t>
            </w:r>
          </w:p>
        </w:tc>
        <w:tc>
          <w:tcPr>
            <w:tcW w:w="295" w:type="dxa"/>
            <w:gridSpan w:val="2"/>
            <w:tcBorders>
              <w:top w:val="nil"/>
              <w:left w:val="nil"/>
              <w:bottom w:val="nil"/>
              <w:right w:val="nil"/>
            </w:tcBorders>
            <w:shd w:val="clear" w:color="auto" w:fill="auto"/>
            <w:noWrap/>
            <w:vAlign w:val="bottom"/>
            <w:hideMark/>
          </w:tcPr>
          <w:p w14:paraId="732FC1A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0A24B77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12.830***</w:t>
            </w:r>
          </w:p>
        </w:tc>
        <w:tc>
          <w:tcPr>
            <w:tcW w:w="261" w:type="dxa"/>
            <w:gridSpan w:val="2"/>
            <w:tcBorders>
              <w:top w:val="nil"/>
              <w:left w:val="nil"/>
              <w:bottom w:val="nil"/>
              <w:right w:val="nil"/>
            </w:tcBorders>
            <w:shd w:val="clear" w:color="auto" w:fill="auto"/>
            <w:noWrap/>
            <w:vAlign w:val="bottom"/>
            <w:hideMark/>
          </w:tcPr>
          <w:p w14:paraId="3D9E8ED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06D9D22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12.600***</w:t>
            </w:r>
          </w:p>
        </w:tc>
      </w:tr>
      <w:tr w:rsidR="00EA725B" w:rsidRPr="00EA725B" w14:paraId="03173546"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3653F9D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20" w:type="dxa"/>
            <w:tcBorders>
              <w:top w:val="nil"/>
              <w:left w:val="nil"/>
              <w:bottom w:val="nil"/>
              <w:right w:val="nil"/>
            </w:tcBorders>
            <w:shd w:val="clear" w:color="auto" w:fill="auto"/>
            <w:noWrap/>
            <w:vAlign w:val="bottom"/>
            <w:hideMark/>
          </w:tcPr>
          <w:p w14:paraId="4EA3C0D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(10.202)</w:t>
            </w:r>
          </w:p>
        </w:tc>
        <w:tc>
          <w:tcPr>
            <w:tcW w:w="1134" w:type="dxa"/>
            <w:tcBorders>
              <w:top w:val="nil"/>
              <w:left w:val="nil"/>
              <w:bottom w:val="nil"/>
              <w:right w:val="nil"/>
            </w:tcBorders>
            <w:shd w:val="clear" w:color="auto" w:fill="auto"/>
            <w:noWrap/>
            <w:vAlign w:val="bottom"/>
            <w:hideMark/>
          </w:tcPr>
          <w:p w14:paraId="7B29998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(8.950)</w:t>
            </w:r>
          </w:p>
        </w:tc>
        <w:tc>
          <w:tcPr>
            <w:tcW w:w="261" w:type="dxa"/>
            <w:tcBorders>
              <w:top w:val="nil"/>
              <w:left w:val="nil"/>
              <w:bottom w:val="nil"/>
              <w:right w:val="nil"/>
            </w:tcBorders>
            <w:shd w:val="clear" w:color="auto" w:fill="auto"/>
            <w:noWrap/>
            <w:vAlign w:val="bottom"/>
            <w:hideMark/>
          </w:tcPr>
          <w:p w14:paraId="05F383F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6A1A964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(2.477)</w:t>
            </w:r>
          </w:p>
        </w:tc>
        <w:tc>
          <w:tcPr>
            <w:tcW w:w="1051" w:type="dxa"/>
            <w:tcBorders>
              <w:top w:val="nil"/>
              <w:left w:val="nil"/>
              <w:bottom w:val="nil"/>
              <w:right w:val="nil"/>
            </w:tcBorders>
            <w:shd w:val="clear" w:color="auto" w:fill="auto"/>
            <w:noWrap/>
            <w:vAlign w:val="bottom"/>
            <w:hideMark/>
          </w:tcPr>
          <w:p w14:paraId="19045C8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(2.958)</w:t>
            </w:r>
          </w:p>
        </w:tc>
        <w:tc>
          <w:tcPr>
            <w:tcW w:w="261" w:type="dxa"/>
            <w:gridSpan w:val="2"/>
            <w:tcBorders>
              <w:top w:val="nil"/>
              <w:left w:val="nil"/>
              <w:bottom w:val="nil"/>
              <w:right w:val="nil"/>
            </w:tcBorders>
            <w:shd w:val="clear" w:color="auto" w:fill="auto"/>
            <w:noWrap/>
            <w:vAlign w:val="bottom"/>
            <w:hideMark/>
          </w:tcPr>
          <w:p w14:paraId="575E004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4C3E8DB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(2.218)</w:t>
            </w:r>
          </w:p>
        </w:tc>
        <w:tc>
          <w:tcPr>
            <w:tcW w:w="295" w:type="dxa"/>
            <w:gridSpan w:val="2"/>
            <w:tcBorders>
              <w:top w:val="nil"/>
              <w:left w:val="nil"/>
              <w:bottom w:val="nil"/>
              <w:right w:val="nil"/>
            </w:tcBorders>
            <w:shd w:val="clear" w:color="auto" w:fill="auto"/>
            <w:noWrap/>
            <w:vAlign w:val="bottom"/>
            <w:hideMark/>
          </w:tcPr>
          <w:p w14:paraId="16CECBF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1672B41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(2.283)</w:t>
            </w:r>
          </w:p>
        </w:tc>
        <w:tc>
          <w:tcPr>
            <w:tcW w:w="261" w:type="dxa"/>
            <w:gridSpan w:val="2"/>
            <w:tcBorders>
              <w:top w:val="nil"/>
              <w:left w:val="nil"/>
              <w:bottom w:val="nil"/>
              <w:right w:val="nil"/>
            </w:tcBorders>
            <w:shd w:val="clear" w:color="auto" w:fill="auto"/>
            <w:noWrap/>
            <w:vAlign w:val="bottom"/>
            <w:hideMark/>
          </w:tcPr>
          <w:p w14:paraId="4972D00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54A2C2C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(2.353)</w:t>
            </w:r>
          </w:p>
        </w:tc>
      </w:tr>
      <w:tr w:rsidR="00EA725B" w:rsidRPr="00EA725B" w14:paraId="01611695"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2C635DE7"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LC</w:t>
            </w:r>
          </w:p>
        </w:tc>
        <w:tc>
          <w:tcPr>
            <w:tcW w:w="1220" w:type="dxa"/>
            <w:tcBorders>
              <w:top w:val="nil"/>
              <w:left w:val="nil"/>
              <w:bottom w:val="nil"/>
              <w:right w:val="nil"/>
            </w:tcBorders>
            <w:shd w:val="clear" w:color="auto" w:fill="auto"/>
            <w:noWrap/>
            <w:vAlign w:val="bottom"/>
            <w:hideMark/>
          </w:tcPr>
          <w:p w14:paraId="7B16257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0.089***</w:t>
            </w:r>
          </w:p>
        </w:tc>
        <w:tc>
          <w:tcPr>
            <w:tcW w:w="1134" w:type="dxa"/>
            <w:tcBorders>
              <w:top w:val="nil"/>
              <w:left w:val="nil"/>
              <w:bottom w:val="nil"/>
              <w:right w:val="nil"/>
            </w:tcBorders>
            <w:shd w:val="clear" w:color="auto" w:fill="auto"/>
            <w:noWrap/>
            <w:vAlign w:val="bottom"/>
            <w:hideMark/>
          </w:tcPr>
          <w:p w14:paraId="1BA8EA3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0.190***</w:t>
            </w:r>
          </w:p>
        </w:tc>
        <w:tc>
          <w:tcPr>
            <w:tcW w:w="261" w:type="dxa"/>
            <w:tcBorders>
              <w:top w:val="nil"/>
              <w:left w:val="nil"/>
              <w:bottom w:val="nil"/>
              <w:right w:val="nil"/>
            </w:tcBorders>
            <w:shd w:val="clear" w:color="auto" w:fill="auto"/>
            <w:noWrap/>
            <w:vAlign w:val="bottom"/>
            <w:hideMark/>
          </w:tcPr>
          <w:p w14:paraId="3A2E875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260BE1E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0.051</w:t>
            </w:r>
          </w:p>
        </w:tc>
        <w:tc>
          <w:tcPr>
            <w:tcW w:w="1051" w:type="dxa"/>
            <w:tcBorders>
              <w:top w:val="nil"/>
              <w:left w:val="nil"/>
              <w:bottom w:val="nil"/>
              <w:right w:val="nil"/>
            </w:tcBorders>
            <w:shd w:val="clear" w:color="auto" w:fill="auto"/>
            <w:noWrap/>
            <w:vAlign w:val="bottom"/>
            <w:hideMark/>
          </w:tcPr>
          <w:p w14:paraId="30E598E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0.234***</w:t>
            </w:r>
          </w:p>
        </w:tc>
        <w:tc>
          <w:tcPr>
            <w:tcW w:w="261" w:type="dxa"/>
            <w:gridSpan w:val="2"/>
            <w:tcBorders>
              <w:top w:val="nil"/>
              <w:left w:val="nil"/>
              <w:bottom w:val="nil"/>
              <w:right w:val="nil"/>
            </w:tcBorders>
            <w:shd w:val="clear" w:color="auto" w:fill="auto"/>
            <w:noWrap/>
            <w:vAlign w:val="bottom"/>
            <w:hideMark/>
          </w:tcPr>
          <w:p w14:paraId="7327D52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5A28D69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0.096***</w:t>
            </w:r>
          </w:p>
        </w:tc>
        <w:tc>
          <w:tcPr>
            <w:tcW w:w="295" w:type="dxa"/>
            <w:gridSpan w:val="2"/>
            <w:tcBorders>
              <w:top w:val="nil"/>
              <w:left w:val="nil"/>
              <w:bottom w:val="nil"/>
              <w:right w:val="nil"/>
            </w:tcBorders>
            <w:shd w:val="clear" w:color="auto" w:fill="auto"/>
            <w:noWrap/>
            <w:vAlign w:val="bottom"/>
            <w:hideMark/>
          </w:tcPr>
          <w:p w14:paraId="6BBE2DB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79EC6F7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0.088***</w:t>
            </w:r>
          </w:p>
        </w:tc>
        <w:tc>
          <w:tcPr>
            <w:tcW w:w="261" w:type="dxa"/>
            <w:gridSpan w:val="2"/>
            <w:tcBorders>
              <w:top w:val="nil"/>
              <w:left w:val="nil"/>
              <w:bottom w:val="nil"/>
              <w:right w:val="nil"/>
            </w:tcBorders>
            <w:shd w:val="clear" w:color="auto" w:fill="auto"/>
            <w:noWrap/>
            <w:vAlign w:val="bottom"/>
            <w:hideMark/>
          </w:tcPr>
          <w:p w14:paraId="7E7C111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78A8DE3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0.075***</w:t>
            </w:r>
          </w:p>
        </w:tc>
      </w:tr>
      <w:tr w:rsidR="00EA725B" w:rsidRPr="00EA725B" w14:paraId="66CA2503"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04AC13B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20" w:type="dxa"/>
            <w:tcBorders>
              <w:top w:val="nil"/>
              <w:left w:val="nil"/>
              <w:bottom w:val="nil"/>
              <w:right w:val="nil"/>
            </w:tcBorders>
            <w:shd w:val="clear" w:color="auto" w:fill="auto"/>
            <w:noWrap/>
            <w:vAlign w:val="bottom"/>
            <w:hideMark/>
          </w:tcPr>
          <w:p w14:paraId="587C44A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(0.034)</w:t>
            </w:r>
          </w:p>
        </w:tc>
        <w:tc>
          <w:tcPr>
            <w:tcW w:w="1134" w:type="dxa"/>
            <w:tcBorders>
              <w:top w:val="nil"/>
              <w:left w:val="nil"/>
              <w:bottom w:val="nil"/>
              <w:right w:val="nil"/>
            </w:tcBorders>
            <w:shd w:val="clear" w:color="auto" w:fill="auto"/>
            <w:noWrap/>
            <w:vAlign w:val="bottom"/>
            <w:hideMark/>
          </w:tcPr>
          <w:p w14:paraId="3263318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(0.034)</w:t>
            </w:r>
          </w:p>
        </w:tc>
        <w:tc>
          <w:tcPr>
            <w:tcW w:w="261" w:type="dxa"/>
            <w:tcBorders>
              <w:top w:val="nil"/>
              <w:left w:val="nil"/>
              <w:bottom w:val="nil"/>
              <w:right w:val="nil"/>
            </w:tcBorders>
            <w:shd w:val="clear" w:color="auto" w:fill="auto"/>
            <w:noWrap/>
            <w:vAlign w:val="bottom"/>
            <w:hideMark/>
          </w:tcPr>
          <w:p w14:paraId="226F63E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2659662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(0.032)</w:t>
            </w:r>
          </w:p>
        </w:tc>
        <w:tc>
          <w:tcPr>
            <w:tcW w:w="1051" w:type="dxa"/>
            <w:tcBorders>
              <w:top w:val="nil"/>
              <w:left w:val="nil"/>
              <w:bottom w:val="nil"/>
              <w:right w:val="nil"/>
            </w:tcBorders>
            <w:shd w:val="clear" w:color="auto" w:fill="auto"/>
            <w:noWrap/>
            <w:vAlign w:val="bottom"/>
            <w:hideMark/>
          </w:tcPr>
          <w:p w14:paraId="4EB16F1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(0.038)</w:t>
            </w:r>
          </w:p>
        </w:tc>
        <w:tc>
          <w:tcPr>
            <w:tcW w:w="261" w:type="dxa"/>
            <w:gridSpan w:val="2"/>
            <w:tcBorders>
              <w:top w:val="nil"/>
              <w:left w:val="nil"/>
              <w:bottom w:val="nil"/>
              <w:right w:val="nil"/>
            </w:tcBorders>
            <w:shd w:val="clear" w:color="auto" w:fill="auto"/>
            <w:noWrap/>
            <w:vAlign w:val="bottom"/>
            <w:hideMark/>
          </w:tcPr>
          <w:p w14:paraId="0800902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18A772E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(0.019)</w:t>
            </w:r>
          </w:p>
        </w:tc>
        <w:tc>
          <w:tcPr>
            <w:tcW w:w="295" w:type="dxa"/>
            <w:gridSpan w:val="2"/>
            <w:tcBorders>
              <w:top w:val="nil"/>
              <w:left w:val="nil"/>
              <w:bottom w:val="nil"/>
              <w:right w:val="nil"/>
            </w:tcBorders>
            <w:shd w:val="clear" w:color="auto" w:fill="auto"/>
            <w:noWrap/>
            <w:vAlign w:val="bottom"/>
            <w:hideMark/>
          </w:tcPr>
          <w:p w14:paraId="6AF0B58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2F6FF3A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(0.027)</w:t>
            </w:r>
          </w:p>
        </w:tc>
        <w:tc>
          <w:tcPr>
            <w:tcW w:w="261" w:type="dxa"/>
            <w:gridSpan w:val="2"/>
            <w:tcBorders>
              <w:top w:val="nil"/>
              <w:left w:val="nil"/>
              <w:bottom w:val="nil"/>
              <w:right w:val="nil"/>
            </w:tcBorders>
            <w:shd w:val="clear" w:color="auto" w:fill="auto"/>
            <w:noWrap/>
            <w:vAlign w:val="bottom"/>
            <w:hideMark/>
          </w:tcPr>
          <w:p w14:paraId="74E3F73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688F916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(0.022)</w:t>
            </w:r>
          </w:p>
        </w:tc>
      </w:tr>
      <w:tr w:rsidR="00EA725B" w:rsidRPr="00EA725B" w14:paraId="35039A07"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73FAC2F2"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roofErr w:type="spellStart"/>
            <w:r w:rsidRPr="0047162D">
              <w:rPr>
                <w:rFonts w:ascii="Times New Roman" w:eastAsia="Times New Roman" w:hAnsi="Times New Roman" w:cs="Times New Roman"/>
                <w:i/>
                <w:iCs/>
                <w:color w:val="000000"/>
                <w:sz w:val="18"/>
                <w:szCs w:val="18"/>
              </w:rPr>
              <w:t>Readability_FOG</w:t>
            </w:r>
            <w:proofErr w:type="spellEnd"/>
          </w:p>
        </w:tc>
        <w:tc>
          <w:tcPr>
            <w:tcW w:w="1220" w:type="dxa"/>
            <w:tcBorders>
              <w:top w:val="nil"/>
              <w:left w:val="nil"/>
              <w:bottom w:val="nil"/>
              <w:right w:val="nil"/>
            </w:tcBorders>
            <w:shd w:val="clear" w:color="auto" w:fill="auto"/>
            <w:noWrap/>
            <w:vAlign w:val="bottom"/>
            <w:hideMark/>
          </w:tcPr>
          <w:p w14:paraId="7615BC7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-1.383</w:t>
            </w:r>
          </w:p>
        </w:tc>
        <w:tc>
          <w:tcPr>
            <w:tcW w:w="1134" w:type="dxa"/>
            <w:tcBorders>
              <w:top w:val="nil"/>
              <w:left w:val="nil"/>
              <w:bottom w:val="nil"/>
              <w:right w:val="nil"/>
            </w:tcBorders>
            <w:shd w:val="clear" w:color="auto" w:fill="auto"/>
            <w:noWrap/>
            <w:vAlign w:val="bottom"/>
            <w:hideMark/>
          </w:tcPr>
          <w:p w14:paraId="3AEC197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0.455</w:t>
            </w:r>
          </w:p>
        </w:tc>
        <w:tc>
          <w:tcPr>
            <w:tcW w:w="261" w:type="dxa"/>
            <w:tcBorders>
              <w:top w:val="nil"/>
              <w:left w:val="nil"/>
              <w:bottom w:val="nil"/>
              <w:right w:val="nil"/>
            </w:tcBorders>
            <w:shd w:val="clear" w:color="auto" w:fill="auto"/>
            <w:noWrap/>
            <w:vAlign w:val="bottom"/>
            <w:hideMark/>
          </w:tcPr>
          <w:p w14:paraId="0E9ABEC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6195C77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4A12CF2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4EA2666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473F900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6C862E9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72B752D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7DF0F9A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20A6AB3A"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3DA96D6D"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6638BCB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29AD48F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(1.117)</w:t>
            </w:r>
          </w:p>
        </w:tc>
        <w:tc>
          <w:tcPr>
            <w:tcW w:w="1134" w:type="dxa"/>
            <w:tcBorders>
              <w:top w:val="nil"/>
              <w:left w:val="nil"/>
              <w:bottom w:val="nil"/>
              <w:right w:val="nil"/>
            </w:tcBorders>
            <w:shd w:val="clear" w:color="auto" w:fill="auto"/>
            <w:noWrap/>
            <w:vAlign w:val="bottom"/>
            <w:hideMark/>
          </w:tcPr>
          <w:p w14:paraId="77D62A2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(1.695)</w:t>
            </w:r>
          </w:p>
        </w:tc>
        <w:tc>
          <w:tcPr>
            <w:tcW w:w="261" w:type="dxa"/>
            <w:tcBorders>
              <w:top w:val="nil"/>
              <w:left w:val="nil"/>
              <w:bottom w:val="nil"/>
              <w:right w:val="nil"/>
            </w:tcBorders>
            <w:shd w:val="clear" w:color="auto" w:fill="auto"/>
            <w:noWrap/>
            <w:vAlign w:val="bottom"/>
            <w:hideMark/>
          </w:tcPr>
          <w:p w14:paraId="6E1C6AB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5335F59F"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581CAF33"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5F7A1A9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6A5AA4E9"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3275763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F458B6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0A00C8D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5B253685"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252FBEE9"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27D7B1A9"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roofErr w:type="spellStart"/>
            <w:r w:rsidRPr="0047162D">
              <w:rPr>
                <w:rFonts w:ascii="Times New Roman" w:eastAsia="Times New Roman" w:hAnsi="Times New Roman" w:cs="Times New Roman"/>
                <w:i/>
                <w:iCs/>
                <w:color w:val="000000"/>
                <w:sz w:val="18"/>
                <w:szCs w:val="18"/>
              </w:rPr>
              <w:t>Readability_FOG.square</w:t>
            </w:r>
            <w:proofErr w:type="spellEnd"/>
          </w:p>
        </w:tc>
        <w:tc>
          <w:tcPr>
            <w:tcW w:w="1220" w:type="dxa"/>
            <w:tcBorders>
              <w:top w:val="nil"/>
              <w:left w:val="nil"/>
              <w:bottom w:val="nil"/>
              <w:right w:val="nil"/>
            </w:tcBorders>
            <w:shd w:val="clear" w:color="auto" w:fill="auto"/>
            <w:noWrap/>
            <w:vAlign w:val="bottom"/>
            <w:hideMark/>
          </w:tcPr>
          <w:p w14:paraId="18C769A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-0.038</w:t>
            </w:r>
          </w:p>
        </w:tc>
        <w:tc>
          <w:tcPr>
            <w:tcW w:w="1134" w:type="dxa"/>
            <w:tcBorders>
              <w:top w:val="nil"/>
              <w:left w:val="nil"/>
              <w:bottom w:val="nil"/>
              <w:right w:val="nil"/>
            </w:tcBorders>
            <w:shd w:val="clear" w:color="auto" w:fill="auto"/>
            <w:noWrap/>
            <w:vAlign w:val="bottom"/>
            <w:hideMark/>
          </w:tcPr>
          <w:p w14:paraId="352DDE0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0.019</w:t>
            </w:r>
          </w:p>
        </w:tc>
        <w:tc>
          <w:tcPr>
            <w:tcW w:w="261" w:type="dxa"/>
            <w:tcBorders>
              <w:top w:val="nil"/>
              <w:left w:val="nil"/>
              <w:bottom w:val="nil"/>
              <w:right w:val="nil"/>
            </w:tcBorders>
            <w:shd w:val="clear" w:color="auto" w:fill="auto"/>
            <w:noWrap/>
            <w:vAlign w:val="bottom"/>
            <w:hideMark/>
          </w:tcPr>
          <w:p w14:paraId="3BAC682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602441F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6A03512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1C4C6C3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3AE0D5F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5E7D705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0D4AE2D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0CED1EE9"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7FC78B16"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733E476E"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33BBA41F"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40940AE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(0.031)</w:t>
            </w:r>
          </w:p>
        </w:tc>
        <w:tc>
          <w:tcPr>
            <w:tcW w:w="1134" w:type="dxa"/>
            <w:tcBorders>
              <w:top w:val="nil"/>
              <w:left w:val="nil"/>
              <w:bottom w:val="nil"/>
              <w:right w:val="nil"/>
            </w:tcBorders>
            <w:shd w:val="clear" w:color="auto" w:fill="auto"/>
            <w:noWrap/>
            <w:vAlign w:val="bottom"/>
            <w:hideMark/>
          </w:tcPr>
          <w:p w14:paraId="0A744C3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(0.064)</w:t>
            </w:r>
          </w:p>
        </w:tc>
        <w:tc>
          <w:tcPr>
            <w:tcW w:w="261" w:type="dxa"/>
            <w:tcBorders>
              <w:top w:val="nil"/>
              <w:left w:val="nil"/>
              <w:bottom w:val="nil"/>
              <w:right w:val="nil"/>
            </w:tcBorders>
            <w:shd w:val="clear" w:color="auto" w:fill="auto"/>
            <w:noWrap/>
            <w:vAlign w:val="bottom"/>
            <w:hideMark/>
          </w:tcPr>
          <w:p w14:paraId="2A9CA83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56EDC50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7AABA9B3"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269A3F4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067A350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195103C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40B49B4"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501758C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2AB4C034"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2BB412A4"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37473E2C"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roofErr w:type="spellStart"/>
            <w:r w:rsidRPr="0047162D">
              <w:rPr>
                <w:rFonts w:ascii="Times New Roman" w:eastAsia="Times New Roman" w:hAnsi="Times New Roman" w:cs="Times New Roman"/>
                <w:i/>
                <w:iCs/>
                <w:color w:val="000000"/>
                <w:sz w:val="18"/>
                <w:szCs w:val="18"/>
              </w:rPr>
              <w:t>Readability_Size</w:t>
            </w:r>
            <w:proofErr w:type="spellEnd"/>
          </w:p>
        </w:tc>
        <w:tc>
          <w:tcPr>
            <w:tcW w:w="1220" w:type="dxa"/>
            <w:tcBorders>
              <w:top w:val="nil"/>
              <w:left w:val="nil"/>
              <w:bottom w:val="nil"/>
              <w:right w:val="nil"/>
            </w:tcBorders>
            <w:shd w:val="clear" w:color="auto" w:fill="auto"/>
            <w:noWrap/>
            <w:vAlign w:val="bottom"/>
            <w:hideMark/>
          </w:tcPr>
          <w:p w14:paraId="4328F786"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
        </w:tc>
        <w:tc>
          <w:tcPr>
            <w:tcW w:w="1134" w:type="dxa"/>
            <w:tcBorders>
              <w:top w:val="nil"/>
              <w:left w:val="nil"/>
              <w:bottom w:val="nil"/>
              <w:right w:val="nil"/>
            </w:tcBorders>
            <w:shd w:val="clear" w:color="auto" w:fill="auto"/>
            <w:noWrap/>
            <w:vAlign w:val="bottom"/>
            <w:hideMark/>
          </w:tcPr>
          <w:p w14:paraId="15ACABD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1C4940F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414EA9E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0.008</w:t>
            </w:r>
          </w:p>
        </w:tc>
        <w:tc>
          <w:tcPr>
            <w:tcW w:w="1051" w:type="dxa"/>
            <w:tcBorders>
              <w:top w:val="nil"/>
              <w:left w:val="nil"/>
              <w:bottom w:val="nil"/>
              <w:right w:val="nil"/>
            </w:tcBorders>
            <w:shd w:val="clear" w:color="auto" w:fill="auto"/>
            <w:noWrap/>
            <w:vAlign w:val="bottom"/>
            <w:hideMark/>
          </w:tcPr>
          <w:p w14:paraId="01D9297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0.042</w:t>
            </w:r>
          </w:p>
        </w:tc>
        <w:tc>
          <w:tcPr>
            <w:tcW w:w="261" w:type="dxa"/>
            <w:gridSpan w:val="2"/>
            <w:tcBorders>
              <w:top w:val="nil"/>
              <w:left w:val="nil"/>
              <w:bottom w:val="nil"/>
              <w:right w:val="nil"/>
            </w:tcBorders>
            <w:shd w:val="clear" w:color="auto" w:fill="auto"/>
            <w:noWrap/>
            <w:vAlign w:val="bottom"/>
            <w:hideMark/>
          </w:tcPr>
          <w:p w14:paraId="03194BB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7C7AAB3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0908020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13425B4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73B5588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0F1174A2"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2060D15E"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363BE25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3267D9E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14:paraId="551E939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11119FB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6C28F35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(0.014)</w:t>
            </w:r>
          </w:p>
        </w:tc>
        <w:tc>
          <w:tcPr>
            <w:tcW w:w="1051" w:type="dxa"/>
            <w:tcBorders>
              <w:top w:val="nil"/>
              <w:left w:val="nil"/>
              <w:bottom w:val="nil"/>
              <w:right w:val="nil"/>
            </w:tcBorders>
            <w:shd w:val="clear" w:color="auto" w:fill="auto"/>
            <w:noWrap/>
            <w:vAlign w:val="bottom"/>
            <w:hideMark/>
          </w:tcPr>
          <w:p w14:paraId="7A0D265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(0.081)</w:t>
            </w:r>
          </w:p>
        </w:tc>
        <w:tc>
          <w:tcPr>
            <w:tcW w:w="261" w:type="dxa"/>
            <w:gridSpan w:val="2"/>
            <w:tcBorders>
              <w:top w:val="nil"/>
              <w:left w:val="nil"/>
              <w:bottom w:val="nil"/>
              <w:right w:val="nil"/>
            </w:tcBorders>
            <w:shd w:val="clear" w:color="auto" w:fill="auto"/>
            <w:noWrap/>
            <w:vAlign w:val="bottom"/>
            <w:hideMark/>
          </w:tcPr>
          <w:p w14:paraId="6585365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42838EB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4C07B34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E75F46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6E2ECB9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14446EF1"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251C7E76"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3D4CD75E"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roofErr w:type="spellStart"/>
            <w:r w:rsidRPr="0047162D">
              <w:rPr>
                <w:rFonts w:ascii="Times New Roman" w:eastAsia="Times New Roman" w:hAnsi="Times New Roman" w:cs="Times New Roman"/>
                <w:i/>
                <w:iCs/>
                <w:color w:val="000000"/>
                <w:sz w:val="18"/>
                <w:szCs w:val="18"/>
              </w:rPr>
              <w:t>Readability_Size.square</w:t>
            </w:r>
            <w:proofErr w:type="spellEnd"/>
          </w:p>
        </w:tc>
        <w:tc>
          <w:tcPr>
            <w:tcW w:w="1220" w:type="dxa"/>
            <w:tcBorders>
              <w:top w:val="nil"/>
              <w:left w:val="nil"/>
              <w:bottom w:val="nil"/>
              <w:right w:val="nil"/>
            </w:tcBorders>
            <w:shd w:val="clear" w:color="auto" w:fill="auto"/>
            <w:noWrap/>
            <w:vAlign w:val="bottom"/>
            <w:hideMark/>
          </w:tcPr>
          <w:p w14:paraId="47EF1148"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
        </w:tc>
        <w:tc>
          <w:tcPr>
            <w:tcW w:w="1134" w:type="dxa"/>
            <w:tcBorders>
              <w:top w:val="nil"/>
              <w:left w:val="nil"/>
              <w:bottom w:val="nil"/>
              <w:right w:val="nil"/>
            </w:tcBorders>
            <w:shd w:val="clear" w:color="auto" w:fill="auto"/>
            <w:noWrap/>
            <w:vAlign w:val="bottom"/>
            <w:hideMark/>
          </w:tcPr>
          <w:p w14:paraId="3976D2B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1E7EB55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7DFF6B9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0.0001</w:t>
            </w:r>
          </w:p>
        </w:tc>
        <w:tc>
          <w:tcPr>
            <w:tcW w:w="1051" w:type="dxa"/>
            <w:tcBorders>
              <w:top w:val="nil"/>
              <w:left w:val="nil"/>
              <w:bottom w:val="nil"/>
              <w:right w:val="nil"/>
            </w:tcBorders>
            <w:shd w:val="clear" w:color="auto" w:fill="auto"/>
            <w:noWrap/>
            <w:vAlign w:val="bottom"/>
            <w:hideMark/>
          </w:tcPr>
          <w:p w14:paraId="4ACEBD3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0.001</w:t>
            </w:r>
          </w:p>
        </w:tc>
        <w:tc>
          <w:tcPr>
            <w:tcW w:w="261" w:type="dxa"/>
            <w:gridSpan w:val="2"/>
            <w:tcBorders>
              <w:top w:val="nil"/>
              <w:left w:val="nil"/>
              <w:bottom w:val="nil"/>
              <w:right w:val="nil"/>
            </w:tcBorders>
            <w:shd w:val="clear" w:color="auto" w:fill="auto"/>
            <w:noWrap/>
            <w:vAlign w:val="bottom"/>
            <w:hideMark/>
          </w:tcPr>
          <w:p w14:paraId="783EE17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1F5B97C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17DB4EB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3689C8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6F48AD4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522D0B6F"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19A799DE"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512C463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2A8F760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14:paraId="5CB03C5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7007C63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754C52C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(0.0001)</w:t>
            </w:r>
          </w:p>
        </w:tc>
        <w:tc>
          <w:tcPr>
            <w:tcW w:w="1051" w:type="dxa"/>
            <w:tcBorders>
              <w:top w:val="nil"/>
              <w:left w:val="nil"/>
              <w:bottom w:val="nil"/>
              <w:right w:val="nil"/>
            </w:tcBorders>
            <w:shd w:val="clear" w:color="auto" w:fill="auto"/>
            <w:noWrap/>
            <w:vAlign w:val="bottom"/>
            <w:hideMark/>
          </w:tcPr>
          <w:p w14:paraId="0C10364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(0.002)</w:t>
            </w:r>
          </w:p>
        </w:tc>
        <w:tc>
          <w:tcPr>
            <w:tcW w:w="261" w:type="dxa"/>
            <w:gridSpan w:val="2"/>
            <w:tcBorders>
              <w:top w:val="nil"/>
              <w:left w:val="nil"/>
              <w:bottom w:val="nil"/>
              <w:right w:val="nil"/>
            </w:tcBorders>
            <w:shd w:val="clear" w:color="auto" w:fill="auto"/>
            <w:noWrap/>
            <w:vAlign w:val="bottom"/>
            <w:hideMark/>
          </w:tcPr>
          <w:p w14:paraId="64FFB64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4100DC9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591B976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128BF84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1EC0759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586AF0E0"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6EA50499"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4DC6A0FB"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LC*</w:t>
            </w:r>
            <w:proofErr w:type="spellStart"/>
            <w:r w:rsidRPr="0047162D">
              <w:rPr>
                <w:rFonts w:ascii="Times New Roman" w:eastAsia="Times New Roman" w:hAnsi="Times New Roman" w:cs="Times New Roman"/>
                <w:i/>
                <w:iCs/>
                <w:color w:val="000000"/>
                <w:sz w:val="18"/>
                <w:szCs w:val="18"/>
              </w:rPr>
              <w:t>Readability_Flesch</w:t>
            </w:r>
            <w:proofErr w:type="spellEnd"/>
          </w:p>
        </w:tc>
        <w:tc>
          <w:tcPr>
            <w:tcW w:w="1220" w:type="dxa"/>
            <w:tcBorders>
              <w:top w:val="nil"/>
              <w:left w:val="nil"/>
              <w:bottom w:val="nil"/>
              <w:right w:val="nil"/>
            </w:tcBorders>
            <w:shd w:val="clear" w:color="auto" w:fill="auto"/>
            <w:noWrap/>
            <w:vAlign w:val="bottom"/>
            <w:hideMark/>
          </w:tcPr>
          <w:p w14:paraId="581A9406"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
        </w:tc>
        <w:tc>
          <w:tcPr>
            <w:tcW w:w="1134" w:type="dxa"/>
            <w:tcBorders>
              <w:top w:val="nil"/>
              <w:left w:val="nil"/>
              <w:bottom w:val="nil"/>
              <w:right w:val="nil"/>
            </w:tcBorders>
            <w:shd w:val="clear" w:color="auto" w:fill="auto"/>
            <w:noWrap/>
            <w:vAlign w:val="bottom"/>
            <w:hideMark/>
          </w:tcPr>
          <w:p w14:paraId="0EAD980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34AE02F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12B4569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2B6B5DD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50FBB94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6400A1A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0.079**</w:t>
            </w:r>
          </w:p>
        </w:tc>
        <w:tc>
          <w:tcPr>
            <w:tcW w:w="295" w:type="dxa"/>
            <w:gridSpan w:val="2"/>
            <w:tcBorders>
              <w:top w:val="nil"/>
              <w:left w:val="nil"/>
              <w:bottom w:val="nil"/>
              <w:right w:val="nil"/>
            </w:tcBorders>
            <w:shd w:val="clear" w:color="auto" w:fill="auto"/>
            <w:noWrap/>
            <w:vAlign w:val="bottom"/>
            <w:hideMark/>
          </w:tcPr>
          <w:p w14:paraId="074665F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32C2E749"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7A2FAF9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1270060E"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29F5D2E9"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4BAE66A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7CA5054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14:paraId="61C89B9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680589D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3786718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3BBDE8C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7F984F5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1127D0A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(0.035)</w:t>
            </w:r>
          </w:p>
        </w:tc>
        <w:tc>
          <w:tcPr>
            <w:tcW w:w="295" w:type="dxa"/>
            <w:gridSpan w:val="2"/>
            <w:tcBorders>
              <w:top w:val="nil"/>
              <w:left w:val="nil"/>
              <w:bottom w:val="nil"/>
              <w:right w:val="nil"/>
            </w:tcBorders>
            <w:shd w:val="clear" w:color="auto" w:fill="auto"/>
            <w:noWrap/>
            <w:vAlign w:val="bottom"/>
            <w:hideMark/>
          </w:tcPr>
          <w:p w14:paraId="3F7BBA9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08B1B6E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24C28E6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56DE51D2"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28578CBE"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56A90484"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LC*</w:t>
            </w:r>
            <w:proofErr w:type="spellStart"/>
            <w:r w:rsidRPr="0047162D">
              <w:rPr>
                <w:rFonts w:ascii="Times New Roman" w:eastAsia="Times New Roman" w:hAnsi="Times New Roman" w:cs="Times New Roman"/>
                <w:i/>
                <w:iCs/>
                <w:color w:val="000000"/>
                <w:sz w:val="18"/>
                <w:szCs w:val="18"/>
              </w:rPr>
              <w:t>Readability_FOG</w:t>
            </w:r>
            <w:proofErr w:type="spellEnd"/>
          </w:p>
        </w:tc>
        <w:tc>
          <w:tcPr>
            <w:tcW w:w="1220" w:type="dxa"/>
            <w:tcBorders>
              <w:top w:val="nil"/>
              <w:left w:val="nil"/>
              <w:bottom w:val="nil"/>
              <w:right w:val="nil"/>
            </w:tcBorders>
            <w:shd w:val="clear" w:color="auto" w:fill="auto"/>
            <w:noWrap/>
            <w:vAlign w:val="bottom"/>
            <w:hideMark/>
          </w:tcPr>
          <w:p w14:paraId="2D1F2DEC"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
        </w:tc>
        <w:tc>
          <w:tcPr>
            <w:tcW w:w="1134" w:type="dxa"/>
            <w:tcBorders>
              <w:top w:val="nil"/>
              <w:left w:val="nil"/>
              <w:bottom w:val="nil"/>
              <w:right w:val="nil"/>
            </w:tcBorders>
            <w:shd w:val="clear" w:color="auto" w:fill="auto"/>
            <w:noWrap/>
            <w:vAlign w:val="bottom"/>
            <w:hideMark/>
          </w:tcPr>
          <w:p w14:paraId="203174C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2459B90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211D21D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75A8AB3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62BE5DCF"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3C21CAC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776E1D4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666CBF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0.095***</w:t>
            </w:r>
          </w:p>
        </w:tc>
        <w:tc>
          <w:tcPr>
            <w:tcW w:w="261" w:type="dxa"/>
            <w:gridSpan w:val="2"/>
            <w:tcBorders>
              <w:top w:val="nil"/>
              <w:left w:val="nil"/>
              <w:bottom w:val="nil"/>
              <w:right w:val="nil"/>
            </w:tcBorders>
            <w:shd w:val="clear" w:color="auto" w:fill="auto"/>
            <w:noWrap/>
            <w:vAlign w:val="bottom"/>
            <w:hideMark/>
          </w:tcPr>
          <w:p w14:paraId="40ACB1F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3C33BFF2"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40D15B3F"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41BF291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5D984FE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14:paraId="373EA7D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79B8AE4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3D03B4B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523883F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5D2B1FA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A6B093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574E376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6EAF9CB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(0.027)</w:t>
            </w:r>
          </w:p>
        </w:tc>
        <w:tc>
          <w:tcPr>
            <w:tcW w:w="261" w:type="dxa"/>
            <w:gridSpan w:val="2"/>
            <w:tcBorders>
              <w:top w:val="nil"/>
              <w:left w:val="nil"/>
              <w:bottom w:val="nil"/>
              <w:right w:val="nil"/>
            </w:tcBorders>
            <w:shd w:val="clear" w:color="auto" w:fill="auto"/>
            <w:noWrap/>
            <w:vAlign w:val="bottom"/>
            <w:hideMark/>
          </w:tcPr>
          <w:p w14:paraId="621C0AD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68D7FB52"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17BD4CC3"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3AA64D4A"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LC*</w:t>
            </w:r>
            <w:proofErr w:type="spellStart"/>
            <w:r w:rsidRPr="0047162D">
              <w:rPr>
                <w:rFonts w:ascii="Times New Roman" w:eastAsia="Times New Roman" w:hAnsi="Times New Roman" w:cs="Times New Roman"/>
                <w:i/>
                <w:iCs/>
                <w:color w:val="000000"/>
                <w:sz w:val="18"/>
                <w:szCs w:val="18"/>
              </w:rPr>
              <w:t>Readability_Size</w:t>
            </w:r>
            <w:proofErr w:type="spellEnd"/>
          </w:p>
        </w:tc>
        <w:tc>
          <w:tcPr>
            <w:tcW w:w="1220" w:type="dxa"/>
            <w:tcBorders>
              <w:top w:val="nil"/>
              <w:left w:val="nil"/>
              <w:bottom w:val="nil"/>
              <w:right w:val="nil"/>
            </w:tcBorders>
            <w:shd w:val="clear" w:color="auto" w:fill="auto"/>
            <w:noWrap/>
            <w:vAlign w:val="bottom"/>
            <w:hideMark/>
          </w:tcPr>
          <w:p w14:paraId="18EFDBB7"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
        </w:tc>
        <w:tc>
          <w:tcPr>
            <w:tcW w:w="1134" w:type="dxa"/>
            <w:tcBorders>
              <w:top w:val="nil"/>
              <w:left w:val="nil"/>
              <w:bottom w:val="nil"/>
              <w:right w:val="nil"/>
            </w:tcBorders>
            <w:shd w:val="clear" w:color="auto" w:fill="auto"/>
            <w:noWrap/>
            <w:vAlign w:val="bottom"/>
            <w:hideMark/>
          </w:tcPr>
          <w:p w14:paraId="44CCA81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7A584A9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2831BE4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175E3BCF"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152931A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6862385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1B17702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6D36D4F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6B943203"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2F4F7EB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0.156***</w:t>
            </w:r>
          </w:p>
        </w:tc>
      </w:tr>
      <w:tr w:rsidR="00EA725B" w:rsidRPr="00EA725B" w14:paraId="041DA269"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5436883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20" w:type="dxa"/>
            <w:tcBorders>
              <w:top w:val="nil"/>
              <w:left w:val="nil"/>
              <w:bottom w:val="nil"/>
              <w:right w:val="nil"/>
            </w:tcBorders>
            <w:shd w:val="clear" w:color="auto" w:fill="auto"/>
            <w:noWrap/>
            <w:vAlign w:val="bottom"/>
            <w:hideMark/>
          </w:tcPr>
          <w:p w14:paraId="4B157D3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14:paraId="1271F79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tcBorders>
              <w:top w:val="nil"/>
              <w:left w:val="nil"/>
              <w:bottom w:val="nil"/>
              <w:right w:val="nil"/>
            </w:tcBorders>
            <w:shd w:val="clear" w:color="auto" w:fill="auto"/>
            <w:noWrap/>
            <w:vAlign w:val="bottom"/>
            <w:hideMark/>
          </w:tcPr>
          <w:p w14:paraId="3933DCF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14" w:type="dxa"/>
            <w:gridSpan w:val="2"/>
            <w:tcBorders>
              <w:top w:val="nil"/>
              <w:left w:val="nil"/>
              <w:bottom w:val="nil"/>
              <w:right w:val="nil"/>
            </w:tcBorders>
            <w:shd w:val="clear" w:color="auto" w:fill="auto"/>
            <w:noWrap/>
            <w:vAlign w:val="bottom"/>
            <w:hideMark/>
          </w:tcPr>
          <w:p w14:paraId="15B1587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4F9B611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16E8680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6CEAAE2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0226F19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2B0E2FE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5A507DC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5CF6D38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(0.045)</w:t>
            </w:r>
          </w:p>
        </w:tc>
      </w:tr>
      <w:tr w:rsidR="00EA725B" w:rsidRPr="00EA725B" w14:paraId="624C9F83"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7FEC4ABE"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Controls</w:t>
            </w:r>
          </w:p>
        </w:tc>
        <w:tc>
          <w:tcPr>
            <w:tcW w:w="1220" w:type="dxa"/>
            <w:tcBorders>
              <w:top w:val="nil"/>
              <w:left w:val="nil"/>
              <w:bottom w:val="nil"/>
              <w:right w:val="nil"/>
            </w:tcBorders>
            <w:shd w:val="clear" w:color="auto" w:fill="auto"/>
            <w:noWrap/>
            <w:vAlign w:val="bottom"/>
            <w:hideMark/>
          </w:tcPr>
          <w:p w14:paraId="26FC487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134" w:type="dxa"/>
            <w:tcBorders>
              <w:top w:val="nil"/>
              <w:left w:val="nil"/>
              <w:bottom w:val="nil"/>
              <w:right w:val="nil"/>
            </w:tcBorders>
            <w:shd w:val="clear" w:color="auto" w:fill="auto"/>
            <w:noWrap/>
            <w:vAlign w:val="bottom"/>
            <w:hideMark/>
          </w:tcPr>
          <w:p w14:paraId="3775F22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tcBorders>
              <w:top w:val="nil"/>
              <w:left w:val="nil"/>
              <w:bottom w:val="nil"/>
              <w:right w:val="nil"/>
            </w:tcBorders>
            <w:shd w:val="clear" w:color="auto" w:fill="auto"/>
            <w:noWrap/>
            <w:vAlign w:val="bottom"/>
            <w:hideMark/>
          </w:tcPr>
          <w:p w14:paraId="42D7769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5EEE6AE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051" w:type="dxa"/>
            <w:tcBorders>
              <w:top w:val="nil"/>
              <w:left w:val="nil"/>
              <w:bottom w:val="nil"/>
              <w:right w:val="nil"/>
            </w:tcBorders>
            <w:shd w:val="clear" w:color="auto" w:fill="auto"/>
            <w:noWrap/>
            <w:vAlign w:val="bottom"/>
            <w:hideMark/>
          </w:tcPr>
          <w:p w14:paraId="7B891D0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gridSpan w:val="2"/>
            <w:tcBorders>
              <w:top w:val="nil"/>
              <w:left w:val="nil"/>
              <w:bottom w:val="nil"/>
              <w:right w:val="nil"/>
            </w:tcBorders>
            <w:shd w:val="clear" w:color="auto" w:fill="auto"/>
            <w:noWrap/>
            <w:vAlign w:val="bottom"/>
            <w:hideMark/>
          </w:tcPr>
          <w:p w14:paraId="562A827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37DBAD4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95" w:type="dxa"/>
            <w:gridSpan w:val="2"/>
            <w:tcBorders>
              <w:top w:val="nil"/>
              <w:left w:val="nil"/>
              <w:bottom w:val="nil"/>
              <w:right w:val="nil"/>
            </w:tcBorders>
            <w:shd w:val="clear" w:color="auto" w:fill="auto"/>
            <w:noWrap/>
            <w:vAlign w:val="bottom"/>
            <w:hideMark/>
          </w:tcPr>
          <w:p w14:paraId="0193506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0B80C14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gridSpan w:val="2"/>
            <w:tcBorders>
              <w:top w:val="nil"/>
              <w:left w:val="nil"/>
              <w:bottom w:val="nil"/>
              <w:right w:val="nil"/>
            </w:tcBorders>
            <w:shd w:val="clear" w:color="auto" w:fill="auto"/>
            <w:noWrap/>
            <w:vAlign w:val="bottom"/>
            <w:hideMark/>
          </w:tcPr>
          <w:p w14:paraId="6582D72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6784876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r>
      <w:tr w:rsidR="00EA725B" w:rsidRPr="00EA725B" w14:paraId="66E3A351"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30905DE6"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Region fixed effect</w:t>
            </w:r>
          </w:p>
        </w:tc>
        <w:tc>
          <w:tcPr>
            <w:tcW w:w="1220" w:type="dxa"/>
            <w:tcBorders>
              <w:top w:val="nil"/>
              <w:left w:val="nil"/>
              <w:bottom w:val="nil"/>
              <w:right w:val="nil"/>
            </w:tcBorders>
            <w:shd w:val="clear" w:color="auto" w:fill="auto"/>
            <w:noWrap/>
            <w:vAlign w:val="bottom"/>
            <w:hideMark/>
          </w:tcPr>
          <w:p w14:paraId="2D6F1D5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134" w:type="dxa"/>
            <w:tcBorders>
              <w:top w:val="nil"/>
              <w:left w:val="nil"/>
              <w:bottom w:val="nil"/>
              <w:right w:val="nil"/>
            </w:tcBorders>
            <w:shd w:val="clear" w:color="auto" w:fill="auto"/>
            <w:noWrap/>
            <w:vAlign w:val="bottom"/>
            <w:hideMark/>
          </w:tcPr>
          <w:p w14:paraId="1AC4815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tcBorders>
              <w:top w:val="nil"/>
              <w:left w:val="nil"/>
              <w:bottom w:val="nil"/>
              <w:right w:val="nil"/>
            </w:tcBorders>
            <w:shd w:val="clear" w:color="auto" w:fill="auto"/>
            <w:noWrap/>
            <w:vAlign w:val="bottom"/>
            <w:hideMark/>
          </w:tcPr>
          <w:p w14:paraId="7FA1F8E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03D6DF7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051" w:type="dxa"/>
            <w:tcBorders>
              <w:top w:val="nil"/>
              <w:left w:val="nil"/>
              <w:bottom w:val="nil"/>
              <w:right w:val="nil"/>
            </w:tcBorders>
            <w:shd w:val="clear" w:color="auto" w:fill="auto"/>
            <w:noWrap/>
            <w:vAlign w:val="bottom"/>
            <w:hideMark/>
          </w:tcPr>
          <w:p w14:paraId="65484D9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gridSpan w:val="2"/>
            <w:tcBorders>
              <w:top w:val="nil"/>
              <w:left w:val="nil"/>
              <w:bottom w:val="nil"/>
              <w:right w:val="nil"/>
            </w:tcBorders>
            <w:shd w:val="clear" w:color="auto" w:fill="auto"/>
            <w:noWrap/>
            <w:vAlign w:val="bottom"/>
            <w:hideMark/>
          </w:tcPr>
          <w:p w14:paraId="21D6A1B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42075C0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95" w:type="dxa"/>
            <w:gridSpan w:val="2"/>
            <w:tcBorders>
              <w:top w:val="nil"/>
              <w:left w:val="nil"/>
              <w:bottom w:val="nil"/>
              <w:right w:val="nil"/>
            </w:tcBorders>
            <w:shd w:val="clear" w:color="auto" w:fill="auto"/>
            <w:noWrap/>
            <w:vAlign w:val="bottom"/>
            <w:hideMark/>
          </w:tcPr>
          <w:p w14:paraId="2F622AE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64146F6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gridSpan w:val="2"/>
            <w:tcBorders>
              <w:top w:val="nil"/>
              <w:left w:val="nil"/>
              <w:bottom w:val="nil"/>
              <w:right w:val="nil"/>
            </w:tcBorders>
            <w:shd w:val="clear" w:color="auto" w:fill="auto"/>
            <w:noWrap/>
            <w:vAlign w:val="bottom"/>
            <w:hideMark/>
          </w:tcPr>
          <w:p w14:paraId="7F03997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48224CA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r>
      <w:tr w:rsidR="00EA725B" w:rsidRPr="00EA725B" w14:paraId="37153D57"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45FD55E8"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Year-Quarter fixed effect</w:t>
            </w:r>
          </w:p>
        </w:tc>
        <w:tc>
          <w:tcPr>
            <w:tcW w:w="1220" w:type="dxa"/>
            <w:tcBorders>
              <w:top w:val="nil"/>
              <w:left w:val="nil"/>
              <w:bottom w:val="nil"/>
              <w:right w:val="nil"/>
            </w:tcBorders>
            <w:shd w:val="clear" w:color="auto" w:fill="auto"/>
            <w:noWrap/>
            <w:vAlign w:val="bottom"/>
            <w:hideMark/>
          </w:tcPr>
          <w:p w14:paraId="22D58C4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134" w:type="dxa"/>
            <w:tcBorders>
              <w:top w:val="nil"/>
              <w:left w:val="nil"/>
              <w:bottom w:val="nil"/>
              <w:right w:val="nil"/>
            </w:tcBorders>
            <w:shd w:val="clear" w:color="auto" w:fill="auto"/>
            <w:noWrap/>
            <w:vAlign w:val="bottom"/>
            <w:hideMark/>
          </w:tcPr>
          <w:p w14:paraId="7574832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tcBorders>
              <w:top w:val="nil"/>
              <w:left w:val="nil"/>
              <w:bottom w:val="nil"/>
              <w:right w:val="nil"/>
            </w:tcBorders>
            <w:shd w:val="clear" w:color="auto" w:fill="auto"/>
            <w:noWrap/>
            <w:vAlign w:val="bottom"/>
            <w:hideMark/>
          </w:tcPr>
          <w:p w14:paraId="11D90BF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4EAD12F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051" w:type="dxa"/>
            <w:tcBorders>
              <w:top w:val="nil"/>
              <w:left w:val="nil"/>
              <w:bottom w:val="nil"/>
              <w:right w:val="nil"/>
            </w:tcBorders>
            <w:shd w:val="clear" w:color="auto" w:fill="auto"/>
            <w:noWrap/>
            <w:vAlign w:val="bottom"/>
            <w:hideMark/>
          </w:tcPr>
          <w:p w14:paraId="60BD80D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gridSpan w:val="2"/>
            <w:tcBorders>
              <w:top w:val="nil"/>
              <w:left w:val="nil"/>
              <w:bottom w:val="nil"/>
              <w:right w:val="nil"/>
            </w:tcBorders>
            <w:shd w:val="clear" w:color="auto" w:fill="auto"/>
            <w:noWrap/>
            <w:vAlign w:val="bottom"/>
            <w:hideMark/>
          </w:tcPr>
          <w:p w14:paraId="6103D22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6AA10DA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95" w:type="dxa"/>
            <w:gridSpan w:val="2"/>
            <w:tcBorders>
              <w:top w:val="nil"/>
              <w:left w:val="nil"/>
              <w:bottom w:val="nil"/>
              <w:right w:val="nil"/>
            </w:tcBorders>
            <w:shd w:val="clear" w:color="auto" w:fill="auto"/>
            <w:noWrap/>
            <w:vAlign w:val="bottom"/>
            <w:hideMark/>
          </w:tcPr>
          <w:p w14:paraId="3F95E5C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749D1E3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gridSpan w:val="2"/>
            <w:tcBorders>
              <w:top w:val="nil"/>
              <w:left w:val="nil"/>
              <w:bottom w:val="nil"/>
              <w:right w:val="nil"/>
            </w:tcBorders>
            <w:shd w:val="clear" w:color="auto" w:fill="auto"/>
            <w:noWrap/>
            <w:vAlign w:val="bottom"/>
            <w:hideMark/>
          </w:tcPr>
          <w:p w14:paraId="4A9E22A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2FA3B9A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r>
      <w:tr w:rsidR="00EA725B" w:rsidRPr="00EA725B" w14:paraId="57B6D6D6"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44DF0301"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Industry fixed effect</w:t>
            </w:r>
          </w:p>
        </w:tc>
        <w:tc>
          <w:tcPr>
            <w:tcW w:w="1220" w:type="dxa"/>
            <w:tcBorders>
              <w:top w:val="nil"/>
              <w:left w:val="nil"/>
              <w:bottom w:val="nil"/>
              <w:right w:val="nil"/>
            </w:tcBorders>
            <w:shd w:val="clear" w:color="auto" w:fill="auto"/>
            <w:noWrap/>
            <w:vAlign w:val="bottom"/>
            <w:hideMark/>
          </w:tcPr>
          <w:p w14:paraId="3A83136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134" w:type="dxa"/>
            <w:tcBorders>
              <w:top w:val="nil"/>
              <w:left w:val="nil"/>
              <w:bottom w:val="nil"/>
              <w:right w:val="nil"/>
            </w:tcBorders>
            <w:shd w:val="clear" w:color="auto" w:fill="auto"/>
            <w:noWrap/>
            <w:vAlign w:val="bottom"/>
            <w:hideMark/>
          </w:tcPr>
          <w:p w14:paraId="518B5E2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tcBorders>
              <w:top w:val="nil"/>
              <w:left w:val="nil"/>
              <w:bottom w:val="nil"/>
              <w:right w:val="nil"/>
            </w:tcBorders>
            <w:shd w:val="clear" w:color="auto" w:fill="auto"/>
            <w:noWrap/>
            <w:vAlign w:val="bottom"/>
            <w:hideMark/>
          </w:tcPr>
          <w:p w14:paraId="6AA8104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4C85554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051" w:type="dxa"/>
            <w:tcBorders>
              <w:top w:val="nil"/>
              <w:left w:val="nil"/>
              <w:bottom w:val="nil"/>
              <w:right w:val="nil"/>
            </w:tcBorders>
            <w:shd w:val="clear" w:color="auto" w:fill="auto"/>
            <w:noWrap/>
            <w:vAlign w:val="bottom"/>
            <w:hideMark/>
          </w:tcPr>
          <w:p w14:paraId="3225445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gridSpan w:val="2"/>
            <w:tcBorders>
              <w:top w:val="nil"/>
              <w:left w:val="nil"/>
              <w:bottom w:val="nil"/>
              <w:right w:val="nil"/>
            </w:tcBorders>
            <w:shd w:val="clear" w:color="auto" w:fill="auto"/>
            <w:noWrap/>
            <w:vAlign w:val="bottom"/>
            <w:hideMark/>
          </w:tcPr>
          <w:p w14:paraId="5ABB4BE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5E5C447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95" w:type="dxa"/>
            <w:gridSpan w:val="2"/>
            <w:tcBorders>
              <w:top w:val="nil"/>
              <w:left w:val="nil"/>
              <w:bottom w:val="nil"/>
              <w:right w:val="nil"/>
            </w:tcBorders>
            <w:shd w:val="clear" w:color="auto" w:fill="auto"/>
            <w:noWrap/>
            <w:vAlign w:val="bottom"/>
            <w:hideMark/>
          </w:tcPr>
          <w:p w14:paraId="14BAAD9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58A2747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gridSpan w:val="2"/>
            <w:tcBorders>
              <w:top w:val="nil"/>
              <w:left w:val="nil"/>
              <w:bottom w:val="nil"/>
              <w:right w:val="nil"/>
            </w:tcBorders>
            <w:shd w:val="clear" w:color="auto" w:fill="auto"/>
            <w:noWrap/>
            <w:vAlign w:val="bottom"/>
            <w:hideMark/>
          </w:tcPr>
          <w:p w14:paraId="6B59CCD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6F136FD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r>
      <w:tr w:rsidR="00EA725B" w:rsidRPr="00EA725B" w14:paraId="1D7EC45D" w14:textId="77777777" w:rsidTr="0047162D">
        <w:trPr>
          <w:gridAfter w:val="1"/>
          <w:wAfter w:w="9" w:type="dxa"/>
          <w:trHeight w:val="91"/>
          <w:jc w:val="center"/>
        </w:trPr>
        <w:tc>
          <w:tcPr>
            <w:tcW w:w="2041" w:type="dxa"/>
            <w:tcBorders>
              <w:top w:val="single" w:sz="4" w:space="0" w:color="auto"/>
              <w:left w:val="nil"/>
              <w:bottom w:val="nil"/>
              <w:right w:val="nil"/>
            </w:tcBorders>
            <w:shd w:val="clear" w:color="auto" w:fill="auto"/>
            <w:noWrap/>
            <w:vAlign w:val="bottom"/>
            <w:hideMark/>
          </w:tcPr>
          <w:p w14:paraId="1C5CA51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Observations</w:t>
            </w:r>
          </w:p>
        </w:tc>
        <w:tc>
          <w:tcPr>
            <w:tcW w:w="1220" w:type="dxa"/>
            <w:tcBorders>
              <w:top w:val="single" w:sz="4" w:space="0" w:color="auto"/>
              <w:left w:val="nil"/>
              <w:bottom w:val="nil"/>
              <w:right w:val="nil"/>
            </w:tcBorders>
            <w:shd w:val="clear" w:color="auto" w:fill="auto"/>
            <w:noWrap/>
            <w:vAlign w:val="bottom"/>
            <w:hideMark/>
          </w:tcPr>
          <w:p w14:paraId="2936129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601</w:t>
            </w:r>
          </w:p>
        </w:tc>
        <w:tc>
          <w:tcPr>
            <w:tcW w:w="1134" w:type="dxa"/>
            <w:tcBorders>
              <w:top w:val="single" w:sz="4" w:space="0" w:color="auto"/>
              <w:left w:val="nil"/>
              <w:bottom w:val="nil"/>
              <w:right w:val="nil"/>
            </w:tcBorders>
            <w:shd w:val="clear" w:color="auto" w:fill="auto"/>
            <w:noWrap/>
            <w:vAlign w:val="bottom"/>
            <w:hideMark/>
          </w:tcPr>
          <w:p w14:paraId="1A72E26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601</w:t>
            </w:r>
          </w:p>
        </w:tc>
        <w:tc>
          <w:tcPr>
            <w:tcW w:w="261" w:type="dxa"/>
            <w:tcBorders>
              <w:top w:val="single" w:sz="4" w:space="0" w:color="auto"/>
              <w:left w:val="nil"/>
              <w:bottom w:val="nil"/>
              <w:right w:val="nil"/>
            </w:tcBorders>
            <w:shd w:val="clear" w:color="auto" w:fill="auto"/>
            <w:noWrap/>
            <w:vAlign w:val="bottom"/>
            <w:hideMark/>
          </w:tcPr>
          <w:p w14:paraId="4465275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14" w:type="dxa"/>
            <w:gridSpan w:val="2"/>
            <w:tcBorders>
              <w:top w:val="single" w:sz="4" w:space="0" w:color="auto"/>
              <w:left w:val="nil"/>
              <w:bottom w:val="nil"/>
              <w:right w:val="nil"/>
            </w:tcBorders>
            <w:shd w:val="clear" w:color="auto" w:fill="auto"/>
            <w:noWrap/>
            <w:vAlign w:val="bottom"/>
            <w:hideMark/>
          </w:tcPr>
          <w:p w14:paraId="77A33A3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586</w:t>
            </w:r>
          </w:p>
        </w:tc>
        <w:tc>
          <w:tcPr>
            <w:tcW w:w="1051" w:type="dxa"/>
            <w:tcBorders>
              <w:top w:val="single" w:sz="4" w:space="0" w:color="auto"/>
              <w:left w:val="nil"/>
              <w:bottom w:val="nil"/>
              <w:right w:val="nil"/>
            </w:tcBorders>
            <w:shd w:val="clear" w:color="auto" w:fill="auto"/>
            <w:noWrap/>
            <w:vAlign w:val="bottom"/>
            <w:hideMark/>
          </w:tcPr>
          <w:p w14:paraId="4BFCB18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616</w:t>
            </w:r>
          </w:p>
        </w:tc>
        <w:tc>
          <w:tcPr>
            <w:tcW w:w="261" w:type="dxa"/>
            <w:gridSpan w:val="2"/>
            <w:tcBorders>
              <w:top w:val="single" w:sz="4" w:space="0" w:color="auto"/>
              <w:left w:val="nil"/>
              <w:bottom w:val="nil"/>
              <w:right w:val="nil"/>
            </w:tcBorders>
            <w:shd w:val="clear" w:color="auto" w:fill="auto"/>
            <w:noWrap/>
            <w:vAlign w:val="bottom"/>
            <w:hideMark/>
          </w:tcPr>
          <w:p w14:paraId="38349EA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single" w:sz="4" w:space="0" w:color="auto"/>
              <w:left w:val="nil"/>
              <w:bottom w:val="nil"/>
              <w:right w:val="nil"/>
            </w:tcBorders>
            <w:shd w:val="clear" w:color="auto" w:fill="auto"/>
            <w:noWrap/>
            <w:vAlign w:val="bottom"/>
            <w:hideMark/>
          </w:tcPr>
          <w:p w14:paraId="55B849F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1,202</w:t>
            </w:r>
          </w:p>
        </w:tc>
        <w:tc>
          <w:tcPr>
            <w:tcW w:w="295" w:type="dxa"/>
            <w:gridSpan w:val="2"/>
            <w:tcBorders>
              <w:top w:val="single" w:sz="4" w:space="0" w:color="auto"/>
              <w:left w:val="nil"/>
              <w:bottom w:val="nil"/>
              <w:right w:val="nil"/>
            </w:tcBorders>
            <w:shd w:val="clear" w:color="auto" w:fill="auto"/>
            <w:noWrap/>
            <w:vAlign w:val="bottom"/>
            <w:hideMark/>
          </w:tcPr>
          <w:p w14:paraId="19FB1B0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single" w:sz="4" w:space="0" w:color="auto"/>
              <w:left w:val="nil"/>
              <w:bottom w:val="nil"/>
              <w:right w:val="nil"/>
            </w:tcBorders>
            <w:shd w:val="clear" w:color="auto" w:fill="auto"/>
            <w:noWrap/>
            <w:vAlign w:val="bottom"/>
            <w:hideMark/>
          </w:tcPr>
          <w:p w14:paraId="51494E4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1,202</w:t>
            </w:r>
          </w:p>
        </w:tc>
        <w:tc>
          <w:tcPr>
            <w:tcW w:w="261" w:type="dxa"/>
            <w:gridSpan w:val="2"/>
            <w:tcBorders>
              <w:top w:val="single" w:sz="4" w:space="0" w:color="auto"/>
              <w:left w:val="nil"/>
              <w:bottom w:val="nil"/>
              <w:right w:val="nil"/>
            </w:tcBorders>
            <w:shd w:val="clear" w:color="auto" w:fill="auto"/>
            <w:noWrap/>
            <w:vAlign w:val="bottom"/>
            <w:hideMark/>
          </w:tcPr>
          <w:p w14:paraId="044E1A5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208" w:type="dxa"/>
            <w:gridSpan w:val="3"/>
            <w:tcBorders>
              <w:top w:val="single" w:sz="4" w:space="0" w:color="auto"/>
              <w:left w:val="nil"/>
              <w:bottom w:val="nil"/>
              <w:right w:val="nil"/>
            </w:tcBorders>
            <w:shd w:val="clear" w:color="auto" w:fill="auto"/>
            <w:noWrap/>
            <w:vAlign w:val="bottom"/>
            <w:hideMark/>
          </w:tcPr>
          <w:p w14:paraId="43548BA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1,202</w:t>
            </w:r>
          </w:p>
        </w:tc>
      </w:tr>
      <w:tr w:rsidR="00EA725B" w:rsidRPr="00EA725B" w14:paraId="454DFC37"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233FE1D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R2</w:t>
            </w:r>
          </w:p>
        </w:tc>
        <w:tc>
          <w:tcPr>
            <w:tcW w:w="1220" w:type="dxa"/>
            <w:tcBorders>
              <w:top w:val="nil"/>
              <w:left w:val="nil"/>
              <w:bottom w:val="nil"/>
              <w:right w:val="nil"/>
            </w:tcBorders>
            <w:shd w:val="clear" w:color="auto" w:fill="auto"/>
            <w:noWrap/>
            <w:vAlign w:val="bottom"/>
            <w:hideMark/>
          </w:tcPr>
          <w:p w14:paraId="64C744C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0.204</w:t>
            </w:r>
          </w:p>
        </w:tc>
        <w:tc>
          <w:tcPr>
            <w:tcW w:w="1134" w:type="dxa"/>
            <w:tcBorders>
              <w:top w:val="nil"/>
              <w:left w:val="nil"/>
              <w:bottom w:val="nil"/>
              <w:right w:val="nil"/>
            </w:tcBorders>
            <w:shd w:val="clear" w:color="auto" w:fill="auto"/>
            <w:noWrap/>
            <w:vAlign w:val="bottom"/>
            <w:hideMark/>
          </w:tcPr>
          <w:p w14:paraId="4BA65A1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0.204</w:t>
            </w:r>
          </w:p>
        </w:tc>
        <w:tc>
          <w:tcPr>
            <w:tcW w:w="261" w:type="dxa"/>
            <w:tcBorders>
              <w:top w:val="nil"/>
              <w:left w:val="nil"/>
              <w:bottom w:val="nil"/>
              <w:right w:val="nil"/>
            </w:tcBorders>
            <w:shd w:val="clear" w:color="auto" w:fill="auto"/>
            <w:noWrap/>
            <w:vAlign w:val="bottom"/>
            <w:hideMark/>
          </w:tcPr>
          <w:p w14:paraId="47D9F48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0F85A06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0.177</w:t>
            </w:r>
          </w:p>
        </w:tc>
        <w:tc>
          <w:tcPr>
            <w:tcW w:w="1051" w:type="dxa"/>
            <w:tcBorders>
              <w:top w:val="nil"/>
              <w:left w:val="nil"/>
              <w:bottom w:val="nil"/>
              <w:right w:val="nil"/>
            </w:tcBorders>
            <w:shd w:val="clear" w:color="auto" w:fill="auto"/>
            <w:noWrap/>
            <w:vAlign w:val="bottom"/>
            <w:hideMark/>
          </w:tcPr>
          <w:p w14:paraId="14684BD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0.240</w:t>
            </w:r>
          </w:p>
        </w:tc>
        <w:tc>
          <w:tcPr>
            <w:tcW w:w="261" w:type="dxa"/>
            <w:gridSpan w:val="2"/>
            <w:tcBorders>
              <w:top w:val="nil"/>
              <w:left w:val="nil"/>
              <w:bottom w:val="nil"/>
              <w:right w:val="nil"/>
            </w:tcBorders>
            <w:shd w:val="clear" w:color="auto" w:fill="auto"/>
            <w:noWrap/>
            <w:vAlign w:val="bottom"/>
            <w:hideMark/>
          </w:tcPr>
          <w:p w14:paraId="0032539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25BCC11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0.186</w:t>
            </w:r>
          </w:p>
        </w:tc>
        <w:tc>
          <w:tcPr>
            <w:tcW w:w="295" w:type="dxa"/>
            <w:gridSpan w:val="2"/>
            <w:tcBorders>
              <w:top w:val="nil"/>
              <w:left w:val="nil"/>
              <w:bottom w:val="nil"/>
              <w:right w:val="nil"/>
            </w:tcBorders>
            <w:shd w:val="clear" w:color="auto" w:fill="auto"/>
            <w:noWrap/>
            <w:vAlign w:val="bottom"/>
            <w:hideMark/>
          </w:tcPr>
          <w:p w14:paraId="55473F0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294AE5D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0.186</w:t>
            </w:r>
          </w:p>
        </w:tc>
        <w:tc>
          <w:tcPr>
            <w:tcW w:w="261" w:type="dxa"/>
            <w:gridSpan w:val="2"/>
            <w:tcBorders>
              <w:top w:val="nil"/>
              <w:left w:val="nil"/>
              <w:bottom w:val="nil"/>
              <w:right w:val="nil"/>
            </w:tcBorders>
            <w:shd w:val="clear" w:color="auto" w:fill="auto"/>
            <w:noWrap/>
            <w:vAlign w:val="bottom"/>
            <w:hideMark/>
          </w:tcPr>
          <w:p w14:paraId="395F1B5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10A92DC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0.185</w:t>
            </w:r>
          </w:p>
        </w:tc>
      </w:tr>
      <w:tr w:rsidR="00EA725B" w:rsidRPr="00EA725B" w14:paraId="07E7C70B"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5BD1AA6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Adjusted R2</w:t>
            </w:r>
          </w:p>
        </w:tc>
        <w:tc>
          <w:tcPr>
            <w:tcW w:w="1220" w:type="dxa"/>
            <w:tcBorders>
              <w:top w:val="nil"/>
              <w:left w:val="nil"/>
              <w:bottom w:val="nil"/>
              <w:right w:val="nil"/>
            </w:tcBorders>
            <w:shd w:val="clear" w:color="auto" w:fill="auto"/>
            <w:noWrap/>
            <w:vAlign w:val="bottom"/>
            <w:hideMark/>
          </w:tcPr>
          <w:p w14:paraId="1583759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0.135</w:t>
            </w:r>
          </w:p>
        </w:tc>
        <w:tc>
          <w:tcPr>
            <w:tcW w:w="1134" w:type="dxa"/>
            <w:tcBorders>
              <w:top w:val="nil"/>
              <w:left w:val="nil"/>
              <w:bottom w:val="nil"/>
              <w:right w:val="nil"/>
            </w:tcBorders>
            <w:shd w:val="clear" w:color="auto" w:fill="auto"/>
            <w:noWrap/>
            <w:vAlign w:val="bottom"/>
            <w:hideMark/>
          </w:tcPr>
          <w:p w14:paraId="6F429D2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0.131</w:t>
            </w:r>
          </w:p>
        </w:tc>
        <w:tc>
          <w:tcPr>
            <w:tcW w:w="261" w:type="dxa"/>
            <w:tcBorders>
              <w:top w:val="nil"/>
              <w:left w:val="nil"/>
              <w:bottom w:val="nil"/>
              <w:right w:val="nil"/>
            </w:tcBorders>
            <w:shd w:val="clear" w:color="auto" w:fill="auto"/>
            <w:noWrap/>
            <w:vAlign w:val="bottom"/>
            <w:hideMark/>
          </w:tcPr>
          <w:p w14:paraId="6993108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49EE939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0.107</w:t>
            </w:r>
          </w:p>
        </w:tc>
        <w:tc>
          <w:tcPr>
            <w:tcW w:w="1051" w:type="dxa"/>
            <w:tcBorders>
              <w:top w:val="nil"/>
              <w:left w:val="nil"/>
              <w:bottom w:val="nil"/>
              <w:right w:val="nil"/>
            </w:tcBorders>
            <w:shd w:val="clear" w:color="auto" w:fill="auto"/>
            <w:noWrap/>
            <w:vAlign w:val="bottom"/>
            <w:hideMark/>
          </w:tcPr>
          <w:p w14:paraId="60A1D62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0.171</w:t>
            </w:r>
          </w:p>
        </w:tc>
        <w:tc>
          <w:tcPr>
            <w:tcW w:w="261" w:type="dxa"/>
            <w:gridSpan w:val="2"/>
            <w:tcBorders>
              <w:top w:val="nil"/>
              <w:left w:val="nil"/>
              <w:bottom w:val="nil"/>
              <w:right w:val="nil"/>
            </w:tcBorders>
            <w:shd w:val="clear" w:color="auto" w:fill="auto"/>
            <w:noWrap/>
            <w:vAlign w:val="bottom"/>
            <w:hideMark/>
          </w:tcPr>
          <w:p w14:paraId="3BA2B55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6C13DCD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0.149</w:t>
            </w:r>
          </w:p>
        </w:tc>
        <w:tc>
          <w:tcPr>
            <w:tcW w:w="295" w:type="dxa"/>
            <w:gridSpan w:val="2"/>
            <w:tcBorders>
              <w:top w:val="nil"/>
              <w:left w:val="nil"/>
              <w:bottom w:val="nil"/>
              <w:right w:val="nil"/>
            </w:tcBorders>
            <w:shd w:val="clear" w:color="auto" w:fill="auto"/>
            <w:noWrap/>
            <w:vAlign w:val="bottom"/>
            <w:hideMark/>
          </w:tcPr>
          <w:p w14:paraId="510CF9B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981" w:type="dxa"/>
            <w:gridSpan w:val="2"/>
            <w:tcBorders>
              <w:top w:val="nil"/>
              <w:left w:val="nil"/>
              <w:bottom w:val="nil"/>
              <w:right w:val="nil"/>
            </w:tcBorders>
            <w:shd w:val="clear" w:color="auto" w:fill="auto"/>
            <w:noWrap/>
            <w:vAlign w:val="bottom"/>
            <w:hideMark/>
          </w:tcPr>
          <w:p w14:paraId="79D44C1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0.150</w:t>
            </w:r>
          </w:p>
        </w:tc>
        <w:tc>
          <w:tcPr>
            <w:tcW w:w="261" w:type="dxa"/>
            <w:gridSpan w:val="2"/>
            <w:tcBorders>
              <w:top w:val="nil"/>
              <w:left w:val="nil"/>
              <w:bottom w:val="nil"/>
              <w:right w:val="nil"/>
            </w:tcBorders>
            <w:shd w:val="clear" w:color="auto" w:fill="auto"/>
            <w:noWrap/>
            <w:vAlign w:val="bottom"/>
            <w:hideMark/>
          </w:tcPr>
          <w:p w14:paraId="60794A6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208" w:type="dxa"/>
            <w:gridSpan w:val="3"/>
            <w:tcBorders>
              <w:top w:val="nil"/>
              <w:left w:val="nil"/>
              <w:bottom w:val="nil"/>
              <w:right w:val="nil"/>
            </w:tcBorders>
            <w:shd w:val="clear" w:color="auto" w:fill="auto"/>
            <w:noWrap/>
            <w:vAlign w:val="bottom"/>
            <w:hideMark/>
          </w:tcPr>
          <w:p w14:paraId="282754A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0.149</w:t>
            </w:r>
          </w:p>
        </w:tc>
      </w:tr>
      <w:tr w:rsidR="00EA725B" w:rsidRPr="00EA725B" w14:paraId="6DCFD118" w14:textId="77777777" w:rsidTr="0047162D">
        <w:trPr>
          <w:gridAfter w:val="1"/>
          <w:wAfter w:w="9" w:type="dxa"/>
          <w:trHeight w:val="91"/>
          <w:jc w:val="center"/>
        </w:trPr>
        <w:tc>
          <w:tcPr>
            <w:tcW w:w="2041" w:type="dxa"/>
            <w:tcBorders>
              <w:top w:val="nil"/>
              <w:left w:val="nil"/>
              <w:bottom w:val="single" w:sz="4" w:space="0" w:color="auto"/>
              <w:right w:val="nil"/>
            </w:tcBorders>
            <w:shd w:val="clear" w:color="auto" w:fill="auto"/>
            <w:noWrap/>
            <w:vAlign w:val="bottom"/>
            <w:hideMark/>
          </w:tcPr>
          <w:p w14:paraId="61CB96D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Z-test</w:t>
            </w:r>
          </w:p>
        </w:tc>
        <w:tc>
          <w:tcPr>
            <w:tcW w:w="1220" w:type="dxa"/>
            <w:tcBorders>
              <w:top w:val="nil"/>
              <w:left w:val="nil"/>
              <w:bottom w:val="single" w:sz="4" w:space="0" w:color="auto"/>
              <w:right w:val="nil"/>
            </w:tcBorders>
            <w:shd w:val="clear" w:color="auto" w:fill="auto"/>
            <w:noWrap/>
            <w:vAlign w:val="bottom"/>
            <w:hideMark/>
          </w:tcPr>
          <w:p w14:paraId="5A665F2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134" w:type="dxa"/>
            <w:tcBorders>
              <w:top w:val="nil"/>
              <w:left w:val="nil"/>
              <w:bottom w:val="single" w:sz="4" w:space="0" w:color="auto"/>
              <w:right w:val="nil"/>
            </w:tcBorders>
            <w:shd w:val="clear" w:color="auto" w:fill="auto"/>
            <w:noWrap/>
            <w:vAlign w:val="bottom"/>
            <w:hideMark/>
          </w:tcPr>
          <w:p w14:paraId="245DBCC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tcBorders>
              <w:top w:val="nil"/>
              <w:left w:val="nil"/>
              <w:bottom w:val="single" w:sz="4" w:space="0" w:color="auto"/>
              <w:right w:val="nil"/>
            </w:tcBorders>
            <w:shd w:val="clear" w:color="auto" w:fill="auto"/>
            <w:noWrap/>
            <w:vAlign w:val="bottom"/>
            <w:hideMark/>
          </w:tcPr>
          <w:p w14:paraId="3B1FF51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14" w:type="dxa"/>
            <w:gridSpan w:val="2"/>
            <w:tcBorders>
              <w:top w:val="nil"/>
              <w:left w:val="nil"/>
              <w:bottom w:val="single" w:sz="4" w:space="0" w:color="auto"/>
              <w:right w:val="nil"/>
            </w:tcBorders>
            <w:shd w:val="clear" w:color="auto" w:fill="auto"/>
            <w:noWrap/>
            <w:vAlign w:val="bottom"/>
            <w:hideMark/>
          </w:tcPr>
          <w:p w14:paraId="5409275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51" w:type="dxa"/>
            <w:tcBorders>
              <w:top w:val="nil"/>
              <w:left w:val="nil"/>
              <w:bottom w:val="single" w:sz="4" w:space="0" w:color="auto"/>
              <w:right w:val="nil"/>
            </w:tcBorders>
            <w:shd w:val="clear" w:color="auto" w:fill="auto"/>
            <w:noWrap/>
            <w:vAlign w:val="bottom"/>
            <w:hideMark/>
          </w:tcPr>
          <w:p w14:paraId="7E36840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0C74CBF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77C1126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10.872**</w:t>
            </w:r>
          </w:p>
        </w:tc>
        <w:tc>
          <w:tcPr>
            <w:tcW w:w="295" w:type="dxa"/>
            <w:gridSpan w:val="2"/>
            <w:tcBorders>
              <w:top w:val="nil"/>
              <w:left w:val="nil"/>
              <w:bottom w:val="single" w:sz="4" w:space="0" w:color="auto"/>
              <w:right w:val="nil"/>
            </w:tcBorders>
            <w:shd w:val="clear" w:color="auto" w:fill="auto"/>
            <w:noWrap/>
            <w:vAlign w:val="bottom"/>
            <w:hideMark/>
          </w:tcPr>
          <w:p w14:paraId="44EBCD3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252B874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11F1644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208" w:type="dxa"/>
            <w:gridSpan w:val="3"/>
            <w:tcBorders>
              <w:top w:val="nil"/>
              <w:left w:val="nil"/>
              <w:bottom w:val="single" w:sz="4" w:space="0" w:color="auto"/>
              <w:right w:val="nil"/>
            </w:tcBorders>
            <w:shd w:val="clear" w:color="auto" w:fill="auto"/>
            <w:noWrap/>
            <w:vAlign w:val="bottom"/>
            <w:hideMark/>
          </w:tcPr>
          <w:p w14:paraId="74A15F3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15.476***</w:t>
            </w:r>
          </w:p>
        </w:tc>
      </w:tr>
      <w:tr w:rsidR="00EA725B" w:rsidRPr="00EA725B" w14:paraId="08EE7FEF" w14:textId="77777777" w:rsidTr="00EA725B">
        <w:trPr>
          <w:gridAfter w:val="1"/>
          <w:wAfter w:w="9" w:type="dxa"/>
          <w:trHeight w:val="91"/>
          <w:jc w:val="center"/>
        </w:trPr>
        <w:tc>
          <w:tcPr>
            <w:tcW w:w="2041" w:type="dxa"/>
            <w:tcBorders>
              <w:top w:val="nil"/>
              <w:left w:val="nil"/>
              <w:bottom w:val="single" w:sz="4" w:space="0" w:color="auto"/>
              <w:right w:val="nil"/>
            </w:tcBorders>
            <w:shd w:val="clear" w:color="auto" w:fill="auto"/>
            <w:noWrap/>
            <w:vAlign w:val="bottom"/>
            <w:hideMark/>
          </w:tcPr>
          <w:p w14:paraId="5895846C" w14:textId="77777777" w:rsidR="00EA725B" w:rsidRPr="0047162D" w:rsidRDefault="00EA725B" w:rsidP="0047162D">
            <w:pPr>
              <w:spacing w:after="0" w:line="240" w:lineRule="auto"/>
              <w:rPr>
                <w:rFonts w:ascii="Times New Roman" w:eastAsia="Times New Roman" w:hAnsi="Times New Roman" w:cs="Times New Roman"/>
                <w:b/>
                <w:bCs/>
                <w:color w:val="000000"/>
                <w:sz w:val="18"/>
                <w:szCs w:val="18"/>
              </w:rPr>
            </w:pPr>
            <w:r w:rsidRPr="0047162D">
              <w:rPr>
                <w:rFonts w:ascii="Times New Roman" w:eastAsia="Times New Roman" w:hAnsi="Times New Roman" w:cs="Times New Roman"/>
                <w:b/>
                <w:bCs/>
                <w:color w:val="000000"/>
                <w:sz w:val="18"/>
                <w:szCs w:val="18"/>
              </w:rPr>
              <w:t>Dependent variables</w:t>
            </w:r>
          </w:p>
        </w:tc>
        <w:tc>
          <w:tcPr>
            <w:tcW w:w="1220" w:type="dxa"/>
            <w:tcBorders>
              <w:top w:val="nil"/>
              <w:left w:val="nil"/>
              <w:bottom w:val="single" w:sz="4" w:space="0" w:color="auto"/>
              <w:right w:val="nil"/>
            </w:tcBorders>
            <w:shd w:val="clear" w:color="auto" w:fill="auto"/>
            <w:noWrap/>
            <w:vAlign w:val="bottom"/>
            <w:hideMark/>
          </w:tcPr>
          <w:p w14:paraId="7B060310"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Token traded</w:t>
            </w:r>
          </w:p>
        </w:tc>
        <w:tc>
          <w:tcPr>
            <w:tcW w:w="1403" w:type="dxa"/>
            <w:gridSpan w:val="3"/>
            <w:tcBorders>
              <w:top w:val="single" w:sz="4" w:space="0" w:color="auto"/>
              <w:left w:val="nil"/>
              <w:bottom w:val="single" w:sz="4" w:space="0" w:color="auto"/>
              <w:right w:val="nil"/>
            </w:tcBorders>
            <w:shd w:val="clear" w:color="auto" w:fill="auto"/>
            <w:noWrap/>
            <w:vAlign w:val="bottom"/>
            <w:hideMark/>
          </w:tcPr>
          <w:p w14:paraId="30B0893B"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proofErr w:type="spellStart"/>
            <w:r w:rsidRPr="0047162D">
              <w:rPr>
                <w:rFonts w:ascii="Times New Roman" w:eastAsia="Times New Roman" w:hAnsi="Times New Roman" w:cs="Times New Roman"/>
                <w:i/>
                <w:iCs/>
                <w:color w:val="000000"/>
                <w:sz w:val="18"/>
                <w:szCs w:val="18"/>
              </w:rPr>
              <w:t>ICOCompletion</w:t>
            </w:r>
            <w:proofErr w:type="spellEnd"/>
          </w:p>
        </w:tc>
        <w:tc>
          <w:tcPr>
            <w:tcW w:w="1006" w:type="dxa"/>
            <w:tcBorders>
              <w:top w:val="nil"/>
              <w:left w:val="nil"/>
              <w:bottom w:val="single" w:sz="4" w:space="0" w:color="auto"/>
              <w:right w:val="nil"/>
            </w:tcBorders>
            <w:shd w:val="clear" w:color="auto" w:fill="auto"/>
            <w:noWrap/>
            <w:vAlign w:val="bottom"/>
            <w:hideMark/>
          </w:tcPr>
          <w:p w14:paraId="7F8D5F3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51" w:type="dxa"/>
            <w:tcBorders>
              <w:top w:val="nil"/>
              <w:left w:val="nil"/>
              <w:bottom w:val="single" w:sz="4" w:space="0" w:color="auto"/>
              <w:right w:val="nil"/>
            </w:tcBorders>
            <w:shd w:val="clear" w:color="auto" w:fill="auto"/>
            <w:noWrap/>
            <w:vAlign w:val="bottom"/>
            <w:hideMark/>
          </w:tcPr>
          <w:p w14:paraId="6D89D4E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5BBAB1A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243E7C55"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 </w:t>
            </w:r>
          </w:p>
        </w:tc>
        <w:tc>
          <w:tcPr>
            <w:tcW w:w="295" w:type="dxa"/>
            <w:gridSpan w:val="2"/>
            <w:tcBorders>
              <w:top w:val="nil"/>
              <w:left w:val="nil"/>
              <w:bottom w:val="single" w:sz="4" w:space="0" w:color="auto"/>
              <w:right w:val="nil"/>
            </w:tcBorders>
            <w:shd w:val="clear" w:color="auto" w:fill="auto"/>
            <w:noWrap/>
            <w:vAlign w:val="bottom"/>
            <w:hideMark/>
          </w:tcPr>
          <w:p w14:paraId="0C349DD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599866EC"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46B14473"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 </w:t>
            </w:r>
          </w:p>
        </w:tc>
        <w:tc>
          <w:tcPr>
            <w:tcW w:w="1208" w:type="dxa"/>
            <w:gridSpan w:val="3"/>
            <w:tcBorders>
              <w:top w:val="nil"/>
              <w:left w:val="nil"/>
              <w:bottom w:val="single" w:sz="4" w:space="0" w:color="auto"/>
              <w:right w:val="nil"/>
            </w:tcBorders>
            <w:shd w:val="clear" w:color="auto" w:fill="auto"/>
            <w:noWrap/>
            <w:vAlign w:val="bottom"/>
            <w:hideMark/>
          </w:tcPr>
          <w:p w14:paraId="199BCC04"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 </w:t>
            </w:r>
          </w:p>
        </w:tc>
      </w:tr>
      <w:tr w:rsidR="00366A38" w:rsidRPr="00EA725B" w14:paraId="5D7D667F" w14:textId="77777777" w:rsidTr="00AE2F5C">
        <w:trPr>
          <w:gridAfter w:val="2"/>
          <w:wAfter w:w="23" w:type="dxa"/>
          <w:trHeight w:val="91"/>
          <w:jc w:val="center"/>
        </w:trPr>
        <w:tc>
          <w:tcPr>
            <w:tcW w:w="10694" w:type="dxa"/>
            <w:gridSpan w:val="19"/>
            <w:tcBorders>
              <w:top w:val="nil"/>
              <w:left w:val="nil"/>
              <w:bottom w:val="single" w:sz="4" w:space="0" w:color="auto"/>
              <w:right w:val="nil"/>
            </w:tcBorders>
            <w:shd w:val="clear" w:color="auto" w:fill="auto"/>
            <w:noWrap/>
            <w:vAlign w:val="bottom"/>
            <w:hideMark/>
          </w:tcPr>
          <w:p w14:paraId="0A7FA22E" w14:textId="6B7C109A" w:rsidR="00366A38" w:rsidRPr="0047162D" w:rsidRDefault="00366A38"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color w:val="000000"/>
                <w:sz w:val="18"/>
                <w:szCs w:val="18"/>
              </w:rPr>
              <w:t> </w:t>
            </w:r>
            <w:r w:rsidRPr="0047162D">
              <w:rPr>
                <w:rFonts w:ascii="Times New Roman" w:eastAsia="Times New Roman" w:hAnsi="Times New Roman" w:cs="Times New Roman"/>
                <w:i/>
                <w:color w:val="000000"/>
                <w:sz w:val="18"/>
                <w:szCs w:val="18"/>
              </w:rPr>
              <w:t>Panel B: ICO success proxies</w:t>
            </w:r>
          </w:p>
        </w:tc>
      </w:tr>
      <w:tr w:rsidR="00EA725B" w:rsidRPr="00EA725B" w14:paraId="1612E369" w14:textId="77777777" w:rsidTr="0047162D">
        <w:trPr>
          <w:gridAfter w:val="1"/>
          <w:wAfter w:w="9" w:type="dxa"/>
          <w:trHeight w:val="91"/>
          <w:jc w:val="center"/>
        </w:trPr>
        <w:tc>
          <w:tcPr>
            <w:tcW w:w="2041" w:type="dxa"/>
            <w:tcBorders>
              <w:top w:val="nil"/>
              <w:left w:val="nil"/>
              <w:bottom w:val="single" w:sz="4" w:space="0" w:color="auto"/>
              <w:right w:val="nil"/>
            </w:tcBorders>
            <w:shd w:val="clear" w:color="auto" w:fill="auto"/>
            <w:noWrap/>
            <w:vAlign w:val="bottom"/>
            <w:hideMark/>
          </w:tcPr>
          <w:p w14:paraId="2ED2014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Model</w:t>
            </w:r>
          </w:p>
        </w:tc>
        <w:tc>
          <w:tcPr>
            <w:tcW w:w="1220" w:type="dxa"/>
            <w:tcBorders>
              <w:top w:val="nil"/>
              <w:left w:val="nil"/>
              <w:bottom w:val="single" w:sz="4" w:space="0" w:color="auto"/>
              <w:right w:val="nil"/>
            </w:tcBorders>
            <w:shd w:val="clear" w:color="auto" w:fill="auto"/>
            <w:noWrap/>
            <w:vAlign w:val="bottom"/>
            <w:hideMark/>
          </w:tcPr>
          <w:p w14:paraId="49881D9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w:t>
            </w:r>
          </w:p>
        </w:tc>
        <w:tc>
          <w:tcPr>
            <w:tcW w:w="1134" w:type="dxa"/>
            <w:tcBorders>
              <w:top w:val="nil"/>
              <w:left w:val="nil"/>
              <w:bottom w:val="single" w:sz="4" w:space="0" w:color="auto"/>
              <w:right w:val="nil"/>
            </w:tcBorders>
            <w:shd w:val="clear" w:color="auto" w:fill="auto"/>
            <w:noWrap/>
            <w:vAlign w:val="bottom"/>
            <w:hideMark/>
          </w:tcPr>
          <w:p w14:paraId="05E516E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(2)</w:t>
            </w:r>
          </w:p>
        </w:tc>
        <w:tc>
          <w:tcPr>
            <w:tcW w:w="261" w:type="dxa"/>
            <w:tcBorders>
              <w:top w:val="nil"/>
              <w:left w:val="nil"/>
              <w:bottom w:val="single" w:sz="4" w:space="0" w:color="auto"/>
              <w:right w:val="nil"/>
            </w:tcBorders>
            <w:shd w:val="clear" w:color="auto" w:fill="auto"/>
            <w:noWrap/>
            <w:vAlign w:val="bottom"/>
            <w:hideMark/>
          </w:tcPr>
          <w:p w14:paraId="40AC9A5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14" w:type="dxa"/>
            <w:gridSpan w:val="2"/>
            <w:tcBorders>
              <w:top w:val="nil"/>
              <w:left w:val="nil"/>
              <w:bottom w:val="single" w:sz="4" w:space="0" w:color="auto"/>
              <w:right w:val="nil"/>
            </w:tcBorders>
            <w:shd w:val="clear" w:color="auto" w:fill="auto"/>
            <w:noWrap/>
            <w:vAlign w:val="bottom"/>
            <w:hideMark/>
          </w:tcPr>
          <w:p w14:paraId="38A9260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51" w:type="dxa"/>
            <w:tcBorders>
              <w:top w:val="nil"/>
              <w:left w:val="nil"/>
              <w:bottom w:val="single" w:sz="4" w:space="0" w:color="auto"/>
              <w:right w:val="nil"/>
            </w:tcBorders>
            <w:shd w:val="clear" w:color="auto" w:fill="auto"/>
            <w:noWrap/>
            <w:vAlign w:val="bottom"/>
            <w:hideMark/>
          </w:tcPr>
          <w:p w14:paraId="4C2516D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45E9FB5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3C5C0C2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95" w:type="dxa"/>
            <w:gridSpan w:val="2"/>
            <w:tcBorders>
              <w:top w:val="nil"/>
              <w:left w:val="nil"/>
              <w:bottom w:val="single" w:sz="4" w:space="0" w:color="auto"/>
              <w:right w:val="nil"/>
            </w:tcBorders>
            <w:shd w:val="clear" w:color="auto" w:fill="auto"/>
            <w:noWrap/>
            <w:vAlign w:val="bottom"/>
            <w:hideMark/>
          </w:tcPr>
          <w:p w14:paraId="324AFBF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01B0739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694E56C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208" w:type="dxa"/>
            <w:gridSpan w:val="3"/>
            <w:tcBorders>
              <w:top w:val="nil"/>
              <w:left w:val="nil"/>
              <w:bottom w:val="single" w:sz="4" w:space="0" w:color="auto"/>
              <w:right w:val="nil"/>
            </w:tcBorders>
            <w:shd w:val="clear" w:color="auto" w:fill="auto"/>
            <w:noWrap/>
            <w:vAlign w:val="bottom"/>
            <w:hideMark/>
          </w:tcPr>
          <w:p w14:paraId="7D6490C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r>
      <w:tr w:rsidR="00EA725B" w:rsidRPr="00EA725B" w14:paraId="04B9EC74"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6DAAE0C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Constant</w:t>
            </w:r>
          </w:p>
        </w:tc>
        <w:tc>
          <w:tcPr>
            <w:tcW w:w="1220" w:type="dxa"/>
            <w:tcBorders>
              <w:top w:val="nil"/>
              <w:left w:val="nil"/>
              <w:bottom w:val="nil"/>
              <w:right w:val="nil"/>
            </w:tcBorders>
            <w:shd w:val="clear" w:color="auto" w:fill="auto"/>
            <w:noWrap/>
            <w:vAlign w:val="bottom"/>
            <w:hideMark/>
          </w:tcPr>
          <w:p w14:paraId="4F7DFD8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5.139**</w:t>
            </w:r>
          </w:p>
        </w:tc>
        <w:tc>
          <w:tcPr>
            <w:tcW w:w="1134" w:type="dxa"/>
            <w:tcBorders>
              <w:top w:val="nil"/>
              <w:left w:val="nil"/>
              <w:bottom w:val="nil"/>
              <w:right w:val="nil"/>
            </w:tcBorders>
            <w:shd w:val="clear" w:color="auto" w:fill="auto"/>
            <w:noWrap/>
            <w:vAlign w:val="bottom"/>
            <w:hideMark/>
          </w:tcPr>
          <w:p w14:paraId="2F73BF3E"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5.056***</w:t>
            </w:r>
          </w:p>
        </w:tc>
        <w:tc>
          <w:tcPr>
            <w:tcW w:w="261" w:type="dxa"/>
            <w:tcBorders>
              <w:top w:val="nil"/>
              <w:left w:val="nil"/>
              <w:bottom w:val="nil"/>
              <w:right w:val="nil"/>
            </w:tcBorders>
            <w:shd w:val="clear" w:color="auto" w:fill="auto"/>
            <w:noWrap/>
            <w:vAlign w:val="bottom"/>
            <w:hideMark/>
          </w:tcPr>
          <w:p w14:paraId="067C84E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7202F0B9"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75D9D78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412D31B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7DD9798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1B17D21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7BE2754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39B9C084"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261B69E3"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39B60F1B"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6BB0E073"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7B9F927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(2.036)</w:t>
            </w:r>
          </w:p>
        </w:tc>
        <w:tc>
          <w:tcPr>
            <w:tcW w:w="1134" w:type="dxa"/>
            <w:tcBorders>
              <w:top w:val="nil"/>
              <w:left w:val="nil"/>
              <w:bottom w:val="nil"/>
              <w:right w:val="nil"/>
            </w:tcBorders>
            <w:shd w:val="clear" w:color="auto" w:fill="auto"/>
            <w:noWrap/>
            <w:vAlign w:val="bottom"/>
            <w:hideMark/>
          </w:tcPr>
          <w:p w14:paraId="33C2AE4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(1.831)</w:t>
            </w:r>
          </w:p>
        </w:tc>
        <w:tc>
          <w:tcPr>
            <w:tcW w:w="261" w:type="dxa"/>
            <w:tcBorders>
              <w:top w:val="nil"/>
              <w:left w:val="nil"/>
              <w:bottom w:val="nil"/>
              <w:right w:val="nil"/>
            </w:tcBorders>
            <w:shd w:val="clear" w:color="auto" w:fill="auto"/>
            <w:noWrap/>
            <w:vAlign w:val="bottom"/>
            <w:hideMark/>
          </w:tcPr>
          <w:p w14:paraId="4EA4CBE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232F75A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6EC035A4"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5ED6CF75"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71E1B78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7B49E7A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D49654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63BE829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1EA4F775"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739F97FB"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186E6337"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LC</w:t>
            </w:r>
          </w:p>
        </w:tc>
        <w:tc>
          <w:tcPr>
            <w:tcW w:w="1220" w:type="dxa"/>
            <w:tcBorders>
              <w:top w:val="nil"/>
              <w:left w:val="nil"/>
              <w:bottom w:val="nil"/>
              <w:right w:val="nil"/>
            </w:tcBorders>
            <w:shd w:val="clear" w:color="auto" w:fill="auto"/>
            <w:noWrap/>
            <w:vAlign w:val="bottom"/>
            <w:hideMark/>
          </w:tcPr>
          <w:p w14:paraId="5DE0F7B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0.080***</w:t>
            </w:r>
          </w:p>
        </w:tc>
        <w:tc>
          <w:tcPr>
            <w:tcW w:w="1134" w:type="dxa"/>
            <w:tcBorders>
              <w:top w:val="nil"/>
              <w:left w:val="nil"/>
              <w:bottom w:val="nil"/>
              <w:right w:val="nil"/>
            </w:tcBorders>
            <w:shd w:val="clear" w:color="auto" w:fill="auto"/>
            <w:noWrap/>
            <w:vAlign w:val="bottom"/>
            <w:hideMark/>
          </w:tcPr>
          <w:p w14:paraId="1A8D07C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0.050***</w:t>
            </w:r>
          </w:p>
        </w:tc>
        <w:tc>
          <w:tcPr>
            <w:tcW w:w="261" w:type="dxa"/>
            <w:tcBorders>
              <w:top w:val="nil"/>
              <w:left w:val="nil"/>
              <w:bottom w:val="nil"/>
              <w:right w:val="nil"/>
            </w:tcBorders>
            <w:shd w:val="clear" w:color="auto" w:fill="auto"/>
            <w:noWrap/>
            <w:vAlign w:val="bottom"/>
            <w:hideMark/>
          </w:tcPr>
          <w:p w14:paraId="2F70D36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166C174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4BC4C87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574C663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28FAEB2F"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3D1D265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2253CCC4"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03E33EC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3FEC9F14"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5504926A"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4C96709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20" w:type="dxa"/>
            <w:tcBorders>
              <w:top w:val="nil"/>
              <w:left w:val="nil"/>
              <w:bottom w:val="nil"/>
              <w:right w:val="nil"/>
            </w:tcBorders>
            <w:shd w:val="clear" w:color="auto" w:fill="auto"/>
            <w:noWrap/>
            <w:vAlign w:val="bottom"/>
            <w:hideMark/>
          </w:tcPr>
          <w:p w14:paraId="426A4D2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(0.024)</w:t>
            </w:r>
          </w:p>
        </w:tc>
        <w:tc>
          <w:tcPr>
            <w:tcW w:w="1134" w:type="dxa"/>
            <w:tcBorders>
              <w:top w:val="nil"/>
              <w:left w:val="nil"/>
              <w:bottom w:val="nil"/>
              <w:right w:val="nil"/>
            </w:tcBorders>
            <w:shd w:val="clear" w:color="auto" w:fill="auto"/>
            <w:noWrap/>
            <w:vAlign w:val="bottom"/>
            <w:hideMark/>
          </w:tcPr>
          <w:p w14:paraId="031F04D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(0.007)</w:t>
            </w:r>
          </w:p>
        </w:tc>
        <w:tc>
          <w:tcPr>
            <w:tcW w:w="261" w:type="dxa"/>
            <w:tcBorders>
              <w:top w:val="nil"/>
              <w:left w:val="nil"/>
              <w:bottom w:val="nil"/>
              <w:right w:val="nil"/>
            </w:tcBorders>
            <w:shd w:val="clear" w:color="auto" w:fill="auto"/>
            <w:noWrap/>
            <w:vAlign w:val="bottom"/>
            <w:hideMark/>
          </w:tcPr>
          <w:p w14:paraId="5809C25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09713E5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5871DCC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232EE50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916171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3F8182E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6686FFA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640A848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028C2218"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2E72578F"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2B71BFFB"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Controls</w:t>
            </w:r>
          </w:p>
        </w:tc>
        <w:tc>
          <w:tcPr>
            <w:tcW w:w="1220" w:type="dxa"/>
            <w:tcBorders>
              <w:top w:val="nil"/>
              <w:left w:val="nil"/>
              <w:bottom w:val="nil"/>
              <w:right w:val="nil"/>
            </w:tcBorders>
            <w:shd w:val="clear" w:color="auto" w:fill="auto"/>
            <w:noWrap/>
            <w:vAlign w:val="bottom"/>
            <w:hideMark/>
          </w:tcPr>
          <w:p w14:paraId="45DED80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134" w:type="dxa"/>
            <w:tcBorders>
              <w:top w:val="nil"/>
              <w:left w:val="nil"/>
              <w:bottom w:val="nil"/>
              <w:right w:val="nil"/>
            </w:tcBorders>
            <w:shd w:val="clear" w:color="auto" w:fill="auto"/>
            <w:noWrap/>
            <w:vAlign w:val="bottom"/>
            <w:hideMark/>
          </w:tcPr>
          <w:p w14:paraId="11114D5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tcBorders>
              <w:top w:val="nil"/>
              <w:left w:val="nil"/>
              <w:bottom w:val="nil"/>
              <w:right w:val="nil"/>
            </w:tcBorders>
            <w:shd w:val="clear" w:color="auto" w:fill="auto"/>
            <w:noWrap/>
            <w:vAlign w:val="bottom"/>
            <w:hideMark/>
          </w:tcPr>
          <w:p w14:paraId="5FD0FE8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6FC1B83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75C600A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4813261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21A8EEB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68DB8CD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49B71F8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114218F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2FC4DD81"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6D369584"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7395DD8A"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Region fixed effect</w:t>
            </w:r>
          </w:p>
        </w:tc>
        <w:tc>
          <w:tcPr>
            <w:tcW w:w="1220" w:type="dxa"/>
            <w:tcBorders>
              <w:top w:val="nil"/>
              <w:left w:val="nil"/>
              <w:bottom w:val="nil"/>
              <w:right w:val="nil"/>
            </w:tcBorders>
            <w:shd w:val="clear" w:color="auto" w:fill="auto"/>
            <w:noWrap/>
            <w:vAlign w:val="bottom"/>
            <w:hideMark/>
          </w:tcPr>
          <w:p w14:paraId="5760FA1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134" w:type="dxa"/>
            <w:tcBorders>
              <w:top w:val="nil"/>
              <w:left w:val="nil"/>
              <w:bottom w:val="nil"/>
              <w:right w:val="nil"/>
            </w:tcBorders>
            <w:shd w:val="clear" w:color="auto" w:fill="auto"/>
            <w:noWrap/>
            <w:vAlign w:val="bottom"/>
            <w:hideMark/>
          </w:tcPr>
          <w:p w14:paraId="3E67CB2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tcBorders>
              <w:top w:val="nil"/>
              <w:left w:val="nil"/>
              <w:bottom w:val="nil"/>
              <w:right w:val="nil"/>
            </w:tcBorders>
            <w:shd w:val="clear" w:color="auto" w:fill="auto"/>
            <w:noWrap/>
            <w:vAlign w:val="bottom"/>
            <w:hideMark/>
          </w:tcPr>
          <w:p w14:paraId="2EE88B5A"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2A36D7C9"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1500F691"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60FFC329"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4EEED55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3B7BFF9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1F0A180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6148B74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3DAB3C56"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3068ABFB"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6212E6D5"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Year-Quarter fixed effect</w:t>
            </w:r>
          </w:p>
        </w:tc>
        <w:tc>
          <w:tcPr>
            <w:tcW w:w="1220" w:type="dxa"/>
            <w:tcBorders>
              <w:top w:val="nil"/>
              <w:left w:val="nil"/>
              <w:bottom w:val="nil"/>
              <w:right w:val="nil"/>
            </w:tcBorders>
            <w:shd w:val="clear" w:color="auto" w:fill="auto"/>
            <w:noWrap/>
            <w:vAlign w:val="bottom"/>
            <w:hideMark/>
          </w:tcPr>
          <w:p w14:paraId="0A2E593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134" w:type="dxa"/>
            <w:tcBorders>
              <w:top w:val="nil"/>
              <w:left w:val="nil"/>
              <w:bottom w:val="nil"/>
              <w:right w:val="nil"/>
            </w:tcBorders>
            <w:shd w:val="clear" w:color="auto" w:fill="auto"/>
            <w:noWrap/>
            <w:vAlign w:val="bottom"/>
            <w:hideMark/>
          </w:tcPr>
          <w:p w14:paraId="2F2152A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tcBorders>
              <w:top w:val="nil"/>
              <w:left w:val="nil"/>
              <w:bottom w:val="nil"/>
              <w:right w:val="nil"/>
            </w:tcBorders>
            <w:shd w:val="clear" w:color="auto" w:fill="auto"/>
            <w:noWrap/>
            <w:vAlign w:val="bottom"/>
            <w:hideMark/>
          </w:tcPr>
          <w:p w14:paraId="2C6D531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7919ABE9"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68E514EF"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37610870"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208D94F2"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7297BCB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42307AA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58DEF46C"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7C53A833"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4DC61E81" w14:textId="77777777" w:rsidTr="0047162D">
        <w:trPr>
          <w:gridAfter w:val="1"/>
          <w:wAfter w:w="9" w:type="dxa"/>
          <w:trHeight w:val="91"/>
          <w:jc w:val="center"/>
        </w:trPr>
        <w:tc>
          <w:tcPr>
            <w:tcW w:w="2041" w:type="dxa"/>
            <w:tcBorders>
              <w:top w:val="nil"/>
              <w:left w:val="nil"/>
              <w:bottom w:val="single" w:sz="4" w:space="0" w:color="auto"/>
              <w:right w:val="nil"/>
            </w:tcBorders>
            <w:shd w:val="clear" w:color="auto" w:fill="auto"/>
            <w:noWrap/>
            <w:vAlign w:val="bottom"/>
            <w:hideMark/>
          </w:tcPr>
          <w:p w14:paraId="3A9A94F9" w14:textId="77777777" w:rsidR="00EA725B" w:rsidRPr="0047162D" w:rsidRDefault="00EA725B" w:rsidP="0047162D">
            <w:pPr>
              <w:spacing w:after="0" w:line="240" w:lineRule="auto"/>
              <w:rPr>
                <w:rFonts w:ascii="Times New Roman" w:eastAsia="Times New Roman" w:hAnsi="Times New Roman" w:cs="Times New Roman"/>
                <w:i/>
                <w:iCs/>
                <w:color w:val="000000"/>
                <w:sz w:val="18"/>
                <w:szCs w:val="18"/>
              </w:rPr>
            </w:pPr>
            <w:r w:rsidRPr="0047162D">
              <w:rPr>
                <w:rFonts w:ascii="Times New Roman" w:eastAsia="Times New Roman" w:hAnsi="Times New Roman" w:cs="Times New Roman"/>
                <w:i/>
                <w:iCs/>
                <w:color w:val="000000"/>
                <w:sz w:val="18"/>
                <w:szCs w:val="18"/>
              </w:rPr>
              <w:t>Industry fixed effect</w:t>
            </w:r>
          </w:p>
        </w:tc>
        <w:tc>
          <w:tcPr>
            <w:tcW w:w="1220" w:type="dxa"/>
            <w:tcBorders>
              <w:top w:val="nil"/>
              <w:left w:val="nil"/>
              <w:bottom w:val="single" w:sz="4" w:space="0" w:color="auto"/>
              <w:right w:val="nil"/>
            </w:tcBorders>
            <w:shd w:val="clear" w:color="auto" w:fill="auto"/>
            <w:noWrap/>
            <w:vAlign w:val="bottom"/>
            <w:hideMark/>
          </w:tcPr>
          <w:p w14:paraId="5751F7A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1134" w:type="dxa"/>
            <w:tcBorders>
              <w:top w:val="nil"/>
              <w:left w:val="nil"/>
              <w:bottom w:val="single" w:sz="4" w:space="0" w:color="auto"/>
              <w:right w:val="nil"/>
            </w:tcBorders>
            <w:shd w:val="clear" w:color="auto" w:fill="auto"/>
            <w:noWrap/>
            <w:vAlign w:val="bottom"/>
            <w:hideMark/>
          </w:tcPr>
          <w:p w14:paraId="7E96FB1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Yes</w:t>
            </w:r>
          </w:p>
        </w:tc>
        <w:tc>
          <w:tcPr>
            <w:tcW w:w="261" w:type="dxa"/>
            <w:tcBorders>
              <w:top w:val="nil"/>
              <w:left w:val="nil"/>
              <w:bottom w:val="single" w:sz="4" w:space="0" w:color="auto"/>
              <w:right w:val="nil"/>
            </w:tcBorders>
            <w:shd w:val="clear" w:color="auto" w:fill="auto"/>
            <w:noWrap/>
            <w:vAlign w:val="bottom"/>
            <w:hideMark/>
          </w:tcPr>
          <w:p w14:paraId="012C76E2"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14" w:type="dxa"/>
            <w:gridSpan w:val="2"/>
            <w:tcBorders>
              <w:top w:val="nil"/>
              <w:left w:val="nil"/>
              <w:bottom w:val="single" w:sz="4" w:space="0" w:color="auto"/>
              <w:right w:val="nil"/>
            </w:tcBorders>
            <w:shd w:val="clear" w:color="auto" w:fill="auto"/>
            <w:noWrap/>
            <w:vAlign w:val="bottom"/>
            <w:hideMark/>
          </w:tcPr>
          <w:p w14:paraId="21D96C95"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51" w:type="dxa"/>
            <w:tcBorders>
              <w:top w:val="nil"/>
              <w:left w:val="nil"/>
              <w:bottom w:val="single" w:sz="4" w:space="0" w:color="auto"/>
              <w:right w:val="nil"/>
            </w:tcBorders>
            <w:shd w:val="clear" w:color="auto" w:fill="auto"/>
            <w:noWrap/>
            <w:vAlign w:val="bottom"/>
            <w:hideMark/>
          </w:tcPr>
          <w:p w14:paraId="2D27579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5958EBF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4360BD87"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95" w:type="dxa"/>
            <w:gridSpan w:val="2"/>
            <w:tcBorders>
              <w:top w:val="nil"/>
              <w:left w:val="nil"/>
              <w:bottom w:val="single" w:sz="4" w:space="0" w:color="auto"/>
              <w:right w:val="nil"/>
            </w:tcBorders>
            <w:shd w:val="clear" w:color="auto" w:fill="auto"/>
            <w:noWrap/>
            <w:vAlign w:val="bottom"/>
            <w:hideMark/>
          </w:tcPr>
          <w:p w14:paraId="7153C9F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367723F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13AB15C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208" w:type="dxa"/>
            <w:gridSpan w:val="3"/>
            <w:tcBorders>
              <w:top w:val="nil"/>
              <w:left w:val="nil"/>
              <w:bottom w:val="single" w:sz="4" w:space="0" w:color="auto"/>
              <w:right w:val="nil"/>
            </w:tcBorders>
            <w:shd w:val="clear" w:color="auto" w:fill="auto"/>
            <w:noWrap/>
            <w:vAlign w:val="bottom"/>
            <w:hideMark/>
          </w:tcPr>
          <w:p w14:paraId="256FD188"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r>
      <w:tr w:rsidR="00EA725B" w:rsidRPr="00EA725B" w14:paraId="4C3DAFDF"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448D1B5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Observations</w:t>
            </w:r>
          </w:p>
        </w:tc>
        <w:tc>
          <w:tcPr>
            <w:tcW w:w="1220" w:type="dxa"/>
            <w:tcBorders>
              <w:top w:val="nil"/>
              <w:left w:val="nil"/>
              <w:bottom w:val="nil"/>
              <w:right w:val="nil"/>
            </w:tcBorders>
            <w:shd w:val="clear" w:color="auto" w:fill="auto"/>
            <w:noWrap/>
            <w:vAlign w:val="bottom"/>
            <w:hideMark/>
          </w:tcPr>
          <w:p w14:paraId="745FE38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1,202</w:t>
            </w:r>
          </w:p>
        </w:tc>
        <w:tc>
          <w:tcPr>
            <w:tcW w:w="1134" w:type="dxa"/>
            <w:tcBorders>
              <w:top w:val="nil"/>
              <w:left w:val="nil"/>
              <w:bottom w:val="nil"/>
              <w:right w:val="nil"/>
            </w:tcBorders>
            <w:shd w:val="clear" w:color="auto" w:fill="auto"/>
            <w:noWrap/>
            <w:vAlign w:val="bottom"/>
            <w:hideMark/>
          </w:tcPr>
          <w:p w14:paraId="1DA9827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1,202</w:t>
            </w:r>
          </w:p>
        </w:tc>
        <w:tc>
          <w:tcPr>
            <w:tcW w:w="261" w:type="dxa"/>
            <w:tcBorders>
              <w:top w:val="nil"/>
              <w:left w:val="nil"/>
              <w:bottom w:val="nil"/>
              <w:right w:val="nil"/>
            </w:tcBorders>
            <w:shd w:val="clear" w:color="auto" w:fill="auto"/>
            <w:noWrap/>
            <w:vAlign w:val="bottom"/>
            <w:hideMark/>
          </w:tcPr>
          <w:p w14:paraId="0AFF255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7947413B"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3D9E661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00BFBC0E"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69E18EF"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0A2F7D58"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5AE842DA"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1B5993A4"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5681CA60"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31EB7524" w14:textId="77777777" w:rsidTr="0047162D">
        <w:trPr>
          <w:gridAfter w:val="1"/>
          <w:wAfter w:w="9" w:type="dxa"/>
          <w:trHeight w:val="91"/>
          <w:jc w:val="center"/>
        </w:trPr>
        <w:tc>
          <w:tcPr>
            <w:tcW w:w="2041" w:type="dxa"/>
            <w:tcBorders>
              <w:top w:val="nil"/>
              <w:left w:val="nil"/>
              <w:bottom w:val="nil"/>
              <w:right w:val="nil"/>
            </w:tcBorders>
            <w:shd w:val="clear" w:color="auto" w:fill="auto"/>
            <w:noWrap/>
            <w:vAlign w:val="bottom"/>
            <w:hideMark/>
          </w:tcPr>
          <w:p w14:paraId="7AA90CFF"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Log Likelihood</w:t>
            </w:r>
          </w:p>
        </w:tc>
        <w:tc>
          <w:tcPr>
            <w:tcW w:w="1220" w:type="dxa"/>
            <w:tcBorders>
              <w:top w:val="nil"/>
              <w:left w:val="nil"/>
              <w:bottom w:val="nil"/>
              <w:right w:val="nil"/>
            </w:tcBorders>
            <w:shd w:val="clear" w:color="auto" w:fill="auto"/>
            <w:noWrap/>
            <w:vAlign w:val="bottom"/>
            <w:hideMark/>
          </w:tcPr>
          <w:p w14:paraId="4264813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-535.301</w:t>
            </w:r>
          </w:p>
        </w:tc>
        <w:tc>
          <w:tcPr>
            <w:tcW w:w="1134" w:type="dxa"/>
            <w:tcBorders>
              <w:top w:val="nil"/>
              <w:left w:val="nil"/>
              <w:bottom w:val="nil"/>
              <w:right w:val="nil"/>
            </w:tcBorders>
            <w:shd w:val="clear" w:color="auto" w:fill="auto"/>
            <w:noWrap/>
            <w:vAlign w:val="bottom"/>
            <w:hideMark/>
          </w:tcPr>
          <w:p w14:paraId="24BE922C"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-660.966</w:t>
            </w:r>
          </w:p>
        </w:tc>
        <w:tc>
          <w:tcPr>
            <w:tcW w:w="261" w:type="dxa"/>
            <w:tcBorders>
              <w:top w:val="nil"/>
              <w:left w:val="nil"/>
              <w:bottom w:val="nil"/>
              <w:right w:val="nil"/>
            </w:tcBorders>
            <w:shd w:val="clear" w:color="auto" w:fill="auto"/>
            <w:noWrap/>
            <w:vAlign w:val="bottom"/>
            <w:hideMark/>
          </w:tcPr>
          <w:p w14:paraId="3DFA5E6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p>
        </w:tc>
        <w:tc>
          <w:tcPr>
            <w:tcW w:w="1014" w:type="dxa"/>
            <w:gridSpan w:val="2"/>
            <w:tcBorders>
              <w:top w:val="nil"/>
              <w:left w:val="nil"/>
              <w:bottom w:val="nil"/>
              <w:right w:val="nil"/>
            </w:tcBorders>
            <w:shd w:val="clear" w:color="auto" w:fill="auto"/>
            <w:noWrap/>
            <w:vAlign w:val="bottom"/>
            <w:hideMark/>
          </w:tcPr>
          <w:p w14:paraId="4903722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051" w:type="dxa"/>
            <w:tcBorders>
              <w:top w:val="nil"/>
              <w:left w:val="nil"/>
              <w:bottom w:val="nil"/>
              <w:right w:val="nil"/>
            </w:tcBorders>
            <w:shd w:val="clear" w:color="auto" w:fill="auto"/>
            <w:noWrap/>
            <w:vAlign w:val="bottom"/>
            <w:hideMark/>
          </w:tcPr>
          <w:p w14:paraId="243EFD83"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1F905F09"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009AAAF3"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95" w:type="dxa"/>
            <w:gridSpan w:val="2"/>
            <w:tcBorders>
              <w:top w:val="nil"/>
              <w:left w:val="nil"/>
              <w:bottom w:val="nil"/>
              <w:right w:val="nil"/>
            </w:tcBorders>
            <w:shd w:val="clear" w:color="auto" w:fill="auto"/>
            <w:noWrap/>
            <w:vAlign w:val="bottom"/>
            <w:hideMark/>
          </w:tcPr>
          <w:p w14:paraId="489CD51D"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981" w:type="dxa"/>
            <w:gridSpan w:val="2"/>
            <w:tcBorders>
              <w:top w:val="nil"/>
              <w:left w:val="nil"/>
              <w:bottom w:val="nil"/>
              <w:right w:val="nil"/>
            </w:tcBorders>
            <w:shd w:val="clear" w:color="auto" w:fill="auto"/>
            <w:noWrap/>
            <w:vAlign w:val="bottom"/>
            <w:hideMark/>
          </w:tcPr>
          <w:p w14:paraId="43A89327"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shd w:val="clear" w:color="auto" w:fill="auto"/>
            <w:noWrap/>
            <w:vAlign w:val="bottom"/>
            <w:hideMark/>
          </w:tcPr>
          <w:p w14:paraId="35220766" w14:textId="77777777" w:rsidR="00EA725B" w:rsidRPr="0047162D" w:rsidRDefault="00EA725B" w:rsidP="0047162D">
            <w:pPr>
              <w:spacing w:after="0" w:line="240" w:lineRule="auto"/>
              <w:rPr>
                <w:rFonts w:ascii="Times New Roman" w:eastAsia="Times New Roman" w:hAnsi="Times New Roman" w:cs="Times New Roman"/>
                <w:sz w:val="18"/>
                <w:szCs w:val="18"/>
              </w:rPr>
            </w:pPr>
          </w:p>
        </w:tc>
        <w:tc>
          <w:tcPr>
            <w:tcW w:w="1208" w:type="dxa"/>
            <w:gridSpan w:val="3"/>
            <w:tcBorders>
              <w:top w:val="nil"/>
              <w:left w:val="nil"/>
              <w:bottom w:val="nil"/>
              <w:right w:val="nil"/>
            </w:tcBorders>
            <w:shd w:val="clear" w:color="auto" w:fill="auto"/>
            <w:noWrap/>
            <w:vAlign w:val="bottom"/>
            <w:hideMark/>
          </w:tcPr>
          <w:p w14:paraId="7582B1C9" w14:textId="77777777" w:rsidR="00EA725B" w:rsidRPr="0047162D" w:rsidRDefault="00EA725B" w:rsidP="0047162D">
            <w:pPr>
              <w:spacing w:after="0" w:line="240" w:lineRule="auto"/>
              <w:rPr>
                <w:rFonts w:ascii="Times New Roman" w:eastAsia="Times New Roman" w:hAnsi="Times New Roman" w:cs="Times New Roman"/>
                <w:sz w:val="18"/>
                <w:szCs w:val="18"/>
              </w:rPr>
            </w:pPr>
          </w:p>
        </w:tc>
      </w:tr>
      <w:tr w:rsidR="00EA725B" w:rsidRPr="00EA725B" w14:paraId="4103B9F4" w14:textId="77777777" w:rsidTr="0047162D">
        <w:trPr>
          <w:gridAfter w:val="1"/>
          <w:wAfter w:w="9" w:type="dxa"/>
          <w:trHeight w:val="91"/>
          <w:jc w:val="center"/>
        </w:trPr>
        <w:tc>
          <w:tcPr>
            <w:tcW w:w="2041" w:type="dxa"/>
            <w:tcBorders>
              <w:top w:val="nil"/>
              <w:left w:val="nil"/>
              <w:bottom w:val="single" w:sz="4" w:space="0" w:color="auto"/>
              <w:right w:val="nil"/>
            </w:tcBorders>
            <w:shd w:val="clear" w:color="auto" w:fill="auto"/>
            <w:noWrap/>
            <w:vAlign w:val="bottom"/>
            <w:hideMark/>
          </w:tcPr>
          <w:p w14:paraId="30F9A924"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Akaike Inf. Crit.</w:t>
            </w:r>
          </w:p>
        </w:tc>
        <w:tc>
          <w:tcPr>
            <w:tcW w:w="1220" w:type="dxa"/>
            <w:tcBorders>
              <w:top w:val="nil"/>
              <w:left w:val="nil"/>
              <w:bottom w:val="single" w:sz="4" w:space="0" w:color="auto"/>
              <w:right w:val="nil"/>
            </w:tcBorders>
            <w:shd w:val="clear" w:color="auto" w:fill="auto"/>
            <w:noWrap/>
            <w:vAlign w:val="bottom"/>
            <w:hideMark/>
          </w:tcPr>
          <w:p w14:paraId="74DA935B"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1,176.603</w:t>
            </w:r>
          </w:p>
        </w:tc>
        <w:tc>
          <w:tcPr>
            <w:tcW w:w="1134" w:type="dxa"/>
            <w:tcBorders>
              <w:top w:val="nil"/>
              <w:left w:val="nil"/>
              <w:bottom w:val="single" w:sz="4" w:space="0" w:color="auto"/>
              <w:right w:val="nil"/>
            </w:tcBorders>
            <w:shd w:val="clear" w:color="auto" w:fill="auto"/>
            <w:noWrap/>
            <w:vAlign w:val="bottom"/>
            <w:hideMark/>
          </w:tcPr>
          <w:p w14:paraId="0053FCA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1,423.933</w:t>
            </w:r>
          </w:p>
        </w:tc>
        <w:tc>
          <w:tcPr>
            <w:tcW w:w="261" w:type="dxa"/>
            <w:tcBorders>
              <w:top w:val="nil"/>
              <w:left w:val="nil"/>
              <w:bottom w:val="single" w:sz="4" w:space="0" w:color="auto"/>
              <w:right w:val="nil"/>
            </w:tcBorders>
            <w:shd w:val="clear" w:color="auto" w:fill="auto"/>
            <w:noWrap/>
            <w:vAlign w:val="bottom"/>
            <w:hideMark/>
          </w:tcPr>
          <w:p w14:paraId="310F55A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14" w:type="dxa"/>
            <w:gridSpan w:val="2"/>
            <w:tcBorders>
              <w:top w:val="nil"/>
              <w:left w:val="nil"/>
              <w:bottom w:val="single" w:sz="4" w:space="0" w:color="auto"/>
              <w:right w:val="nil"/>
            </w:tcBorders>
            <w:shd w:val="clear" w:color="auto" w:fill="auto"/>
            <w:noWrap/>
            <w:vAlign w:val="bottom"/>
            <w:hideMark/>
          </w:tcPr>
          <w:p w14:paraId="3454AA4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051" w:type="dxa"/>
            <w:tcBorders>
              <w:top w:val="nil"/>
              <w:left w:val="nil"/>
              <w:bottom w:val="single" w:sz="4" w:space="0" w:color="auto"/>
              <w:right w:val="nil"/>
            </w:tcBorders>
            <w:shd w:val="clear" w:color="auto" w:fill="auto"/>
            <w:noWrap/>
            <w:vAlign w:val="bottom"/>
            <w:hideMark/>
          </w:tcPr>
          <w:p w14:paraId="2F143A49"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360CBE9D"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21F95A70"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95" w:type="dxa"/>
            <w:gridSpan w:val="2"/>
            <w:tcBorders>
              <w:top w:val="nil"/>
              <w:left w:val="nil"/>
              <w:bottom w:val="single" w:sz="4" w:space="0" w:color="auto"/>
              <w:right w:val="nil"/>
            </w:tcBorders>
            <w:shd w:val="clear" w:color="auto" w:fill="auto"/>
            <w:noWrap/>
            <w:vAlign w:val="bottom"/>
            <w:hideMark/>
          </w:tcPr>
          <w:p w14:paraId="760F468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981" w:type="dxa"/>
            <w:gridSpan w:val="2"/>
            <w:tcBorders>
              <w:top w:val="nil"/>
              <w:left w:val="nil"/>
              <w:bottom w:val="single" w:sz="4" w:space="0" w:color="auto"/>
              <w:right w:val="nil"/>
            </w:tcBorders>
            <w:shd w:val="clear" w:color="auto" w:fill="auto"/>
            <w:noWrap/>
            <w:vAlign w:val="bottom"/>
            <w:hideMark/>
          </w:tcPr>
          <w:p w14:paraId="431108E6"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261" w:type="dxa"/>
            <w:gridSpan w:val="2"/>
            <w:tcBorders>
              <w:top w:val="nil"/>
              <w:left w:val="nil"/>
              <w:bottom w:val="single" w:sz="4" w:space="0" w:color="auto"/>
              <w:right w:val="nil"/>
            </w:tcBorders>
            <w:shd w:val="clear" w:color="auto" w:fill="auto"/>
            <w:noWrap/>
            <w:vAlign w:val="bottom"/>
            <w:hideMark/>
          </w:tcPr>
          <w:p w14:paraId="7F8F3C63"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c>
          <w:tcPr>
            <w:tcW w:w="1208" w:type="dxa"/>
            <w:gridSpan w:val="3"/>
            <w:tcBorders>
              <w:top w:val="nil"/>
              <w:left w:val="nil"/>
              <w:bottom w:val="single" w:sz="4" w:space="0" w:color="auto"/>
              <w:right w:val="nil"/>
            </w:tcBorders>
            <w:shd w:val="clear" w:color="auto" w:fill="auto"/>
            <w:noWrap/>
            <w:vAlign w:val="bottom"/>
            <w:hideMark/>
          </w:tcPr>
          <w:p w14:paraId="350CA431" w14:textId="77777777" w:rsidR="00EA725B" w:rsidRPr="0047162D" w:rsidRDefault="00EA725B" w:rsidP="0047162D">
            <w:pPr>
              <w:spacing w:after="0" w:line="240" w:lineRule="auto"/>
              <w:rPr>
                <w:rFonts w:ascii="Times New Roman" w:eastAsia="Times New Roman" w:hAnsi="Times New Roman" w:cs="Times New Roman"/>
                <w:color w:val="000000"/>
                <w:sz w:val="18"/>
                <w:szCs w:val="18"/>
              </w:rPr>
            </w:pPr>
            <w:r w:rsidRPr="0047162D">
              <w:rPr>
                <w:rFonts w:ascii="Times New Roman" w:eastAsia="Times New Roman" w:hAnsi="Times New Roman" w:cs="Times New Roman"/>
                <w:color w:val="000000"/>
                <w:sz w:val="18"/>
                <w:szCs w:val="18"/>
              </w:rPr>
              <w:t> </w:t>
            </w:r>
          </w:p>
        </w:tc>
      </w:tr>
      <w:tr w:rsidR="00EA725B" w:rsidRPr="00EA725B" w14:paraId="212847B3" w14:textId="77777777" w:rsidTr="0047162D">
        <w:trPr>
          <w:gridAfter w:val="2"/>
          <w:wAfter w:w="23" w:type="dxa"/>
          <w:trHeight w:val="91"/>
          <w:jc w:val="center"/>
        </w:trPr>
        <w:tc>
          <w:tcPr>
            <w:tcW w:w="10694" w:type="dxa"/>
            <w:gridSpan w:val="19"/>
            <w:tcBorders>
              <w:top w:val="single" w:sz="4" w:space="0" w:color="auto"/>
              <w:left w:val="nil"/>
              <w:bottom w:val="nil"/>
              <w:right w:val="nil"/>
            </w:tcBorders>
            <w:shd w:val="clear" w:color="auto" w:fill="auto"/>
            <w:vAlign w:val="bottom"/>
            <w:hideMark/>
          </w:tcPr>
          <w:p w14:paraId="47018A6D" w14:textId="71E2D1FD" w:rsidR="00EA725B" w:rsidRPr="0047162D" w:rsidRDefault="00EA725B" w:rsidP="0047162D">
            <w:pPr>
              <w:spacing w:after="0" w:line="240" w:lineRule="auto"/>
              <w:jc w:val="both"/>
              <w:rPr>
                <w:rFonts w:ascii="Times New Roman" w:eastAsia="Times New Roman" w:hAnsi="Times New Roman" w:cs="Times New Roman"/>
                <w:color w:val="000000"/>
                <w:sz w:val="18"/>
                <w:szCs w:val="18"/>
              </w:rPr>
            </w:pPr>
            <w:r w:rsidRPr="0047162D">
              <w:rPr>
                <w:rFonts w:ascii="Times New Roman" w:eastAsia="Times New Roman" w:hAnsi="Times New Roman" w:cs="Times New Roman"/>
                <w:i/>
                <w:iCs/>
                <w:color w:val="000000"/>
                <w:sz w:val="20"/>
                <w:szCs w:val="18"/>
              </w:rPr>
              <w:t>Notes.</w:t>
            </w:r>
            <w:r w:rsidRPr="0047162D">
              <w:rPr>
                <w:rFonts w:ascii="Times New Roman" w:eastAsia="Times New Roman" w:hAnsi="Times New Roman" w:cs="Times New Roman"/>
                <w:color w:val="000000"/>
                <w:sz w:val="20"/>
                <w:szCs w:val="18"/>
              </w:rPr>
              <w:t xml:space="preserve"> This table reports the OLS regression results. Variable definitions are provided in Table 1. Panel A introduce readability </w:t>
            </w:r>
            <w:proofErr w:type="spellStart"/>
            <w:r w:rsidRPr="0047162D">
              <w:rPr>
                <w:rFonts w:ascii="Times New Roman" w:eastAsia="Times New Roman" w:hAnsi="Times New Roman" w:cs="Times New Roman"/>
                <w:color w:val="000000"/>
                <w:sz w:val="20"/>
                <w:szCs w:val="18"/>
              </w:rPr>
              <w:t>splitsample</w:t>
            </w:r>
            <w:proofErr w:type="spellEnd"/>
            <w:r w:rsidRPr="0047162D">
              <w:rPr>
                <w:rFonts w:ascii="Times New Roman" w:eastAsia="Times New Roman" w:hAnsi="Times New Roman" w:cs="Times New Roman"/>
                <w:color w:val="000000"/>
                <w:sz w:val="20"/>
                <w:szCs w:val="18"/>
              </w:rPr>
              <w:t xml:space="preserve"> and interaction analyses using </w:t>
            </w:r>
            <m:oMath>
              <m:r>
                <m:rPr>
                  <m:sty m:val="p"/>
                </m:rPr>
                <w:rPr>
                  <w:rFonts w:ascii="Cambria Math" w:eastAsia="Times New Roman" w:hAnsi="Cambria Math" w:cs="Times New Roman"/>
                  <w:color w:val="000000"/>
                  <w:sz w:val="20"/>
                  <w:szCs w:val="18"/>
                </w:rPr>
                <m:t>Readability_FOG</m:t>
              </m:r>
            </m:oMath>
            <w:r w:rsidRPr="0047162D">
              <w:rPr>
                <w:rFonts w:ascii="Times New Roman" w:eastAsia="Times New Roman" w:hAnsi="Times New Roman" w:cs="Times New Roman"/>
                <w:color w:val="000000"/>
                <w:sz w:val="20"/>
                <w:szCs w:val="18"/>
              </w:rPr>
              <w:t xml:space="preserve"> (Models (1) and (2)) and </w:t>
            </w:r>
            <m:oMath>
              <m:r>
                <m:rPr>
                  <m:sty m:val="p"/>
                </m:rPr>
                <w:rPr>
                  <w:rFonts w:ascii="Cambria Math" w:eastAsia="Times New Roman" w:hAnsi="Cambria Math" w:cs="Times New Roman"/>
                  <w:color w:val="000000"/>
                  <w:sz w:val="20"/>
                  <w:szCs w:val="18"/>
                </w:rPr>
                <m:t>Readability_Size</m:t>
              </m:r>
            </m:oMath>
            <w:r w:rsidRPr="0047162D">
              <w:rPr>
                <w:rFonts w:ascii="Times New Roman" w:eastAsia="Times New Roman" w:hAnsi="Times New Roman" w:cs="Times New Roman"/>
                <w:color w:val="000000"/>
                <w:sz w:val="20"/>
                <w:szCs w:val="18"/>
              </w:rPr>
              <w:t xml:space="preserve"> (Models (3) and (4) respectively. We conduct a Z-test for coefficients of in each </w:t>
            </w:r>
            <w:proofErr w:type="spellStart"/>
            <w:r w:rsidRPr="0047162D">
              <w:rPr>
                <w:rFonts w:ascii="Times New Roman" w:eastAsia="Times New Roman" w:hAnsi="Times New Roman" w:cs="Times New Roman"/>
                <w:color w:val="000000"/>
                <w:sz w:val="20"/>
                <w:szCs w:val="18"/>
              </w:rPr>
              <w:t>splitsample</w:t>
            </w:r>
            <w:proofErr w:type="spellEnd"/>
            <w:r w:rsidRPr="0047162D">
              <w:rPr>
                <w:rFonts w:ascii="Times New Roman" w:eastAsia="Times New Roman" w:hAnsi="Times New Roman" w:cs="Times New Roman"/>
                <w:color w:val="000000"/>
                <w:sz w:val="20"/>
                <w:szCs w:val="18"/>
              </w:rPr>
              <w:t xml:space="preserve"> analysis and which confirm statistical difference of </w:t>
            </w:r>
            <m:oMath>
              <m:r>
                <m:rPr>
                  <m:sty m:val="p"/>
                </m:rPr>
                <w:rPr>
                  <w:rFonts w:ascii="Cambria Math" w:eastAsia="Times New Roman" w:hAnsi="Cambria Math" w:cs="Times New Roman"/>
                  <w:color w:val="000000"/>
                  <w:sz w:val="20"/>
                  <w:szCs w:val="18"/>
                </w:rPr>
                <m:t>LC</m:t>
              </m:r>
            </m:oMath>
            <w:r w:rsidRPr="0047162D">
              <w:rPr>
                <w:rFonts w:ascii="Times New Roman" w:eastAsia="Times New Roman" w:hAnsi="Times New Roman" w:cs="Times New Roman"/>
                <w:color w:val="000000"/>
                <w:sz w:val="20"/>
                <w:szCs w:val="18"/>
              </w:rPr>
              <w:t xml:space="preserve"> within each splitsample.  Panel B introduces alternative ICO success proxies as dependent variables. Model (1) includes a dummy variable indicating whether the ICO has been listed on a secondary exchange, while Model (2) uses a </w:t>
            </w:r>
            <w:proofErr w:type="spellStart"/>
            <w:r w:rsidRPr="0047162D">
              <w:rPr>
                <w:rFonts w:ascii="Times New Roman" w:eastAsia="Times New Roman" w:hAnsi="Times New Roman" w:cs="Times New Roman"/>
                <w:color w:val="000000"/>
                <w:sz w:val="20"/>
                <w:szCs w:val="18"/>
              </w:rPr>
              <w:t>softcap</w:t>
            </w:r>
            <w:proofErr w:type="spellEnd"/>
            <w:r w:rsidRPr="0047162D">
              <w:rPr>
                <w:rFonts w:ascii="Times New Roman" w:eastAsia="Times New Roman" w:hAnsi="Times New Roman" w:cs="Times New Roman"/>
                <w:color w:val="000000"/>
                <w:sz w:val="20"/>
                <w:szCs w:val="18"/>
              </w:rPr>
              <w:t xml:space="preserve"> reached threshold variables (</w:t>
            </w:r>
            <m:oMath>
              <m:r>
                <m:rPr>
                  <m:sty m:val="p"/>
                </m:rPr>
                <w:rPr>
                  <w:rFonts w:ascii="Cambria Math" w:eastAsia="Times New Roman" w:hAnsi="Cambria Math" w:cs="Times New Roman"/>
                  <w:color w:val="000000"/>
                  <w:sz w:val="20"/>
                  <w:szCs w:val="18"/>
                </w:rPr>
                <m:t>Hardcap</m:t>
              </m:r>
            </m:oMath>
            <w:r w:rsidRPr="0047162D">
              <w:rPr>
                <w:rFonts w:ascii="Times New Roman" w:eastAsia="Times New Roman" w:hAnsi="Times New Roman" w:cs="Times New Roman"/>
                <w:color w:val="000000"/>
                <w:sz w:val="20"/>
                <w:szCs w:val="18"/>
              </w:rPr>
              <w:t xml:space="preserve"> and </w:t>
            </w:r>
            <m:oMath>
              <m:r>
                <m:rPr>
                  <m:sty m:val="p"/>
                </m:rPr>
                <w:rPr>
                  <w:rFonts w:ascii="Cambria Math" w:eastAsia="Times New Roman" w:hAnsi="Cambria Math" w:cs="Times New Roman"/>
                  <w:color w:val="000000"/>
                  <w:sz w:val="20"/>
                  <w:szCs w:val="18"/>
                </w:rPr>
                <m:t>Softcap</m:t>
              </m:r>
            </m:oMath>
            <w:r w:rsidRPr="0047162D">
              <w:rPr>
                <w:rFonts w:ascii="Times New Roman" w:eastAsia="Times New Roman" w:hAnsi="Times New Roman" w:cs="Times New Roman"/>
                <w:color w:val="000000"/>
                <w:sz w:val="20"/>
                <w:szCs w:val="18"/>
              </w:rPr>
              <w:t xml:space="preserve"> control variables are ommited in this model).  Standard errors are clustered at the Year-Quarter level. Sign</w:t>
            </w:r>
            <w:proofErr w:type="spellStart"/>
            <w:r w:rsidRPr="0047162D">
              <w:rPr>
                <w:rFonts w:ascii="Times New Roman" w:eastAsia="Times New Roman" w:hAnsi="Times New Roman" w:cs="Times New Roman"/>
                <w:color w:val="000000"/>
                <w:sz w:val="20"/>
                <w:szCs w:val="18"/>
              </w:rPr>
              <w:t>ificance</w:t>
            </w:r>
            <w:proofErr w:type="spellEnd"/>
            <w:r w:rsidRPr="0047162D">
              <w:rPr>
                <w:rFonts w:ascii="Times New Roman" w:eastAsia="Times New Roman" w:hAnsi="Times New Roman" w:cs="Times New Roman"/>
                <w:color w:val="000000"/>
                <w:sz w:val="20"/>
                <w:szCs w:val="18"/>
              </w:rPr>
              <w:t xml:space="preserve"> levels: * indicates p&lt;0.1, ** indicates p&lt;0.05, *** indicates p&lt;0.01.</w:t>
            </w:r>
          </w:p>
        </w:tc>
      </w:tr>
    </w:tbl>
    <w:p w14:paraId="183357BF" w14:textId="44CC400E" w:rsidR="00691EC4" w:rsidRDefault="00EA725B" w:rsidP="003C73FB">
      <w:r>
        <w:fldChar w:fldCharType="end"/>
      </w:r>
      <w:r w:rsidR="00691EC4">
        <w:fldChar w:fldCharType="begin"/>
      </w:r>
      <w:r w:rsidR="00691EC4">
        <w:instrText xml:space="preserve"> LINK </w:instrText>
      </w:r>
      <w:r w:rsidR="00A27063">
        <w:instrText xml:space="preserve">Excel.Sheet.12 "C:\\Users\\barrioherrez.OASIS\\Dropbox\\Doctorat\\Papers\\ICO and Lexical Diversity\\Manuscripts\\Submission financial review\\R&amp;R\\Table\\Tables.xlsx" "Table 9!L1C1:L48C12" </w:instrText>
      </w:r>
      <w:r w:rsidR="00691EC4">
        <w:instrText xml:space="preserve">\a \f 4 \h  \* MERGEFORMAT </w:instrText>
      </w:r>
      <w:r w:rsidR="00691EC4">
        <w:fldChar w:fldCharType="separate"/>
      </w:r>
    </w:p>
    <w:p w14:paraId="60363AC7" w14:textId="22E8E448" w:rsidR="00691EC4" w:rsidRPr="00C82EE1" w:rsidRDefault="00691EC4" w:rsidP="003C73FB">
      <w:pPr>
        <w:rPr>
          <w:rFonts w:ascii="Times New Roman" w:hAnsi="Times New Roman" w:cs="Times New Roman"/>
          <w:sz w:val="24"/>
          <w:szCs w:val="24"/>
        </w:rPr>
      </w:pPr>
      <w:r>
        <w:rPr>
          <w:rFonts w:ascii="Times New Roman" w:hAnsi="Times New Roman" w:cs="Times New Roman"/>
          <w:sz w:val="24"/>
          <w:szCs w:val="24"/>
        </w:rPr>
        <w:fldChar w:fldCharType="end"/>
      </w:r>
    </w:p>
    <w:sectPr w:rsidR="00691EC4" w:rsidRPr="00C82EE1" w:rsidSect="00C76A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25199" w14:textId="77777777" w:rsidR="003E7C65" w:rsidRDefault="003E7C65" w:rsidP="00481D5B">
      <w:pPr>
        <w:spacing w:after="0" w:line="240" w:lineRule="auto"/>
      </w:pPr>
      <w:r>
        <w:separator/>
      </w:r>
    </w:p>
  </w:endnote>
  <w:endnote w:type="continuationSeparator" w:id="0">
    <w:p w14:paraId="2BF1A39D" w14:textId="77777777" w:rsidR="003E7C65" w:rsidRDefault="003E7C65" w:rsidP="0048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259964"/>
      <w:docPartObj>
        <w:docPartGallery w:val="Page Numbers (Bottom of Page)"/>
        <w:docPartUnique/>
      </w:docPartObj>
    </w:sdtPr>
    <w:sdtContent>
      <w:p w14:paraId="13B31AA5" w14:textId="20AE9B46" w:rsidR="00876173" w:rsidRDefault="00876173">
        <w:pPr>
          <w:pStyle w:val="Pieddepage"/>
          <w:jc w:val="right"/>
        </w:pPr>
        <w:r>
          <w:fldChar w:fldCharType="begin"/>
        </w:r>
        <w:r>
          <w:instrText>PAGE   \* MERGEFORMAT</w:instrText>
        </w:r>
        <w:r>
          <w:fldChar w:fldCharType="separate"/>
        </w:r>
        <w:r>
          <w:rPr>
            <w:lang w:val="fr-FR"/>
          </w:rPr>
          <w:t>2</w:t>
        </w:r>
        <w:r>
          <w:fldChar w:fldCharType="end"/>
        </w:r>
      </w:p>
    </w:sdtContent>
  </w:sdt>
  <w:p w14:paraId="5591082A" w14:textId="77777777" w:rsidR="00876173" w:rsidRDefault="008761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6FC86" w14:textId="77777777" w:rsidR="003E7C65" w:rsidRDefault="003E7C65" w:rsidP="00481D5B">
      <w:pPr>
        <w:spacing w:after="0" w:line="240" w:lineRule="auto"/>
      </w:pPr>
      <w:r>
        <w:separator/>
      </w:r>
    </w:p>
  </w:footnote>
  <w:footnote w:type="continuationSeparator" w:id="0">
    <w:p w14:paraId="2C80B4A6" w14:textId="77777777" w:rsidR="003E7C65" w:rsidRDefault="003E7C65" w:rsidP="00481D5B">
      <w:pPr>
        <w:spacing w:after="0" w:line="240" w:lineRule="auto"/>
      </w:pPr>
      <w:r>
        <w:continuationSeparator/>
      </w:r>
    </w:p>
  </w:footnote>
  <w:footnote w:id="1">
    <w:p w14:paraId="2410BBA3" w14:textId="480C56E1" w:rsidR="00876173" w:rsidRPr="009A08BF" w:rsidRDefault="00876173" w:rsidP="00481D5B">
      <w:pPr>
        <w:pStyle w:val="Notedebasdepage"/>
        <w:rPr>
          <w:rFonts w:ascii="Times New Roman" w:hAnsi="Times New Roman" w:cs="Times New Roman"/>
          <w:lang w:val="en-US"/>
        </w:rPr>
      </w:pPr>
      <w:r w:rsidRPr="00D237B0">
        <w:rPr>
          <w:rStyle w:val="Appelnotedebasdep"/>
        </w:rPr>
        <w:footnoteRef/>
      </w:r>
      <w:r w:rsidRPr="009A08BF">
        <w:rPr>
          <w:rFonts w:ascii="Times New Roman" w:hAnsi="Times New Roman" w:cs="Times New Roman"/>
          <w:lang w:val="en-GB"/>
        </w:rPr>
        <w:t xml:space="preserve"> Please see</w:t>
      </w:r>
      <w:r>
        <w:rPr>
          <w:rFonts w:ascii="Times New Roman" w:hAnsi="Times New Roman" w:cs="Times New Roman"/>
          <w:lang w:val="en-GB"/>
        </w:rPr>
        <w:t>,</w:t>
      </w:r>
      <w:r w:rsidRPr="009A08BF">
        <w:rPr>
          <w:rFonts w:ascii="Times New Roman" w:hAnsi="Times New Roman" w:cs="Times New Roman"/>
          <w:lang w:val="en-GB"/>
        </w:rPr>
        <w:t xml:space="preserve"> </w:t>
      </w:r>
      <w:r w:rsidRPr="001330C9">
        <w:rPr>
          <w:rFonts w:ascii="Times New Roman" w:hAnsi="Times New Roman" w:cs="Times New Roman"/>
          <w:lang w:val="en-GB"/>
        </w:rPr>
        <w:t>among others</w:t>
      </w:r>
      <w:r>
        <w:rPr>
          <w:rFonts w:ascii="Times New Roman" w:hAnsi="Times New Roman" w:cs="Times New Roman"/>
          <w:lang w:val="en-GB"/>
        </w:rPr>
        <w:t>,</w:t>
      </w:r>
      <w:r>
        <w:rPr>
          <w:rFonts w:ascii="Times New Roman" w:hAnsi="Times New Roman" w:cs="Times New Roman"/>
          <w:lang w:val="en-US"/>
        </w:rPr>
        <w:t xml:space="preserve"> </w:t>
      </w:r>
      <w:r w:rsidRPr="001F7444">
        <w:rPr>
          <w:rFonts w:ascii="Times New Roman" w:hAnsi="Times New Roman" w:cs="Times New Roman"/>
          <w:lang w:val="en-US"/>
        </w:rPr>
        <w:t>Li</w:t>
      </w:r>
      <w:r>
        <w:rPr>
          <w:rFonts w:ascii="Times New Roman" w:hAnsi="Times New Roman" w:cs="Times New Roman"/>
          <w:lang w:val="en-US"/>
        </w:rPr>
        <w:t xml:space="preserve"> (</w:t>
      </w:r>
      <w:r w:rsidRPr="001F7444">
        <w:rPr>
          <w:rFonts w:ascii="Times New Roman" w:hAnsi="Times New Roman" w:cs="Times New Roman"/>
          <w:lang w:val="en-US"/>
        </w:rPr>
        <w:t>2008</w:t>
      </w:r>
      <w:r>
        <w:rPr>
          <w:rFonts w:ascii="Times New Roman" w:hAnsi="Times New Roman" w:cs="Times New Roman"/>
          <w:lang w:val="en-US"/>
        </w:rPr>
        <w:t>),</w:t>
      </w:r>
      <w:r w:rsidRPr="001F7444">
        <w:rPr>
          <w:rFonts w:ascii="Times New Roman" w:hAnsi="Times New Roman" w:cs="Times New Roman"/>
          <w:lang w:val="en-US"/>
        </w:rPr>
        <w:t xml:space="preserve"> Loughran &amp; McDonald </w:t>
      </w:r>
      <w:r>
        <w:rPr>
          <w:rFonts w:ascii="Times New Roman" w:hAnsi="Times New Roman" w:cs="Times New Roman"/>
          <w:lang w:val="en-US"/>
        </w:rPr>
        <w:t>(</w:t>
      </w:r>
      <w:r w:rsidRPr="001F7444">
        <w:rPr>
          <w:rFonts w:ascii="Times New Roman" w:hAnsi="Times New Roman" w:cs="Times New Roman"/>
          <w:lang w:val="en-US"/>
        </w:rPr>
        <w:t>2014</w:t>
      </w:r>
      <w:r>
        <w:rPr>
          <w:rFonts w:ascii="Times New Roman" w:hAnsi="Times New Roman" w:cs="Times New Roman"/>
          <w:lang w:val="en-US"/>
        </w:rPr>
        <w:t>a</w:t>
      </w:r>
      <w:r w:rsidRPr="001F7444">
        <w:rPr>
          <w:rFonts w:ascii="Times New Roman" w:hAnsi="Times New Roman" w:cs="Times New Roman"/>
          <w:lang w:val="en-US"/>
        </w:rPr>
        <w:t>, 2014</w:t>
      </w:r>
      <w:r>
        <w:rPr>
          <w:rFonts w:ascii="Times New Roman" w:hAnsi="Times New Roman" w:cs="Times New Roman"/>
          <w:lang w:val="en-US"/>
        </w:rPr>
        <w:t>b), and</w:t>
      </w:r>
      <w:r w:rsidRPr="001F7444">
        <w:rPr>
          <w:rFonts w:ascii="Times New Roman" w:hAnsi="Times New Roman" w:cs="Times New Roman"/>
          <w:lang w:val="en-US"/>
        </w:rPr>
        <w:t xml:space="preserve"> Zhang et al. </w:t>
      </w:r>
      <w:r>
        <w:rPr>
          <w:rFonts w:ascii="Times New Roman" w:hAnsi="Times New Roman" w:cs="Times New Roman"/>
          <w:lang w:val="en-US"/>
        </w:rPr>
        <w:t>(</w:t>
      </w:r>
      <w:r w:rsidRPr="001F7444">
        <w:rPr>
          <w:rFonts w:ascii="Times New Roman" w:hAnsi="Times New Roman" w:cs="Times New Roman"/>
          <w:lang w:val="en-US"/>
        </w:rPr>
        <w:t>2019</w:t>
      </w:r>
      <w:r>
        <w:rPr>
          <w:rFonts w:ascii="Times New Roman" w:hAnsi="Times New Roman" w:cs="Times New Roman"/>
          <w:lang w:val="en-US"/>
        </w:rPr>
        <w:t xml:space="preserve">) </w:t>
      </w:r>
      <w:r w:rsidRPr="001330C9">
        <w:rPr>
          <w:rFonts w:ascii="Times New Roman" w:hAnsi="Times New Roman" w:cs="Times New Roman"/>
          <w:lang w:val="en-GB"/>
        </w:rPr>
        <w:t>on the limitations of the measurements of readability.</w:t>
      </w:r>
    </w:p>
  </w:footnote>
  <w:footnote w:id="2">
    <w:p w14:paraId="30FB1BE8" w14:textId="164E988E" w:rsidR="00876173" w:rsidRPr="007604EB" w:rsidRDefault="00876173" w:rsidP="00481D5B">
      <w:pPr>
        <w:spacing w:after="0" w:line="240" w:lineRule="auto"/>
        <w:jc w:val="both"/>
        <w:rPr>
          <w:rFonts w:ascii="Times New Roman" w:hAnsi="Times New Roman" w:cs="Times New Roman"/>
          <w:sz w:val="24"/>
          <w:szCs w:val="24"/>
          <w:lang w:val="en-GB"/>
        </w:rPr>
      </w:pPr>
      <w:r w:rsidRPr="00D237B0">
        <w:rPr>
          <w:rStyle w:val="Appelnotedebasdep"/>
        </w:rPr>
        <w:footnoteRef/>
      </w:r>
      <w:r>
        <w:rPr>
          <w:sz w:val="20"/>
          <w:szCs w:val="20"/>
        </w:rPr>
        <w:t xml:space="preserve"> </w:t>
      </w:r>
      <w:r w:rsidRPr="00FA2702">
        <w:rPr>
          <w:rFonts w:ascii="Times New Roman" w:hAnsi="Times New Roman" w:cs="Times New Roman"/>
          <w:sz w:val="20"/>
          <w:szCs w:val="20"/>
        </w:rPr>
        <w:t xml:space="preserve">They </w:t>
      </w:r>
      <w:r w:rsidRPr="00FA2702">
        <w:rPr>
          <w:rFonts w:ascii="Times New Roman" w:hAnsi="Times New Roman" w:cs="Times New Roman"/>
          <w:sz w:val="20"/>
          <w:szCs w:val="20"/>
          <w:lang w:val="en-GB"/>
        </w:rPr>
        <w:t>claim that existing readability formulas evaluate the degree of difficulty of a written text based on "</w:t>
      </w:r>
      <w:r w:rsidRPr="00535880">
        <w:rPr>
          <w:rFonts w:ascii="Times New Roman" w:hAnsi="Times New Roman" w:cs="Times New Roman"/>
          <w:i/>
          <w:sz w:val="20"/>
          <w:szCs w:val="20"/>
          <w:lang w:val="en-GB"/>
        </w:rPr>
        <w:t>its linguistic, semantic, and grammatical characteristics, without involving the human reader</w:t>
      </w:r>
      <w:r>
        <w:rPr>
          <w:rFonts w:ascii="Times New Roman" w:hAnsi="Times New Roman" w:cs="Times New Roman"/>
          <w:i/>
          <w:sz w:val="20"/>
          <w:szCs w:val="20"/>
          <w:lang w:val="en-GB"/>
        </w:rPr>
        <w:t>.</w:t>
      </w:r>
      <w:r w:rsidRPr="00FA2702">
        <w:rPr>
          <w:rFonts w:ascii="Times New Roman" w:hAnsi="Times New Roman" w:cs="Times New Roman"/>
          <w:sz w:val="20"/>
          <w:szCs w:val="20"/>
          <w:lang w:val="en-GB"/>
        </w:rPr>
        <w:t>"</w:t>
      </w:r>
      <w:r w:rsidRPr="0075739D">
        <w:rPr>
          <w:rFonts w:ascii="Times New Roman" w:hAnsi="Times New Roman" w:cs="Times New Roman"/>
          <w:sz w:val="20"/>
          <w:szCs w:val="20"/>
          <w:lang w:val="en-GB"/>
        </w:rPr>
        <w:t xml:space="preserve"> </w:t>
      </w:r>
    </w:p>
    <w:p w14:paraId="2C6A55E5" w14:textId="77777777" w:rsidR="00876173" w:rsidRPr="009A08BF" w:rsidRDefault="00876173" w:rsidP="00481D5B">
      <w:pPr>
        <w:pStyle w:val="Notedebasdepage"/>
        <w:rPr>
          <w:lang w:val="en-US"/>
        </w:rPr>
      </w:pPr>
    </w:p>
  </w:footnote>
  <w:footnote w:id="3">
    <w:p w14:paraId="066DF807" w14:textId="6E033B9B" w:rsidR="00876173" w:rsidRPr="0075739D" w:rsidRDefault="00876173" w:rsidP="00481D5B">
      <w:pPr>
        <w:pStyle w:val="Notedebasdepage"/>
        <w:rPr>
          <w:rFonts w:ascii="Times New Roman" w:hAnsi="Times New Roman" w:cs="Times New Roman"/>
          <w:lang w:val="en-US"/>
        </w:rPr>
      </w:pPr>
      <w:r w:rsidRPr="00D237B0">
        <w:rPr>
          <w:rStyle w:val="Appelnotedebasdep"/>
        </w:rPr>
        <w:footnoteRef/>
      </w:r>
      <w:r w:rsidRPr="00B950A7">
        <w:rPr>
          <w:lang w:val="en-US"/>
        </w:rPr>
        <w:t xml:space="preserve"> </w:t>
      </w:r>
      <w:r w:rsidRPr="0075739D">
        <w:rPr>
          <w:rFonts w:ascii="Times New Roman" w:hAnsi="Times New Roman" w:cs="Times New Roman"/>
          <w:lang w:val="en-US"/>
        </w:rPr>
        <w:t>We investigate alternative dependent variables in additional analyses and robustness checks.</w:t>
      </w:r>
      <w:r>
        <w:rPr>
          <w:rFonts w:ascii="Times New Roman" w:hAnsi="Times New Roman" w:cs="Times New Roman"/>
          <w:lang w:val="en-US"/>
        </w:rPr>
        <w:t xml:space="preserve"> </w:t>
      </w:r>
      <w:r w:rsidRPr="0075739D">
        <w:rPr>
          <w:rFonts w:ascii="Times New Roman" w:hAnsi="Times New Roman" w:cs="Times New Roman"/>
          <w:lang w:val="en-US"/>
        </w:rPr>
        <w:t>Our results remain qualitatively similar</w:t>
      </w:r>
      <w:r>
        <w:rPr>
          <w:rFonts w:ascii="Times New Roman" w:hAnsi="Times New Roman" w:cs="Times New Roman"/>
          <w:lang w:val="en-US"/>
        </w:rPr>
        <w:t xml:space="preserve"> and available upon request.</w:t>
      </w:r>
    </w:p>
  </w:footnote>
  <w:footnote w:id="4">
    <w:p w14:paraId="43D0E31C" w14:textId="7814E886" w:rsidR="00876173" w:rsidRPr="00477547" w:rsidRDefault="00876173" w:rsidP="00481D5B">
      <w:pPr>
        <w:pStyle w:val="Notedebasdepage"/>
        <w:rPr>
          <w:lang w:val="en-US"/>
        </w:rPr>
      </w:pPr>
      <w:r w:rsidRPr="00D237B0">
        <w:rPr>
          <w:rStyle w:val="Appelnotedebasdep"/>
        </w:rPr>
        <w:footnoteRef/>
      </w:r>
      <w:r w:rsidRPr="0075739D">
        <w:rPr>
          <w:rFonts w:ascii="Times New Roman" w:hAnsi="Times New Roman" w:cs="Times New Roman"/>
          <w:lang w:val="en-US"/>
        </w:rPr>
        <w:t xml:space="preserve"> We use two alternative measures of readability to show the robustness of LC effects on ICO fundraising success, such as the Gunning FOG Index </w:t>
      </w:r>
      <m:oMath>
        <m:r>
          <m:rPr>
            <m:sty m:val="p"/>
          </m:rPr>
          <w:rPr>
            <w:rFonts w:ascii="Cambria Math" w:hAnsi="Cambria Math" w:cs="Times New Roman"/>
            <w:lang w:val="en-US"/>
          </w:rPr>
          <m:t>(</m:t>
        </m:r>
        <m:r>
          <w:rPr>
            <w:rFonts w:ascii="Cambria Math" w:hAnsi="Cambria Math" w:cs="Times New Roman"/>
            <w:lang w:val="en-US"/>
          </w:rPr>
          <m:t>Readability</m:t>
        </m:r>
        <m:r>
          <m:rPr>
            <m:sty m:val="p"/>
          </m:rPr>
          <w:rPr>
            <w:rFonts w:ascii="Cambria Math" w:hAnsi="Cambria Math" w:cs="Times New Roman"/>
            <w:lang w:val="en-US"/>
          </w:rPr>
          <m:t>_</m:t>
        </m:r>
        <m:r>
          <w:rPr>
            <w:rFonts w:ascii="Cambria Math" w:hAnsi="Cambria Math" w:cs="Times New Roman"/>
            <w:lang w:val="en-US"/>
          </w:rPr>
          <m:t>FOG</m:t>
        </m:r>
        <m:r>
          <m:rPr>
            <m:sty m:val="p"/>
          </m:rPr>
          <w:rPr>
            <w:rFonts w:ascii="Cambria Math" w:hAnsi="Cambria Math" w:cs="Times New Roman"/>
            <w:lang w:val="en-US"/>
          </w:rPr>
          <m:t>)</m:t>
        </m:r>
      </m:oMath>
      <w:r w:rsidRPr="0075739D">
        <w:rPr>
          <w:rFonts w:ascii="Times New Roman" w:hAnsi="Times New Roman" w:cs="Times New Roman"/>
          <w:lang w:val="en-US"/>
        </w:rPr>
        <w:t xml:space="preserve"> and the number of white paper pages </w:t>
      </w:r>
      <m:oMath>
        <m:r>
          <m:rPr>
            <m:sty m:val="p"/>
          </m:rPr>
          <w:rPr>
            <w:rFonts w:ascii="Cambria Math" w:hAnsi="Cambria Math" w:cs="Times New Roman"/>
            <w:lang w:val="en-US"/>
          </w:rPr>
          <m:t>(</m:t>
        </m:r>
        <m:r>
          <w:rPr>
            <w:rFonts w:ascii="Cambria Math" w:hAnsi="Cambria Math" w:cs="Times New Roman"/>
            <w:lang w:val="en-US"/>
          </w:rPr>
          <m:t>Readability</m:t>
        </m:r>
        <m:r>
          <m:rPr>
            <m:sty m:val="p"/>
          </m:rPr>
          <w:rPr>
            <w:rFonts w:ascii="Cambria Math" w:hAnsi="Cambria Math" w:cs="Times New Roman"/>
            <w:lang w:val="en-US"/>
          </w:rPr>
          <m:t>_</m:t>
        </m:r>
        <m:r>
          <w:rPr>
            <w:rFonts w:ascii="Cambria Math" w:hAnsi="Cambria Math" w:cs="Times New Roman"/>
            <w:lang w:val="en-US"/>
          </w:rPr>
          <m:t>Size</m:t>
        </m:r>
        <m:r>
          <m:rPr>
            <m:sty m:val="p"/>
          </m:rPr>
          <w:rPr>
            <w:rFonts w:ascii="Cambria Math" w:hAnsi="Cambria Math" w:cs="Times New Roman"/>
            <w:lang w:val="en-US"/>
          </w:rPr>
          <m:t>)</m:t>
        </m:r>
      </m:oMath>
      <w:r w:rsidRPr="0075739D">
        <w:rPr>
          <w:rFonts w:ascii="Times New Roman" w:hAnsi="Times New Roman" w:cs="Times New Roman"/>
          <w:lang w:val="en-US"/>
        </w:rPr>
        <w:t xml:space="preserve"> as a measure of a white paper size </w:t>
      </w:r>
      <w:r w:rsidRPr="00C74821">
        <w:rPr>
          <w:rFonts w:ascii="Times New Roman" w:hAnsi="Times New Roman" w:cs="Times New Roman"/>
          <w:lang w:val="en-US"/>
        </w:rPr>
        <w:t>(Gunning, 1952; Loughran &amp; McDonald, 2014a; Richard et al., 2015)</w:t>
      </w:r>
      <w:r w:rsidRPr="0075739D">
        <w:rPr>
          <w:rFonts w:ascii="Times New Roman" w:hAnsi="Times New Roman" w:cs="Times New Roman"/>
          <w:lang w:val="en-US"/>
        </w:rPr>
        <w:t xml:space="preserve">. To ensure consistent interpretation across all readability variables, </w:t>
      </w:r>
      <m:oMath>
        <m:r>
          <w:rPr>
            <w:rFonts w:ascii="Cambria Math" w:hAnsi="Cambria Math" w:cs="Times New Roman"/>
            <w:lang w:val="en-US"/>
          </w:rPr>
          <m:t>Readability</m:t>
        </m:r>
        <m:r>
          <m:rPr>
            <m:sty m:val="p"/>
          </m:rPr>
          <w:rPr>
            <w:rFonts w:ascii="Cambria Math" w:hAnsi="Cambria Math" w:cs="Times New Roman"/>
            <w:lang w:val="en-US"/>
          </w:rPr>
          <m:t>_</m:t>
        </m:r>
        <m:r>
          <w:rPr>
            <w:rFonts w:ascii="Cambria Math" w:hAnsi="Cambria Math" w:cs="Times New Roman"/>
            <w:lang w:val="en-US"/>
          </w:rPr>
          <m:t>FOG</m:t>
        </m:r>
      </m:oMath>
      <w:r w:rsidRPr="0075739D">
        <w:rPr>
          <w:rFonts w:ascii="Times New Roman" w:hAnsi="Times New Roman" w:cs="Times New Roman"/>
          <w:lang w:val="en-US"/>
        </w:rPr>
        <w:t xml:space="preserve"> and </w:t>
      </w:r>
      <m:oMath>
        <m:r>
          <w:rPr>
            <w:rFonts w:ascii="Cambria Math" w:hAnsi="Cambria Math" w:cs="Times New Roman"/>
            <w:lang w:val="en-US"/>
          </w:rPr>
          <m:t>Readability</m:t>
        </m:r>
        <m:r>
          <m:rPr>
            <m:sty m:val="p"/>
          </m:rPr>
          <w:rPr>
            <w:rFonts w:ascii="Cambria Math" w:hAnsi="Cambria Math" w:cs="Times New Roman"/>
            <w:lang w:val="en-US"/>
          </w:rPr>
          <m:t>_</m:t>
        </m:r>
        <m:r>
          <w:rPr>
            <w:rFonts w:ascii="Cambria Math" w:hAnsi="Cambria Math" w:cs="Times New Roman"/>
            <w:lang w:val="en-US"/>
          </w:rPr>
          <m:t>Size</m:t>
        </m:r>
      </m:oMath>
      <w:r w:rsidRPr="0075739D">
        <w:rPr>
          <w:rFonts w:ascii="Times New Roman" w:hAnsi="Times New Roman" w:cs="Times New Roman"/>
          <w:lang w:val="en-US"/>
        </w:rPr>
        <w:t xml:space="preserve"> are multiplied by -1, such that higher values on all three measures indicate greater readability. Variable definitions are presented in Table 1.</w:t>
      </w:r>
    </w:p>
  </w:footnote>
  <w:footnote w:id="5">
    <w:p w14:paraId="5C28AE7F" w14:textId="26A60FC2" w:rsidR="00876173" w:rsidRPr="00B45747" w:rsidRDefault="00876173">
      <w:pPr>
        <w:pStyle w:val="Notedebasdepage"/>
        <w:rPr>
          <w:rFonts w:ascii="Times New Roman" w:hAnsi="Times New Roman" w:cs="Times New Roman"/>
          <w:lang w:val="en-US"/>
        </w:rPr>
      </w:pPr>
      <w:r w:rsidRPr="00F77BD0">
        <w:rPr>
          <w:rStyle w:val="Appelnotedebasdep"/>
          <w:rFonts w:ascii="Times New Roman" w:hAnsi="Times New Roman" w:cs="Times New Roman"/>
        </w:rPr>
        <w:footnoteRef/>
      </w:r>
      <w:r w:rsidRPr="00F77BD0">
        <w:rPr>
          <w:rFonts w:ascii="Times New Roman" w:hAnsi="Times New Roman" w:cs="Times New Roman"/>
          <w:lang w:val="en-US"/>
        </w:rPr>
        <w:t xml:space="preserve"> Before we detail our results, the reader may be interested in reading Appendix A to concretely exemplify the language behind the numbers in our empirical analyses.</w:t>
      </w:r>
    </w:p>
  </w:footnote>
  <w:footnote w:id="6">
    <w:p w14:paraId="49BA119E" w14:textId="36E4E242" w:rsidR="00876173" w:rsidRPr="0075739D" w:rsidRDefault="00876173" w:rsidP="00481D5B">
      <w:pPr>
        <w:pStyle w:val="Notedebasdepage"/>
        <w:rPr>
          <w:rFonts w:ascii="Times New Roman" w:hAnsi="Times New Roman" w:cs="Times New Roman"/>
          <w:lang w:val="en-US"/>
        </w:rPr>
      </w:pPr>
      <w:r w:rsidRPr="00D237B0">
        <w:rPr>
          <w:rStyle w:val="Appelnotedebasdep"/>
        </w:rPr>
        <w:footnoteRef/>
      </w:r>
      <w:r w:rsidRPr="0075739D">
        <w:rPr>
          <w:rFonts w:ascii="Times New Roman" w:hAnsi="Times New Roman" w:cs="Times New Roman"/>
          <w:lang w:val="en-US"/>
        </w:rPr>
        <w:t xml:space="preserve"> </w:t>
      </w:r>
      <w:bookmarkStart w:id="8" w:name="_Hlk198880119"/>
      <w:r w:rsidRPr="0075739D">
        <w:rPr>
          <w:rFonts w:ascii="Times New Roman" w:hAnsi="Times New Roman" w:cs="Times New Roman"/>
          <w:lang w:val="en-US"/>
        </w:rPr>
        <w:t xml:space="preserve">By using a bag-of-words approach based on </w:t>
      </w:r>
      <w:r w:rsidRPr="00743F6C">
        <w:rPr>
          <w:rFonts w:ascii="Times New Roman" w:hAnsi="Times New Roman" w:cs="Times New Roman"/>
          <w:lang w:val="en-US"/>
        </w:rPr>
        <w:t xml:space="preserve">Loughran &amp; McDonald </w:t>
      </w:r>
      <w:r>
        <w:rPr>
          <w:rFonts w:ascii="Times New Roman" w:hAnsi="Times New Roman" w:cs="Times New Roman"/>
          <w:lang w:val="en-US"/>
        </w:rPr>
        <w:t>(</w:t>
      </w:r>
      <w:r w:rsidRPr="00743F6C">
        <w:rPr>
          <w:rFonts w:ascii="Times New Roman" w:hAnsi="Times New Roman" w:cs="Times New Roman"/>
          <w:lang w:val="en-US"/>
        </w:rPr>
        <w:t>2011)</w:t>
      </w:r>
      <w:r w:rsidRPr="0075739D">
        <w:rPr>
          <w:rFonts w:ascii="Times New Roman" w:hAnsi="Times New Roman" w:cs="Times New Roman"/>
          <w:lang w:val="en-US"/>
        </w:rPr>
        <w:t>, we identify positive and negative words in white papers to calculate the sentiment index, by taking the spread in proportion of positive and negative words in the text divided by the total number of words.</w:t>
      </w:r>
      <w:bookmarkEnd w:id="8"/>
    </w:p>
  </w:footnote>
  <w:footnote w:id="7">
    <w:p w14:paraId="0242B9B6" w14:textId="7AF45E22" w:rsidR="00876173" w:rsidRPr="00B950A7" w:rsidRDefault="00876173" w:rsidP="00481D5B">
      <w:pPr>
        <w:pStyle w:val="Notedebasdepage"/>
        <w:rPr>
          <w:lang w:val="en-US"/>
        </w:rPr>
      </w:pPr>
      <w:r w:rsidRPr="00D237B0">
        <w:rPr>
          <w:rStyle w:val="Appelnotedebasdep"/>
        </w:rPr>
        <w:footnoteRef/>
      </w:r>
      <w:r w:rsidRPr="0075739D">
        <w:rPr>
          <w:rFonts w:ascii="Times New Roman" w:hAnsi="Times New Roman" w:cs="Times New Roman"/>
          <w:lang w:val="en-US"/>
        </w:rPr>
        <w:t xml:space="preserve"> </w:t>
      </w:r>
      <w:bookmarkStart w:id="12" w:name="_Hlk198883130"/>
      <w:r w:rsidRPr="0075739D">
        <w:rPr>
          <w:rFonts w:ascii="Times New Roman" w:eastAsia="Cambria" w:hAnsi="Times New Roman" w:cs="Times New Roman"/>
          <w:color w:val="000000"/>
          <w:kern w:val="2"/>
          <w:lang w:val="en-US" w:eastAsia="zh-CN"/>
        </w:rPr>
        <w:t>Our results remain qualitatively similar if we do not cluster at the year and quarter level.</w:t>
      </w:r>
      <w:r>
        <w:rPr>
          <w:rFonts w:ascii="Times New Roman" w:eastAsia="Cambria" w:hAnsi="Times New Roman" w:cs="Times New Roman"/>
          <w:color w:val="000000"/>
          <w:kern w:val="2"/>
          <w:lang w:val="en-US" w:eastAsia="zh-CN"/>
        </w:rPr>
        <w:t xml:space="preserve"> The results are available upon request.</w:t>
      </w:r>
      <w:bookmarkEnd w:id="12"/>
    </w:p>
  </w:footnote>
  <w:footnote w:id="8">
    <w:p w14:paraId="5A3F3ACF" w14:textId="140D62EB" w:rsidR="00876173" w:rsidRPr="00B950A7" w:rsidRDefault="00876173" w:rsidP="00481D5B">
      <w:pPr>
        <w:pStyle w:val="Notedebasdepage"/>
        <w:rPr>
          <w:lang w:val="en-US"/>
        </w:rPr>
      </w:pPr>
      <w:r w:rsidRPr="0047162D">
        <w:rPr>
          <w:rStyle w:val="Appelnotedebasdep"/>
          <w:lang w:val="en-US"/>
        </w:rPr>
        <w:t>8</w:t>
      </w:r>
      <w:r w:rsidRPr="00743F6C">
        <w:rPr>
          <w:rFonts w:ascii="Times New Roman" w:hAnsi="Times New Roman" w:cs="Times New Roman"/>
          <w:lang w:val="en-US"/>
        </w:rPr>
        <w:t xml:space="preserve"> The robustness section shows that tests based on interaction variables provide qualitatively similar results.</w:t>
      </w:r>
    </w:p>
  </w:footnote>
  <w:footnote w:id="9">
    <w:p w14:paraId="6A889C59" w14:textId="00A7B618" w:rsidR="00876173" w:rsidRPr="00234730" w:rsidRDefault="00876173">
      <w:pPr>
        <w:pStyle w:val="Notedebasdepage"/>
        <w:rPr>
          <w:lang w:val="en-US"/>
        </w:rPr>
      </w:pPr>
      <w:r w:rsidRPr="0047162D">
        <w:rPr>
          <w:rStyle w:val="Appelnotedebasdep"/>
          <w:lang w:val="en-US"/>
        </w:rPr>
        <w:t>9</w:t>
      </w:r>
      <w:r>
        <w:rPr>
          <w:lang w:val="en-US"/>
        </w:rPr>
        <w:t xml:space="preserve"> </w:t>
      </w:r>
      <w:r w:rsidRPr="00AB4BD0">
        <w:rPr>
          <w:rFonts w:ascii="Times New Roman" w:hAnsi="Times New Roman" w:cs="Times New Roman"/>
          <w:szCs w:val="18"/>
          <w:lang w:val="en-US"/>
        </w:rPr>
        <w:t>Lexical words include nouns, verbs, adjectives and adverbs.</w:t>
      </w:r>
    </w:p>
  </w:footnote>
  <w:footnote w:id="10">
    <w:p w14:paraId="52A186A4" w14:textId="227E5965" w:rsidR="00876173" w:rsidRPr="00234730" w:rsidRDefault="00876173" w:rsidP="00AE2F5C">
      <w:pPr>
        <w:pStyle w:val="Notedebasdepage"/>
        <w:rPr>
          <w:lang w:val="en-US"/>
        </w:rPr>
      </w:pPr>
      <w:r w:rsidRPr="0047162D">
        <w:rPr>
          <w:rStyle w:val="Appelnotedebasdep"/>
          <w:lang w:val="en-US"/>
        </w:rPr>
        <w:t>10</w:t>
      </w:r>
      <w:r w:rsidRPr="00234730">
        <w:rPr>
          <w:lang w:val="en-US"/>
        </w:rPr>
        <w:t xml:space="preserve"> </w:t>
      </w:r>
      <w:r w:rsidRPr="00AB4BD0">
        <w:rPr>
          <w:rFonts w:ascii="Times New Roman" w:hAnsi="Times New Roman" w:cs="Times New Roman"/>
          <w:szCs w:val="18"/>
          <w:lang w:val="en-US"/>
        </w:rPr>
        <w:t>A word type is a unique word form in a text, counted only once regardless of repetition.</w:t>
      </w:r>
    </w:p>
  </w:footnote>
  <w:footnote w:id="11">
    <w:p w14:paraId="020C52E9" w14:textId="39B4BF33" w:rsidR="00876173" w:rsidRPr="00234730" w:rsidRDefault="00876173">
      <w:pPr>
        <w:pStyle w:val="Notedebasdepage"/>
        <w:rPr>
          <w:lang w:val="en-US"/>
        </w:rPr>
      </w:pPr>
      <w:r w:rsidRPr="0047162D">
        <w:rPr>
          <w:rStyle w:val="Appelnotedebasdep"/>
          <w:lang w:val="en-US"/>
        </w:rPr>
        <w:t>11</w:t>
      </w:r>
      <w:r w:rsidRPr="00234730">
        <w:rPr>
          <w:lang w:val="en-US"/>
        </w:rPr>
        <w:t xml:space="preserve"> </w:t>
      </w:r>
      <w:bookmarkStart w:id="19" w:name="_Hlk198888724"/>
      <w:r w:rsidRPr="00B31348">
        <w:rPr>
          <w:rFonts w:ascii="Times New Roman" w:hAnsi="Times New Roman" w:cs="Times New Roman"/>
          <w:lang w:val="en-US"/>
        </w:rPr>
        <w:t>The similarity in designs among the ICOs in our sample can be explained by the selection criteria, which includes only ICOs that had complete white papers and disclosed funding amounts. ICOs meeting these criteria likely represent those of higher quality</w:t>
      </w:r>
      <w:r w:rsidRPr="0075739D">
        <w:rPr>
          <w:rFonts w:ascii="Times New Roman" w:hAnsi="Times New Roman" w:cs="Times New Roman"/>
          <w:lang w:val="en-US"/>
        </w:rPr>
        <w:t xml:space="preserve"> </w:t>
      </w:r>
      <w:r w:rsidRPr="00B83AE7">
        <w:rPr>
          <w:rFonts w:ascii="Times New Roman" w:hAnsi="Times New Roman" w:cs="Times New Roman"/>
          <w:lang w:val="en-US"/>
        </w:rPr>
        <w:t>(Howell et al., 2020)</w:t>
      </w:r>
      <w:r w:rsidRPr="0075739D">
        <w:rPr>
          <w:rFonts w:ascii="Times New Roman" w:hAnsi="Times New Roman" w:cs="Times New Roman"/>
          <w:lang w:val="en-US"/>
        </w:rPr>
        <w:t>.</w:t>
      </w:r>
      <w:bookmarkEnd w:id="19"/>
    </w:p>
  </w:footnote>
  <w:footnote w:id="12">
    <w:p w14:paraId="39C486D3" w14:textId="46F016A5" w:rsidR="00876173" w:rsidRPr="00234730" w:rsidRDefault="00876173">
      <w:pPr>
        <w:pStyle w:val="Notedebasdepage"/>
        <w:rPr>
          <w:lang w:val="en-US"/>
        </w:rPr>
      </w:pPr>
      <w:r w:rsidRPr="0047162D">
        <w:rPr>
          <w:rStyle w:val="Appelnotedebasdep"/>
          <w:lang w:val="en-US"/>
        </w:rPr>
        <w:t>12</w:t>
      </w:r>
      <w:r w:rsidRPr="00234730">
        <w:rPr>
          <w:lang w:val="en-US"/>
        </w:rPr>
        <w:t xml:space="preserve"> </w:t>
      </w:r>
      <w:r w:rsidRPr="0075739D">
        <w:rPr>
          <w:rFonts w:ascii="Times New Roman" w:hAnsi="Times New Roman" w:cs="Times New Roman"/>
          <w:lang w:val="en-US"/>
        </w:rPr>
        <w:t xml:space="preserve">The correlation scores are similar if we rely on alternative readability definitions. For instance, the correlation scores between </w:t>
      </w:r>
      <m:oMath>
        <m:r>
          <w:rPr>
            <w:rFonts w:ascii="Cambria Math" w:hAnsi="Cambria Math" w:cs="Times New Roman"/>
          </w:rPr>
          <m:t>Readability</m:t>
        </m:r>
        <m:r>
          <m:rPr>
            <m:sty m:val="p"/>
          </m:rPr>
          <w:rPr>
            <w:rFonts w:ascii="Cambria Math" w:hAnsi="Cambria Math" w:cs="Times New Roman"/>
            <w:lang w:val="en-US"/>
          </w:rPr>
          <m:t>_</m:t>
        </m:r>
        <m:r>
          <w:rPr>
            <w:rFonts w:ascii="Cambria Math" w:hAnsi="Cambria Math" w:cs="Times New Roman"/>
          </w:rPr>
          <m:t>FOG</m:t>
        </m:r>
      </m:oMath>
      <w:r w:rsidRPr="0075739D">
        <w:rPr>
          <w:rFonts w:ascii="Times New Roman" w:hAnsi="Times New Roman" w:cs="Times New Roman"/>
          <w:lang w:val="en-US"/>
        </w:rPr>
        <w:t xml:space="preserve"> and </w:t>
      </w:r>
      <m:oMath>
        <m:r>
          <w:rPr>
            <w:rFonts w:ascii="Cambria Math" w:hAnsi="Cambria Math" w:cs="Times New Roman"/>
          </w:rPr>
          <m:t>Readability</m:t>
        </m:r>
        <m:r>
          <m:rPr>
            <m:sty m:val="p"/>
          </m:rPr>
          <w:rPr>
            <w:rFonts w:ascii="Cambria Math" w:hAnsi="Cambria Math" w:cs="Times New Roman"/>
            <w:lang w:val="en-US"/>
          </w:rPr>
          <m:t>_</m:t>
        </m:r>
        <m:r>
          <w:rPr>
            <w:rFonts w:ascii="Cambria Math" w:hAnsi="Cambria Math" w:cs="Times New Roman"/>
          </w:rPr>
          <m:t>Size</m:t>
        </m:r>
        <m:r>
          <m:rPr>
            <m:sty m:val="p"/>
          </m:rPr>
          <w:rPr>
            <w:rFonts w:ascii="Cambria Math" w:hAnsi="Cambria Math" w:cs="Times New Roman"/>
            <w:lang w:val="en-US"/>
          </w:rPr>
          <m:t xml:space="preserve"> </m:t>
        </m:r>
      </m:oMath>
      <w:r w:rsidRPr="0075739D">
        <w:rPr>
          <w:rFonts w:ascii="Times New Roman" w:hAnsi="Times New Roman" w:cs="Times New Roman"/>
          <w:lang w:val="en-US"/>
        </w:rPr>
        <w:t xml:space="preserve">and the ICO amount raised are equal to 1.2% and 1.1%, respectively. All correlation scores are statistically significant at </w:t>
      </w:r>
      <w:r>
        <w:rPr>
          <w:rFonts w:ascii="Times New Roman" w:hAnsi="Times New Roman" w:cs="Times New Roman"/>
          <w:lang w:val="en-US"/>
        </w:rPr>
        <w:t>the</w:t>
      </w:r>
      <w:r w:rsidRPr="0075739D">
        <w:rPr>
          <w:rFonts w:ascii="Times New Roman" w:hAnsi="Times New Roman" w:cs="Times New Roman"/>
          <w:lang w:val="en-US"/>
        </w:rPr>
        <w:t xml:space="preserve"> </w:t>
      </w:r>
      <w:r>
        <w:rPr>
          <w:rFonts w:ascii="Times New Roman" w:hAnsi="Times New Roman" w:cs="Times New Roman"/>
          <w:lang w:val="en-US"/>
        </w:rPr>
        <w:t>10</w:t>
      </w:r>
      <w:r w:rsidRPr="0075739D">
        <w:rPr>
          <w:rFonts w:ascii="Times New Roman" w:hAnsi="Times New Roman" w:cs="Times New Roman"/>
          <w:lang w:val="en-US"/>
        </w:rPr>
        <w:t>% level.</w:t>
      </w:r>
    </w:p>
  </w:footnote>
  <w:footnote w:id="13">
    <w:p w14:paraId="1794BAD3" w14:textId="6D25D163" w:rsidR="00876173" w:rsidRPr="00234730" w:rsidRDefault="00876173">
      <w:pPr>
        <w:pStyle w:val="Notedebasdepage"/>
        <w:rPr>
          <w:lang w:val="en-US"/>
        </w:rPr>
      </w:pPr>
      <w:r w:rsidRPr="0047162D">
        <w:rPr>
          <w:rStyle w:val="Appelnotedebasdep"/>
          <w:lang w:val="en-US"/>
        </w:rPr>
        <w:t>13</w:t>
      </w:r>
      <w:r w:rsidRPr="00234730">
        <w:rPr>
          <w:lang w:val="en-US"/>
        </w:rPr>
        <w:t xml:space="preserve"> </w:t>
      </w:r>
      <w:r w:rsidRPr="0075739D">
        <w:rPr>
          <w:rFonts w:ascii="Times New Roman" w:hAnsi="Times New Roman" w:cs="Times New Roman"/>
          <w:lang w:val="en-US"/>
        </w:rPr>
        <w:t>Table A3 in Appendix provides the full correlation table with all the control variables. The correlations follow prior literature and have the expected sign.</w:t>
      </w:r>
    </w:p>
  </w:footnote>
  <w:footnote w:id="14">
    <w:p w14:paraId="468FEA10" w14:textId="46655E68" w:rsidR="00876173" w:rsidRPr="00C70A05" w:rsidRDefault="00876173">
      <w:pPr>
        <w:pStyle w:val="Notedebasdepage"/>
        <w:rPr>
          <w:lang w:val="en-US"/>
        </w:rPr>
      </w:pPr>
      <w:r w:rsidRPr="0047162D">
        <w:rPr>
          <w:rStyle w:val="Appelnotedebasdep"/>
          <w:lang w:val="en-US"/>
        </w:rPr>
        <w:t>14</w:t>
      </w:r>
      <w:r w:rsidRPr="00C70A05">
        <w:rPr>
          <w:lang w:val="en-US"/>
        </w:rPr>
        <w:t xml:space="preserve"> </w:t>
      </w:r>
      <w:r w:rsidRPr="0075739D">
        <w:rPr>
          <w:rFonts w:ascii="Times New Roman" w:hAnsi="Times New Roman" w:cs="Times New Roman"/>
          <w:lang w:val="en-US"/>
        </w:rPr>
        <w:t>Additional robustness checks investigate the alternative method of interaction variables and find qualitatively similar results.</w:t>
      </w:r>
    </w:p>
  </w:footnote>
  <w:footnote w:id="15">
    <w:p w14:paraId="191F9CD4" w14:textId="1C47618F" w:rsidR="00876173" w:rsidRPr="00C70A05" w:rsidRDefault="00876173">
      <w:pPr>
        <w:pStyle w:val="Notedebasdepage"/>
        <w:rPr>
          <w:lang w:val="en-US"/>
        </w:rPr>
      </w:pPr>
      <w:r w:rsidRPr="0047162D">
        <w:rPr>
          <w:rStyle w:val="Appelnotedebasdep"/>
          <w:lang w:val="en-US"/>
        </w:rPr>
        <w:t>15</w:t>
      </w:r>
      <w:r w:rsidRPr="00C70A05">
        <w:rPr>
          <w:lang w:val="en-US"/>
        </w:rPr>
        <w:t xml:space="preserve"> </w:t>
      </w:r>
      <w:r w:rsidRPr="000F08D6">
        <w:rPr>
          <w:rFonts w:ascii="Times New Roman" w:hAnsi="Times New Roman" w:cs="Times New Roman"/>
          <w:lang w:val="en-US"/>
        </w:rPr>
        <w:t xml:space="preserve">For example, Mahmood et al. (2019) demonstrate that the complexity of logos on equity crowdfunding platforms influences backer perceptions of venture innovativeness, thereby increasing funding decisions indirectly rather than directly affecting funding amounts. Braun (2015) also investigates the influence of product factors such as complexity on perceptions of quality and finds that a product perceived quality by consumers is enhanced by its design complexity, which in turn leads to greater purchasing intentions. Furthermore, prior ICO literature identifies a series of signals, such as the institutional strength of an ICO country of origin (Shrestha et al., 2021) or the white paper name (Xia et al., 2024b), which help mitigate information asymmetry, thereby enhancing greater funding </w:t>
      </w:r>
      <w:r w:rsidRPr="002C79E6">
        <w:rPr>
          <w:rFonts w:ascii="Times New Roman" w:hAnsi="Times New Roman" w:cs="Times New Roman"/>
          <w:lang w:val="en-US"/>
        </w:rPr>
        <w:t>(</w:t>
      </w:r>
      <w:proofErr w:type="spellStart"/>
      <w:r w:rsidRPr="002C79E6">
        <w:rPr>
          <w:rFonts w:ascii="Times New Roman" w:hAnsi="Times New Roman" w:cs="Times New Roman"/>
          <w:lang w:val="en-US"/>
        </w:rPr>
        <w:t>Momtaz</w:t>
      </w:r>
      <w:proofErr w:type="spellEnd"/>
      <w:r w:rsidRPr="002C79E6">
        <w:rPr>
          <w:rFonts w:ascii="Times New Roman" w:hAnsi="Times New Roman" w:cs="Times New Roman"/>
          <w:lang w:val="en-US"/>
        </w:rPr>
        <w:t xml:space="preserve">, 2021c; </w:t>
      </w:r>
      <w:proofErr w:type="spellStart"/>
      <w:r w:rsidRPr="002C79E6">
        <w:rPr>
          <w:rFonts w:ascii="Times New Roman" w:hAnsi="Times New Roman" w:cs="Times New Roman"/>
          <w:lang w:val="en-US"/>
        </w:rPr>
        <w:t>Samieifar</w:t>
      </w:r>
      <w:proofErr w:type="spellEnd"/>
      <w:r w:rsidRPr="002C79E6">
        <w:rPr>
          <w:rFonts w:ascii="Times New Roman" w:hAnsi="Times New Roman" w:cs="Times New Roman"/>
          <w:lang w:val="en-US"/>
        </w:rPr>
        <w:t xml:space="preserve"> &amp; Baur, 2021; Thewissen et al., 2022). </w:t>
      </w:r>
      <w:r w:rsidRPr="002C79E6">
        <w:rPr>
          <w:rFonts w:ascii="Times New Roman" w:hAnsi="Times New Roman" w:cs="Times New Roman"/>
          <w:lang w:val="en-US"/>
        </w:rPr>
        <w:t xml:space="preserve">Lee et al. </w:t>
      </w:r>
      <w:r w:rsidRPr="000F08D6">
        <w:rPr>
          <w:rFonts w:ascii="Times New Roman" w:hAnsi="Times New Roman" w:cs="Times New Roman"/>
          <w:lang w:val="en-US"/>
        </w:rPr>
        <w:t>(2022) further find that ICO signals can drive investor attention, which improves ICO success on secondary exchange markets.</w:t>
      </w:r>
    </w:p>
  </w:footnote>
  <w:footnote w:id="16">
    <w:p w14:paraId="69DF4FD5" w14:textId="2E44D7BC" w:rsidR="00876173" w:rsidRPr="00C70A05" w:rsidRDefault="00876173">
      <w:pPr>
        <w:pStyle w:val="Notedebasdepage"/>
        <w:rPr>
          <w:lang w:val="en-US"/>
        </w:rPr>
      </w:pPr>
      <w:r w:rsidRPr="0047162D">
        <w:rPr>
          <w:rStyle w:val="Appelnotedebasdep"/>
          <w:lang w:val="en-US"/>
        </w:rPr>
        <w:t>16</w:t>
      </w:r>
      <w:r w:rsidRPr="0047162D">
        <w:rPr>
          <w:lang w:val="en-US"/>
        </w:rPr>
        <w:t xml:space="preserve"> </w:t>
      </w:r>
      <w:r w:rsidRPr="004B70B6">
        <w:rPr>
          <w:rFonts w:ascii="Times New Roman" w:hAnsi="Times New Roman" w:cs="Times New Roman"/>
          <w:lang w:val="en-US"/>
        </w:rPr>
        <w:t>We use a sample of ICOs that have more than one rating from different ICO aggregators, which is smaller with 1,137 observations.</w:t>
      </w:r>
    </w:p>
  </w:footnote>
  <w:footnote w:id="17">
    <w:p w14:paraId="4E15D996" w14:textId="71ACFAB3" w:rsidR="00876173" w:rsidRPr="00C70A05" w:rsidRDefault="00876173">
      <w:pPr>
        <w:pStyle w:val="Notedebasdepage"/>
        <w:rPr>
          <w:lang w:val="en-US"/>
        </w:rPr>
      </w:pPr>
      <w:r w:rsidRPr="0047162D">
        <w:rPr>
          <w:rStyle w:val="Appelnotedebasdep"/>
          <w:lang w:val="en-US"/>
        </w:rPr>
        <w:t>17</w:t>
      </w:r>
      <w:r w:rsidRPr="00C70A05">
        <w:rPr>
          <w:lang w:val="en-US"/>
        </w:rPr>
        <w:t xml:space="preserve"> </w:t>
      </w:r>
      <w:r w:rsidRPr="0075739D">
        <w:rPr>
          <w:rFonts w:ascii="Times New Roman" w:hAnsi="Times New Roman" w:cs="Times New Roman"/>
          <w:lang w:val="en-US"/>
        </w:rPr>
        <w:t>Adult literacy rate is the percentage of people aged 15 and above in a given country who can both read and write with understanding a short simple statement about their everyday life.</w:t>
      </w:r>
    </w:p>
  </w:footnote>
  <w:footnote w:id="18">
    <w:p w14:paraId="68680976" w14:textId="6B88007B" w:rsidR="00876173" w:rsidRDefault="00876173" w:rsidP="00C70A05">
      <w:pPr>
        <w:pStyle w:val="Notedebasdepage"/>
        <w:rPr>
          <w:rFonts w:eastAsiaTheme="minorEastAsia"/>
          <w:lang w:val="en-US"/>
        </w:rPr>
      </w:pPr>
      <w:r w:rsidRPr="0047162D">
        <w:rPr>
          <w:rStyle w:val="Appelnotedebasdep"/>
          <w:lang w:val="en-US"/>
        </w:rPr>
        <w:t>18</w:t>
      </w:r>
      <w:r w:rsidRPr="00C70A05">
        <w:rPr>
          <w:lang w:val="en-US"/>
        </w:rPr>
        <w:t xml:space="preserve"> </w:t>
      </w:r>
      <w:r w:rsidRPr="004B70B6">
        <w:rPr>
          <w:rFonts w:ascii="Times New Roman" w:hAnsi="Times New Roman" w:cs="Times New Roman"/>
          <w:lang w:val="en-US"/>
        </w:rPr>
        <w:t xml:space="preserve">We follow </w:t>
      </w:r>
      <w:proofErr w:type="spellStart"/>
      <w:r w:rsidRPr="00C86487">
        <w:rPr>
          <w:rFonts w:ascii="Times New Roman" w:hAnsi="Times New Roman" w:cs="Times New Roman"/>
          <w:lang w:val="en-US"/>
        </w:rPr>
        <w:t>Momtaz</w:t>
      </w:r>
      <w:proofErr w:type="spellEnd"/>
      <w:r w:rsidRPr="00C86487">
        <w:rPr>
          <w:rFonts w:ascii="Times New Roman" w:hAnsi="Times New Roman" w:cs="Times New Roman"/>
          <w:lang w:val="en-US"/>
        </w:rPr>
        <w:t xml:space="preserve"> </w:t>
      </w:r>
      <w:r>
        <w:rPr>
          <w:rFonts w:ascii="Times New Roman" w:hAnsi="Times New Roman" w:cs="Times New Roman"/>
          <w:lang w:val="en-US"/>
        </w:rPr>
        <w:t>(</w:t>
      </w:r>
      <w:r w:rsidRPr="00C86487">
        <w:rPr>
          <w:rFonts w:ascii="Times New Roman" w:hAnsi="Times New Roman" w:cs="Times New Roman"/>
          <w:lang w:val="en-US"/>
        </w:rPr>
        <w:t>2021</w:t>
      </w:r>
      <w:r>
        <w:rPr>
          <w:rFonts w:ascii="Times New Roman" w:hAnsi="Times New Roman" w:cs="Times New Roman"/>
          <w:lang w:val="en-US"/>
        </w:rPr>
        <w:t>c</w:t>
      </w:r>
      <w:r w:rsidRPr="00C86487">
        <w:rPr>
          <w:rFonts w:ascii="Times New Roman" w:hAnsi="Times New Roman" w:cs="Times New Roman"/>
          <w:lang w:val="en-US"/>
        </w:rPr>
        <w:t>, 2021</w:t>
      </w:r>
      <w:r>
        <w:rPr>
          <w:rFonts w:ascii="Times New Roman" w:hAnsi="Times New Roman" w:cs="Times New Roman"/>
          <w:lang w:val="en-US"/>
        </w:rPr>
        <w:t>d</w:t>
      </w:r>
      <w:r w:rsidRPr="00C86487">
        <w:rPr>
          <w:rFonts w:ascii="Times New Roman" w:hAnsi="Times New Roman" w:cs="Times New Roman"/>
          <w:lang w:val="en-US"/>
        </w:rPr>
        <w:t>)</w:t>
      </w:r>
      <w:r w:rsidRPr="004B70B6">
        <w:rPr>
          <w:rFonts w:ascii="Times New Roman" w:hAnsi="Times New Roman" w:cs="Times New Roman"/>
          <w:lang w:val="en-US"/>
        </w:rPr>
        <w:t xml:space="preserve">, and correct for market capitalization-weighted market returns to account for the influence of market fluctuations on token returns. The measure of </w:t>
      </w:r>
      <m:oMath>
        <m:r>
          <w:rPr>
            <w:rFonts w:ascii="Cambria Math" w:hAnsi="Cambria Math" w:cs="Times New Roman"/>
            <w:lang w:val="en-US"/>
          </w:rPr>
          <m:t>InitialCAR</m:t>
        </m:r>
      </m:oMath>
      <w:r w:rsidRPr="004B70B6">
        <w:rPr>
          <w:rFonts w:ascii="Times New Roman" w:eastAsiaTheme="minorEastAsia" w:hAnsi="Times New Roman" w:cs="Times New Roman"/>
          <w:lang w:val="en-US"/>
        </w:rPr>
        <w:t xml:space="preserve"> and </w:t>
      </w:r>
      <m:oMath>
        <m:r>
          <w:rPr>
            <w:rFonts w:ascii="Cambria Math" w:eastAsiaTheme="minorEastAsia" w:hAnsi="Cambria Math" w:cs="Times New Roman"/>
            <w:lang w:val="en-US"/>
          </w:rPr>
          <m:t>LongTermCAR</m:t>
        </m:r>
      </m:oMath>
      <w:r w:rsidRPr="004B70B6">
        <w:rPr>
          <w:rFonts w:ascii="Times New Roman" w:eastAsiaTheme="minorEastAsia" w:hAnsi="Times New Roman" w:cs="Times New Roman"/>
          <w:lang w:val="en-US"/>
        </w:rPr>
        <w:t xml:space="preserve"> are formulated as follow:</w:t>
      </w:r>
      <w:r>
        <w:rPr>
          <w:rFonts w:eastAsiaTheme="minorEastAsia"/>
          <w:lang w:val="en-US"/>
        </w:rPr>
        <w:t xml:space="preserve"> </w:t>
      </w:r>
    </w:p>
    <w:p w14:paraId="7A3FEB3A" w14:textId="77777777" w:rsidR="00876173" w:rsidRDefault="00876173" w:rsidP="00C70A05">
      <w:pPr>
        <w:pStyle w:val="Notedebasdepage"/>
        <w:rPr>
          <w:rFonts w:eastAsiaTheme="minorEastAsia"/>
          <w:lang w:val="en-US"/>
        </w:rPr>
      </w:pPr>
    </w:p>
    <w:p w14:paraId="2835A9E9" w14:textId="674032C6" w:rsidR="00876173" w:rsidRPr="00E34A92" w:rsidRDefault="00876173" w:rsidP="00C01E09">
      <w:pPr>
        <w:spacing w:line="240" w:lineRule="auto"/>
        <w:jc w:val="center"/>
        <w:rPr>
          <w:rFonts w:ascii="Times New Roman" w:eastAsiaTheme="minorEastAsia" w:hAnsi="Times New Roman" w:cs="Times New Roman"/>
          <w:sz w:val="18"/>
          <w:szCs w:val="20"/>
        </w:rPr>
      </w:pPr>
      <w:r>
        <w:rPr>
          <w:rFonts w:eastAsiaTheme="minorEastAsia"/>
          <w:sz w:val="18"/>
          <w:szCs w:val="20"/>
        </w:rPr>
        <w:tab/>
      </w:r>
      <w:r>
        <w:rPr>
          <w:rFonts w:eastAsiaTheme="minorEastAsia"/>
          <w:sz w:val="18"/>
          <w:szCs w:val="20"/>
        </w:rPr>
        <w:tab/>
      </w:r>
      <w:r>
        <w:rPr>
          <w:rFonts w:eastAsiaTheme="minorEastAsia"/>
          <w:sz w:val="18"/>
          <w:szCs w:val="20"/>
        </w:rPr>
        <w:tab/>
      </w:r>
      <m:oMath>
        <m:sSub>
          <m:sSubPr>
            <m:ctrlPr>
              <w:rPr>
                <w:rFonts w:ascii="Cambria Math" w:hAnsi="Cambria Math" w:cs="Times New Roman"/>
                <w:i/>
                <w:sz w:val="18"/>
                <w:szCs w:val="20"/>
              </w:rPr>
            </m:ctrlPr>
          </m:sSubPr>
          <m:e>
            <m:r>
              <w:rPr>
                <w:rFonts w:ascii="Cambria Math" w:hAnsi="Cambria Math" w:cs="Times New Roman"/>
                <w:sz w:val="18"/>
                <w:szCs w:val="20"/>
              </w:rPr>
              <m:t>InitialCAR</m:t>
            </m:r>
          </m:e>
          <m:sub>
            <m:r>
              <w:rPr>
                <w:rFonts w:ascii="Cambria Math" w:hAnsi="Cambria Math" w:cs="Times New Roman"/>
                <w:sz w:val="18"/>
                <w:szCs w:val="20"/>
              </w:rPr>
              <m:t>i</m:t>
            </m:r>
          </m:sub>
        </m:sSub>
        <m:r>
          <w:rPr>
            <w:rFonts w:ascii="Cambria Math" w:hAnsi="Cambria Math" w:cs="Times New Roman"/>
            <w:sz w:val="18"/>
            <w:szCs w:val="20"/>
          </w:rPr>
          <m:t xml:space="preserve">= </m:t>
        </m:r>
        <m:f>
          <m:fPr>
            <m:ctrlPr>
              <w:rPr>
                <w:rFonts w:ascii="Cambria Math" w:hAnsi="Cambria Math" w:cs="Times New Roman"/>
                <w:i/>
                <w:sz w:val="18"/>
                <w:szCs w:val="20"/>
              </w:rPr>
            </m:ctrlPr>
          </m:fPr>
          <m:num>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i,t=1</m:t>
                </m:r>
              </m:sub>
            </m:sSub>
            <m:r>
              <w:rPr>
                <w:rFonts w:ascii="Cambria Math" w:hAnsi="Cambria Math" w:cs="Times New Roman"/>
                <w:sz w:val="18"/>
                <w:szCs w:val="20"/>
              </w:rPr>
              <m:t xml:space="preserve">- </m:t>
            </m:r>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i,t=0</m:t>
                </m:r>
              </m:sub>
            </m:sSub>
          </m:num>
          <m:den>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i,t=0</m:t>
                </m:r>
              </m:sub>
            </m:sSub>
          </m:den>
        </m:f>
        <m:r>
          <w:rPr>
            <w:rFonts w:ascii="Cambria Math" w:hAnsi="Cambria Math" w:cs="Times New Roman"/>
            <w:sz w:val="18"/>
            <w:szCs w:val="20"/>
          </w:rPr>
          <m:t xml:space="preserve">- </m:t>
        </m:r>
        <m:nary>
          <m:naryPr>
            <m:chr m:val="∑"/>
            <m:limLoc m:val="undOvr"/>
            <m:ctrlPr>
              <w:rPr>
                <w:rFonts w:ascii="Cambria Math" w:hAnsi="Cambria Math" w:cs="Times New Roman"/>
                <w:i/>
                <w:sz w:val="18"/>
                <w:szCs w:val="20"/>
              </w:rPr>
            </m:ctrlPr>
          </m:naryPr>
          <m:sub>
            <m:r>
              <w:rPr>
                <w:rFonts w:ascii="Cambria Math" w:hAnsi="Cambria Math" w:cs="Times New Roman"/>
                <w:sz w:val="18"/>
                <w:szCs w:val="20"/>
              </w:rPr>
              <m:t>j=1, j≠1</m:t>
            </m:r>
          </m:sub>
          <m:sup>
            <m:r>
              <w:rPr>
                <w:rFonts w:ascii="Cambria Math" w:hAnsi="Cambria Math" w:cs="Times New Roman"/>
                <w:sz w:val="18"/>
                <w:szCs w:val="20"/>
              </w:rPr>
              <m:t>n</m:t>
            </m:r>
          </m:sup>
          <m:e>
            <m:f>
              <m:fPr>
                <m:ctrlPr>
                  <w:rPr>
                    <w:rFonts w:ascii="Cambria Math" w:hAnsi="Cambria Math" w:cs="Times New Roman"/>
                    <w:i/>
                    <w:sz w:val="18"/>
                    <w:szCs w:val="20"/>
                  </w:rPr>
                </m:ctrlPr>
              </m:fPr>
              <m:num>
                <m:sSub>
                  <m:sSubPr>
                    <m:ctrlPr>
                      <w:rPr>
                        <w:rFonts w:ascii="Cambria Math" w:hAnsi="Cambria Math" w:cs="Times New Roman"/>
                        <w:i/>
                        <w:sz w:val="18"/>
                        <w:szCs w:val="20"/>
                      </w:rPr>
                    </m:ctrlPr>
                  </m:sSubPr>
                  <m:e>
                    <m:r>
                      <w:rPr>
                        <w:rFonts w:ascii="Cambria Math" w:hAnsi="Cambria Math" w:cs="Times New Roman"/>
                        <w:sz w:val="18"/>
                        <w:szCs w:val="20"/>
                      </w:rPr>
                      <m:t>MC</m:t>
                    </m:r>
                  </m:e>
                  <m:sub>
                    <m:r>
                      <w:rPr>
                        <w:rFonts w:ascii="Cambria Math" w:hAnsi="Cambria Math" w:cs="Times New Roman"/>
                        <w:sz w:val="18"/>
                        <w:szCs w:val="20"/>
                      </w:rPr>
                      <m:t>j,1</m:t>
                    </m:r>
                  </m:sub>
                </m:sSub>
              </m:num>
              <m:den>
                <m:nary>
                  <m:naryPr>
                    <m:chr m:val="∑"/>
                    <m:limLoc m:val="undOvr"/>
                    <m:ctrlPr>
                      <w:rPr>
                        <w:rFonts w:ascii="Cambria Math" w:hAnsi="Cambria Math" w:cs="Times New Roman"/>
                        <w:i/>
                        <w:sz w:val="18"/>
                        <w:szCs w:val="20"/>
                      </w:rPr>
                    </m:ctrlPr>
                  </m:naryPr>
                  <m:sub>
                    <m:r>
                      <w:rPr>
                        <w:rFonts w:ascii="Cambria Math" w:hAnsi="Cambria Math" w:cs="Times New Roman"/>
                        <w:sz w:val="18"/>
                        <w:szCs w:val="20"/>
                      </w:rPr>
                      <m:t>j=1, j≠1</m:t>
                    </m:r>
                  </m:sub>
                  <m:sup>
                    <m:r>
                      <w:rPr>
                        <w:rFonts w:ascii="Cambria Math" w:hAnsi="Cambria Math" w:cs="Times New Roman"/>
                        <w:sz w:val="18"/>
                        <w:szCs w:val="20"/>
                      </w:rPr>
                      <m:t>n</m:t>
                    </m:r>
                  </m:sup>
                  <m:e>
                    <m:sSub>
                      <m:sSubPr>
                        <m:ctrlPr>
                          <w:rPr>
                            <w:rFonts w:ascii="Cambria Math" w:hAnsi="Cambria Math" w:cs="Times New Roman"/>
                            <w:i/>
                            <w:sz w:val="18"/>
                            <w:szCs w:val="20"/>
                          </w:rPr>
                        </m:ctrlPr>
                      </m:sSubPr>
                      <m:e>
                        <m:r>
                          <w:rPr>
                            <w:rFonts w:ascii="Cambria Math" w:hAnsi="Cambria Math" w:cs="Times New Roman"/>
                            <w:sz w:val="18"/>
                            <w:szCs w:val="20"/>
                          </w:rPr>
                          <m:t>MC</m:t>
                        </m:r>
                      </m:e>
                      <m:sub>
                        <m:r>
                          <w:rPr>
                            <w:rFonts w:ascii="Cambria Math" w:hAnsi="Cambria Math" w:cs="Times New Roman"/>
                            <w:sz w:val="18"/>
                            <w:szCs w:val="20"/>
                          </w:rPr>
                          <m:t>j,1</m:t>
                        </m:r>
                      </m:sub>
                    </m:sSub>
                  </m:e>
                </m:nary>
              </m:den>
            </m:f>
          </m:e>
        </m:nary>
        <m:r>
          <w:rPr>
            <w:rFonts w:ascii="Cambria Math" w:hAnsi="Cambria Math" w:cs="Times New Roman"/>
            <w:sz w:val="18"/>
            <w:szCs w:val="20"/>
          </w:rPr>
          <m:t xml:space="preserve"> . </m:t>
        </m:r>
        <m:f>
          <m:fPr>
            <m:ctrlPr>
              <w:rPr>
                <w:rFonts w:ascii="Cambria Math" w:hAnsi="Cambria Math" w:cs="Times New Roman"/>
                <w:i/>
                <w:sz w:val="18"/>
                <w:szCs w:val="20"/>
              </w:rPr>
            </m:ctrlPr>
          </m:fPr>
          <m:num>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j,t=1</m:t>
                </m:r>
              </m:sub>
            </m:sSub>
            <m:r>
              <w:rPr>
                <w:rFonts w:ascii="Cambria Math" w:hAnsi="Cambria Math" w:cs="Times New Roman"/>
                <w:sz w:val="18"/>
                <w:szCs w:val="20"/>
              </w:rPr>
              <m:t xml:space="preserve">- </m:t>
            </m:r>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j,0</m:t>
                </m:r>
              </m:sub>
            </m:sSub>
          </m:num>
          <m:den>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j,0</m:t>
                </m:r>
              </m:sub>
            </m:sSub>
          </m:den>
        </m:f>
      </m:oMath>
      <w:r w:rsidRPr="00E34A92">
        <w:rPr>
          <w:rFonts w:ascii="Times New Roman" w:eastAsiaTheme="minorEastAsia" w:hAnsi="Times New Roman" w:cs="Times New Roman"/>
          <w:sz w:val="18"/>
          <w:szCs w:val="20"/>
        </w:rPr>
        <w:tab/>
      </w:r>
      <w:r>
        <w:rPr>
          <w:rFonts w:ascii="Times New Roman" w:eastAsiaTheme="minorEastAsia" w:hAnsi="Times New Roman" w:cs="Times New Roman"/>
          <w:sz w:val="18"/>
          <w:szCs w:val="20"/>
        </w:rPr>
        <w:tab/>
      </w:r>
      <w:r>
        <w:rPr>
          <w:rFonts w:ascii="Times New Roman" w:eastAsiaTheme="minorEastAsia" w:hAnsi="Times New Roman" w:cs="Times New Roman"/>
          <w:sz w:val="18"/>
          <w:szCs w:val="20"/>
        </w:rPr>
        <w:tab/>
      </w:r>
      <w:r w:rsidRPr="00E34A92">
        <w:rPr>
          <w:rFonts w:ascii="Times New Roman" w:eastAsiaTheme="minorEastAsia" w:hAnsi="Times New Roman" w:cs="Times New Roman"/>
          <w:sz w:val="18"/>
          <w:szCs w:val="20"/>
        </w:rPr>
        <w:t>(</w:t>
      </w:r>
      <w:r>
        <w:rPr>
          <w:rFonts w:ascii="Times New Roman" w:eastAsiaTheme="minorEastAsia" w:hAnsi="Times New Roman" w:cs="Times New Roman"/>
          <w:sz w:val="18"/>
          <w:szCs w:val="20"/>
        </w:rPr>
        <w:t>7</w:t>
      </w:r>
      <w:r w:rsidRPr="00E34A92">
        <w:rPr>
          <w:rFonts w:ascii="Times New Roman" w:eastAsiaTheme="minorEastAsia" w:hAnsi="Times New Roman" w:cs="Times New Roman"/>
          <w:sz w:val="18"/>
          <w:szCs w:val="20"/>
        </w:rPr>
        <w:t>)</w:t>
      </w:r>
    </w:p>
    <w:p w14:paraId="2DC41807" w14:textId="24E8CB1F" w:rsidR="00876173" w:rsidRPr="00E34A92" w:rsidRDefault="00876173" w:rsidP="00C70A05">
      <w:pPr>
        <w:spacing w:line="240" w:lineRule="auto"/>
        <w:jc w:val="center"/>
        <w:rPr>
          <w:rFonts w:ascii="Times New Roman" w:eastAsiaTheme="minorEastAsia" w:hAnsi="Times New Roman" w:cs="Times New Roman"/>
          <w:sz w:val="18"/>
          <w:szCs w:val="20"/>
        </w:rPr>
      </w:pPr>
      <w:r>
        <w:rPr>
          <w:rFonts w:ascii="Times New Roman" w:eastAsiaTheme="minorEastAsia" w:hAnsi="Times New Roman" w:cs="Times New Roman"/>
          <w:sz w:val="18"/>
          <w:szCs w:val="20"/>
        </w:rPr>
        <w:tab/>
      </w:r>
      <w:r>
        <w:rPr>
          <w:rFonts w:ascii="Times New Roman" w:eastAsiaTheme="minorEastAsia" w:hAnsi="Times New Roman" w:cs="Times New Roman"/>
          <w:sz w:val="18"/>
          <w:szCs w:val="20"/>
        </w:rPr>
        <w:tab/>
      </w:r>
      <w:r>
        <w:rPr>
          <w:rFonts w:ascii="Times New Roman" w:eastAsiaTheme="minorEastAsia" w:hAnsi="Times New Roman" w:cs="Times New Roman"/>
          <w:sz w:val="18"/>
          <w:szCs w:val="20"/>
        </w:rPr>
        <w:tab/>
      </w:r>
      <m:oMath>
        <m:sSub>
          <m:sSubPr>
            <m:ctrlPr>
              <w:rPr>
                <w:rFonts w:ascii="Cambria Math" w:hAnsi="Cambria Math" w:cs="Times New Roman"/>
                <w:i/>
                <w:sz w:val="18"/>
                <w:szCs w:val="20"/>
              </w:rPr>
            </m:ctrlPr>
          </m:sSubPr>
          <m:e>
            <m:r>
              <w:rPr>
                <w:rFonts w:ascii="Cambria Math" w:hAnsi="Cambria Math" w:cs="Times New Roman"/>
                <w:sz w:val="18"/>
                <w:szCs w:val="20"/>
              </w:rPr>
              <m:t>LongTermCAR</m:t>
            </m:r>
          </m:e>
          <m:sub>
            <m:r>
              <w:rPr>
                <w:rFonts w:ascii="Cambria Math" w:hAnsi="Cambria Math" w:cs="Times New Roman"/>
                <w:sz w:val="18"/>
                <w:szCs w:val="20"/>
              </w:rPr>
              <m:t>i</m:t>
            </m:r>
          </m:sub>
        </m:sSub>
        <m:r>
          <w:rPr>
            <w:rFonts w:ascii="Cambria Math" w:hAnsi="Cambria Math" w:cs="Times New Roman"/>
            <w:sz w:val="18"/>
            <w:szCs w:val="20"/>
          </w:rPr>
          <m:t xml:space="preserve">= </m:t>
        </m:r>
        <m:f>
          <m:fPr>
            <m:ctrlPr>
              <w:rPr>
                <w:rFonts w:ascii="Cambria Math" w:hAnsi="Cambria Math" w:cs="Times New Roman"/>
                <w:i/>
                <w:sz w:val="18"/>
                <w:szCs w:val="20"/>
              </w:rPr>
            </m:ctrlPr>
          </m:fPr>
          <m:num>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i,t=180</m:t>
                </m:r>
              </m:sub>
            </m:sSub>
            <m:r>
              <w:rPr>
                <w:rFonts w:ascii="Cambria Math" w:hAnsi="Cambria Math" w:cs="Times New Roman"/>
                <w:sz w:val="18"/>
                <w:szCs w:val="20"/>
              </w:rPr>
              <m:t xml:space="preserve">- </m:t>
            </m:r>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i,t=0</m:t>
                </m:r>
              </m:sub>
            </m:sSub>
          </m:num>
          <m:den>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i,t=0</m:t>
                </m:r>
              </m:sub>
            </m:sSub>
          </m:den>
        </m:f>
        <m:r>
          <w:rPr>
            <w:rFonts w:ascii="Cambria Math" w:hAnsi="Cambria Math" w:cs="Times New Roman"/>
            <w:sz w:val="18"/>
            <w:szCs w:val="20"/>
          </w:rPr>
          <m:t xml:space="preserve">- </m:t>
        </m:r>
        <m:nary>
          <m:naryPr>
            <m:chr m:val="∑"/>
            <m:limLoc m:val="undOvr"/>
            <m:ctrlPr>
              <w:rPr>
                <w:rFonts w:ascii="Cambria Math" w:hAnsi="Cambria Math" w:cs="Times New Roman"/>
                <w:i/>
                <w:sz w:val="18"/>
                <w:szCs w:val="20"/>
              </w:rPr>
            </m:ctrlPr>
          </m:naryPr>
          <m:sub>
            <m:r>
              <w:rPr>
                <w:rFonts w:ascii="Cambria Math" w:hAnsi="Cambria Math" w:cs="Times New Roman"/>
                <w:sz w:val="18"/>
                <w:szCs w:val="20"/>
              </w:rPr>
              <m:t>j=1, j≠1</m:t>
            </m:r>
          </m:sub>
          <m:sup>
            <m:r>
              <w:rPr>
                <w:rFonts w:ascii="Cambria Math" w:hAnsi="Cambria Math" w:cs="Times New Roman"/>
                <w:sz w:val="18"/>
                <w:szCs w:val="20"/>
              </w:rPr>
              <m:t>n</m:t>
            </m:r>
          </m:sup>
          <m:e>
            <m:f>
              <m:fPr>
                <m:ctrlPr>
                  <w:rPr>
                    <w:rFonts w:ascii="Cambria Math" w:hAnsi="Cambria Math" w:cs="Times New Roman"/>
                    <w:i/>
                    <w:sz w:val="18"/>
                    <w:szCs w:val="20"/>
                  </w:rPr>
                </m:ctrlPr>
              </m:fPr>
              <m:num>
                <m:sSub>
                  <m:sSubPr>
                    <m:ctrlPr>
                      <w:rPr>
                        <w:rFonts w:ascii="Cambria Math" w:hAnsi="Cambria Math" w:cs="Times New Roman"/>
                        <w:i/>
                        <w:sz w:val="18"/>
                        <w:szCs w:val="20"/>
                      </w:rPr>
                    </m:ctrlPr>
                  </m:sSubPr>
                  <m:e>
                    <m:r>
                      <w:rPr>
                        <w:rFonts w:ascii="Cambria Math" w:hAnsi="Cambria Math" w:cs="Times New Roman"/>
                        <w:sz w:val="18"/>
                        <w:szCs w:val="20"/>
                      </w:rPr>
                      <m:t>MC</m:t>
                    </m:r>
                  </m:e>
                  <m:sub>
                    <m:r>
                      <w:rPr>
                        <w:rFonts w:ascii="Cambria Math" w:hAnsi="Cambria Math" w:cs="Times New Roman"/>
                        <w:sz w:val="18"/>
                        <w:szCs w:val="20"/>
                      </w:rPr>
                      <m:t>j,180</m:t>
                    </m:r>
                  </m:sub>
                </m:sSub>
              </m:num>
              <m:den>
                <m:nary>
                  <m:naryPr>
                    <m:chr m:val="∑"/>
                    <m:limLoc m:val="undOvr"/>
                    <m:ctrlPr>
                      <w:rPr>
                        <w:rFonts w:ascii="Cambria Math" w:hAnsi="Cambria Math" w:cs="Times New Roman"/>
                        <w:i/>
                        <w:sz w:val="18"/>
                        <w:szCs w:val="20"/>
                      </w:rPr>
                    </m:ctrlPr>
                  </m:naryPr>
                  <m:sub>
                    <m:r>
                      <w:rPr>
                        <w:rFonts w:ascii="Cambria Math" w:hAnsi="Cambria Math" w:cs="Times New Roman"/>
                        <w:sz w:val="18"/>
                        <w:szCs w:val="20"/>
                      </w:rPr>
                      <m:t>j=1, j≠1</m:t>
                    </m:r>
                  </m:sub>
                  <m:sup>
                    <m:r>
                      <w:rPr>
                        <w:rFonts w:ascii="Cambria Math" w:hAnsi="Cambria Math" w:cs="Times New Roman"/>
                        <w:sz w:val="18"/>
                        <w:szCs w:val="20"/>
                      </w:rPr>
                      <m:t>n</m:t>
                    </m:r>
                  </m:sup>
                  <m:e>
                    <m:sSub>
                      <m:sSubPr>
                        <m:ctrlPr>
                          <w:rPr>
                            <w:rFonts w:ascii="Cambria Math" w:hAnsi="Cambria Math" w:cs="Times New Roman"/>
                            <w:i/>
                            <w:sz w:val="18"/>
                            <w:szCs w:val="20"/>
                          </w:rPr>
                        </m:ctrlPr>
                      </m:sSubPr>
                      <m:e>
                        <m:r>
                          <w:rPr>
                            <w:rFonts w:ascii="Cambria Math" w:hAnsi="Cambria Math" w:cs="Times New Roman"/>
                            <w:sz w:val="18"/>
                            <w:szCs w:val="20"/>
                          </w:rPr>
                          <m:t>MC</m:t>
                        </m:r>
                      </m:e>
                      <m:sub>
                        <m:r>
                          <w:rPr>
                            <w:rFonts w:ascii="Cambria Math" w:hAnsi="Cambria Math" w:cs="Times New Roman"/>
                            <w:sz w:val="18"/>
                            <w:szCs w:val="20"/>
                          </w:rPr>
                          <m:t>j,180</m:t>
                        </m:r>
                      </m:sub>
                    </m:sSub>
                  </m:e>
                </m:nary>
              </m:den>
            </m:f>
          </m:e>
        </m:nary>
        <m:r>
          <w:rPr>
            <w:rFonts w:ascii="Cambria Math" w:hAnsi="Cambria Math" w:cs="Times New Roman"/>
            <w:sz w:val="18"/>
            <w:szCs w:val="20"/>
          </w:rPr>
          <m:t xml:space="preserve"> . </m:t>
        </m:r>
        <m:f>
          <m:fPr>
            <m:ctrlPr>
              <w:rPr>
                <w:rFonts w:ascii="Cambria Math" w:hAnsi="Cambria Math" w:cs="Times New Roman"/>
                <w:i/>
                <w:sz w:val="18"/>
                <w:szCs w:val="20"/>
              </w:rPr>
            </m:ctrlPr>
          </m:fPr>
          <m:num>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j,t=180</m:t>
                </m:r>
              </m:sub>
            </m:sSub>
            <m:r>
              <w:rPr>
                <w:rFonts w:ascii="Cambria Math" w:hAnsi="Cambria Math" w:cs="Times New Roman"/>
                <w:sz w:val="18"/>
                <w:szCs w:val="20"/>
              </w:rPr>
              <m:t xml:space="preserve">- </m:t>
            </m:r>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j,0</m:t>
                </m:r>
              </m:sub>
            </m:sSub>
          </m:num>
          <m:den>
            <m:sSub>
              <m:sSubPr>
                <m:ctrlPr>
                  <w:rPr>
                    <w:rFonts w:ascii="Cambria Math" w:hAnsi="Cambria Math" w:cs="Times New Roman"/>
                    <w:i/>
                    <w:sz w:val="18"/>
                    <w:szCs w:val="20"/>
                  </w:rPr>
                </m:ctrlPr>
              </m:sSubPr>
              <m:e>
                <m:r>
                  <w:rPr>
                    <w:rFonts w:ascii="Cambria Math" w:hAnsi="Cambria Math" w:cs="Times New Roman"/>
                    <w:sz w:val="18"/>
                    <w:szCs w:val="20"/>
                  </w:rPr>
                  <m:t>P</m:t>
                </m:r>
              </m:e>
              <m:sub>
                <m:r>
                  <w:rPr>
                    <w:rFonts w:ascii="Cambria Math" w:hAnsi="Cambria Math" w:cs="Times New Roman"/>
                    <w:sz w:val="18"/>
                    <w:szCs w:val="20"/>
                  </w:rPr>
                  <m:t>j,0</m:t>
                </m:r>
              </m:sub>
            </m:sSub>
          </m:den>
        </m:f>
      </m:oMath>
      <w:r w:rsidRPr="00E34A92">
        <w:rPr>
          <w:rFonts w:ascii="Times New Roman" w:eastAsiaTheme="minorEastAsia" w:hAnsi="Times New Roman" w:cs="Times New Roman"/>
          <w:sz w:val="18"/>
          <w:szCs w:val="20"/>
        </w:rPr>
        <w:tab/>
      </w:r>
      <w:r>
        <w:rPr>
          <w:rFonts w:ascii="Times New Roman" w:eastAsiaTheme="minorEastAsia" w:hAnsi="Times New Roman" w:cs="Times New Roman"/>
          <w:sz w:val="18"/>
          <w:szCs w:val="20"/>
        </w:rPr>
        <w:tab/>
      </w:r>
      <w:r w:rsidRPr="00E34A92">
        <w:rPr>
          <w:rFonts w:ascii="Times New Roman" w:eastAsiaTheme="minorEastAsia" w:hAnsi="Times New Roman" w:cs="Times New Roman"/>
          <w:sz w:val="18"/>
          <w:szCs w:val="20"/>
        </w:rPr>
        <w:t>(</w:t>
      </w:r>
      <w:r>
        <w:rPr>
          <w:rFonts w:ascii="Times New Roman" w:eastAsiaTheme="minorEastAsia" w:hAnsi="Times New Roman" w:cs="Times New Roman"/>
          <w:sz w:val="18"/>
          <w:szCs w:val="20"/>
        </w:rPr>
        <w:t>8</w:t>
      </w:r>
      <w:r w:rsidRPr="00E34A92">
        <w:rPr>
          <w:rFonts w:ascii="Times New Roman" w:eastAsiaTheme="minorEastAsia" w:hAnsi="Times New Roman" w:cs="Times New Roman"/>
          <w:sz w:val="18"/>
          <w:szCs w:val="20"/>
        </w:rPr>
        <w:t>)</w:t>
      </w:r>
    </w:p>
    <w:p w14:paraId="56DA955A" w14:textId="77777777" w:rsidR="00876173" w:rsidRPr="00C70A05" w:rsidRDefault="00876173">
      <w:pPr>
        <w:pStyle w:val="Notedebasdepage"/>
        <w:rPr>
          <w:lang w:val="en-US"/>
        </w:rPr>
      </w:pPr>
    </w:p>
  </w:footnote>
  <w:footnote w:id="19">
    <w:p w14:paraId="168815C5" w14:textId="6ECA2A3F" w:rsidR="00876173" w:rsidRPr="009119E6" w:rsidRDefault="00876173">
      <w:pPr>
        <w:pStyle w:val="Notedebasdepage"/>
        <w:rPr>
          <w:rFonts w:ascii="Times New Roman" w:hAnsi="Times New Roman" w:cs="Times New Roman"/>
          <w:lang w:val="en-US"/>
        </w:rPr>
      </w:pPr>
      <w:r w:rsidRPr="0047162D">
        <w:rPr>
          <w:rStyle w:val="Appelnotedebasdep"/>
          <w:lang w:val="en-US"/>
        </w:rPr>
        <w:t>19</w:t>
      </w:r>
      <w:r w:rsidRPr="009119E6">
        <w:rPr>
          <w:rFonts w:ascii="Times New Roman" w:hAnsi="Times New Roman" w:cs="Times New Roman"/>
          <w:lang w:val="en-US"/>
        </w:rPr>
        <w:t xml:space="preserve"> For a detailed list of CoinMarketCap delisting criteria, se</w:t>
      </w:r>
      <w:r>
        <w:rPr>
          <w:rFonts w:ascii="Times New Roman" w:hAnsi="Times New Roman" w:cs="Times New Roman"/>
          <w:lang w:val="en-US"/>
        </w:rPr>
        <w:t xml:space="preserve">e </w:t>
      </w:r>
      <w:hyperlink r:id="rId1" w:history="1">
        <w:proofErr w:type="spellStart"/>
        <w:r w:rsidRPr="00151096">
          <w:rPr>
            <w:rStyle w:val="Lienhypertexte"/>
            <w:rFonts w:ascii="Times New Roman" w:hAnsi="Times New Roman" w:cs="Times New Roman"/>
            <w:lang w:val="en-US"/>
          </w:rPr>
          <w:t>CoinMarketCap</w:t>
        </w:r>
        <w:proofErr w:type="spellEnd"/>
        <w:r w:rsidRPr="00151096">
          <w:rPr>
            <w:rStyle w:val="Lienhypertexte"/>
            <w:rFonts w:ascii="Times New Roman" w:hAnsi="Times New Roman" w:cs="Times New Roman"/>
            <w:lang w:val="en-US"/>
          </w:rPr>
          <w:t xml:space="preserve"> Listings Criteria</w:t>
        </w:r>
      </w:hyperlink>
      <w:r>
        <w:rPr>
          <w:rFonts w:ascii="Times New Roman" w:hAnsi="Times New Roman" w:cs="Times New Roman"/>
          <w:lang w:val="en-US"/>
        </w:rPr>
        <w:t>.</w:t>
      </w:r>
    </w:p>
  </w:footnote>
  <w:footnote w:id="20">
    <w:p w14:paraId="1A76708E" w14:textId="448F8E68" w:rsidR="00876173" w:rsidRPr="00467C63" w:rsidRDefault="00876173" w:rsidP="009119E6">
      <w:pPr>
        <w:pStyle w:val="Notedebasdepage"/>
        <w:rPr>
          <w:rFonts w:ascii="Times New Roman" w:eastAsiaTheme="minorEastAsia" w:hAnsi="Times New Roman" w:cs="Times New Roman"/>
          <w:lang w:val="en-US"/>
        </w:rPr>
      </w:pPr>
      <w:r w:rsidRPr="0047162D">
        <w:rPr>
          <w:rStyle w:val="Appelnotedebasdep"/>
          <w:lang w:val="en-US"/>
        </w:rPr>
        <w:t>20</w:t>
      </w:r>
      <w:r w:rsidRPr="009119E6">
        <w:rPr>
          <w:lang w:val="en-US"/>
        </w:rPr>
        <w:t xml:space="preserve"> </w:t>
      </w:r>
      <w:r w:rsidRPr="00467C63">
        <w:rPr>
          <w:rFonts w:ascii="Times New Roman" w:hAnsi="Times New Roman" w:cs="Times New Roman"/>
          <w:lang w:val="en-US"/>
        </w:rPr>
        <w:t xml:space="preserve">We compute </w:t>
      </w:r>
      <m:oMath>
        <m:r>
          <w:rPr>
            <w:rFonts w:ascii="Cambria Math" w:hAnsi="Cambria Math" w:cs="Times New Roman"/>
            <w:lang w:val="en-US"/>
          </w:rPr>
          <m:t>Volatility</m:t>
        </m:r>
      </m:oMath>
      <w:r w:rsidRPr="00467C63">
        <w:rPr>
          <w:rFonts w:ascii="Times New Roman" w:eastAsiaTheme="minorEastAsia" w:hAnsi="Times New Roman" w:cs="Times New Roman"/>
          <w:lang w:val="en-US"/>
        </w:rPr>
        <w:t xml:space="preserve"> by relying on </w:t>
      </w:r>
      <w:r w:rsidRPr="00467C63">
        <w:rPr>
          <w:rFonts w:ascii="Times New Roman" w:hAnsi="Times New Roman" w:cs="Times New Roman"/>
          <w:lang w:val="en-US"/>
        </w:rPr>
        <w:t>Andersen et al. (2003)</w:t>
      </w:r>
      <w:r w:rsidRPr="00467C63">
        <w:rPr>
          <w:rFonts w:ascii="Times New Roman" w:eastAsiaTheme="minorEastAsia" w:hAnsi="Times New Roman" w:cs="Times New Roman"/>
          <w:lang w:val="en-US"/>
        </w:rPr>
        <w:t xml:space="preserve">, as follows: </w:t>
      </w:r>
    </w:p>
    <w:p w14:paraId="4CC8A751" w14:textId="77777777" w:rsidR="00876173" w:rsidRDefault="00876173" w:rsidP="009119E6">
      <w:pPr>
        <w:pStyle w:val="Notedebasdepage"/>
        <w:rPr>
          <w:rFonts w:eastAsiaTheme="minorEastAsia"/>
          <w:lang w:val="en-US"/>
        </w:rPr>
      </w:pPr>
    </w:p>
    <w:p w14:paraId="48C79CF3" w14:textId="51AAF9A4" w:rsidR="00876173" w:rsidRPr="009A08BF" w:rsidRDefault="00876173" w:rsidP="009119E6">
      <w:pPr>
        <w:pStyle w:val="Notedebasdepage"/>
        <w:ind w:left="2160" w:firstLine="720"/>
        <w:jc w:val="center"/>
        <w:rPr>
          <w:lang w:val="en-US"/>
        </w:rPr>
      </w:pPr>
      <m:oMath>
        <m:sSub>
          <m:sSubPr>
            <m:ctrlPr>
              <w:rPr>
                <w:rFonts w:ascii="Cambria Math" w:hAnsi="Cambria Math" w:cs="Times New Roman"/>
                <w:i/>
              </w:rPr>
            </m:ctrlPr>
          </m:sSubPr>
          <m:e>
            <m:r>
              <w:rPr>
                <w:rFonts w:ascii="Cambria Math" w:hAnsi="Cambria Math" w:cs="Times New Roman"/>
              </w:rPr>
              <m:t>Volatility</m:t>
            </m:r>
          </m:e>
          <m:sub>
            <m:r>
              <w:rPr>
                <w:rFonts w:ascii="Cambria Math" w:hAnsi="Cambria Math" w:cs="Times New Roman"/>
              </w:rPr>
              <m:t>i</m:t>
            </m:r>
          </m:sub>
        </m:sSub>
        <m:r>
          <w:rPr>
            <w:rFonts w:ascii="Cambria Math" w:hAnsi="Cambria Math" w:cs="Times New Roman"/>
            <w:lang w:val="en-US"/>
          </w:rPr>
          <m:t>=</m:t>
        </m:r>
        <m:rad>
          <m:radPr>
            <m:degHide m:val="1"/>
            <m:ctrlPr>
              <w:rPr>
                <w:rFonts w:ascii="Cambria Math" w:hAnsi="Cambria Math" w:cs="Times New Roman"/>
                <w:i/>
                <w:lang w:val="en-US"/>
              </w:rPr>
            </m:ctrlPr>
          </m:radPr>
          <m:deg/>
          <m:e>
            <m:nary>
              <m:naryPr>
                <m:chr m:val="∑"/>
                <m:limLoc m:val="undOvr"/>
                <m:ctrlPr>
                  <w:rPr>
                    <w:rFonts w:ascii="Cambria Math" w:hAnsi="Cambria Math" w:cs="Times New Roman"/>
                    <w:i/>
                    <w:lang w:val="en-US"/>
                  </w:rPr>
                </m:ctrlPr>
              </m:naryPr>
              <m:sub>
                <m:r>
                  <w:rPr>
                    <w:rFonts w:ascii="Cambria Math" w:hAnsi="Cambria Math" w:cs="Times New Roman"/>
                    <w:lang w:val="en-US"/>
                  </w:rPr>
                  <m:t>t=1</m:t>
                </m:r>
              </m:sub>
              <m:sup>
                <m:r>
                  <w:rPr>
                    <w:rFonts w:ascii="Cambria Math" w:hAnsi="Cambria Math" w:cs="Times New Roman"/>
                    <w:lang w:val="en-US"/>
                  </w:rPr>
                  <m:t>30</m:t>
                </m:r>
              </m:sup>
              <m:e>
                <m:sSup>
                  <m:sSupPr>
                    <m:ctrlPr>
                      <w:rPr>
                        <w:rFonts w:ascii="Cambria Math" w:hAnsi="Cambria Math" w:cs="Times New Roman"/>
                        <w:i/>
                        <w:lang w:val="en-US"/>
                      </w:rPr>
                    </m:ctrlPr>
                  </m:sSupPr>
                  <m:e>
                    <m:r>
                      <w:rPr>
                        <w:rFonts w:ascii="Cambria Math" w:hAnsi="Cambria Math" w:cs="Times New Roman"/>
                        <w:lang w:val="en-US"/>
                      </w:rPr>
                      <m:t>[</m:t>
                    </m:r>
                    <m:r>
                      <m:rPr>
                        <m:sty m:val="p"/>
                      </m:rPr>
                      <w:rPr>
                        <w:rFonts w:ascii="Cambria Math" w:hAnsi="Cambria Math" w:cs="Times New Roman"/>
                        <w:lang w:val="en-US"/>
                      </w:rPr>
                      <m:t>log⁡</m:t>
                    </m:r>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i,t</m:t>
                            </m:r>
                          </m:sub>
                        </m:sSub>
                      </m:num>
                      <m:den>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i, t-1</m:t>
                            </m:r>
                          </m:sub>
                        </m:sSub>
                      </m:den>
                    </m:f>
                    <m:r>
                      <w:rPr>
                        <w:rFonts w:ascii="Cambria Math" w:hAnsi="Cambria Math" w:cs="Times New Roman"/>
                        <w:lang w:val="en-US"/>
                      </w:rPr>
                      <m:t>)]</m:t>
                    </m:r>
                  </m:e>
                  <m:sup>
                    <m:r>
                      <w:rPr>
                        <w:rFonts w:ascii="Cambria Math" w:hAnsi="Cambria Math" w:cs="Times New Roman"/>
                        <w:lang w:val="en-US"/>
                      </w:rPr>
                      <m:t>2</m:t>
                    </m:r>
                  </m:sup>
                </m:sSup>
              </m:e>
            </m:nary>
          </m:e>
        </m:rad>
        <m:r>
          <w:rPr>
            <w:rFonts w:ascii="Cambria Math" w:hAnsi="Cambria Math" w:cs="Times New Roman"/>
            <w:lang w:val="en-US"/>
          </w:rPr>
          <m:t xml:space="preserve"> </m:t>
        </m:r>
      </m:oMath>
      <w:r w:rsidRPr="00467C63">
        <w:rPr>
          <w:rFonts w:ascii="Times New Roman" w:eastAsiaTheme="minorEastAsia" w:hAnsi="Times New Roman" w:cs="Times New Roman"/>
          <w:lang w:val="en-US"/>
        </w:rPr>
        <w:tab/>
      </w:r>
      <w:r w:rsidRPr="00467C63">
        <w:rPr>
          <w:rFonts w:ascii="Times New Roman" w:eastAsiaTheme="minorEastAsia" w:hAnsi="Times New Roman" w:cs="Times New Roman"/>
          <w:lang w:val="en-US"/>
        </w:rPr>
        <w:tab/>
      </w:r>
      <w:r>
        <w:rPr>
          <w:rFonts w:ascii="Times New Roman" w:eastAsiaTheme="minorEastAsia" w:hAnsi="Times New Roman" w:cs="Times New Roman"/>
          <w:lang w:val="en-US"/>
        </w:rPr>
        <w:tab/>
      </w:r>
      <w:r>
        <w:rPr>
          <w:rFonts w:ascii="Times New Roman" w:eastAsiaTheme="minorEastAsia" w:hAnsi="Times New Roman" w:cs="Times New Roman"/>
          <w:lang w:val="en-US"/>
        </w:rPr>
        <w:tab/>
      </w:r>
      <w:r>
        <w:rPr>
          <w:rFonts w:ascii="Times New Roman" w:eastAsiaTheme="minorEastAsia" w:hAnsi="Times New Roman" w:cs="Times New Roman"/>
          <w:lang w:val="en-US"/>
        </w:rPr>
        <w:tab/>
      </w:r>
      <w:r w:rsidRPr="00467C63">
        <w:rPr>
          <w:rFonts w:ascii="Times New Roman" w:eastAsiaTheme="minorEastAsia" w:hAnsi="Times New Roman" w:cs="Times New Roman"/>
          <w:lang w:val="en-US"/>
        </w:rPr>
        <w:t>(</w:t>
      </w:r>
      <w:r>
        <w:rPr>
          <w:rFonts w:ascii="Times New Roman" w:eastAsiaTheme="minorEastAsia" w:hAnsi="Times New Roman" w:cs="Times New Roman"/>
          <w:lang w:val="en-US"/>
        </w:rPr>
        <w:t>10</w:t>
      </w:r>
      <w:r w:rsidRPr="00467C63">
        <w:rPr>
          <w:rFonts w:ascii="Times New Roman" w:eastAsiaTheme="minorEastAsia" w:hAnsi="Times New Roman" w:cs="Times New Roman"/>
          <w:lang w:val="en-US"/>
        </w:rPr>
        <w:t>)</w:t>
      </w:r>
    </w:p>
    <w:p w14:paraId="2CDCFDE8" w14:textId="77777777" w:rsidR="00876173" w:rsidRPr="009119E6" w:rsidRDefault="00876173">
      <w:pPr>
        <w:pStyle w:val="Notedebasdepage"/>
        <w:rPr>
          <w:lang w:val="en-US"/>
        </w:rPr>
      </w:pPr>
    </w:p>
  </w:footnote>
  <w:footnote w:id="21">
    <w:p w14:paraId="76A5F088" w14:textId="7D105BAF" w:rsidR="00876173" w:rsidRPr="009119E6" w:rsidRDefault="00876173">
      <w:pPr>
        <w:pStyle w:val="Notedebasdepage"/>
        <w:rPr>
          <w:lang w:val="en-US"/>
        </w:rPr>
      </w:pPr>
      <w:r w:rsidRPr="0047162D">
        <w:rPr>
          <w:rStyle w:val="Appelnotedebasdep"/>
          <w:lang w:val="en-US"/>
        </w:rPr>
        <w:t>21</w:t>
      </w:r>
      <w:r w:rsidRPr="009119E6">
        <w:rPr>
          <w:lang w:val="en-US"/>
        </w:rPr>
        <w:t xml:space="preserve"> </w:t>
      </w:r>
      <w:r w:rsidRPr="00DE7184">
        <w:rPr>
          <w:rFonts w:ascii="Times New Roman" w:eastAsiaTheme="minorEastAsia" w:hAnsi="Times New Roman" w:cs="Times New Roman"/>
          <w:lang w:val="en-US"/>
        </w:rPr>
        <w:t xml:space="preserve">To avoid multicollinearity issues, </w:t>
      </w:r>
      <m:oMath>
        <m:r>
          <w:rPr>
            <w:rFonts w:ascii="Cambria Math" w:eastAsiaTheme="minorEastAsia" w:hAnsi="Cambria Math" w:cs="Times New Roman"/>
            <w:lang w:val="en-US"/>
          </w:rPr>
          <m:t>Hardcap</m:t>
        </m:r>
      </m:oMath>
      <w:r w:rsidRPr="00DE7184">
        <w:rPr>
          <w:rFonts w:ascii="Times New Roman" w:eastAsiaTheme="minorEastAsia" w:hAnsi="Times New Roman" w:cs="Times New Roman"/>
          <w:lang w:val="en-US"/>
        </w:rPr>
        <w:t xml:space="preserve"> and </w:t>
      </w:r>
      <m:oMath>
        <m:r>
          <w:rPr>
            <w:rFonts w:ascii="Cambria Math" w:eastAsiaTheme="minorEastAsia" w:hAnsi="Cambria Math" w:cs="Times New Roman"/>
            <w:lang w:val="en-US"/>
          </w:rPr>
          <m:t>Softcap</m:t>
        </m:r>
      </m:oMath>
      <w:r w:rsidRPr="00DE7184">
        <w:rPr>
          <w:rFonts w:ascii="Times New Roman" w:eastAsiaTheme="minorEastAsia" w:hAnsi="Times New Roman" w:cs="Times New Roman"/>
          <w:lang w:val="en-US"/>
        </w:rPr>
        <w:t xml:space="preserve"> controls are removed when testing the impact of </w:t>
      </w:r>
      <m:oMath>
        <m:r>
          <w:rPr>
            <w:rFonts w:ascii="Cambria Math" w:eastAsiaTheme="minorEastAsia" w:hAnsi="Cambria Math" w:cs="Times New Roman"/>
            <w:lang w:val="en-US"/>
          </w:rPr>
          <m:t>LC</m:t>
        </m:r>
      </m:oMath>
      <w:r w:rsidRPr="00DE7184">
        <w:rPr>
          <w:rFonts w:ascii="Times New Roman" w:eastAsiaTheme="minorEastAsia" w:hAnsi="Times New Roman" w:cs="Times New Roman"/>
          <w:lang w:val="en-US"/>
        </w:rPr>
        <w:t xml:space="preserve"> on </w:t>
      </w:r>
      <m:oMath>
        <m:r>
          <w:rPr>
            <w:rFonts w:ascii="Cambria Math" w:eastAsiaTheme="minorEastAsia" w:hAnsi="Cambria Math" w:cs="Times New Roman"/>
            <w:lang w:val="en-US"/>
          </w:rPr>
          <m:t>ICOCompletion</m:t>
        </m:r>
      </m:oMath>
      <w:r w:rsidRPr="00DE7184">
        <w:rPr>
          <w:rFonts w:ascii="Times New Roman" w:eastAsiaTheme="minorEastAsia" w:hAnsi="Times New Roman" w:cs="Times New Roman"/>
          <w:lang w:val="en-US"/>
        </w:rPr>
        <w:t xml:space="preserve"> variable.</w:t>
      </w:r>
    </w:p>
  </w:footnote>
  <w:footnote w:id="22">
    <w:p w14:paraId="5BA0C14F" w14:textId="44AEFD15" w:rsidR="00876173" w:rsidRPr="009119E6" w:rsidRDefault="00876173">
      <w:pPr>
        <w:pStyle w:val="Notedebasdepage"/>
        <w:rPr>
          <w:lang w:val="en-US"/>
        </w:rPr>
      </w:pPr>
      <w:r w:rsidRPr="0047162D">
        <w:rPr>
          <w:rStyle w:val="Appelnotedebasdep"/>
          <w:lang w:val="en-US"/>
        </w:rPr>
        <w:t>22</w:t>
      </w:r>
      <w:r w:rsidRPr="009119E6">
        <w:rPr>
          <w:lang w:val="en-US"/>
        </w:rPr>
        <w:t xml:space="preserve"> </w:t>
      </w:r>
      <w:r w:rsidRPr="00AB4BD0">
        <w:rPr>
          <w:rFonts w:ascii="Times New Roman" w:eastAsia="Aptos" w:hAnsi="Times New Roman" w:cs="Times New Roman"/>
          <w:kern w:val="2"/>
          <w:szCs w:val="22"/>
          <w:lang w:val="en-GB"/>
          <w14:ligatures w14:val="standardContextual"/>
        </w:rPr>
        <w:t>1k = 1000 most frequent words using the BNC as a reference.</w:t>
      </w:r>
    </w:p>
  </w:footnote>
  <w:footnote w:id="23">
    <w:p w14:paraId="75911A83" w14:textId="08A035C4" w:rsidR="00876173" w:rsidRPr="009119E6" w:rsidRDefault="00876173">
      <w:pPr>
        <w:pStyle w:val="Notedebasdepage"/>
        <w:rPr>
          <w:lang w:val="en-US"/>
        </w:rPr>
      </w:pPr>
      <w:r w:rsidRPr="0047162D">
        <w:rPr>
          <w:rStyle w:val="Appelnotedebasdep"/>
          <w:lang w:val="en-US"/>
        </w:rPr>
        <w:t>23</w:t>
      </w:r>
      <w:r w:rsidRPr="009119E6">
        <w:rPr>
          <w:lang w:val="en-US"/>
        </w:rPr>
        <w:t xml:space="preserve"> </w:t>
      </w:r>
      <w:r w:rsidRPr="00AB4BD0">
        <w:rPr>
          <w:rFonts w:ascii="Times New Roman" w:hAnsi="Times New Roman" w:cs="Times New Roman"/>
          <w:lang w:val="en-US"/>
        </w:rPr>
        <w:t>The advantage of the adjusted R2 is that it adjusts the R2 for the number of explanatory terms relative to the number of data points.</w:t>
      </w:r>
    </w:p>
  </w:footnote>
  <w:footnote w:id="24">
    <w:p w14:paraId="769940CA" w14:textId="411DFF99" w:rsidR="00876173" w:rsidRPr="009119E6" w:rsidRDefault="00876173">
      <w:pPr>
        <w:pStyle w:val="Notedebasdepage"/>
        <w:rPr>
          <w:lang w:val="en-US"/>
        </w:rPr>
      </w:pPr>
      <w:r w:rsidRPr="0047162D">
        <w:rPr>
          <w:rStyle w:val="Appelnotedebasdep"/>
          <w:lang w:val="en-US"/>
        </w:rPr>
        <w:t>24</w:t>
      </w:r>
      <w:r w:rsidRPr="009119E6">
        <w:rPr>
          <w:lang w:val="en-US"/>
        </w:rPr>
        <w:t xml:space="preserve"> </w:t>
      </w:r>
      <w:r>
        <w:rPr>
          <w:rFonts w:ascii="Times New Roman" w:hAnsi="Times New Roman" w:cs="Times New Roman"/>
          <w:lang w:val="en-US"/>
        </w:rPr>
        <w:t xml:space="preserve">Lexical density </w:t>
      </w:r>
      <w:r w:rsidRPr="00AB4BD0">
        <w:rPr>
          <w:rFonts w:ascii="Times New Roman" w:hAnsi="Times New Roman" w:cs="Times New Roman"/>
          <w:lang w:val="en-US"/>
        </w:rPr>
        <w:t>only includes one variable, its impact is therefore reported in Model (</w:t>
      </w:r>
      <w:r>
        <w:rPr>
          <w:rFonts w:ascii="Times New Roman" w:hAnsi="Times New Roman" w:cs="Times New Roman"/>
          <w:lang w:val="en-US"/>
        </w:rPr>
        <w:t>3</w:t>
      </w:r>
      <w:r w:rsidRPr="00AB4BD0">
        <w:rPr>
          <w:rFonts w:ascii="Times New Roman" w:hAnsi="Times New Roman" w:cs="Times New Roman"/>
          <w:lang w:val="en-US"/>
        </w:rPr>
        <w:t>) of Table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613EF"/>
    <w:multiLevelType w:val="multilevel"/>
    <w:tmpl w:val="C914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7B6644"/>
    <w:multiLevelType w:val="hybridMultilevel"/>
    <w:tmpl w:val="9C76E6A8"/>
    <w:lvl w:ilvl="0" w:tplc="F926B7D2">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153477D"/>
    <w:multiLevelType w:val="hybridMultilevel"/>
    <w:tmpl w:val="EB08592A"/>
    <w:lvl w:ilvl="0" w:tplc="8F9CD95A">
      <w:start w:val="1"/>
      <w:numFmt w:val="lowerLetter"/>
      <w:lvlText w:val="(%1)"/>
      <w:lvlJc w:val="left"/>
      <w:pPr>
        <w:ind w:left="2484" w:hanging="360"/>
      </w:pPr>
      <w:rPr>
        <w:rFonts w:hint="default"/>
      </w:rPr>
    </w:lvl>
    <w:lvl w:ilvl="1" w:tplc="080C0019" w:tentative="1">
      <w:start w:val="1"/>
      <w:numFmt w:val="lowerLetter"/>
      <w:lvlText w:val="%2."/>
      <w:lvlJc w:val="left"/>
      <w:pPr>
        <w:ind w:left="3204" w:hanging="360"/>
      </w:pPr>
    </w:lvl>
    <w:lvl w:ilvl="2" w:tplc="080C001B" w:tentative="1">
      <w:start w:val="1"/>
      <w:numFmt w:val="lowerRoman"/>
      <w:lvlText w:val="%3."/>
      <w:lvlJc w:val="right"/>
      <w:pPr>
        <w:ind w:left="3924" w:hanging="180"/>
      </w:pPr>
    </w:lvl>
    <w:lvl w:ilvl="3" w:tplc="080C000F" w:tentative="1">
      <w:start w:val="1"/>
      <w:numFmt w:val="decimal"/>
      <w:lvlText w:val="%4."/>
      <w:lvlJc w:val="left"/>
      <w:pPr>
        <w:ind w:left="4644" w:hanging="360"/>
      </w:pPr>
    </w:lvl>
    <w:lvl w:ilvl="4" w:tplc="080C0019" w:tentative="1">
      <w:start w:val="1"/>
      <w:numFmt w:val="lowerLetter"/>
      <w:lvlText w:val="%5."/>
      <w:lvlJc w:val="left"/>
      <w:pPr>
        <w:ind w:left="5364" w:hanging="360"/>
      </w:pPr>
    </w:lvl>
    <w:lvl w:ilvl="5" w:tplc="080C001B" w:tentative="1">
      <w:start w:val="1"/>
      <w:numFmt w:val="lowerRoman"/>
      <w:lvlText w:val="%6."/>
      <w:lvlJc w:val="right"/>
      <w:pPr>
        <w:ind w:left="6084" w:hanging="180"/>
      </w:pPr>
    </w:lvl>
    <w:lvl w:ilvl="6" w:tplc="080C000F" w:tentative="1">
      <w:start w:val="1"/>
      <w:numFmt w:val="decimal"/>
      <w:lvlText w:val="%7."/>
      <w:lvlJc w:val="left"/>
      <w:pPr>
        <w:ind w:left="6804" w:hanging="360"/>
      </w:pPr>
    </w:lvl>
    <w:lvl w:ilvl="7" w:tplc="080C0019" w:tentative="1">
      <w:start w:val="1"/>
      <w:numFmt w:val="lowerLetter"/>
      <w:lvlText w:val="%8."/>
      <w:lvlJc w:val="left"/>
      <w:pPr>
        <w:ind w:left="7524" w:hanging="360"/>
      </w:pPr>
    </w:lvl>
    <w:lvl w:ilvl="8" w:tplc="080C001B" w:tentative="1">
      <w:start w:val="1"/>
      <w:numFmt w:val="lowerRoman"/>
      <w:lvlText w:val="%9."/>
      <w:lvlJc w:val="right"/>
      <w:pPr>
        <w:ind w:left="8244" w:hanging="180"/>
      </w:pPr>
    </w:lvl>
  </w:abstractNum>
  <w:abstractNum w:abstractNumId="3" w15:restartNumberingAfterBreak="0">
    <w:nsid w:val="2A873375"/>
    <w:multiLevelType w:val="multilevel"/>
    <w:tmpl w:val="5826FAF4"/>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720" w:hanging="360"/>
      </w:pPr>
      <w:rPr>
        <w:rFonts w:hint="default"/>
      </w:rPr>
    </w:lvl>
    <w:lvl w:ilvl="2">
      <w:start w:val="1"/>
      <w:numFmt w:val="decimal"/>
      <w:pStyle w:val="Titre3"/>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AFD734A"/>
    <w:multiLevelType w:val="hybridMultilevel"/>
    <w:tmpl w:val="9A4CE6EA"/>
    <w:lvl w:ilvl="0" w:tplc="FA34460C">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E38260D"/>
    <w:multiLevelType w:val="multilevel"/>
    <w:tmpl w:val="9EBE6EC4"/>
    <w:lvl w:ilvl="0">
      <w:start w:val="5"/>
      <w:numFmt w:val="decimal"/>
      <w:lvlText w:val="%1."/>
      <w:lvlJc w:val="left"/>
      <w:pPr>
        <w:ind w:left="432" w:hanging="432"/>
      </w:pPr>
      <w:rPr>
        <w:rFonts w:hint="default"/>
        <w:sz w:val="32"/>
        <w:szCs w:val="32"/>
      </w:rPr>
    </w:lvl>
    <w:lvl w:ilvl="1">
      <w:start w:val="1"/>
      <w:numFmt w:val="decimal"/>
      <w:lvlText w:val="%1.%2."/>
      <w:lvlJc w:val="left"/>
      <w:pPr>
        <w:ind w:left="1170" w:hanging="720"/>
      </w:pPr>
      <w:rPr>
        <w:rFonts w:hint="default"/>
        <w:sz w:val="28"/>
      </w:rPr>
    </w:lvl>
    <w:lvl w:ilvl="2">
      <w:start w:val="1"/>
      <w:numFmt w:val="decimal"/>
      <w:lvlText w:val="%1.%2.%3."/>
      <w:lvlJc w:val="left"/>
      <w:pPr>
        <w:ind w:left="1980" w:hanging="1080"/>
      </w:pPr>
      <w:rPr>
        <w:rFonts w:ascii="Times New Roman" w:hAnsi="Times New Roman" w:cs="Times New Roman" w:hint="default"/>
        <w:b/>
        <w:sz w:val="24"/>
        <w:szCs w:val="24"/>
      </w:rPr>
    </w:lvl>
    <w:lvl w:ilvl="3">
      <w:start w:val="1"/>
      <w:numFmt w:val="decimal"/>
      <w:lvlText w:val="%1.%2.%3.%4."/>
      <w:lvlJc w:val="left"/>
      <w:pPr>
        <w:ind w:left="2430" w:hanging="1080"/>
      </w:pPr>
      <w:rPr>
        <w:rFonts w:hint="default"/>
        <w:sz w:val="28"/>
      </w:rPr>
    </w:lvl>
    <w:lvl w:ilvl="4">
      <w:start w:val="1"/>
      <w:numFmt w:val="decimal"/>
      <w:lvlText w:val="%1.%2.%3.%4.%5."/>
      <w:lvlJc w:val="left"/>
      <w:pPr>
        <w:ind w:left="3240" w:hanging="1440"/>
      </w:pPr>
      <w:rPr>
        <w:rFonts w:hint="default"/>
        <w:sz w:val="28"/>
      </w:rPr>
    </w:lvl>
    <w:lvl w:ilvl="5">
      <w:start w:val="1"/>
      <w:numFmt w:val="decimal"/>
      <w:lvlText w:val="%1.%2.%3.%4.%5.%6."/>
      <w:lvlJc w:val="left"/>
      <w:pPr>
        <w:ind w:left="4050" w:hanging="1800"/>
      </w:pPr>
      <w:rPr>
        <w:rFonts w:hint="default"/>
        <w:sz w:val="28"/>
      </w:rPr>
    </w:lvl>
    <w:lvl w:ilvl="6">
      <w:start w:val="1"/>
      <w:numFmt w:val="decimal"/>
      <w:lvlText w:val="%1.%2.%3.%4.%5.%6.%7."/>
      <w:lvlJc w:val="left"/>
      <w:pPr>
        <w:ind w:left="4500" w:hanging="1800"/>
      </w:pPr>
      <w:rPr>
        <w:rFonts w:hint="default"/>
        <w:sz w:val="28"/>
      </w:rPr>
    </w:lvl>
    <w:lvl w:ilvl="7">
      <w:start w:val="1"/>
      <w:numFmt w:val="decimal"/>
      <w:lvlText w:val="%1.%2.%3.%4.%5.%6.%7.%8."/>
      <w:lvlJc w:val="left"/>
      <w:pPr>
        <w:ind w:left="5310" w:hanging="2160"/>
      </w:pPr>
      <w:rPr>
        <w:rFonts w:hint="default"/>
        <w:sz w:val="28"/>
      </w:rPr>
    </w:lvl>
    <w:lvl w:ilvl="8">
      <w:start w:val="1"/>
      <w:numFmt w:val="decimal"/>
      <w:lvlText w:val="%1.%2.%3.%4.%5.%6.%7.%8.%9."/>
      <w:lvlJc w:val="left"/>
      <w:pPr>
        <w:ind w:left="6120" w:hanging="2520"/>
      </w:pPr>
      <w:rPr>
        <w:rFonts w:hint="default"/>
        <w:sz w:val="28"/>
      </w:rPr>
    </w:lvl>
  </w:abstractNum>
  <w:abstractNum w:abstractNumId="6" w15:restartNumberingAfterBreak="0">
    <w:nsid w:val="3E5506C0"/>
    <w:multiLevelType w:val="multilevel"/>
    <w:tmpl w:val="44BE7C8A"/>
    <w:lvl w:ilvl="0">
      <w:start w:val="5"/>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B5D7610"/>
    <w:multiLevelType w:val="multilevel"/>
    <w:tmpl w:val="C914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33081F"/>
    <w:multiLevelType w:val="multilevel"/>
    <w:tmpl w:val="9002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3D3313"/>
    <w:multiLevelType w:val="multilevel"/>
    <w:tmpl w:val="C914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8481846"/>
    <w:multiLevelType w:val="multilevel"/>
    <w:tmpl w:val="EF52C21E"/>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8CD0AE0"/>
    <w:multiLevelType w:val="multilevel"/>
    <w:tmpl w:val="C67C04A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B48247B"/>
    <w:multiLevelType w:val="hybridMultilevel"/>
    <w:tmpl w:val="D91CBF28"/>
    <w:lvl w:ilvl="0" w:tplc="38487D06">
      <w:start w:val="1"/>
      <w:numFmt w:val="lowerLetter"/>
      <w:lvlText w:val="(%1)"/>
      <w:lvlJc w:val="left"/>
      <w:pPr>
        <w:ind w:left="3192" w:hanging="360"/>
      </w:pPr>
      <w:rPr>
        <w:rFonts w:hint="default"/>
      </w:rPr>
    </w:lvl>
    <w:lvl w:ilvl="1" w:tplc="080C0019" w:tentative="1">
      <w:start w:val="1"/>
      <w:numFmt w:val="lowerLetter"/>
      <w:lvlText w:val="%2."/>
      <w:lvlJc w:val="left"/>
      <w:pPr>
        <w:ind w:left="3912" w:hanging="360"/>
      </w:pPr>
    </w:lvl>
    <w:lvl w:ilvl="2" w:tplc="080C001B" w:tentative="1">
      <w:start w:val="1"/>
      <w:numFmt w:val="lowerRoman"/>
      <w:lvlText w:val="%3."/>
      <w:lvlJc w:val="right"/>
      <w:pPr>
        <w:ind w:left="4632" w:hanging="180"/>
      </w:pPr>
    </w:lvl>
    <w:lvl w:ilvl="3" w:tplc="080C000F" w:tentative="1">
      <w:start w:val="1"/>
      <w:numFmt w:val="decimal"/>
      <w:lvlText w:val="%4."/>
      <w:lvlJc w:val="left"/>
      <w:pPr>
        <w:ind w:left="5352" w:hanging="360"/>
      </w:pPr>
    </w:lvl>
    <w:lvl w:ilvl="4" w:tplc="080C0019" w:tentative="1">
      <w:start w:val="1"/>
      <w:numFmt w:val="lowerLetter"/>
      <w:lvlText w:val="%5."/>
      <w:lvlJc w:val="left"/>
      <w:pPr>
        <w:ind w:left="6072" w:hanging="360"/>
      </w:pPr>
    </w:lvl>
    <w:lvl w:ilvl="5" w:tplc="080C001B" w:tentative="1">
      <w:start w:val="1"/>
      <w:numFmt w:val="lowerRoman"/>
      <w:lvlText w:val="%6."/>
      <w:lvlJc w:val="right"/>
      <w:pPr>
        <w:ind w:left="6792" w:hanging="180"/>
      </w:pPr>
    </w:lvl>
    <w:lvl w:ilvl="6" w:tplc="080C000F" w:tentative="1">
      <w:start w:val="1"/>
      <w:numFmt w:val="decimal"/>
      <w:lvlText w:val="%7."/>
      <w:lvlJc w:val="left"/>
      <w:pPr>
        <w:ind w:left="7512" w:hanging="360"/>
      </w:pPr>
    </w:lvl>
    <w:lvl w:ilvl="7" w:tplc="080C0019" w:tentative="1">
      <w:start w:val="1"/>
      <w:numFmt w:val="lowerLetter"/>
      <w:lvlText w:val="%8."/>
      <w:lvlJc w:val="left"/>
      <w:pPr>
        <w:ind w:left="8232" w:hanging="360"/>
      </w:pPr>
    </w:lvl>
    <w:lvl w:ilvl="8" w:tplc="080C001B" w:tentative="1">
      <w:start w:val="1"/>
      <w:numFmt w:val="lowerRoman"/>
      <w:lvlText w:val="%9."/>
      <w:lvlJc w:val="right"/>
      <w:pPr>
        <w:ind w:left="8952" w:hanging="180"/>
      </w:pPr>
    </w:lvl>
  </w:abstractNum>
  <w:abstractNum w:abstractNumId="13" w15:restartNumberingAfterBreak="0">
    <w:nsid w:val="6497397C"/>
    <w:multiLevelType w:val="multilevel"/>
    <w:tmpl w:val="C914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2B01B80"/>
    <w:multiLevelType w:val="multilevel"/>
    <w:tmpl w:val="C914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82225E"/>
    <w:multiLevelType w:val="hybridMultilevel"/>
    <w:tmpl w:val="257EA796"/>
    <w:lvl w:ilvl="0" w:tplc="27122D60">
      <w:start w:val="1"/>
      <w:numFmt w:val="lowerLetter"/>
      <w:lvlText w:val="(%1)"/>
      <w:lvlJc w:val="left"/>
      <w:pPr>
        <w:ind w:left="2484" w:hanging="360"/>
      </w:pPr>
      <w:rPr>
        <w:rFonts w:hint="default"/>
      </w:rPr>
    </w:lvl>
    <w:lvl w:ilvl="1" w:tplc="080C0019" w:tentative="1">
      <w:start w:val="1"/>
      <w:numFmt w:val="lowerLetter"/>
      <w:lvlText w:val="%2."/>
      <w:lvlJc w:val="left"/>
      <w:pPr>
        <w:ind w:left="3204" w:hanging="360"/>
      </w:pPr>
    </w:lvl>
    <w:lvl w:ilvl="2" w:tplc="080C001B" w:tentative="1">
      <w:start w:val="1"/>
      <w:numFmt w:val="lowerRoman"/>
      <w:lvlText w:val="%3."/>
      <w:lvlJc w:val="right"/>
      <w:pPr>
        <w:ind w:left="3924" w:hanging="180"/>
      </w:pPr>
    </w:lvl>
    <w:lvl w:ilvl="3" w:tplc="080C000F" w:tentative="1">
      <w:start w:val="1"/>
      <w:numFmt w:val="decimal"/>
      <w:lvlText w:val="%4."/>
      <w:lvlJc w:val="left"/>
      <w:pPr>
        <w:ind w:left="4644" w:hanging="360"/>
      </w:pPr>
    </w:lvl>
    <w:lvl w:ilvl="4" w:tplc="080C0019" w:tentative="1">
      <w:start w:val="1"/>
      <w:numFmt w:val="lowerLetter"/>
      <w:lvlText w:val="%5."/>
      <w:lvlJc w:val="left"/>
      <w:pPr>
        <w:ind w:left="5364" w:hanging="360"/>
      </w:pPr>
    </w:lvl>
    <w:lvl w:ilvl="5" w:tplc="080C001B" w:tentative="1">
      <w:start w:val="1"/>
      <w:numFmt w:val="lowerRoman"/>
      <w:lvlText w:val="%6."/>
      <w:lvlJc w:val="right"/>
      <w:pPr>
        <w:ind w:left="6084" w:hanging="180"/>
      </w:pPr>
    </w:lvl>
    <w:lvl w:ilvl="6" w:tplc="080C000F" w:tentative="1">
      <w:start w:val="1"/>
      <w:numFmt w:val="decimal"/>
      <w:lvlText w:val="%7."/>
      <w:lvlJc w:val="left"/>
      <w:pPr>
        <w:ind w:left="6804" w:hanging="360"/>
      </w:pPr>
    </w:lvl>
    <w:lvl w:ilvl="7" w:tplc="080C0019" w:tentative="1">
      <w:start w:val="1"/>
      <w:numFmt w:val="lowerLetter"/>
      <w:lvlText w:val="%8."/>
      <w:lvlJc w:val="left"/>
      <w:pPr>
        <w:ind w:left="7524" w:hanging="360"/>
      </w:pPr>
    </w:lvl>
    <w:lvl w:ilvl="8" w:tplc="080C001B" w:tentative="1">
      <w:start w:val="1"/>
      <w:numFmt w:val="lowerRoman"/>
      <w:lvlText w:val="%9."/>
      <w:lvlJc w:val="right"/>
      <w:pPr>
        <w:ind w:left="8244" w:hanging="180"/>
      </w:pPr>
    </w:lvl>
  </w:abstractNum>
  <w:abstractNum w:abstractNumId="16" w15:restartNumberingAfterBreak="0">
    <w:nsid w:val="769A44B8"/>
    <w:multiLevelType w:val="hybridMultilevel"/>
    <w:tmpl w:val="123E3C84"/>
    <w:lvl w:ilvl="0" w:tplc="1A44EA3E">
      <w:start w:val="1"/>
      <w:numFmt w:val="decimal"/>
      <w:lvlText w:val="%1)"/>
      <w:lvlJc w:val="left"/>
      <w:pPr>
        <w:ind w:left="1020" w:hanging="360"/>
      </w:pPr>
    </w:lvl>
    <w:lvl w:ilvl="1" w:tplc="DCE27606">
      <w:start w:val="1"/>
      <w:numFmt w:val="decimal"/>
      <w:lvlText w:val="%2)"/>
      <w:lvlJc w:val="left"/>
      <w:pPr>
        <w:ind w:left="1020" w:hanging="360"/>
      </w:pPr>
    </w:lvl>
    <w:lvl w:ilvl="2" w:tplc="49F83870">
      <w:start w:val="1"/>
      <w:numFmt w:val="decimal"/>
      <w:lvlText w:val="%3)"/>
      <w:lvlJc w:val="left"/>
      <w:pPr>
        <w:ind w:left="1020" w:hanging="360"/>
      </w:pPr>
    </w:lvl>
    <w:lvl w:ilvl="3" w:tplc="AA40F93A">
      <w:start w:val="1"/>
      <w:numFmt w:val="decimal"/>
      <w:lvlText w:val="%4)"/>
      <w:lvlJc w:val="left"/>
      <w:pPr>
        <w:ind w:left="1020" w:hanging="360"/>
      </w:pPr>
    </w:lvl>
    <w:lvl w:ilvl="4" w:tplc="DC867CBE">
      <w:start w:val="1"/>
      <w:numFmt w:val="decimal"/>
      <w:lvlText w:val="%5)"/>
      <w:lvlJc w:val="left"/>
      <w:pPr>
        <w:ind w:left="1020" w:hanging="360"/>
      </w:pPr>
    </w:lvl>
    <w:lvl w:ilvl="5" w:tplc="EDEC2DE6">
      <w:start w:val="1"/>
      <w:numFmt w:val="decimal"/>
      <w:lvlText w:val="%6)"/>
      <w:lvlJc w:val="left"/>
      <w:pPr>
        <w:ind w:left="1020" w:hanging="360"/>
      </w:pPr>
    </w:lvl>
    <w:lvl w:ilvl="6" w:tplc="1CC03EC6">
      <w:start w:val="1"/>
      <w:numFmt w:val="decimal"/>
      <w:lvlText w:val="%7)"/>
      <w:lvlJc w:val="left"/>
      <w:pPr>
        <w:ind w:left="1020" w:hanging="360"/>
      </w:pPr>
    </w:lvl>
    <w:lvl w:ilvl="7" w:tplc="8D0A2ECC">
      <w:start w:val="1"/>
      <w:numFmt w:val="decimal"/>
      <w:lvlText w:val="%8)"/>
      <w:lvlJc w:val="left"/>
      <w:pPr>
        <w:ind w:left="1020" w:hanging="360"/>
      </w:pPr>
    </w:lvl>
    <w:lvl w:ilvl="8" w:tplc="9B823382">
      <w:start w:val="1"/>
      <w:numFmt w:val="decimal"/>
      <w:lvlText w:val="%9)"/>
      <w:lvlJc w:val="left"/>
      <w:pPr>
        <w:ind w:left="1020" w:hanging="360"/>
      </w:pPr>
    </w:lvl>
  </w:abstractNum>
  <w:abstractNum w:abstractNumId="17" w15:restartNumberingAfterBreak="0">
    <w:nsid w:val="76DF0D59"/>
    <w:multiLevelType w:val="multilevel"/>
    <w:tmpl w:val="634826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81D4DD4"/>
    <w:multiLevelType w:val="hybridMultilevel"/>
    <w:tmpl w:val="B276F69E"/>
    <w:lvl w:ilvl="0" w:tplc="94DC4C8A">
      <w:start w:val="2"/>
      <w:numFmt w:val="bullet"/>
      <w:lvlText w:val=""/>
      <w:lvlJc w:val="left"/>
      <w:pPr>
        <w:ind w:left="720" w:hanging="360"/>
      </w:pPr>
      <w:rPr>
        <w:rFonts w:ascii="Wingdings" w:eastAsiaTheme="minorHAns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0"/>
  </w:num>
  <w:num w:numId="8">
    <w:abstractNumId w:val="11"/>
  </w:num>
  <w:num w:numId="9">
    <w:abstractNumId w:val="18"/>
  </w:num>
  <w:num w:numId="10">
    <w:abstractNumId w:val="16"/>
  </w:num>
  <w:num w:numId="11">
    <w:abstractNumId w:val="6"/>
  </w:num>
  <w:num w:numId="12">
    <w:abstractNumId w:val="8"/>
  </w:num>
  <w:num w:numId="13">
    <w:abstractNumId w:val="7"/>
  </w:num>
  <w:num w:numId="14">
    <w:abstractNumId w:val="13"/>
  </w:num>
  <w:num w:numId="15">
    <w:abstractNumId w:val="17"/>
  </w:num>
  <w:num w:numId="16">
    <w:abstractNumId w:val="12"/>
  </w:num>
  <w:num w:numId="17">
    <w:abstractNumId w:val="15"/>
  </w:num>
  <w:num w:numId="18">
    <w:abstractNumId w:val="2"/>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D5B"/>
    <w:rsid w:val="000055B3"/>
    <w:rsid w:val="000214C8"/>
    <w:rsid w:val="000219EA"/>
    <w:rsid w:val="00022981"/>
    <w:rsid w:val="000268A3"/>
    <w:rsid w:val="00026FCB"/>
    <w:rsid w:val="00027B3D"/>
    <w:rsid w:val="0003319F"/>
    <w:rsid w:val="00043859"/>
    <w:rsid w:val="00046341"/>
    <w:rsid w:val="00046922"/>
    <w:rsid w:val="00051A83"/>
    <w:rsid w:val="00052C2F"/>
    <w:rsid w:val="0006033F"/>
    <w:rsid w:val="00063208"/>
    <w:rsid w:val="00066BC6"/>
    <w:rsid w:val="00071477"/>
    <w:rsid w:val="00074781"/>
    <w:rsid w:val="0007748C"/>
    <w:rsid w:val="00082B28"/>
    <w:rsid w:val="00086E4A"/>
    <w:rsid w:val="00094ADF"/>
    <w:rsid w:val="00094EF7"/>
    <w:rsid w:val="000A2DC1"/>
    <w:rsid w:val="000B1375"/>
    <w:rsid w:val="000B4071"/>
    <w:rsid w:val="000C0C3A"/>
    <w:rsid w:val="000C272F"/>
    <w:rsid w:val="000F08D6"/>
    <w:rsid w:val="000F77D6"/>
    <w:rsid w:val="0010589D"/>
    <w:rsid w:val="00116DE4"/>
    <w:rsid w:val="001270C1"/>
    <w:rsid w:val="00130B18"/>
    <w:rsid w:val="00144F7E"/>
    <w:rsid w:val="00151096"/>
    <w:rsid w:val="00153422"/>
    <w:rsid w:val="00164EBD"/>
    <w:rsid w:val="00177D4D"/>
    <w:rsid w:val="00180C47"/>
    <w:rsid w:val="001819C0"/>
    <w:rsid w:val="00184DCA"/>
    <w:rsid w:val="00190AF2"/>
    <w:rsid w:val="001A2D6B"/>
    <w:rsid w:val="001A6CCE"/>
    <w:rsid w:val="001A7B4F"/>
    <w:rsid w:val="001B7747"/>
    <w:rsid w:val="001C5731"/>
    <w:rsid w:val="001C62C1"/>
    <w:rsid w:val="001C7CA1"/>
    <w:rsid w:val="001D50EB"/>
    <w:rsid w:val="001D6566"/>
    <w:rsid w:val="001E39DA"/>
    <w:rsid w:val="001F28CC"/>
    <w:rsid w:val="001F7444"/>
    <w:rsid w:val="0020031B"/>
    <w:rsid w:val="00203B2B"/>
    <w:rsid w:val="002111D9"/>
    <w:rsid w:val="0022414C"/>
    <w:rsid w:val="00225E62"/>
    <w:rsid w:val="00226C33"/>
    <w:rsid w:val="002319BF"/>
    <w:rsid w:val="00233604"/>
    <w:rsid w:val="00234730"/>
    <w:rsid w:val="002350D9"/>
    <w:rsid w:val="0024641B"/>
    <w:rsid w:val="002479F1"/>
    <w:rsid w:val="00254931"/>
    <w:rsid w:val="00255E47"/>
    <w:rsid w:val="00281677"/>
    <w:rsid w:val="002B067B"/>
    <w:rsid w:val="002B64D7"/>
    <w:rsid w:val="002B6EB5"/>
    <w:rsid w:val="002C2508"/>
    <w:rsid w:val="002C3409"/>
    <w:rsid w:val="002C46F7"/>
    <w:rsid w:val="002C741A"/>
    <w:rsid w:val="002C79E6"/>
    <w:rsid w:val="002D726C"/>
    <w:rsid w:val="002D746A"/>
    <w:rsid w:val="002E0ACE"/>
    <w:rsid w:val="002F0F34"/>
    <w:rsid w:val="00335552"/>
    <w:rsid w:val="003431FD"/>
    <w:rsid w:val="00355BA2"/>
    <w:rsid w:val="00355E4F"/>
    <w:rsid w:val="00366A38"/>
    <w:rsid w:val="00384A60"/>
    <w:rsid w:val="0039121C"/>
    <w:rsid w:val="003A2837"/>
    <w:rsid w:val="003C5323"/>
    <w:rsid w:val="003C73FB"/>
    <w:rsid w:val="003D4AB9"/>
    <w:rsid w:val="003E0220"/>
    <w:rsid w:val="003E320A"/>
    <w:rsid w:val="003E38AF"/>
    <w:rsid w:val="003E7C65"/>
    <w:rsid w:val="00416FBB"/>
    <w:rsid w:val="004238B0"/>
    <w:rsid w:val="004257AD"/>
    <w:rsid w:val="004333FD"/>
    <w:rsid w:val="00435237"/>
    <w:rsid w:val="0044204B"/>
    <w:rsid w:val="00445470"/>
    <w:rsid w:val="0045142B"/>
    <w:rsid w:val="00454AD8"/>
    <w:rsid w:val="0046311C"/>
    <w:rsid w:val="00467C63"/>
    <w:rsid w:val="0047162D"/>
    <w:rsid w:val="00481D5B"/>
    <w:rsid w:val="00485FDA"/>
    <w:rsid w:val="00491863"/>
    <w:rsid w:val="004A037D"/>
    <w:rsid w:val="004A4C7F"/>
    <w:rsid w:val="004A5696"/>
    <w:rsid w:val="004B60A6"/>
    <w:rsid w:val="004B7749"/>
    <w:rsid w:val="004C6F81"/>
    <w:rsid w:val="004E25CD"/>
    <w:rsid w:val="004F0D31"/>
    <w:rsid w:val="004F54EF"/>
    <w:rsid w:val="0050429C"/>
    <w:rsid w:val="005054D1"/>
    <w:rsid w:val="005178FC"/>
    <w:rsid w:val="0053031C"/>
    <w:rsid w:val="0053094C"/>
    <w:rsid w:val="00534FD7"/>
    <w:rsid w:val="00535880"/>
    <w:rsid w:val="00535BC5"/>
    <w:rsid w:val="0053768A"/>
    <w:rsid w:val="005462A3"/>
    <w:rsid w:val="00546F48"/>
    <w:rsid w:val="00547E6D"/>
    <w:rsid w:val="005514AA"/>
    <w:rsid w:val="0055278B"/>
    <w:rsid w:val="00561593"/>
    <w:rsid w:val="00565635"/>
    <w:rsid w:val="005707BB"/>
    <w:rsid w:val="0057545D"/>
    <w:rsid w:val="00587107"/>
    <w:rsid w:val="00595E22"/>
    <w:rsid w:val="005A02A0"/>
    <w:rsid w:val="005A1079"/>
    <w:rsid w:val="005C0344"/>
    <w:rsid w:val="005C318E"/>
    <w:rsid w:val="005D000A"/>
    <w:rsid w:val="005D2EF9"/>
    <w:rsid w:val="005D65F4"/>
    <w:rsid w:val="005F428D"/>
    <w:rsid w:val="00610504"/>
    <w:rsid w:val="00611AD3"/>
    <w:rsid w:val="0062171D"/>
    <w:rsid w:val="00622B8B"/>
    <w:rsid w:val="006274FE"/>
    <w:rsid w:val="0064137A"/>
    <w:rsid w:val="0065277E"/>
    <w:rsid w:val="00664A80"/>
    <w:rsid w:val="006809FF"/>
    <w:rsid w:val="00691EC4"/>
    <w:rsid w:val="00693574"/>
    <w:rsid w:val="006B19A2"/>
    <w:rsid w:val="00707A12"/>
    <w:rsid w:val="0071175C"/>
    <w:rsid w:val="00716261"/>
    <w:rsid w:val="00720607"/>
    <w:rsid w:val="00721CEB"/>
    <w:rsid w:val="0072565E"/>
    <w:rsid w:val="00743F6C"/>
    <w:rsid w:val="00747BF5"/>
    <w:rsid w:val="00750548"/>
    <w:rsid w:val="0075739D"/>
    <w:rsid w:val="00770ADA"/>
    <w:rsid w:val="00772C6F"/>
    <w:rsid w:val="00776550"/>
    <w:rsid w:val="007B1EDA"/>
    <w:rsid w:val="007B4E8D"/>
    <w:rsid w:val="007C1CC0"/>
    <w:rsid w:val="007D621B"/>
    <w:rsid w:val="007E5F1C"/>
    <w:rsid w:val="007E6C7A"/>
    <w:rsid w:val="007F2B86"/>
    <w:rsid w:val="007F3752"/>
    <w:rsid w:val="007F37CB"/>
    <w:rsid w:val="007F5080"/>
    <w:rsid w:val="008336AD"/>
    <w:rsid w:val="008355AB"/>
    <w:rsid w:val="008359F4"/>
    <w:rsid w:val="00847844"/>
    <w:rsid w:val="00851788"/>
    <w:rsid w:val="00857C5F"/>
    <w:rsid w:val="008651E7"/>
    <w:rsid w:val="00876173"/>
    <w:rsid w:val="00877BA9"/>
    <w:rsid w:val="00887F84"/>
    <w:rsid w:val="0089057E"/>
    <w:rsid w:val="00890E99"/>
    <w:rsid w:val="008959D7"/>
    <w:rsid w:val="008A6EB2"/>
    <w:rsid w:val="008A76E9"/>
    <w:rsid w:val="008D0B80"/>
    <w:rsid w:val="008D4C23"/>
    <w:rsid w:val="008E7D1D"/>
    <w:rsid w:val="008F39F6"/>
    <w:rsid w:val="008F6050"/>
    <w:rsid w:val="00900CD4"/>
    <w:rsid w:val="009051BD"/>
    <w:rsid w:val="009119E6"/>
    <w:rsid w:val="00920351"/>
    <w:rsid w:val="0092487C"/>
    <w:rsid w:val="0093472B"/>
    <w:rsid w:val="00941C68"/>
    <w:rsid w:val="009503FB"/>
    <w:rsid w:val="0095734D"/>
    <w:rsid w:val="00960333"/>
    <w:rsid w:val="00972488"/>
    <w:rsid w:val="009735FC"/>
    <w:rsid w:val="00976BB9"/>
    <w:rsid w:val="00992B9F"/>
    <w:rsid w:val="009A79FB"/>
    <w:rsid w:val="009B13B8"/>
    <w:rsid w:val="009B2767"/>
    <w:rsid w:val="009B7467"/>
    <w:rsid w:val="009C1AB5"/>
    <w:rsid w:val="009C6E52"/>
    <w:rsid w:val="009E0885"/>
    <w:rsid w:val="009E13B3"/>
    <w:rsid w:val="009F392D"/>
    <w:rsid w:val="009F7112"/>
    <w:rsid w:val="00A000CB"/>
    <w:rsid w:val="00A10973"/>
    <w:rsid w:val="00A121CE"/>
    <w:rsid w:val="00A14BA8"/>
    <w:rsid w:val="00A22B22"/>
    <w:rsid w:val="00A25A64"/>
    <w:rsid w:val="00A27063"/>
    <w:rsid w:val="00A27385"/>
    <w:rsid w:val="00A32E2B"/>
    <w:rsid w:val="00A4177B"/>
    <w:rsid w:val="00A508B1"/>
    <w:rsid w:val="00A556CE"/>
    <w:rsid w:val="00A572E8"/>
    <w:rsid w:val="00A6119A"/>
    <w:rsid w:val="00A62D2B"/>
    <w:rsid w:val="00A67BC8"/>
    <w:rsid w:val="00A7436F"/>
    <w:rsid w:val="00A75A50"/>
    <w:rsid w:val="00A77D85"/>
    <w:rsid w:val="00A9132B"/>
    <w:rsid w:val="00AA02CF"/>
    <w:rsid w:val="00AA6AA3"/>
    <w:rsid w:val="00AB045A"/>
    <w:rsid w:val="00AB6250"/>
    <w:rsid w:val="00AD4369"/>
    <w:rsid w:val="00AD4704"/>
    <w:rsid w:val="00AD498D"/>
    <w:rsid w:val="00AE2F5C"/>
    <w:rsid w:val="00AF1A4C"/>
    <w:rsid w:val="00AF5A16"/>
    <w:rsid w:val="00AF7C5F"/>
    <w:rsid w:val="00B053C2"/>
    <w:rsid w:val="00B1079B"/>
    <w:rsid w:val="00B12E18"/>
    <w:rsid w:val="00B23F28"/>
    <w:rsid w:val="00B31348"/>
    <w:rsid w:val="00B35D3F"/>
    <w:rsid w:val="00B45657"/>
    <w:rsid w:val="00B45747"/>
    <w:rsid w:val="00B506F2"/>
    <w:rsid w:val="00B513DF"/>
    <w:rsid w:val="00B6651B"/>
    <w:rsid w:val="00B67CD1"/>
    <w:rsid w:val="00B83AE7"/>
    <w:rsid w:val="00B8483B"/>
    <w:rsid w:val="00B849B4"/>
    <w:rsid w:val="00B95B82"/>
    <w:rsid w:val="00BA3E16"/>
    <w:rsid w:val="00BA7BC0"/>
    <w:rsid w:val="00BB6410"/>
    <w:rsid w:val="00BC374D"/>
    <w:rsid w:val="00BC68D7"/>
    <w:rsid w:val="00BD331B"/>
    <w:rsid w:val="00BE1964"/>
    <w:rsid w:val="00BE6EB7"/>
    <w:rsid w:val="00BF6349"/>
    <w:rsid w:val="00BF76A6"/>
    <w:rsid w:val="00C00FDB"/>
    <w:rsid w:val="00C01E09"/>
    <w:rsid w:val="00C1570E"/>
    <w:rsid w:val="00C16EAA"/>
    <w:rsid w:val="00C26CCA"/>
    <w:rsid w:val="00C3281F"/>
    <w:rsid w:val="00C36C3B"/>
    <w:rsid w:val="00C406C0"/>
    <w:rsid w:val="00C40F09"/>
    <w:rsid w:val="00C45C06"/>
    <w:rsid w:val="00C51977"/>
    <w:rsid w:val="00C55DAB"/>
    <w:rsid w:val="00C56AD0"/>
    <w:rsid w:val="00C65566"/>
    <w:rsid w:val="00C70A05"/>
    <w:rsid w:val="00C7392E"/>
    <w:rsid w:val="00C74821"/>
    <w:rsid w:val="00C751CE"/>
    <w:rsid w:val="00C76A66"/>
    <w:rsid w:val="00C82EE1"/>
    <w:rsid w:val="00C86487"/>
    <w:rsid w:val="00CA0173"/>
    <w:rsid w:val="00CA1401"/>
    <w:rsid w:val="00CB2EEF"/>
    <w:rsid w:val="00CB3E79"/>
    <w:rsid w:val="00CB5640"/>
    <w:rsid w:val="00CF22D9"/>
    <w:rsid w:val="00CF3E39"/>
    <w:rsid w:val="00D03C37"/>
    <w:rsid w:val="00D0413A"/>
    <w:rsid w:val="00D237B0"/>
    <w:rsid w:val="00D25234"/>
    <w:rsid w:val="00D318BB"/>
    <w:rsid w:val="00D407C5"/>
    <w:rsid w:val="00D51A47"/>
    <w:rsid w:val="00D60EA2"/>
    <w:rsid w:val="00D611C1"/>
    <w:rsid w:val="00D72D15"/>
    <w:rsid w:val="00D9163C"/>
    <w:rsid w:val="00DB2618"/>
    <w:rsid w:val="00DB2699"/>
    <w:rsid w:val="00DB2FF5"/>
    <w:rsid w:val="00DB3D56"/>
    <w:rsid w:val="00DB7563"/>
    <w:rsid w:val="00DC0359"/>
    <w:rsid w:val="00DC5DA1"/>
    <w:rsid w:val="00DE17E0"/>
    <w:rsid w:val="00DE3265"/>
    <w:rsid w:val="00DE7184"/>
    <w:rsid w:val="00DF29B9"/>
    <w:rsid w:val="00E0660E"/>
    <w:rsid w:val="00E1156B"/>
    <w:rsid w:val="00E223E9"/>
    <w:rsid w:val="00E22F56"/>
    <w:rsid w:val="00E24555"/>
    <w:rsid w:val="00E25CAA"/>
    <w:rsid w:val="00E34AE9"/>
    <w:rsid w:val="00E73754"/>
    <w:rsid w:val="00E8451E"/>
    <w:rsid w:val="00E8574F"/>
    <w:rsid w:val="00EA725B"/>
    <w:rsid w:val="00EB24DD"/>
    <w:rsid w:val="00EB755F"/>
    <w:rsid w:val="00EB7B8F"/>
    <w:rsid w:val="00EC6077"/>
    <w:rsid w:val="00EC661E"/>
    <w:rsid w:val="00ED435F"/>
    <w:rsid w:val="00ED7305"/>
    <w:rsid w:val="00EF0630"/>
    <w:rsid w:val="00F05788"/>
    <w:rsid w:val="00F25F20"/>
    <w:rsid w:val="00F34983"/>
    <w:rsid w:val="00F34CF3"/>
    <w:rsid w:val="00F44420"/>
    <w:rsid w:val="00F5579A"/>
    <w:rsid w:val="00F62B5C"/>
    <w:rsid w:val="00F7649C"/>
    <w:rsid w:val="00F77BD0"/>
    <w:rsid w:val="00F8118E"/>
    <w:rsid w:val="00FA2702"/>
    <w:rsid w:val="00FA3FC0"/>
    <w:rsid w:val="00FA76CA"/>
    <w:rsid w:val="00FB3EE5"/>
    <w:rsid w:val="00FC34AF"/>
    <w:rsid w:val="00FE0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F63CC"/>
  <w15:chartTrackingRefBased/>
  <w15:docId w15:val="{A1875E9B-3A8D-4D79-A2CB-67FD276B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1D5B"/>
  </w:style>
  <w:style w:type="paragraph" w:styleId="Titre1">
    <w:name w:val="heading 1"/>
    <w:basedOn w:val="Normal"/>
    <w:next w:val="Normal"/>
    <w:link w:val="Titre1Car"/>
    <w:uiPriority w:val="9"/>
    <w:qFormat/>
    <w:rsid w:val="00E223E9"/>
    <w:pPr>
      <w:numPr>
        <w:numId w:val="1"/>
      </w:numPr>
      <w:spacing w:before="240" w:after="240" w:line="360" w:lineRule="auto"/>
      <w:ind w:left="0" w:firstLine="0"/>
      <w:contextualSpacing/>
      <w:jc w:val="both"/>
      <w:outlineLvl w:val="0"/>
    </w:pPr>
    <w:rPr>
      <w:rFonts w:ascii="Times New Roman" w:hAnsi="Times New Roman" w:cs="Times New Roman"/>
      <w:b/>
      <w:sz w:val="32"/>
      <w:szCs w:val="32"/>
    </w:rPr>
  </w:style>
  <w:style w:type="paragraph" w:styleId="Titre2">
    <w:name w:val="heading 2"/>
    <w:basedOn w:val="Normal"/>
    <w:next w:val="Normal"/>
    <w:link w:val="Titre2Car"/>
    <w:uiPriority w:val="9"/>
    <w:unhideWhenUsed/>
    <w:qFormat/>
    <w:rsid w:val="00E223E9"/>
    <w:pPr>
      <w:numPr>
        <w:ilvl w:val="1"/>
        <w:numId w:val="1"/>
      </w:numPr>
      <w:spacing w:before="120" w:after="120" w:line="360" w:lineRule="auto"/>
      <w:ind w:left="0" w:firstLine="0"/>
      <w:contextualSpacing/>
      <w:jc w:val="both"/>
      <w:outlineLvl w:val="1"/>
    </w:pPr>
    <w:rPr>
      <w:rFonts w:ascii="Times New Roman" w:hAnsi="Times New Roman" w:cs="Times New Roman"/>
      <w:b/>
      <w:sz w:val="28"/>
      <w:szCs w:val="28"/>
    </w:rPr>
  </w:style>
  <w:style w:type="paragraph" w:styleId="Titre3">
    <w:name w:val="heading 3"/>
    <w:basedOn w:val="Normal"/>
    <w:next w:val="Normal"/>
    <w:link w:val="Titre3Car"/>
    <w:uiPriority w:val="9"/>
    <w:unhideWhenUsed/>
    <w:qFormat/>
    <w:rsid w:val="00E223E9"/>
    <w:pPr>
      <w:numPr>
        <w:ilvl w:val="2"/>
        <w:numId w:val="1"/>
      </w:numPr>
      <w:spacing w:after="120" w:line="360" w:lineRule="auto"/>
      <w:ind w:left="0" w:firstLine="0"/>
      <w:contextualSpacing/>
      <w:jc w:val="both"/>
      <w:outlineLvl w:val="2"/>
    </w:pPr>
    <w:rPr>
      <w:rFonts w:ascii="Times New Roman" w:hAnsi="Times New Roman" w:cs="Times New Roman"/>
      <w:b/>
      <w:sz w:val="24"/>
      <w:szCs w:val="24"/>
    </w:rPr>
  </w:style>
  <w:style w:type="paragraph" w:styleId="Titre4">
    <w:name w:val="heading 4"/>
    <w:basedOn w:val="Normal"/>
    <w:next w:val="Normal"/>
    <w:link w:val="Titre4Car"/>
    <w:uiPriority w:val="9"/>
    <w:semiHidden/>
    <w:unhideWhenUsed/>
    <w:qFormat/>
    <w:rsid w:val="00481D5B"/>
    <w:pPr>
      <w:keepNext/>
      <w:keepLines/>
      <w:spacing w:before="80" w:after="40" w:line="360" w:lineRule="auto"/>
      <w:jc w:val="both"/>
      <w:outlineLvl w:val="3"/>
    </w:pPr>
    <w:rPr>
      <w:rFonts w:eastAsiaTheme="majorEastAsia" w:cstheme="majorBidi"/>
      <w:i/>
      <w:iCs/>
      <w:color w:val="2E74B5" w:themeColor="accent1" w:themeShade="BF"/>
      <w:kern w:val="2"/>
      <w:lang w:val="fr-BE" w:eastAsia="fr-BE"/>
      <w14:ligatures w14:val="standardContextual"/>
    </w:rPr>
  </w:style>
  <w:style w:type="paragraph" w:styleId="Titre5">
    <w:name w:val="heading 5"/>
    <w:basedOn w:val="Normal"/>
    <w:next w:val="Normal"/>
    <w:link w:val="Titre5Car"/>
    <w:uiPriority w:val="9"/>
    <w:semiHidden/>
    <w:unhideWhenUsed/>
    <w:qFormat/>
    <w:rsid w:val="00481D5B"/>
    <w:pPr>
      <w:keepNext/>
      <w:keepLines/>
      <w:spacing w:before="80" w:after="40" w:line="360" w:lineRule="auto"/>
      <w:jc w:val="both"/>
      <w:outlineLvl w:val="4"/>
    </w:pPr>
    <w:rPr>
      <w:rFonts w:eastAsiaTheme="majorEastAsia" w:cstheme="majorBidi"/>
      <w:color w:val="2E74B5" w:themeColor="accent1" w:themeShade="BF"/>
      <w:kern w:val="2"/>
      <w:lang w:val="fr-BE" w:eastAsia="fr-BE"/>
      <w14:ligatures w14:val="standardContextual"/>
    </w:rPr>
  </w:style>
  <w:style w:type="paragraph" w:styleId="Titre6">
    <w:name w:val="heading 6"/>
    <w:basedOn w:val="Normal"/>
    <w:next w:val="Normal"/>
    <w:link w:val="Titre6Car"/>
    <w:uiPriority w:val="9"/>
    <w:semiHidden/>
    <w:unhideWhenUsed/>
    <w:qFormat/>
    <w:rsid w:val="00481D5B"/>
    <w:pPr>
      <w:keepNext/>
      <w:keepLines/>
      <w:spacing w:before="40" w:after="0" w:line="360" w:lineRule="auto"/>
      <w:jc w:val="both"/>
      <w:outlineLvl w:val="5"/>
    </w:pPr>
    <w:rPr>
      <w:rFonts w:eastAsiaTheme="majorEastAsia" w:cstheme="majorBidi"/>
      <w:i/>
      <w:iCs/>
      <w:color w:val="595959" w:themeColor="text1" w:themeTint="A6"/>
      <w:kern w:val="2"/>
      <w:lang w:val="fr-BE" w:eastAsia="fr-BE"/>
      <w14:ligatures w14:val="standardContextual"/>
    </w:rPr>
  </w:style>
  <w:style w:type="paragraph" w:styleId="Titre7">
    <w:name w:val="heading 7"/>
    <w:basedOn w:val="Normal"/>
    <w:next w:val="Normal"/>
    <w:link w:val="Titre7Car"/>
    <w:uiPriority w:val="9"/>
    <w:semiHidden/>
    <w:unhideWhenUsed/>
    <w:qFormat/>
    <w:rsid w:val="00481D5B"/>
    <w:pPr>
      <w:keepNext/>
      <w:keepLines/>
      <w:spacing w:before="40" w:after="0" w:line="360" w:lineRule="auto"/>
      <w:jc w:val="both"/>
      <w:outlineLvl w:val="6"/>
    </w:pPr>
    <w:rPr>
      <w:rFonts w:eastAsiaTheme="majorEastAsia" w:cstheme="majorBidi"/>
      <w:color w:val="595959" w:themeColor="text1" w:themeTint="A6"/>
      <w:kern w:val="2"/>
      <w:lang w:val="fr-BE" w:eastAsia="fr-BE"/>
      <w14:ligatures w14:val="standardContextual"/>
    </w:rPr>
  </w:style>
  <w:style w:type="paragraph" w:styleId="Titre8">
    <w:name w:val="heading 8"/>
    <w:basedOn w:val="Normal"/>
    <w:next w:val="Normal"/>
    <w:link w:val="Titre8Car"/>
    <w:uiPriority w:val="9"/>
    <w:semiHidden/>
    <w:unhideWhenUsed/>
    <w:qFormat/>
    <w:rsid w:val="00481D5B"/>
    <w:pPr>
      <w:keepNext/>
      <w:keepLines/>
      <w:spacing w:after="0" w:line="360" w:lineRule="auto"/>
      <w:jc w:val="both"/>
      <w:outlineLvl w:val="7"/>
    </w:pPr>
    <w:rPr>
      <w:rFonts w:eastAsiaTheme="majorEastAsia" w:cstheme="majorBidi"/>
      <w:i/>
      <w:iCs/>
      <w:color w:val="272727" w:themeColor="text1" w:themeTint="D8"/>
      <w:kern w:val="2"/>
      <w:lang w:val="fr-BE" w:eastAsia="fr-BE"/>
      <w14:ligatures w14:val="standardContextual"/>
    </w:rPr>
  </w:style>
  <w:style w:type="paragraph" w:styleId="Titre9">
    <w:name w:val="heading 9"/>
    <w:basedOn w:val="Normal"/>
    <w:next w:val="Normal"/>
    <w:link w:val="Titre9Car"/>
    <w:uiPriority w:val="9"/>
    <w:semiHidden/>
    <w:unhideWhenUsed/>
    <w:qFormat/>
    <w:rsid w:val="00481D5B"/>
    <w:pPr>
      <w:keepNext/>
      <w:keepLines/>
      <w:spacing w:after="0" w:line="360" w:lineRule="auto"/>
      <w:jc w:val="both"/>
      <w:outlineLvl w:val="8"/>
    </w:pPr>
    <w:rPr>
      <w:rFonts w:eastAsiaTheme="majorEastAsia" w:cstheme="majorBidi"/>
      <w:color w:val="272727" w:themeColor="text1" w:themeTint="D8"/>
      <w:kern w:val="2"/>
      <w:lang w:val="fr-BE" w:eastAsia="fr-BE"/>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23E9"/>
    <w:rPr>
      <w:rFonts w:ascii="Times New Roman" w:hAnsi="Times New Roman" w:cs="Times New Roman"/>
      <w:b/>
      <w:sz w:val="32"/>
      <w:szCs w:val="32"/>
    </w:rPr>
  </w:style>
  <w:style w:type="character" w:customStyle="1" w:styleId="Titre2Car">
    <w:name w:val="Titre 2 Car"/>
    <w:basedOn w:val="Policepardfaut"/>
    <w:link w:val="Titre2"/>
    <w:uiPriority w:val="9"/>
    <w:rsid w:val="00E223E9"/>
    <w:rPr>
      <w:rFonts w:ascii="Times New Roman" w:hAnsi="Times New Roman" w:cs="Times New Roman"/>
      <w:b/>
      <w:sz w:val="28"/>
      <w:szCs w:val="28"/>
    </w:rPr>
  </w:style>
  <w:style w:type="character" w:customStyle="1" w:styleId="Titre3Car">
    <w:name w:val="Titre 3 Car"/>
    <w:basedOn w:val="Policepardfaut"/>
    <w:link w:val="Titre3"/>
    <w:uiPriority w:val="9"/>
    <w:rsid w:val="00E223E9"/>
    <w:rPr>
      <w:rFonts w:ascii="Times New Roman" w:hAnsi="Times New Roman" w:cs="Times New Roman"/>
      <w:b/>
      <w:sz w:val="24"/>
      <w:szCs w:val="24"/>
    </w:rPr>
  </w:style>
  <w:style w:type="character" w:customStyle="1" w:styleId="Titre4Car">
    <w:name w:val="Titre 4 Car"/>
    <w:basedOn w:val="Policepardfaut"/>
    <w:link w:val="Titre4"/>
    <w:uiPriority w:val="9"/>
    <w:semiHidden/>
    <w:rsid w:val="00481D5B"/>
    <w:rPr>
      <w:rFonts w:eastAsiaTheme="majorEastAsia" w:cstheme="majorBidi"/>
      <w:i/>
      <w:iCs/>
      <w:color w:val="2E74B5" w:themeColor="accent1" w:themeShade="BF"/>
      <w:kern w:val="2"/>
      <w:lang w:val="fr-BE" w:eastAsia="fr-BE"/>
      <w14:ligatures w14:val="standardContextual"/>
    </w:rPr>
  </w:style>
  <w:style w:type="character" w:customStyle="1" w:styleId="Titre5Car">
    <w:name w:val="Titre 5 Car"/>
    <w:basedOn w:val="Policepardfaut"/>
    <w:link w:val="Titre5"/>
    <w:uiPriority w:val="9"/>
    <w:semiHidden/>
    <w:rsid w:val="00481D5B"/>
    <w:rPr>
      <w:rFonts w:eastAsiaTheme="majorEastAsia" w:cstheme="majorBidi"/>
      <w:color w:val="2E74B5" w:themeColor="accent1" w:themeShade="BF"/>
      <w:kern w:val="2"/>
      <w:lang w:val="fr-BE" w:eastAsia="fr-BE"/>
      <w14:ligatures w14:val="standardContextual"/>
    </w:rPr>
  </w:style>
  <w:style w:type="character" w:customStyle="1" w:styleId="Titre6Car">
    <w:name w:val="Titre 6 Car"/>
    <w:basedOn w:val="Policepardfaut"/>
    <w:link w:val="Titre6"/>
    <w:uiPriority w:val="9"/>
    <w:semiHidden/>
    <w:rsid w:val="00481D5B"/>
    <w:rPr>
      <w:rFonts w:eastAsiaTheme="majorEastAsia" w:cstheme="majorBidi"/>
      <w:i/>
      <w:iCs/>
      <w:color w:val="595959" w:themeColor="text1" w:themeTint="A6"/>
      <w:kern w:val="2"/>
      <w:lang w:val="fr-BE" w:eastAsia="fr-BE"/>
      <w14:ligatures w14:val="standardContextual"/>
    </w:rPr>
  </w:style>
  <w:style w:type="character" w:customStyle="1" w:styleId="Titre7Car">
    <w:name w:val="Titre 7 Car"/>
    <w:basedOn w:val="Policepardfaut"/>
    <w:link w:val="Titre7"/>
    <w:uiPriority w:val="9"/>
    <w:semiHidden/>
    <w:rsid w:val="00481D5B"/>
    <w:rPr>
      <w:rFonts w:eastAsiaTheme="majorEastAsia" w:cstheme="majorBidi"/>
      <w:color w:val="595959" w:themeColor="text1" w:themeTint="A6"/>
      <w:kern w:val="2"/>
      <w:lang w:val="fr-BE" w:eastAsia="fr-BE"/>
      <w14:ligatures w14:val="standardContextual"/>
    </w:rPr>
  </w:style>
  <w:style w:type="character" w:customStyle="1" w:styleId="Titre8Car">
    <w:name w:val="Titre 8 Car"/>
    <w:basedOn w:val="Policepardfaut"/>
    <w:link w:val="Titre8"/>
    <w:uiPriority w:val="9"/>
    <w:semiHidden/>
    <w:rsid w:val="00481D5B"/>
    <w:rPr>
      <w:rFonts w:eastAsiaTheme="majorEastAsia" w:cstheme="majorBidi"/>
      <w:i/>
      <w:iCs/>
      <w:color w:val="272727" w:themeColor="text1" w:themeTint="D8"/>
      <w:kern w:val="2"/>
      <w:lang w:val="fr-BE" w:eastAsia="fr-BE"/>
      <w14:ligatures w14:val="standardContextual"/>
    </w:rPr>
  </w:style>
  <w:style w:type="character" w:customStyle="1" w:styleId="Titre9Car">
    <w:name w:val="Titre 9 Car"/>
    <w:basedOn w:val="Policepardfaut"/>
    <w:link w:val="Titre9"/>
    <w:uiPriority w:val="9"/>
    <w:semiHidden/>
    <w:rsid w:val="00481D5B"/>
    <w:rPr>
      <w:rFonts w:eastAsiaTheme="majorEastAsia" w:cstheme="majorBidi"/>
      <w:color w:val="272727" w:themeColor="text1" w:themeTint="D8"/>
      <w:kern w:val="2"/>
      <w:lang w:val="fr-BE" w:eastAsia="fr-BE"/>
      <w14:ligatures w14:val="standardContextual"/>
    </w:rPr>
  </w:style>
  <w:style w:type="paragraph" w:styleId="Notedebasdepage">
    <w:name w:val="footnote text"/>
    <w:basedOn w:val="Normal"/>
    <w:link w:val="NotedebasdepageCar"/>
    <w:uiPriority w:val="99"/>
    <w:unhideWhenUsed/>
    <w:rsid w:val="00481D5B"/>
    <w:pPr>
      <w:spacing w:after="0" w:line="240" w:lineRule="auto"/>
      <w:jc w:val="both"/>
    </w:pPr>
    <w:rPr>
      <w:sz w:val="20"/>
      <w:szCs w:val="20"/>
      <w:lang w:val="fr-BE"/>
    </w:rPr>
  </w:style>
  <w:style w:type="character" w:customStyle="1" w:styleId="NotedebasdepageCar">
    <w:name w:val="Note de bas de page Car"/>
    <w:basedOn w:val="Policepardfaut"/>
    <w:link w:val="Notedebasdepage"/>
    <w:uiPriority w:val="99"/>
    <w:rsid w:val="00481D5B"/>
    <w:rPr>
      <w:sz w:val="20"/>
      <w:szCs w:val="20"/>
      <w:lang w:val="fr-BE"/>
    </w:rPr>
  </w:style>
  <w:style w:type="character" w:styleId="Appelnotedebasdep">
    <w:name w:val="footnote reference"/>
    <w:basedOn w:val="Policepardfaut"/>
    <w:uiPriority w:val="99"/>
    <w:unhideWhenUsed/>
    <w:rsid w:val="00481D5B"/>
    <w:rPr>
      <w:vertAlign w:val="superscript"/>
    </w:rPr>
  </w:style>
  <w:style w:type="character" w:styleId="Marquedecommentaire">
    <w:name w:val="annotation reference"/>
    <w:basedOn w:val="Policepardfaut"/>
    <w:uiPriority w:val="99"/>
    <w:semiHidden/>
    <w:unhideWhenUsed/>
    <w:rsid w:val="00481D5B"/>
    <w:rPr>
      <w:sz w:val="16"/>
      <w:szCs w:val="16"/>
    </w:rPr>
  </w:style>
  <w:style w:type="paragraph" w:styleId="Commentaire">
    <w:name w:val="annotation text"/>
    <w:basedOn w:val="Normal"/>
    <w:link w:val="CommentaireCar"/>
    <w:uiPriority w:val="99"/>
    <w:unhideWhenUsed/>
    <w:rsid w:val="00481D5B"/>
    <w:pPr>
      <w:spacing w:after="0" w:line="240" w:lineRule="auto"/>
      <w:jc w:val="both"/>
    </w:pPr>
    <w:rPr>
      <w:sz w:val="20"/>
      <w:szCs w:val="20"/>
      <w:lang w:val="fr-BE"/>
    </w:rPr>
  </w:style>
  <w:style w:type="character" w:customStyle="1" w:styleId="CommentaireCar">
    <w:name w:val="Commentaire Car"/>
    <w:basedOn w:val="Policepardfaut"/>
    <w:link w:val="Commentaire"/>
    <w:uiPriority w:val="99"/>
    <w:rsid w:val="00481D5B"/>
    <w:rPr>
      <w:sz w:val="20"/>
      <w:szCs w:val="20"/>
      <w:lang w:val="fr-BE"/>
    </w:rPr>
  </w:style>
  <w:style w:type="paragraph" w:styleId="Textedebulles">
    <w:name w:val="Balloon Text"/>
    <w:basedOn w:val="Normal"/>
    <w:link w:val="TextedebullesCar"/>
    <w:uiPriority w:val="99"/>
    <w:semiHidden/>
    <w:unhideWhenUsed/>
    <w:rsid w:val="00481D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1D5B"/>
    <w:rPr>
      <w:rFonts w:ascii="Segoe UI" w:hAnsi="Segoe UI" w:cs="Segoe UI"/>
      <w:sz w:val="18"/>
      <w:szCs w:val="18"/>
    </w:rPr>
  </w:style>
  <w:style w:type="numbering" w:customStyle="1" w:styleId="Aucuneliste1">
    <w:name w:val="Aucune liste1"/>
    <w:next w:val="Aucuneliste"/>
    <w:uiPriority w:val="99"/>
    <w:semiHidden/>
    <w:unhideWhenUsed/>
    <w:rsid w:val="00481D5B"/>
  </w:style>
  <w:style w:type="paragraph" w:styleId="Paragraphedeliste">
    <w:name w:val="List Paragraph"/>
    <w:basedOn w:val="Normal"/>
    <w:uiPriority w:val="34"/>
    <w:qFormat/>
    <w:rsid w:val="00481D5B"/>
    <w:pPr>
      <w:spacing w:after="0" w:line="360" w:lineRule="auto"/>
      <w:ind w:left="720"/>
      <w:contextualSpacing/>
      <w:jc w:val="both"/>
    </w:pPr>
    <w:rPr>
      <w:lang w:val="fr-BE"/>
    </w:rPr>
  </w:style>
  <w:style w:type="character" w:styleId="Lienhypertexte">
    <w:name w:val="Hyperlink"/>
    <w:basedOn w:val="Policepardfaut"/>
    <w:uiPriority w:val="99"/>
    <w:unhideWhenUsed/>
    <w:rsid w:val="00481D5B"/>
    <w:rPr>
      <w:color w:val="0563C1" w:themeColor="hyperlink"/>
      <w:u w:val="single"/>
    </w:rPr>
  </w:style>
  <w:style w:type="character" w:customStyle="1" w:styleId="hgkelc">
    <w:name w:val="hgkelc"/>
    <w:basedOn w:val="Policepardfaut"/>
    <w:rsid w:val="00481D5B"/>
  </w:style>
  <w:style w:type="character" w:customStyle="1" w:styleId="UnresolvedMention1">
    <w:name w:val="Unresolved Mention1"/>
    <w:basedOn w:val="Policepardfaut"/>
    <w:uiPriority w:val="99"/>
    <w:semiHidden/>
    <w:unhideWhenUsed/>
    <w:rsid w:val="00481D5B"/>
    <w:rPr>
      <w:color w:val="605E5C"/>
      <w:shd w:val="clear" w:color="auto" w:fill="E1DFDD"/>
    </w:rPr>
  </w:style>
  <w:style w:type="character" w:styleId="Lienhypertextesuivivisit">
    <w:name w:val="FollowedHyperlink"/>
    <w:basedOn w:val="Policepardfaut"/>
    <w:uiPriority w:val="99"/>
    <w:semiHidden/>
    <w:unhideWhenUsed/>
    <w:rsid w:val="00481D5B"/>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sid w:val="00481D5B"/>
    <w:rPr>
      <w:b/>
      <w:bCs/>
    </w:rPr>
  </w:style>
  <w:style w:type="character" w:customStyle="1" w:styleId="ObjetducommentaireCar">
    <w:name w:val="Objet du commentaire Car"/>
    <w:basedOn w:val="CommentaireCar"/>
    <w:link w:val="Objetducommentaire"/>
    <w:uiPriority w:val="99"/>
    <w:semiHidden/>
    <w:rsid w:val="00481D5B"/>
    <w:rPr>
      <w:b/>
      <w:bCs/>
      <w:sz w:val="20"/>
      <w:szCs w:val="20"/>
      <w:lang w:val="fr-BE"/>
    </w:rPr>
  </w:style>
  <w:style w:type="character" w:styleId="Textedelespacerserv">
    <w:name w:val="Placeholder Text"/>
    <w:basedOn w:val="Policepardfaut"/>
    <w:uiPriority w:val="99"/>
    <w:semiHidden/>
    <w:rsid w:val="00481D5B"/>
    <w:rPr>
      <w:color w:val="808080"/>
    </w:rPr>
  </w:style>
  <w:style w:type="table" w:styleId="Grilledutableau">
    <w:name w:val="Table Grid"/>
    <w:basedOn w:val="TableauNormal"/>
    <w:uiPriority w:val="39"/>
    <w:rsid w:val="00481D5B"/>
    <w:pPr>
      <w:spacing w:after="0" w:line="240" w:lineRule="auto"/>
      <w:jc w:val="both"/>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81D5B"/>
    <w:pPr>
      <w:tabs>
        <w:tab w:val="center" w:pos="4536"/>
        <w:tab w:val="right" w:pos="9072"/>
      </w:tabs>
      <w:spacing w:after="0" w:line="240" w:lineRule="auto"/>
      <w:jc w:val="both"/>
    </w:pPr>
    <w:rPr>
      <w:lang w:val="fr-BE"/>
    </w:rPr>
  </w:style>
  <w:style w:type="character" w:customStyle="1" w:styleId="En-tteCar">
    <w:name w:val="En-tête Car"/>
    <w:basedOn w:val="Policepardfaut"/>
    <w:link w:val="En-tte"/>
    <w:uiPriority w:val="99"/>
    <w:rsid w:val="00481D5B"/>
    <w:rPr>
      <w:lang w:val="fr-BE"/>
    </w:rPr>
  </w:style>
  <w:style w:type="paragraph" w:styleId="Pieddepage">
    <w:name w:val="footer"/>
    <w:basedOn w:val="Normal"/>
    <w:link w:val="PieddepageCar"/>
    <w:uiPriority w:val="99"/>
    <w:unhideWhenUsed/>
    <w:rsid w:val="00481D5B"/>
    <w:pPr>
      <w:tabs>
        <w:tab w:val="center" w:pos="4536"/>
        <w:tab w:val="right" w:pos="9072"/>
      </w:tabs>
      <w:spacing w:after="0" w:line="240" w:lineRule="auto"/>
      <w:jc w:val="both"/>
    </w:pPr>
    <w:rPr>
      <w:lang w:val="fr-BE"/>
    </w:rPr>
  </w:style>
  <w:style w:type="character" w:customStyle="1" w:styleId="PieddepageCar">
    <w:name w:val="Pied de page Car"/>
    <w:basedOn w:val="Policepardfaut"/>
    <w:link w:val="Pieddepage"/>
    <w:uiPriority w:val="99"/>
    <w:rsid w:val="00481D5B"/>
    <w:rPr>
      <w:lang w:val="fr-BE"/>
    </w:rPr>
  </w:style>
  <w:style w:type="paragraph" w:styleId="NormalWeb">
    <w:name w:val="Normal (Web)"/>
    <w:basedOn w:val="Normal"/>
    <w:uiPriority w:val="99"/>
    <w:semiHidden/>
    <w:unhideWhenUsed/>
    <w:rsid w:val="00481D5B"/>
    <w:pPr>
      <w:spacing w:before="100" w:beforeAutospacing="1" w:after="100" w:afterAutospacing="1" w:line="240" w:lineRule="auto"/>
      <w:jc w:val="both"/>
    </w:pPr>
    <w:rPr>
      <w:rFonts w:ascii="Times New Roman" w:eastAsia="Times New Roman" w:hAnsi="Times New Roman" w:cs="Times New Roman"/>
      <w:sz w:val="24"/>
      <w:szCs w:val="24"/>
      <w:lang w:val="fr-BE" w:eastAsia="fr-BE"/>
    </w:rPr>
  </w:style>
  <w:style w:type="paragraph" w:styleId="Corpsdetexte">
    <w:name w:val="Body Text"/>
    <w:basedOn w:val="Normal"/>
    <w:link w:val="CorpsdetexteCar"/>
    <w:uiPriority w:val="1"/>
    <w:unhideWhenUsed/>
    <w:qFormat/>
    <w:rsid w:val="00481D5B"/>
    <w:pPr>
      <w:widowControl w:val="0"/>
      <w:autoSpaceDE w:val="0"/>
      <w:autoSpaceDN w:val="0"/>
      <w:spacing w:before="120" w:after="120" w:line="360" w:lineRule="auto"/>
      <w:jc w:val="both"/>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481D5B"/>
    <w:rPr>
      <w:rFonts w:ascii="Times New Roman" w:eastAsia="Times New Roman" w:hAnsi="Times New Roman" w:cs="Times New Roman"/>
      <w:sz w:val="24"/>
      <w:szCs w:val="24"/>
    </w:rPr>
  </w:style>
  <w:style w:type="paragraph" w:styleId="Rvision">
    <w:name w:val="Revision"/>
    <w:hidden/>
    <w:uiPriority w:val="99"/>
    <w:semiHidden/>
    <w:rsid w:val="00481D5B"/>
    <w:pPr>
      <w:spacing w:after="0" w:line="240" w:lineRule="auto"/>
      <w:jc w:val="both"/>
    </w:pPr>
    <w:rPr>
      <w:lang w:val="fr-BE"/>
    </w:rPr>
  </w:style>
  <w:style w:type="character" w:styleId="Accentuation">
    <w:name w:val="Emphasis"/>
    <w:basedOn w:val="Policepardfaut"/>
    <w:uiPriority w:val="20"/>
    <w:qFormat/>
    <w:rsid w:val="00481D5B"/>
    <w:rPr>
      <w:i/>
      <w:iCs/>
    </w:rPr>
  </w:style>
  <w:style w:type="character" w:customStyle="1" w:styleId="UnresolvedMention2">
    <w:name w:val="Unresolved Mention2"/>
    <w:basedOn w:val="Policepardfaut"/>
    <w:uiPriority w:val="99"/>
    <w:semiHidden/>
    <w:unhideWhenUsed/>
    <w:rsid w:val="00481D5B"/>
    <w:rPr>
      <w:color w:val="605E5C"/>
      <w:shd w:val="clear" w:color="auto" w:fill="E1DFDD"/>
    </w:rPr>
  </w:style>
  <w:style w:type="character" w:customStyle="1" w:styleId="UnresolvedMention3">
    <w:name w:val="Unresolved Mention3"/>
    <w:basedOn w:val="Policepardfaut"/>
    <w:uiPriority w:val="99"/>
    <w:semiHidden/>
    <w:unhideWhenUsed/>
    <w:rsid w:val="00481D5B"/>
    <w:rPr>
      <w:color w:val="605E5C"/>
      <w:shd w:val="clear" w:color="auto" w:fill="E1DFDD"/>
    </w:rPr>
  </w:style>
  <w:style w:type="character" w:customStyle="1" w:styleId="TitreCar">
    <w:name w:val="Titre Car"/>
    <w:basedOn w:val="Policepardfaut"/>
    <w:link w:val="Titre"/>
    <w:uiPriority w:val="10"/>
    <w:rsid w:val="00481D5B"/>
    <w:rPr>
      <w:rFonts w:asciiTheme="majorHAnsi" w:eastAsiaTheme="majorEastAsia" w:hAnsiTheme="majorHAnsi" w:cstheme="majorBidi"/>
      <w:spacing w:val="-10"/>
      <w:kern w:val="28"/>
      <w:sz w:val="56"/>
      <w:szCs w:val="56"/>
      <w:lang w:eastAsia="fr-BE"/>
      <w14:ligatures w14:val="standardContextual"/>
    </w:rPr>
  </w:style>
  <w:style w:type="paragraph" w:styleId="Titre">
    <w:name w:val="Title"/>
    <w:basedOn w:val="Normal"/>
    <w:next w:val="Normal"/>
    <w:link w:val="TitreCar"/>
    <w:uiPriority w:val="10"/>
    <w:qFormat/>
    <w:rsid w:val="00481D5B"/>
    <w:pPr>
      <w:spacing w:after="80" w:line="240" w:lineRule="auto"/>
      <w:contextualSpacing/>
      <w:jc w:val="both"/>
    </w:pPr>
    <w:rPr>
      <w:rFonts w:asciiTheme="majorHAnsi" w:eastAsiaTheme="majorEastAsia" w:hAnsiTheme="majorHAnsi" w:cstheme="majorBidi"/>
      <w:spacing w:val="-10"/>
      <w:kern w:val="28"/>
      <w:sz w:val="56"/>
      <w:szCs w:val="56"/>
      <w:lang w:eastAsia="fr-BE"/>
      <w14:ligatures w14:val="standardContextual"/>
    </w:rPr>
  </w:style>
  <w:style w:type="character" w:customStyle="1" w:styleId="TitleChar1">
    <w:name w:val="Title Char1"/>
    <w:basedOn w:val="Policepardfaut"/>
    <w:uiPriority w:val="10"/>
    <w:rsid w:val="00481D5B"/>
    <w:rPr>
      <w:rFonts w:asciiTheme="majorHAnsi" w:eastAsiaTheme="majorEastAsia" w:hAnsiTheme="majorHAnsi" w:cstheme="majorBidi"/>
      <w:spacing w:val="-10"/>
      <w:kern w:val="28"/>
      <w:sz w:val="56"/>
      <w:szCs w:val="56"/>
    </w:rPr>
  </w:style>
  <w:style w:type="character" w:customStyle="1" w:styleId="TitreCar1">
    <w:name w:val="Titre Car1"/>
    <w:basedOn w:val="Policepardfaut"/>
    <w:uiPriority w:val="10"/>
    <w:rsid w:val="00481D5B"/>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rsid w:val="00481D5B"/>
    <w:rPr>
      <w:rFonts w:eastAsiaTheme="majorEastAsia" w:cstheme="majorBidi"/>
      <w:color w:val="595959" w:themeColor="text1" w:themeTint="A6"/>
      <w:spacing w:val="15"/>
      <w:kern w:val="2"/>
      <w:sz w:val="28"/>
      <w:szCs w:val="28"/>
      <w:lang w:eastAsia="fr-BE"/>
      <w14:ligatures w14:val="standardContextual"/>
    </w:rPr>
  </w:style>
  <w:style w:type="paragraph" w:styleId="Sous-titre">
    <w:name w:val="Subtitle"/>
    <w:basedOn w:val="Normal"/>
    <w:next w:val="Normal"/>
    <w:link w:val="Sous-titreCar"/>
    <w:uiPriority w:val="11"/>
    <w:qFormat/>
    <w:rsid w:val="00481D5B"/>
    <w:pPr>
      <w:numPr>
        <w:ilvl w:val="1"/>
      </w:numPr>
      <w:spacing w:after="0" w:line="360" w:lineRule="auto"/>
      <w:jc w:val="both"/>
    </w:pPr>
    <w:rPr>
      <w:rFonts w:eastAsiaTheme="majorEastAsia" w:cstheme="majorBidi"/>
      <w:color w:val="595959" w:themeColor="text1" w:themeTint="A6"/>
      <w:spacing w:val="15"/>
      <w:kern w:val="2"/>
      <w:sz w:val="28"/>
      <w:szCs w:val="28"/>
      <w:lang w:eastAsia="fr-BE"/>
      <w14:ligatures w14:val="standardContextual"/>
    </w:rPr>
  </w:style>
  <w:style w:type="character" w:customStyle="1" w:styleId="SubtitleChar1">
    <w:name w:val="Subtitle Char1"/>
    <w:basedOn w:val="Policepardfaut"/>
    <w:uiPriority w:val="11"/>
    <w:rsid w:val="00481D5B"/>
    <w:rPr>
      <w:rFonts w:eastAsiaTheme="minorEastAsia"/>
      <w:color w:val="5A5A5A" w:themeColor="text1" w:themeTint="A5"/>
      <w:spacing w:val="15"/>
    </w:rPr>
  </w:style>
  <w:style w:type="character" w:customStyle="1" w:styleId="Sous-titreCar1">
    <w:name w:val="Sous-titre Car1"/>
    <w:basedOn w:val="Policepardfaut"/>
    <w:uiPriority w:val="11"/>
    <w:rsid w:val="00481D5B"/>
    <w:rPr>
      <w:rFonts w:eastAsiaTheme="minorEastAsia"/>
      <w:color w:val="5A5A5A" w:themeColor="text1" w:themeTint="A5"/>
      <w:spacing w:val="15"/>
    </w:rPr>
  </w:style>
  <w:style w:type="character" w:customStyle="1" w:styleId="CitationCar">
    <w:name w:val="Citation Car"/>
    <w:basedOn w:val="Policepardfaut"/>
    <w:link w:val="Citation"/>
    <w:uiPriority w:val="29"/>
    <w:rsid w:val="00481D5B"/>
    <w:rPr>
      <w:i/>
      <w:iCs/>
      <w:color w:val="404040" w:themeColor="text1" w:themeTint="BF"/>
      <w:kern w:val="2"/>
      <w:lang w:eastAsia="fr-BE"/>
      <w14:ligatures w14:val="standardContextual"/>
    </w:rPr>
  </w:style>
  <w:style w:type="paragraph" w:styleId="Citation">
    <w:name w:val="Quote"/>
    <w:basedOn w:val="Normal"/>
    <w:next w:val="Normal"/>
    <w:link w:val="CitationCar"/>
    <w:uiPriority w:val="29"/>
    <w:qFormat/>
    <w:rsid w:val="00481D5B"/>
    <w:pPr>
      <w:spacing w:before="160" w:after="0" w:line="360" w:lineRule="auto"/>
      <w:jc w:val="center"/>
    </w:pPr>
    <w:rPr>
      <w:i/>
      <w:iCs/>
      <w:color w:val="404040" w:themeColor="text1" w:themeTint="BF"/>
      <w:kern w:val="2"/>
      <w:lang w:eastAsia="fr-BE"/>
      <w14:ligatures w14:val="standardContextual"/>
    </w:rPr>
  </w:style>
  <w:style w:type="character" w:customStyle="1" w:styleId="QuoteChar1">
    <w:name w:val="Quote Char1"/>
    <w:basedOn w:val="Policepardfaut"/>
    <w:uiPriority w:val="29"/>
    <w:rsid w:val="00481D5B"/>
    <w:rPr>
      <w:i/>
      <w:iCs/>
      <w:color w:val="404040" w:themeColor="text1" w:themeTint="BF"/>
    </w:rPr>
  </w:style>
  <w:style w:type="character" w:customStyle="1" w:styleId="CitationCar1">
    <w:name w:val="Citation Car1"/>
    <w:basedOn w:val="Policepardfaut"/>
    <w:uiPriority w:val="29"/>
    <w:rsid w:val="00481D5B"/>
    <w:rPr>
      <w:i/>
      <w:iCs/>
      <w:color w:val="404040" w:themeColor="text1" w:themeTint="BF"/>
    </w:rPr>
  </w:style>
  <w:style w:type="character" w:customStyle="1" w:styleId="CitationintenseCar">
    <w:name w:val="Citation intense Car"/>
    <w:basedOn w:val="Policepardfaut"/>
    <w:link w:val="Citationintense"/>
    <w:uiPriority w:val="30"/>
    <w:rsid w:val="00481D5B"/>
    <w:rPr>
      <w:i/>
      <w:iCs/>
      <w:color w:val="2E74B5" w:themeColor="accent1" w:themeShade="BF"/>
      <w:kern w:val="2"/>
      <w:lang w:eastAsia="fr-BE"/>
      <w14:ligatures w14:val="standardContextual"/>
    </w:rPr>
  </w:style>
  <w:style w:type="paragraph" w:styleId="Citationintense">
    <w:name w:val="Intense Quote"/>
    <w:basedOn w:val="Normal"/>
    <w:next w:val="Normal"/>
    <w:link w:val="CitationintenseCar"/>
    <w:uiPriority w:val="30"/>
    <w:qFormat/>
    <w:rsid w:val="00481D5B"/>
    <w:pPr>
      <w:pBdr>
        <w:top w:val="single" w:sz="4" w:space="10" w:color="2E74B5" w:themeColor="accent1" w:themeShade="BF"/>
        <w:bottom w:val="single" w:sz="4" w:space="10" w:color="2E74B5" w:themeColor="accent1" w:themeShade="BF"/>
      </w:pBdr>
      <w:spacing w:before="360" w:after="360" w:line="360" w:lineRule="auto"/>
      <w:ind w:left="864" w:right="864"/>
      <w:jc w:val="center"/>
    </w:pPr>
    <w:rPr>
      <w:i/>
      <w:iCs/>
      <w:color w:val="2E74B5" w:themeColor="accent1" w:themeShade="BF"/>
      <w:kern w:val="2"/>
      <w:lang w:eastAsia="fr-BE"/>
      <w14:ligatures w14:val="standardContextual"/>
    </w:rPr>
  </w:style>
  <w:style w:type="character" w:customStyle="1" w:styleId="IntenseQuoteChar1">
    <w:name w:val="Intense Quote Char1"/>
    <w:basedOn w:val="Policepardfaut"/>
    <w:uiPriority w:val="30"/>
    <w:rsid w:val="00481D5B"/>
    <w:rPr>
      <w:i/>
      <w:iCs/>
      <w:color w:val="5B9BD5" w:themeColor="accent1"/>
    </w:rPr>
  </w:style>
  <w:style w:type="character" w:customStyle="1" w:styleId="CitationintenseCar1">
    <w:name w:val="Citation intense Car1"/>
    <w:basedOn w:val="Policepardfaut"/>
    <w:uiPriority w:val="30"/>
    <w:rsid w:val="00481D5B"/>
    <w:rPr>
      <w:i/>
      <w:iCs/>
      <w:color w:val="5B9BD5" w:themeColor="accent1"/>
    </w:rPr>
  </w:style>
  <w:style w:type="paragraph" w:styleId="PrformatHTML">
    <w:name w:val="HTML Preformatted"/>
    <w:basedOn w:val="Normal"/>
    <w:link w:val="PrformatHTMLCar"/>
    <w:uiPriority w:val="99"/>
    <w:semiHidden/>
    <w:unhideWhenUsed/>
    <w:rsid w:val="0048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fr-BE" w:eastAsia="fr-BE"/>
    </w:rPr>
  </w:style>
  <w:style w:type="character" w:customStyle="1" w:styleId="PrformatHTMLCar">
    <w:name w:val="Préformaté HTML Car"/>
    <w:basedOn w:val="Policepardfaut"/>
    <w:link w:val="PrformatHTML"/>
    <w:uiPriority w:val="99"/>
    <w:semiHidden/>
    <w:rsid w:val="00481D5B"/>
    <w:rPr>
      <w:rFonts w:ascii="Courier New" w:eastAsia="Times New Roman" w:hAnsi="Courier New" w:cs="Courier New"/>
      <w:sz w:val="20"/>
      <w:szCs w:val="20"/>
      <w:lang w:val="fr-BE" w:eastAsia="fr-BE"/>
    </w:rPr>
  </w:style>
  <w:style w:type="character" w:customStyle="1" w:styleId="gnvwddmdn3b">
    <w:name w:val="gnvwddmdn3b"/>
    <w:basedOn w:val="Policepardfaut"/>
    <w:rsid w:val="00481D5B"/>
  </w:style>
  <w:style w:type="paragraph" w:styleId="Bibliographie">
    <w:name w:val="Bibliography"/>
    <w:basedOn w:val="Normal"/>
    <w:next w:val="Normal"/>
    <w:uiPriority w:val="37"/>
    <w:unhideWhenUsed/>
    <w:rsid w:val="00481D5B"/>
    <w:pPr>
      <w:spacing w:after="0" w:line="480" w:lineRule="auto"/>
      <w:ind w:left="720" w:hanging="720"/>
      <w:jc w:val="both"/>
    </w:pPr>
    <w:rPr>
      <w:lang w:val="fr-BE"/>
    </w:rPr>
  </w:style>
  <w:style w:type="character" w:customStyle="1" w:styleId="UnresolvedMention4">
    <w:name w:val="Unresolved Mention4"/>
    <w:basedOn w:val="Policepardfaut"/>
    <w:uiPriority w:val="99"/>
    <w:semiHidden/>
    <w:unhideWhenUsed/>
    <w:rsid w:val="00481D5B"/>
    <w:rPr>
      <w:color w:val="605E5C"/>
      <w:shd w:val="clear" w:color="auto" w:fill="E1DFDD"/>
    </w:rPr>
  </w:style>
  <w:style w:type="character" w:customStyle="1" w:styleId="Mentionnonrsolue1">
    <w:name w:val="Mention non résolue1"/>
    <w:basedOn w:val="Policepardfaut"/>
    <w:uiPriority w:val="99"/>
    <w:semiHidden/>
    <w:unhideWhenUsed/>
    <w:rsid w:val="00481D5B"/>
    <w:rPr>
      <w:color w:val="605E5C"/>
      <w:shd w:val="clear" w:color="auto" w:fill="E1DFDD"/>
    </w:rPr>
  </w:style>
  <w:style w:type="character" w:styleId="Appeldenotedefin">
    <w:name w:val="endnote reference"/>
    <w:basedOn w:val="Policepardfaut"/>
    <w:uiPriority w:val="99"/>
    <w:semiHidden/>
    <w:unhideWhenUsed/>
    <w:rsid w:val="00D237B0"/>
    <w:rPr>
      <w:vertAlign w:val="superscript"/>
    </w:rPr>
  </w:style>
  <w:style w:type="character" w:styleId="lev">
    <w:name w:val="Strong"/>
    <w:basedOn w:val="Policepardfaut"/>
    <w:uiPriority w:val="22"/>
    <w:qFormat/>
    <w:rsid w:val="0003319F"/>
    <w:rPr>
      <w:b/>
      <w:bCs/>
    </w:rPr>
  </w:style>
  <w:style w:type="character" w:styleId="Mentionnonrsolue">
    <w:name w:val="Unresolved Mention"/>
    <w:basedOn w:val="Policepardfaut"/>
    <w:uiPriority w:val="99"/>
    <w:semiHidden/>
    <w:unhideWhenUsed/>
    <w:rsid w:val="004A5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622079">
      <w:bodyDiv w:val="1"/>
      <w:marLeft w:val="0"/>
      <w:marRight w:val="0"/>
      <w:marTop w:val="0"/>
      <w:marBottom w:val="0"/>
      <w:divBdr>
        <w:top w:val="none" w:sz="0" w:space="0" w:color="auto"/>
        <w:left w:val="none" w:sz="0" w:space="0" w:color="auto"/>
        <w:bottom w:val="none" w:sz="0" w:space="0" w:color="auto"/>
        <w:right w:val="none" w:sz="0" w:space="0" w:color="auto"/>
      </w:divBdr>
    </w:div>
    <w:div w:id="695036812">
      <w:bodyDiv w:val="1"/>
      <w:marLeft w:val="0"/>
      <w:marRight w:val="0"/>
      <w:marTop w:val="0"/>
      <w:marBottom w:val="0"/>
      <w:divBdr>
        <w:top w:val="none" w:sz="0" w:space="0" w:color="auto"/>
        <w:left w:val="none" w:sz="0" w:space="0" w:color="auto"/>
        <w:bottom w:val="none" w:sz="0" w:space="0" w:color="auto"/>
        <w:right w:val="none" w:sz="0" w:space="0" w:color="auto"/>
      </w:divBdr>
    </w:div>
    <w:div w:id="803699849">
      <w:bodyDiv w:val="1"/>
      <w:marLeft w:val="0"/>
      <w:marRight w:val="0"/>
      <w:marTop w:val="0"/>
      <w:marBottom w:val="0"/>
      <w:divBdr>
        <w:top w:val="none" w:sz="0" w:space="0" w:color="auto"/>
        <w:left w:val="none" w:sz="0" w:space="0" w:color="auto"/>
        <w:bottom w:val="none" w:sz="0" w:space="0" w:color="auto"/>
        <w:right w:val="none" w:sz="0" w:space="0" w:color="auto"/>
      </w:divBdr>
    </w:div>
    <w:div w:id="1014041537">
      <w:bodyDiv w:val="1"/>
      <w:marLeft w:val="0"/>
      <w:marRight w:val="0"/>
      <w:marTop w:val="0"/>
      <w:marBottom w:val="0"/>
      <w:divBdr>
        <w:top w:val="none" w:sz="0" w:space="0" w:color="auto"/>
        <w:left w:val="none" w:sz="0" w:space="0" w:color="auto"/>
        <w:bottom w:val="none" w:sz="0" w:space="0" w:color="auto"/>
        <w:right w:val="none" w:sz="0" w:space="0" w:color="auto"/>
      </w:divBdr>
    </w:div>
    <w:div w:id="1304508534">
      <w:bodyDiv w:val="1"/>
      <w:marLeft w:val="0"/>
      <w:marRight w:val="0"/>
      <w:marTop w:val="0"/>
      <w:marBottom w:val="0"/>
      <w:divBdr>
        <w:top w:val="none" w:sz="0" w:space="0" w:color="auto"/>
        <w:left w:val="none" w:sz="0" w:space="0" w:color="auto"/>
        <w:bottom w:val="none" w:sz="0" w:space="0" w:color="auto"/>
        <w:right w:val="none" w:sz="0" w:space="0" w:color="auto"/>
      </w:divBdr>
    </w:div>
    <w:div w:id="1308440155">
      <w:bodyDiv w:val="1"/>
      <w:marLeft w:val="0"/>
      <w:marRight w:val="0"/>
      <w:marTop w:val="0"/>
      <w:marBottom w:val="0"/>
      <w:divBdr>
        <w:top w:val="none" w:sz="0" w:space="0" w:color="auto"/>
        <w:left w:val="none" w:sz="0" w:space="0" w:color="auto"/>
        <w:bottom w:val="none" w:sz="0" w:space="0" w:color="auto"/>
        <w:right w:val="none" w:sz="0" w:space="0" w:color="auto"/>
      </w:divBdr>
    </w:div>
    <w:div w:id="1637178120">
      <w:bodyDiv w:val="1"/>
      <w:marLeft w:val="0"/>
      <w:marRight w:val="0"/>
      <w:marTop w:val="0"/>
      <w:marBottom w:val="0"/>
      <w:divBdr>
        <w:top w:val="none" w:sz="0" w:space="0" w:color="auto"/>
        <w:left w:val="none" w:sz="0" w:space="0" w:color="auto"/>
        <w:bottom w:val="none" w:sz="0" w:space="0" w:color="auto"/>
        <w:right w:val="none" w:sz="0" w:space="0" w:color="auto"/>
      </w:divBdr>
    </w:div>
    <w:div w:id="1699311476">
      <w:bodyDiv w:val="1"/>
      <w:marLeft w:val="0"/>
      <w:marRight w:val="0"/>
      <w:marTop w:val="0"/>
      <w:marBottom w:val="0"/>
      <w:divBdr>
        <w:top w:val="none" w:sz="0" w:space="0" w:color="auto"/>
        <w:left w:val="none" w:sz="0" w:space="0" w:color="auto"/>
        <w:bottom w:val="none" w:sz="0" w:space="0" w:color="auto"/>
        <w:right w:val="none" w:sz="0" w:space="0" w:color="auto"/>
      </w:divBdr>
    </w:div>
    <w:div w:id="1714497449">
      <w:bodyDiv w:val="1"/>
      <w:marLeft w:val="0"/>
      <w:marRight w:val="0"/>
      <w:marTop w:val="0"/>
      <w:marBottom w:val="0"/>
      <w:divBdr>
        <w:top w:val="none" w:sz="0" w:space="0" w:color="auto"/>
        <w:left w:val="none" w:sz="0" w:space="0" w:color="auto"/>
        <w:bottom w:val="none" w:sz="0" w:space="0" w:color="auto"/>
        <w:right w:val="none" w:sz="0" w:space="0" w:color="auto"/>
      </w:divBdr>
    </w:div>
    <w:div w:id="1941378359">
      <w:bodyDiv w:val="1"/>
      <w:marLeft w:val="0"/>
      <w:marRight w:val="0"/>
      <w:marTop w:val="0"/>
      <w:marBottom w:val="0"/>
      <w:divBdr>
        <w:top w:val="none" w:sz="0" w:space="0" w:color="auto"/>
        <w:left w:val="none" w:sz="0" w:space="0" w:color="auto"/>
        <w:bottom w:val="none" w:sz="0" w:space="0" w:color="auto"/>
        <w:right w:val="none" w:sz="0" w:space="0" w:color="auto"/>
      </w:divBdr>
    </w:div>
    <w:div w:id="1962488506">
      <w:bodyDiv w:val="1"/>
      <w:marLeft w:val="0"/>
      <w:marRight w:val="0"/>
      <w:marTop w:val="0"/>
      <w:marBottom w:val="0"/>
      <w:divBdr>
        <w:top w:val="none" w:sz="0" w:space="0" w:color="auto"/>
        <w:left w:val="none" w:sz="0" w:space="0" w:color="auto"/>
        <w:bottom w:val="none" w:sz="0" w:space="0" w:color="auto"/>
        <w:right w:val="none" w:sz="0" w:space="0" w:color="auto"/>
      </w:divBdr>
    </w:div>
    <w:div w:id="2032878553">
      <w:bodyDiv w:val="1"/>
      <w:marLeft w:val="0"/>
      <w:marRight w:val="0"/>
      <w:marTop w:val="0"/>
      <w:marBottom w:val="0"/>
      <w:divBdr>
        <w:top w:val="none" w:sz="0" w:space="0" w:color="auto"/>
        <w:left w:val="none" w:sz="0" w:space="0" w:color="auto"/>
        <w:bottom w:val="none" w:sz="0" w:space="0" w:color="auto"/>
        <w:right w:val="none" w:sz="0" w:space="0" w:color="auto"/>
      </w:divBdr>
    </w:div>
    <w:div w:id="2038045237">
      <w:bodyDiv w:val="1"/>
      <w:marLeft w:val="0"/>
      <w:marRight w:val="0"/>
      <w:marTop w:val="0"/>
      <w:marBottom w:val="0"/>
      <w:divBdr>
        <w:top w:val="none" w:sz="0" w:space="0" w:color="auto"/>
        <w:left w:val="none" w:sz="0" w:space="0" w:color="auto"/>
        <w:bottom w:val="none" w:sz="0" w:space="0" w:color="auto"/>
        <w:right w:val="none" w:sz="0" w:space="0" w:color="auto"/>
      </w:divBdr>
    </w:div>
    <w:div w:id="2069066325">
      <w:bodyDiv w:val="1"/>
      <w:marLeft w:val="0"/>
      <w:marRight w:val="0"/>
      <w:marTop w:val="0"/>
      <w:marBottom w:val="0"/>
      <w:divBdr>
        <w:top w:val="none" w:sz="0" w:space="0" w:color="auto"/>
        <w:left w:val="none" w:sz="0" w:space="0" w:color="auto"/>
        <w:bottom w:val="none" w:sz="0" w:space="0" w:color="auto"/>
        <w:right w:val="none" w:sz="0" w:space="0" w:color="auto"/>
      </w:divBdr>
    </w:div>
    <w:div w:id="2091463860">
      <w:bodyDiv w:val="1"/>
      <w:marLeft w:val="0"/>
      <w:marRight w:val="0"/>
      <w:marTop w:val="0"/>
      <w:marBottom w:val="0"/>
      <w:divBdr>
        <w:top w:val="none" w:sz="0" w:space="0" w:color="auto"/>
        <w:left w:val="none" w:sz="0" w:space="0" w:color="auto"/>
        <w:bottom w:val="none" w:sz="0" w:space="0" w:color="auto"/>
        <w:right w:val="none" w:sz="0" w:space="0" w:color="auto"/>
      </w:divBdr>
    </w:div>
    <w:div w:id="210117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pfoundation.com/vocab/profiler/"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support.coinmarketcap.com/hc/en-us/articles/360043659351-Listings-Crit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61ACF-87AF-4DCC-81CF-AF6D6786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67</Pages>
  <Words>25085</Words>
  <Characters>142989</Characters>
  <Application>Microsoft Office Word</Application>
  <DocSecurity>0</DocSecurity>
  <Lines>1191</Lines>
  <Paragraphs>335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Ayaydin</dc:creator>
  <cp:keywords/>
  <dc:description/>
  <cp:lastModifiedBy>Diego Barrio Herrezuelo</cp:lastModifiedBy>
  <cp:revision>4</cp:revision>
  <cp:lastPrinted>2025-04-11T11:06:00Z</cp:lastPrinted>
  <dcterms:created xsi:type="dcterms:W3CDTF">2025-06-22T01:49:00Z</dcterms:created>
  <dcterms:modified xsi:type="dcterms:W3CDTF">2025-07-01T21:39:00Z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b653f7b1af007560c9caa07ce9dbc3238fe00e3b6ad4e7cb92b6ebf50edab5b4</vt:lpwstr>
  </property>
  <property fmtid="{D5CDD505-2E9C-101B-9397-08002B2CF9AE}" pid="3" name="ZOTERO_PREF_1">
    <vt:lpwstr>&lt;data data-version="3" zotero-version="7.0.7"&gt;&lt;session id="wbUw5EQx"/&gt;&lt;style id="http://www.zotero.org/styles/apa" locale="en-US" hasBibliography="1" bibliographyStyleHasBeenSet="1"/&gt;&lt;prefs&gt;&lt;pref name="fieldType" value="Field"/&gt;&lt;/prefs&gt;&lt;/data&gt;</vt:lpwstr>
  </property>
</Properties>
</file>