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11772" w14:textId="17F698B4" w:rsidR="00F237FA" w:rsidRPr="00754A1D" w:rsidRDefault="00D86F64" w:rsidP="00A55E29">
      <w:pPr>
        <w:spacing w:after="0" w:line="480" w:lineRule="auto"/>
        <w:jc w:val="both"/>
        <w:rPr>
          <w:rFonts w:ascii="Times New Roman" w:hAnsi="Times New Roman" w:cs="Times New Roman"/>
          <w:b/>
          <w:sz w:val="24"/>
          <w:szCs w:val="24"/>
          <w:lang w:val="en-US"/>
        </w:rPr>
      </w:pPr>
      <w:r w:rsidRPr="00754A1D">
        <w:rPr>
          <w:rFonts w:ascii="Times New Roman" w:hAnsi="Times New Roman" w:cs="Times New Roman"/>
          <w:b/>
          <w:sz w:val="24"/>
          <w:szCs w:val="24"/>
          <w:lang w:val="en-US"/>
        </w:rPr>
        <w:t>T</w:t>
      </w:r>
      <w:r w:rsidR="00771BCC" w:rsidRPr="00754A1D">
        <w:rPr>
          <w:rFonts w:ascii="Times New Roman" w:hAnsi="Times New Roman" w:cs="Times New Roman"/>
          <w:b/>
          <w:sz w:val="24"/>
          <w:szCs w:val="24"/>
          <w:lang w:val="en-US"/>
        </w:rPr>
        <w:t xml:space="preserve">he modes of action of </w:t>
      </w:r>
      <w:r w:rsidR="00A55E29" w:rsidRPr="00754A1D">
        <w:rPr>
          <w:rFonts w:ascii="Times New Roman" w:hAnsi="Times New Roman" w:cs="Times New Roman"/>
          <w:b/>
          <w:i/>
          <w:sz w:val="24"/>
          <w:szCs w:val="24"/>
          <w:lang w:val="en-US"/>
        </w:rPr>
        <w:t xml:space="preserve">Mentha </w:t>
      </w:r>
      <w:r w:rsidR="00655BC7" w:rsidRPr="00754A1D">
        <w:rPr>
          <w:rFonts w:ascii="Times New Roman" w:hAnsi="Times New Roman" w:cs="Times New Roman"/>
          <w:b/>
          <w:i/>
          <w:sz w:val="24"/>
          <w:szCs w:val="24"/>
          <w:lang w:val="en-US"/>
        </w:rPr>
        <w:t>arvensis</w:t>
      </w:r>
      <w:r w:rsidR="00771BCC" w:rsidRPr="00754A1D">
        <w:rPr>
          <w:rFonts w:ascii="Times New Roman" w:hAnsi="Times New Roman" w:cs="Times New Roman"/>
          <w:b/>
          <w:i/>
          <w:sz w:val="24"/>
          <w:szCs w:val="24"/>
          <w:lang w:val="en-US"/>
        </w:rPr>
        <w:t xml:space="preserve"> </w:t>
      </w:r>
      <w:r w:rsidR="00771BCC" w:rsidRPr="00754A1D">
        <w:rPr>
          <w:rFonts w:ascii="Times New Roman" w:hAnsi="Times New Roman" w:cs="Times New Roman"/>
          <w:b/>
          <w:sz w:val="24"/>
          <w:szCs w:val="24"/>
          <w:lang w:val="en-US"/>
        </w:rPr>
        <w:t>essential oil</w:t>
      </w:r>
      <w:r w:rsidR="00771BCC" w:rsidRPr="00754A1D">
        <w:rPr>
          <w:rFonts w:ascii="Times New Roman" w:hAnsi="Times New Roman" w:cs="Times New Roman"/>
          <w:b/>
          <w:i/>
          <w:sz w:val="24"/>
          <w:szCs w:val="24"/>
          <w:lang w:val="en-US"/>
        </w:rPr>
        <w:t xml:space="preserve"> </w:t>
      </w:r>
      <w:r w:rsidR="00771BCC" w:rsidRPr="00754A1D">
        <w:rPr>
          <w:rFonts w:ascii="Times New Roman" w:hAnsi="Times New Roman" w:cs="Times New Roman"/>
          <w:b/>
          <w:sz w:val="24"/>
          <w:szCs w:val="24"/>
          <w:lang w:val="en-US"/>
        </w:rPr>
        <w:t xml:space="preserve">on the granary weevil </w:t>
      </w:r>
      <w:r w:rsidR="00771BCC" w:rsidRPr="00754A1D">
        <w:rPr>
          <w:rFonts w:ascii="Times New Roman" w:hAnsi="Times New Roman" w:cs="Times New Roman"/>
          <w:b/>
          <w:i/>
          <w:sz w:val="24"/>
          <w:szCs w:val="24"/>
          <w:lang w:val="en-US"/>
        </w:rPr>
        <w:t xml:space="preserve">Sitophilus </w:t>
      </w:r>
      <w:proofErr w:type="spellStart"/>
      <w:r w:rsidR="00771BCC" w:rsidRPr="00754A1D">
        <w:rPr>
          <w:rFonts w:ascii="Times New Roman" w:hAnsi="Times New Roman" w:cs="Times New Roman"/>
          <w:b/>
          <w:i/>
          <w:sz w:val="24"/>
          <w:szCs w:val="24"/>
          <w:lang w:val="en-US"/>
        </w:rPr>
        <w:t>granarius</w:t>
      </w:r>
      <w:proofErr w:type="spellEnd"/>
      <w:r w:rsidR="00771BCC" w:rsidRPr="00754A1D">
        <w:rPr>
          <w:rFonts w:ascii="Times New Roman" w:hAnsi="Times New Roman" w:cs="Times New Roman"/>
          <w:b/>
          <w:sz w:val="24"/>
          <w:szCs w:val="24"/>
          <w:lang w:val="en-US"/>
        </w:rPr>
        <w:t xml:space="preserve"> </w:t>
      </w:r>
      <w:r w:rsidRPr="00754A1D">
        <w:rPr>
          <w:rFonts w:ascii="Times New Roman" w:hAnsi="Times New Roman" w:cs="Times New Roman"/>
          <w:b/>
          <w:sz w:val="24"/>
          <w:szCs w:val="24"/>
          <w:lang w:val="en-US"/>
        </w:rPr>
        <w:t>revealed by a label-free quantitative proteomic analysis</w:t>
      </w:r>
    </w:p>
    <w:p w14:paraId="4F3A5246" w14:textId="39071E5D" w:rsidR="002B10EE" w:rsidRPr="00754A1D" w:rsidRDefault="002B10EE" w:rsidP="00F237FA">
      <w:pPr>
        <w:spacing w:after="0" w:line="480" w:lineRule="auto"/>
        <w:jc w:val="both"/>
        <w:rPr>
          <w:rFonts w:ascii="Times New Roman" w:hAnsi="Times New Roman" w:cs="Times New Roman"/>
          <w:sz w:val="24"/>
          <w:szCs w:val="24"/>
          <w:lang w:val="en-US"/>
        </w:rPr>
      </w:pPr>
    </w:p>
    <w:p w14:paraId="0D3DDE34" w14:textId="35D46AA3" w:rsidR="005C131E" w:rsidRPr="00754A1D" w:rsidRDefault="00BF296A" w:rsidP="005C131E">
      <w:pPr>
        <w:spacing w:after="0" w:line="480" w:lineRule="auto"/>
        <w:jc w:val="both"/>
        <w:rPr>
          <w:rFonts w:ascii="Times New Roman" w:hAnsi="Times New Roman" w:cs="Times New Roman"/>
          <w:b/>
          <w:sz w:val="24"/>
          <w:szCs w:val="24"/>
        </w:rPr>
      </w:pPr>
      <w:r w:rsidRPr="00754A1D">
        <w:rPr>
          <w:rFonts w:ascii="Times New Roman" w:hAnsi="Times New Roman" w:cs="Times New Roman"/>
          <w:b/>
          <w:sz w:val="24"/>
          <w:szCs w:val="24"/>
        </w:rPr>
        <w:t>François Renoz</w:t>
      </w:r>
      <w:r w:rsidRPr="00754A1D">
        <w:rPr>
          <w:rFonts w:ascii="Times New Roman" w:hAnsi="Times New Roman" w:cs="Times New Roman"/>
          <w:b/>
          <w:sz w:val="24"/>
          <w:szCs w:val="24"/>
          <w:vertAlign w:val="superscript"/>
        </w:rPr>
        <w:t>1</w:t>
      </w:r>
      <w:r w:rsidRPr="00754A1D">
        <w:rPr>
          <w:b/>
          <w:vertAlign w:val="superscript"/>
        </w:rPr>
        <w:t>*</w:t>
      </w:r>
      <w:r w:rsidR="005C131E" w:rsidRPr="00754A1D">
        <w:rPr>
          <w:rFonts w:ascii="Times New Roman" w:hAnsi="Times New Roman" w:cs="Times New Roman"/>
          <w:b/>
          <w:sz w:val="24"/>
          <w:szCs w:val="24"/>
        </w:rPr>
        <w:t xml:space="preserve">, </w:t>
      </w:r>
      <w:r w:rsidR="005C131E" w:rsidRPr="00754A1D">
        <w:rPr>
          <w:rFonts w:ascii="Times New Roman" w:eastAsiaTheme="minorEastAsia" w:hAnsi="Times New Roman" w:cs="Times New Roman"/>
          <w:b/>
          <w:sz w:val="24"/>
          <w:szCs w:val="24"/>
        </w:rPr>
        <w:t>Sébastien Demeter</w:t>
      </w:r>
      <w:r w:rsidR="005C131E" w:rsidRPr="00754A1D">
        <w:rPr>
          <w:rFonts w:ascii="Times New Roman" w:eastAsiaTheme="minorEastAsia" w:hAnsi="Times New Roman" w:cs="Times New Roman"/>
          <w:b/>
          <w:sz w:val="24"/>
          <w:szCs w:val="24"/>
          <w:vertAlign w:val="superscript"/>
        </w:rPr>
        <w:t>1</w:t>
      </w:r>
      <w:r w:rsidR="005C131E" w:rsidRPr="00754A1D">
        <w:rPr>
          <w:rFonts w:ascii="Times New Roman" w:eastAsiaTheme="minorEastAsia" w:hAnsi="Times New Roman" w:cs="Times New Roman"/>
          <w:b/>
          <w:sz w:val="24"/>
          <w:szCs w:val="24"/>
        </w:rPr>
        <w:t xml:space="preserve">, </w:t>
      </w:r>
      <w:r w:rsidR="005D6080" w:rsidRPr="00754A1D">
        <w:rPr>
          <w:rFonts w:ascii="Times New Roman" w:eastAsiaTheme="minorEastAsia" w:hAnsi="Times New Roman" w:cs="Times New Roman"/>
          <w:b/>
          <w:sz w:val="24"/>
          <w:szCs w:val="24"/>
        </w:rPr>
        <w:t>Hervé Degand</w:t>
      </w:r>
      <w:r w:rsidR="005D6080" w:rsidRPr="00754A1D">
        <w:rPr>
          <w:rFonts w:ascii="Times New Roman" w:eastAsiaTheme="minorEastAsia" w:hAnsi="Times New Roman" w:cs="Times New Roman"/>
          <w:b/>
          <w:sz w:val="24"/>
          <w:szCs w:val="24"/>
          <w:vertAlign w:val="superscript"/>
        </w:rPr>
        <w:t>2</w:t>
      </w:r>
      <w:r w:rsidR="005D6080" w:rsidRPr="00754A1D">
        <w:rPr>
          <w:rFonts w:ascii="Times New Roman" w:eastAsiaTheme="minorEastAsia" w:hAnsi="Times New Roman" w:cs="Times New Roman"/>
          <w:b/>
          <w:sz w:val="24"/>
          <w:szCs w:val="24"/>
        </w:rPr>
        <w:t xml:space="preserve">, </w:t>
      </w:r>
      <w:proofErr w:type="spellStart"/>
      <w:r w:rsidR="0078195F" w:rsidRPr="00754A1D">
        <w:rPr>
          <w:rFonts w:ascii="Times New Roman" w:eastAsiaTheme="minorEastAsia" w:hAnsi="Times New Roman" w:cs="Times New Roman"/>
          <w:b/>
          <w:sz w:val="24"/>
          <w:szCs w:val="24"/>
        </w:rPr>
        <w:t>Stamatios</w:t>
      </w:r>
      <w:proofErr w:type="spellEnd"/>
      <w:r w:rsidR="0078195F" w:rsidRPr="00754A1D">
        <w:rPr>
          <w:rFonts w:ascii="Times New Roman" w:eastAsiaTheme="minorEastAsia" w:hAnsi="Times New Roman" w:cs="Times New Roman"/>
          <w:b/>
          <w:sz w:val="24"/>
          <w:szCs w:val="24"/>
        </w:rPr>
        <w:t xml:space="preserve"> C. Nicolis</w:t>
      </w:r>
      <w:r w:rsidR="0078195F" w:rsidRPr="00754A1D">
        <w:rPr>
          <w:rFonts w:ascii="Times New Roman" w:eastAsiaTheme="minorEastAsia" w:hAnsi="Times New Roman" w:cs="Times New Roman"/>
          <w:b/>
          <w:sz w:val="24"/>
          <w:szCs w:val="24"/>
          <w:vertAlign w:val="superscript"/>
        </w:rPr>
        <w:t>3</w:t>
      </w:r>
      <w:r w:rsidR="0078195F" w:rsidRPr="00754A1D">
        <w:rPr>
          <w:rFonts w:ascii="Times New Roman" w:eastAsiaTheme="minorEastAsia" w:hAnsi="Times New Roman" w:cs="Times New Roman"/>
          <w:b/>
          <w:sz w:val="24"/>
          <w:szCs w:val="24"/>
        </w:rPr>
        <w:t xml:space="preserve">, </w:t>
      </w:r>
      <w:r w:rsidR="005C131E" w:rsidRPr="00754A1D">
        <w:rPr>
          <w:rFonts w:ascii="Times New Roman" w:eastAsiaTheme="minorEastAsia" w:hAnsi="Times New Roman" w:cs="Times New Roman"/>
          <w:b/>
          <w:sz w:val="24"/>
          <w:szCs w:val="24"/>
        </w:rPr>
        <w:t>Olivier Lebbe</w:t>
      </w:r>
      <w:r w:rsidR="005C131E" w:rsidRPr="00754A1D">
        <w:rPr>
          <w:rFonts w:ascii="Times New Roman" w:eastAsiaTheme="minorEastAsia" w:hAnsi="Times New Roman" w:cs="Times New Roman"/>
          <w:b/>
          <w:sz w:val="24"/>
          <w:szCs w:val="24"/>
          <w:vertAlign w:val="superscript"/>
        </w:rPr>
        <w:t>1</w:t>
      </w:r>
      <w:r w:rsidR="00A64FE8" w:rsidRPr="00754A1D">
        <w:rPr>
          <w:rFonts w:ascii="Times New Roman" w:eastAsiaTheme="minorEastAsia" w:hAnsi="Times New Roman" w:cs="Times New Roman"/>
          <w:b/>
          <w:sz w:val="24"/>
          <w:szCs w:val="24"/>
        </w:rPr>
        <w:t>, Henri Martin</w:t>
      </w:r>
      <w:r w:rsidR="00A163C3" w:rsidRPr="00754A1D">
        <w:rPr>
          <w:rFonts w:ascii="Times New Roman" w:eastAsiaTheme="minorEastAsia" w:hAnsi="Times New Roman" w:cs="Times New Roman"/>
          <w:b/>
          <w:sz w:val="24"/>
          <w:szCs w:val="24"/>
          <w:vertAlign w:val="superscript"/>
        </w:rPr>
        <w:t>4</w:t>
      </w:r>
      <w:r w:rsidR="00A64FE8" w:rsidRPr="00754A1D">
        <w:rPr>
          <w:rFonts w:ascii="Times New Roman" w:eastAsiaTheme="minorEastAsia" w:hAnsi="Times New Roman" w:cs="Times New Roman"/>
          <w:b/>
          <w:sz w:val="24"/>
          <w:szCs w:val="24"/>
        </w:rPr>
        <w:t>, Jean‐Louis Deneubourg</w:t>
      </w:r>
      <w:r w:rsidR="00A163C3" w:rsidRPr="00754A1D">
        <w:rPr>
          <w:rFonts w:ascii="Times New Roman" w:eastAsiaTheme="minorEastAsia" w:hAnsi="Times New Roman" w:cs="Times New Roman"/>
          <w:b/>
          <w:sz w:val="24"/>
          <w:szCs w:val="24"/>
          <w:vertAlign w:val="superscript"/>
        </w:rPr>
        <w:t>3</w:t>
      </w:r>
      <w:r w:rsidR="00A64FE8" w:rsidRPr="00754A1D">
        <w:rPr>
          <w:rFonts w:ascii="Times New Roman" w:eastAsiaTheme="minorEastAsia" w:hAnsi="Times New Roman" w:cs="Times New Roman"/>
          <w:b/>
          <w:sz w:val="24"/>
          <w:szCs w:val="24"/>
        </w:rPr>
        <w:t xml:space="preserve">, </w:t>
      </w:r>
      <w:r w:rsidR="005C131E" w:rsidRPr="00754A1D">
        <w:rPr>
          <w:rFonts w:ascii="Times New Roman" w:eastAsiaTheme="minorEastAsia" w:hAnsi="Times New Roman" w:cs="Times New Roman"/>
          <w:b/>
          <w:sz w:val="24"/>
          <w:szCs w:val="24"/>
        </w:rPr>
        <w:t>Marie-Laure Fauconnier</w:t>
      </w:r>
      <w:r w:rsidR="00A163C3" w:rsidRPr="00754A1D">
        <w:rPr>
          <w:rFonts w:ascii="Times New Roman" w:eastAsiaTheme="minorEastAsia" w:hAnsi="Times New Roman" w:cs="Times New Roman"/>
          <w:b/>
          <w:sz w:val="24"/>
          <w:szCs w:val="24"/>
          <w:vertAlign w:val="superscript"/>
        </w:rPr>
        <w:t>4</w:t>
      </w:r>
      <w:r w:rsidR="005C131E" w:rsidRPr="00754A1D">
        <w:rPr>
          <w:rFonts w:ascii="Times New Roman" w:eastAsiaTheme="minorEastAsia" w:hAnsi="Times New Roman" w:cs="Times New Roman"/>
          <w:b/>
          <w:sz w:val="24"/>
          <w:szCs w:val="24"/>
        </w:rPr>
        <w:t>, Pierre Morsomme</w:t>
      </w:r>
      <w:r w:rsidR="005C131E" w:rsidRPr="00754A1D">
        <w:rPr>
          <w:rFonts w:ascii="Times New Roman" w:eastAsiaTheme="minorEastAsia" w:hAnsi="Times New Roman" w:cs="Times New Roman"/>
          <w:b/>
          <w:sz w:val="24"/>
          <w:szCs w:val="24"/>
          <w:vertAlign w:val="superscript"/>
        </w:rPr>
        <w:t>2</w:t>
      </w:r>
      <w:r w:rsidR="005C131E" w:rsidRPr="00754A1D">
        <w:rPr>
          <w:rFonts w:ascii="Times New Roman" w:eastAsiaTheme="minorEastAsia" w:hAnsi="Times New Roman" w:cs="Times New Roman"/>
          <w:b/>
          <w:sz w:val="24"/>
          <w:szCs w:val="24"/>
        </w:rPr>
        <w:t>, Thierry Hance</w:t>
      </w:r>
      <w:r w:rsidR="005C131E" w:rsidRPr="00754A1D">
        <w:rPr>
          <w:rFonts w:ascii="Times New Roman" w:eastAsiaTheme="minorEastAsia" w:hAnsi="Times New Roman" w:cs="Times New Roman"/>
          <w:b/>
          <w:sz w:val="24"/>
          <w:szCs w:val="24"/>
          <w:vertAlign w:val="superscript"/>
        </w:rPr>
        <w:t>1</w:t>
      </w:r>
      <w:r w:rsidR="005C131E" w:rsidRPr="00754A1D">
        <w:rPr>
          <w:rFonts w:ascii="Times New Roman" w:eastAsiaTheme="minorEastAsia" w:hAnsi="Times New Roman" w:cs="Times New Roman"/>
          <w:b/>
          <w:sz w:val="24"/>
          <w:szCs w:val="24"/>
        </w:rPr>
        <w:t xml:space="preserve">. </w:t>
      </w:r>
    </w:p>
    <w:p w14:paraId="631005EE" w14:textId="77777777" w:rsidR="00BF296A" w:rsidRPr="00754A1D" w:rsidRDefault="00BF296A" w:rsidP="00BF296A">
      <w:pPr>
        <w:spacing w:after="0" w:line="480" w:lineRule="auto"/>
        <w:jc w:val="both"/>
        <w:rPr>
          <w:rFonts w:ascii="Times New Roman" w:hAnsi="Times New Roman" w:cs="Times New Roman"/>
        </w:rPr>
      </w:pPr>
    </w:p>
    <w:p w14:paraId="78C058AB" w14:textId="2106A0A0" w:rsidR="00BF296A" w:rsidRPr="00754A1D" w:rsidRDefault="00BF296A" w:rsidP="00A64FE8">
      <w:pPr>
        <w:spacing w:after="0" w:line="480" w:lineRule="auto"/>
        <w:jc w:val="both"/>
        <w:rPr>
          <w:rFonts w:ascii="Times New Roman" w:hAnsi="Times New Roman" w:cs="Times New Roman"/>
          <w:sz w:val="24"/>
          <w:szCs w:val="24"/>
        </w:rPr>
      </w:pPr>
      <w:r w:rsidRPr="00754A1D">
        <w:rPr>
          <w:rFonts w:ascii="Times New Roman" w:hAnsi="Times New Roman" w:cs="Times New Roman"/>
          <w:sz w:val="24"/>
          <w:szCs w:val="24"/>
          <w:vertAlign w:val="superscript"/>
        </w:rPr>
        <w:t>1</w:t>
      </w:r>
      <w:r w:rsidRPr="00754A1D">
        <w:rPr>
          <w:rFonts w:ascii="Times New Roman" w:hAnsi="Times New Roman" w:cs="Times New Roman"/>
          <w:sz w:val="24"/>
          <w:szCs w:val="24"/>
        </w:rPr>
        <w:t xml:space="preserve">Biodiversity </w:t>
      </w:r>
      <w:proofErr w:type="spellStart"/>
      <w:r w:rsidRPr="00754A1D">
        <w:rPr>
          <w:rFonts w:ascii="Times New Roman" w:hAnsi="Times New Roman" w:cs="Times New Roman"/>
          <w:sz w:val="24"/>
          <w:szCs w:val="24"/>
        </w:rPr>
        <w:t>Research</w:t>
      </w:r>
      <w:proofErr w:type="spellEnd"/>
      <w:r w:rsidRPr="00754A1D">
        <w:rPr>
          <w:rFonts w:ascii="Times New Roman" w:hAnsi="Times New Roman" w:cs="Times New Roman"/>
          <w:sz w:val="24"/>
          <w:szCs w:val="24"/>
        </w:rPr>
        <w:t xml:space="preserve"> Centre, </w:t>
      </w:r>
      <w:proofErr w:type="spellStart"/>
      <w:r w:rsidRPr="00754A1D">
        <w:rPr>
          <w:rFonts w:ascii="Times New Roman" w:hAnsi="Times New Roman" w:cs="Times New Roman"/>
          <w:sz w:val="24"/>
          <w:szCs w:val="24"/>
        </w:rPr>
        <w:t>Earth</w:t>
      </w:r>
      <w:proofErr w:type="spellEnd"/>
      <w:r w:rsidRPr="00754A1D">
        <w:rPr>
          <w:rFonts w:ascii="Times New Roman" w:hAnsi="Times New Roman" w:cs="Times New Roman"/>
          <w:sz w:val="24"/>
          <w:szCs w:val="24"/>
        </w:rPr>
        <w:t xml:space="preserve"> and Life Institute, </w:t>
      </w:r>
      <w:proofErr w:type="spellStart"/>
      <w:r w:rsidRPr="00754A1D">
        <w:rPr>
          <w:rFonts w:ascii="Times New Roman" w:hAnsi="Times New Roman" w:cs="Times New Roman"/>
          <w:sz w:val="24"/>
          <w:szCs w:val="24"/>
        </w:rPr>
        <w:t>UCLouvain</w:t>
      </w:r>
      <w:proofErr w:type="spellEnd"/>
      <w:r w:rsidRPr="00754A1D">
        <w:rPr>
          <w:rFonts w:ascii="Times New Roman" w:hAnsi="Times New Roman" w:cs="Times New Roman"/>
          <w:sz w:val="24"/>
          <w:szCs w:val="24"/>
        </w:rPr>
        <w:t xml:space="preserve">, Croix du sud 4-5, 1348 Louvain-la-Neuve, </w:t>
      </w:r>
      <w:proofErr w:type="spellStart"/>
      <w:r w:rsidRPr="00754A1D">
        <w:rPr>
          <w:rFonts w:ascii="Times New Roman" w:hAnsi="Times New Roman" w:cs="Times New Roman"/>
          <w:sz w:val="24"/>
          <w:szCs w:val="24"/>
        </w:rPr>
        <w:t>Belgium</w:t>
      </w:r>
      <w:proofErr w:type="spellEnd"/>
    </w:p>
    <w:p w14:paraId="1FA0E7D2" w14:textId="5219C61F" w:rsidR="005C131E" w:rsidRPr="00754A1D" w:rsidRDefault="005C131E" w:rsidP="00A64FE8">
      <w:pPr>
        <w:spacing w:after="0" w:line="480" w:lineRule="auto"/>
        <w:jc w:val="both"/>
        <w:rPr>
          <w:rFonts w:ascii="Times New Roman" w:hAnsi="Times New Roman" w:cs="Times New Roman"/>
          <w:sz w:val="24"/>
          <w:szCs w:val="24"/>
        </w:rPr>
      </w:pPr>
      <w:r w:rsidRPr="00754A1D">
        <w:rPr>
          <w:rFonts w:ascii="Times New Roman" w:hAnsi="Times New Roman" w:cs="Times New Roman"/>
          <w:sz w:val="24"/>
          <w:szCs w:val="24"/>
          <w:vertAlign w:val="superscript"/>
        </w:rPr>
        <w:t>2</w:t>
      </w:r>
      <w:r w:rsidRPr="00754A1D">
        <w:rPr>
          <w:rFonts w:ascii="Times New Roman" w:hAnsi="Times New Roman" w:cs="Times New Roman"/>
          <w:sz w:val="24"/>
          <w:szCs w:val="24"/>
        </w:rPr>
        <w:t xml:space="preserve">Louvain Institute of </w:t>
      </w:r>
      <w:proofErr w:type="spellStart"/>
      <w:r w:rsidRPr="00754A1D">
        <w:rPr>
          <w:rFonts w:ascii="Times New Roman" w:hAnsi="Times New Roman" w:cs="Times New Roman"/>
          <w:sz w:val="24"/>
          <w:szCs w:val="24"/>
        </w:rPr>
        <w:t>Biomolecular</w:t>
      </w:r>
      <w:proofErr w:type="spellEnd"/>
      <w:r w:rsidRPr="00754A1D">
        <w:rPr>
          <w:rFonts w:ascii="Times New Roman" w:hAnsi="Times New Roman" w:cs="Times New Roman"/>
          <w:sz w:val="24"/>
          <w:szCs w:val="24"/>
        </w:rPr>
        <w:t xml:space="preserve"> Science and </w:t>
      </w:r>
      <w:proofErr w:type="spellStart"/>
      <w:r w:rsidRPr="00754A1D">
        <w:rPr>
          <w:rFonts w:ascii="Times New Roman" w:hAnsi="Times New Roman" w:cs="Times New Roman"/>
          <w:sz w:val="24"/>
          <w:szCs w:val="24"/>
        </w:rPr>
        <w:t>Technology</w:t>
      </w:r>
      <w:proofErr w:type="spellEnd"/>
      <w:r w:rsidRPr="00754A1D">
        <w:rPr>
          <w:rFonts w:ascii="Times New Roman" w:hAnsi="Times New Roman" w:cs="Times New Roman"/>
          <w:sz w:val="24"/>
          <w:szCs w:val="24"/>
        </w:rPr>
        <w:t xml:space="preserve">, </w:t>
      </w:r>
      <w:proofErr w:type="spellStart"/>
      <w:r w:rsidRPr="00754A1D">
        <w:rPr>
          <w:rFonts w:ascii="Times New Roman" w:hAnsi="Times New Roman" w:cs="Times New Roman"/>
          <w:sz w:val="24"/>
          <w:szCs w:val="24"/>
        </w:rPr>
        <w:t>UCLouvain</w:t>
      </w:r>
      <w:proofErr w:type="spellEnd"/>
      <w:r w:rsidRPr="00754A1D">
        <w:rPr>
          <w:rFonts w:ascii="Times New Roman" w:hAnsi="Times New Roman" w:cs="Times New Roman"/>
          <w:sz w:val="24"/>
          <w:szCs w:val="24"/>
        </w:rPr>
        <w:t xml:space="preserve">, Croix du sud 4-5, 1348, Louvain-la-Neuve, </w:t>
      </w:r>
      <w:proofErr w:type="spellStart"/>
      <w:r w:rsidRPr="00754A1D">
        <w:rPr>
          <w:rFonts w:ascii="Times New Roman" w:hAnsi="Times New Roman" w:cs="Times New Roman"/>
          <w:sz w:val="24"/>
          <w:szCs w:val="24"/>
        </w:rPr>
        <w:t>Belgium</w:t>
      </w:r>
      <w:proofErr w:type="spellEnd"/>
    </w:p>
    <w:p w14:paraId="3E8FAE88" w14:textId="6B73E3AA" w:rsidR="00A64FE8" w:rsidRPr="00754A1D" w:rsidRDefault="00A163C3" w:rsidP="005F3DBA">
      <w:pPr>
        <w:spacing w:after="0" w:line="480" w:lineRule="auto"/>
        <w:jc w:val="both"/>
        <w:rPr>
          <w:rFonts w:ascii="Times New Roman" w:hAnsi="Times New Roman" w:cs="Times New Roman"/>
          <w:sz w:val="24"/>
          <w:szCs w:val="24"/>
        </w:rPr>
      </w:pPr>
      <w:r w:rsidRPr="00754A1D">
        <w:rPr>
          <w:rFonts w:ascii="Times New Roman" w:hAnsi="Times New Roman" w:cs="Times New Roman"/>
          <w:sz w:val="24"/>
          <w:szCs w:val="24"/>
          <w:vertAlign w:val="superscript"/>
        </w:rPr>
        <w:t>3</w:t>
      </w:r>
      <w:r w:rsidR="00A64FE8" w:rsidRPr="00754A1D">
        <w:rPr>
          <w:rFonts w:ascii="Times New Roman" w:hAnsi="Times New Roman" w:cs="Times New Roman"/>
          <w:sz w:val="24"/>
          <w:szCs w:val="24"/>
        </w:rPr>
        <w:t xml:space="preserve">Unit </w:t>
      </w:r>
      <w:r w:rsidR="005F3DBA" w:rsidRPr="00754A1D">
        <w:rPr>
          <w:rFonts w:ascii="Times New Roman" w:hAnsi="Times New Roman" w:cs="Times New Roman"/>
          <w:sz w:val="24"/>
          <w:szCs w:val="24"/>
        </w:rPr>
        <w:t xml:space="preserve">of Social </w:t>
      </w:r>
      <w:proofErr w:type="spellStart"/>
      <w:r w:rsidR="005F3DBA" w:rsidRPr="00754A1D">
        <w:rPr>
          <w:rFonts w:ascii="Times New Roman" w:hAnsi="Times New Roman" w:cs="Times New Roman"/>
          <w:sz w:val="24"/>
          <w:szCs w:val="24"/>
        </w:rPr>
        <w:t>Ecology</w:t>
      </w:r>
      <w:proofErr w:type="spellEnd"/>
      <w:r w:rsidR="00A64FE8" w:rsidRPr="00754A1D">
        <w:rPr>
          <w:rFonts w:ascii="Times New Roman" w:hAnsi="Times New Roman" w:cs="Times New Roman"/>
          <w:sz w:val="24"/>
          <w:szCs w:val="24"/>
        </w:rPr>
        <w:t>, Université libre de Bruxelles, Campus Plaine, Boulevard</w:t>
      </w:r>
      <w:r w:rsidR="005F3DBA" w:rsidRPr="00754A1D">
        <w:rPr>
          <w:rFonts w:ascii="Times New Roman" w:hAnsi="Times New Roman" w:cs="Times New Roman"/>
          <w:sz w:val="24"/>
          <w:szCs w:val="24"/>
        </w:rPr>
        <w:t xml:space="preserve"> du Triomphe 1050</w:t>
      </w:r>
      <w:r w:rsidR="00A64FE8" w:rsidRPr="00754A1D">
        <w:rPr>
          <w:rFonts w:ascii="Times New Roman" w:hAnsi="Times New Roman" w:cs="Times New Roman"/>
          <w:sz w:val="24"/>
          <w:szCs w:val="24"/>
        </w:rPr>
        <w:t xml:space="preserve">, Brussels, </w:t>
      </w:r>
      <w:proofErr w:type="spellStart"/>
      <w:r w:rsidR="00A64FE8" w:rsidRPr="00754A1D">
        <w:rPr>
          <w:rFonts w:ascii="Times New Roman" w:hAnsi="Times New Roman" w:cs="Times New Roman"/>
          <w:sz w:val="24"/>
          <w:szCs w:val="24"/>
        </w:rPr>
        <w:t>Belgium</w:t>
      </w:r>
      <w:proofErr w:type="spellEnd"/>
    </w:p>
    <w:p w14:paraId="601C3A62" w14:textId="759C5738" w:rsidR="0013599C" w:rsidRPr="00754A1D" w:rsidRDefault="00A163C3" w:rsidP="00A64FE8">
      <w:pPr>
        <w:spacing w:after="0" w:line="480" w:lineRule="auto"/>
        <w:jc w:val="both"/>
        <w:rPr>
          <w:rFonts w:ascii="Times New Roman" w:hAnsi="Times New Roman" w:cs="Times New Roman"/>
          <w:sz w:val="24"/>
          <w:szCs w:val="24"/>
        </w:rPr>
      </w:pPr>
      <w:r w:rsidRPr="00754A1D">
        <w:rPr>
          <w:rFonts w:ascii="Times New Roman" w:hAnsi="Times New Roman" w:cs="Times New Roman"/>
          <w:sz w:val="24"/>
          <w:szCs w:val="24"/>
          <w:vertAlign w:val="superscript"/>
        </w:rPr>
        <w:t>4</w:t>
      </w:r>
      <w:r w:rsidR="0013599C" w:rsidRPr="00754A1D">
        <w:rPr>
          <w:rFonts w:ascii="Times New Roman" w:hAnsi="Times New Roman" w:cs="Times New Roman"/>
          <w:sz w:val="24"/>
          <w:szCs w:val="24"/>
        </w:rPr>
        <w:t xml:space="preserve">Chemistry of Natural </w:t>
      </w:r>
      <w:proofErr w:type="spellStart"/>
      <w:r w:rsidR="0013599C" w:rsidRPr="00754A1D">
        <w:rPr>
          <w:rFonts w:ascii="Times New Roman" w:hAnsi="Times New Roman" w:cs="Times New Roman"/>
          <w:sz w:val="24"/>
          <w:szCs w:val="24"/>
        </w:rPr>
        <w:t>Molecules</w:t>
      </w:r>
      <w:proofErr w:type="spellEnd"/>
      <w:r w:rsidR="0013599C" w:rsidRPr="00754A1D">
        <w:rPr>
          <w:rFonts w:ascii="Times New Roman" w:hAnsi="Times New Roman" w:cs="Times New Roman"/>
          <w:sz w:val="24"/>
          <w:szCs w:val="24"/>
        </w:rPr>
        <w:t xml:space="preserve">, Gembloux Agro-Bio Tech, </w:t>
      </w:r>
      <w:proofErr w:type="spellStart"/>
      <w:r w:rsidR="0013599C" w:rsidRPr="00754A1D">
        <w:rPr>
          <w:rFonts w:ascii="Times New Roman" w:hAnsi="Times New Roman" w:cs="Times New Roman"/>
          <w:sz w:val="24"/>
          <w:szCs w:val="24"/>
        </w:rPr>
        <w:t>University</w:t>
      </w:r>
      <w:proofErr w:type="spellEnd"/>
      <w:r w:rsidR="0013599C" w:rsidRPr="00754A1D">
        <w:rPr>
          <w:rFonts w:ascii="Times New Roman" w:hAnsi="Times New Roman" w:cs="Times New Roman"/>
          <w:sz w:val="24"/>
          <w:szCs w:val="24"/>
        </w:rPr>
        <w:t xml:space="preserve"> of </w:t>
      </w:r>
      <w:proofErr w:type="spellStart"/>
      <w:r w:rsidR="0013599C" w:rsidRPr="00754A1D">
        <w:rPr>
          <w:rFonts w:ascii="Times New Roman" w:hAnsi="Times New Roman" w:cs="Times New Roman"/>
          <w:sz w:val="24"/>
          <w:szCs w:val="24"/>
        </w:rPr>
        <w:t>Liege</w:t>
      </w:r>
      <w:proofErr w:type="spellEnd"/>
      <w:r w:rsidR="0013599C" w:rsidRPr="00754A1D">
        <w:rPr>
          <w:rFonts w:ascii="Times New Roman" w:hAnsi="Times New Roman" w:cs="Times New Roman"/>
          <w:sz w:val="24"/>
          <w:szCs w:val="24"/>
        </w:rPr>
        <w:t xml:space="preserve">, Passage des Déportés 2, 5030 Gembloux, </w:t>
      </w:r>
      <w:proofErr w:type="spellStart"/>
      <w:r w:rsidR="0013599C" w:rsidRPr="00754A1D">
        <w:rPr>
          <w:rFonts w:ascii="Times New Roman" w:hAnsi="Times New Roman" w:cs="Times New Roman"/>
          <w:sz w:val="24"/>
          <w:szCs w:val="24"/>
        </w:rPr>
        <w:t>Belgium</w:t>
      </w:r>
      <w:proofErr w:type="spellEnd"/>
    </w:p>
    <w:p w14:paraId="03C8643B" w14:textId="77777777" w:rsidR="0013599C" w:rsidRPr="00754A1D" w:rsidRDefault="0013599C" w:rsidP="00BF296A">
      <w:pPr>
        <w:spacing w:after="0" w:line="480" w:lineRule="auto"/>
        <w:jc w:val="both"/>
        <w:rPr>
          <w:rFonts w:ascii="Times New Roman" w:hAnsi="Times New Roman" w:cs="Times New Roman"/>
          <w:sz w:val="24"/>
          <w:szCs w:val="24"/>
        </w:rPr>
      </w:pPr>
    </w:p>
    <w:p w14:paraId="7FF8020E" w14:textId="591E9A97" w:rsidR="00BF296A" w:rsidRPr="00754A1D" w:rsidRDefault="00BF296A" w:rsidP="00BF296A">
      <w:pPr>
        <w:spacing w:after="0" w:line="480" w:lineRule="auto"/>
        <w:jc w:val="both"/>
        <w:rPr>
          <w:rFonts w:ascii="Times New Roman" w:hAnsi="Times New Roman" w:cs="Times New Roman"/>
          <w:sz w:val="24"/>
          <w:szCs w:val="24"/>
          <w:vertAlign w:val="superscript"/>
        </w:rPr>
      </w:pPr>
    </w:p>
    <w:p w14:paraId="061D81E7" w14:textId="77777777" w:rsidR="005C131E" w:rsidRPr="00754A1D" w:rsidRDefault="005C131E" w:rsidP="00BF296A">
      <w:pPr>
        <w:spacing w:after="0" w:line="480" w:lineRule="auto"/>
        <w:jc w:val="both"/>
        <w:rPr>
          <w:rFonts w:ascii="Times New Roman" w:hAnsi="Times New Roman" w:cs="Times New Roman"/>
        </w:rPr>
      </w:pPr>
    </w:p>
    <w:p w14:paraId="6873D71C" w14:textId="77777777" w:rsidR="00BF296A" w:rsidRPr="00754A1D" w:rsidRDefault="00BF296A" w:rsidP="00BF296A">
      <w:pPr>
        <w:spacing w:after="0" w:line="480" w:lineRule="auto"/>
        <w:jc w:val="both"/>
        <w:rPr>
          <w:rFonts w:ascii="Times New Roman" w:hAnsi="Times New Roman" w:cs="Times New Roman"/>
          <w:sz w:val="24"/>
          <w:szCs w:val="24"/>
        </w:rPr>
      </w:pPr>
      <w:r w:rsidRPr="00754A1D">
        <w:rPr>
          <w:rFonts w:ascii="Times New Roman" w:hAnsi="Times New Roman" w:cs="Times New Roman"/>
          <w:sz w:val="24"/>
          <w:szCs w:val="24"/>
          <w:vertAlign w:val="superscript"/>
        </w:rPr>
        <w:t>*</w:t>
      </w:r>
      <w:proofErr w:type="spellStart"/>
      <w:r w:rsidRPr="00754A1D">
        <w:rPr>
          <w:rFonts w:ascii="Times New Roman" w:hAnsi="Times New Roman" w:cs="Times New Roman"/>
          <w:sz w:val="24"/>
          <w:szCs w:val="24"/>
        </w:rPr>
        <w:t>Address</w:t>
      </w:r>
      <w:proofErr w:type="spellEnd"/>
      <w:r w:rsidRPr="00754A1D">
        <w:rPr>
          <w:rFonts w:ascii="Times New Roman" w:hAnsi="Times New Roman" w:cs="Times New Roman"/>
          <w:sz w:val="24"/>
          <w:szCs w:val="24"/>
        </w:rPr>
        <w:t xml:space="preserve"> </w:t>
      </w:r>
      <w:proofErr w:type="spellStart"/>
      <w:r w:rsidRPr="00754A1D">
        <w:rPr>
          <w:rFonts w:ascii="Times New Roman" w:hAnsi="Times New Roman" w:cs="Times New Roman"/>
          <w:sz w:val="24"/>
          <w:szCs w:val="24"/>
        </w:rPr>
        <w:t>correspondence</w:t>
      </w:r>
      <w:proofErr w:type="spellEnd"/>
      <w:r w:rsidRPr="00754A1D">
        <w:rPr>
          <w:rFonts w:ascii="Times New Roman" w:hAnsi="Times New Roman" w:cs="Times New Roman"/>
          <w:sz w:val="24"/>
          <w:szCs w:val="24"/>
        </w:rPr>
        <w:t xml:space="preserve"> to François Renoz, </w:t>
      </w:r>
      <w:hyperlink r:id="rId8" w:history="1">
        <w:r w:rsidRPr="00754A1D">
          <w:rPr>
            <w:rStyle w:val="Lienhypertexte"/>
            <w:rFonts w:ascii="Times New Roman" w:hAnsi="Times New Roman" w:cs="Times New Roman"/>
            <w:color w:val="auto"/>
          </w:rPr>
          <w:t>francois.renoz@uclouvain.be</w:t>
        </w:r>
      </w:hyperlink>
      <w:r w:rsidRPr="00754A1D">
        <w:rPr>
          <w:rStyle w:val="Lienhypertexte"/>
          <w:rFonts w:ascii="Times New Roman" w:hAnsi="Times New Roman" w:cs="Times New Roman"/>
          <w:color w:val="auto"/>
        </w:rPr>
        <w:t xml:space="preserve"> </w:t>
      </w:r>
    </w:p>
    <w:p w14:paraId="61249B9E" w14:textId="35620396" w:rsidR="00BF296A" w:rsidRPr="00754A1D" w:rsidRDefault="00BF296A" w:rsidP="00F237FA">
      <w:pPr>
        <w:spacing w:after="0" w:line="480" w:lineRule="auto"/>
        <w:jc w:val="both"/>
        <w:rPr>
          <w:rFonts w:ascii="Times New Roman" w:hAnsi="Times New Roman" w:cs="Times New Roman"/>
          <w:sz w:val="24"/>
          <w:szCs w:val="24"/>
        </w:rPr>
      </w:pPr>
    </w:p>
    <w:p w14:paraId="0C3070CE" w14:textId="77777777" w:rsidR="00BF296A" w:rsidRPr="00754A1D" w:rsidRDefault="00BF296A" w:rsidP="00F237FA">
      <w:pPr>
        <w:spacing w:after="0" w:line="480" w:lineRule="auto"/>
        <w:jc w:val="both"/>
        <w:rPr>
          <w:rFonts w:ascii="Times New Roman" w:hAnsi="Times New Roman" w:cs="Times New Roman"/>
          <w:sz w:val="24"/>
          <w:szCs w:val="24"/>
        </w:rPr>
      </w:pPr>
    </w:p>
    <w:p w14:paraId="63CA6C54" w14:textId="63B4D0C9" w:rsidR="00F02965" w:rsidRPr="00754A1D" w:rsidRDefault="00F02965" w:rsidP="00F237FA">
      <w:pPr>
        <w:spacing w:after="0" w:line="480" w:lineRule="auto"/>
        <w:jc w:val="both"/>
        <w:rPr>
          <w:rFonts w:ascii="Times New Roman" w:hAnsi="Times New Roman" w:cs="Times New Roman"/>
          <w:b/>
          <w:sz w:val="24"/>
          <w:szCs w:val="24"/>
        </w:rPr>
      </w:pPr>
    </w:p>
    <w:p w14:paraId="2ABA9958" w14:textId="77777777" w:rsidR="00771BCC" w:rsidRPr="00754A1D" w:rsidRDefault="00771BCC" w:rsidP="00F237FA">
      <w:pPr>
        <w:spacing w:after="0" w:line="480" w:lineRule="auto"/>
        <w:jc w:val="both"/>
        <w:rPr>
          <w:rFonts w:ascii="Times New Roman" w:hAnsi="Times New Roman" w:cs="Times New Roman"/>
          <w:sz w:val="24"/>
          <w:szCs w:val="24"/>
        </w:rPr>
      </w:pPr>
    </w:p>
    <w:p w14:paraId="6BB7686F" w14:textId="656D2F59" w:rsidR="005C131E" w:rsidRPr="00754A1D" w:rsidRDefault="005C131E" w:rsidP="00F237FA">
      <w:pPr>
        <w:spacing w:after="0" w:line="480" w:lineRule="auto"/>
        <w:jc w:val="both"/>
        <w:rPr>
          <w:rFonts w:ascii="Times New Roman" w:hAnsi="Times New Roman" w:cs="Times New Roman"/>
          <w:sz w:val="24"/>
          <w:szCs w:val="24"/>
        </w:rPr>
      </w:pPr>
    </w:p>
    <w:p w14:paraId="28BE48DE" w14:textId="77777777" w:rsidR="000A0E94" w:rsidRPr="00754A1D" w:rsidRDefault="000A0E94" w:rsidP="00F237FA">
      <w:pPr>
        <w:spacing w:after="0" w:line="480" w:lineRule="auto"/>
        <w:jc w:val="both"/>
        <w:rPr>
          <w:rFonts w:ascii="Times New Roman" w:hAnsi="Times New Roman" w:cs="Times New Roman"/>
          <w:sz w:val="24"/>
          <w:szCs w:val="24"/>
        </w:rPr>
      </w:pPr>
    </w:p>
    <w:p w14:paraId="73AF7778" w14:textId="660DAE71" w:rsidR="00F237FA" w:rsidRPr="00754A1D" w:rsidRDefault="005C131E" w:rsidP="001239F0">
      <w:pPr>
        <w:spacing w:before="240" w:line="480" w:lineRule="auto"/>
        <w:jc w:val="both"/>
        <w:rPr>
          <w:rFonts w:ascii="Times New Roman" w:hAnsi="Times New Roman" w:cs="Times New Roman"/>
          <w:b/>
          <w:bCs/>
          <w:sz w:val="28"/>
          <w:szCs w:val="28"/>
          <w:lang w:val="en-US"/>
        </w:rPr>
      </w:pPr>
      <w:r w:rsidRPr="00754A1D">
        <w:rPr>
          <w:rFonts w:ascii="Times New Roman" w:hAnsi="Times New Roman" w:cs="Times New Roman"/>
          <w:b/>
          <w:bCs/>
          <w:sz w:val="28"/>
          <w:szCs w:val="28"/>
          <w:lang w:val="en-US"/>
        </w:rPr>
        <w:lastRenderedPageBreak/>
        <w:t xml:space="preserve">Abstract </w:t>
      </w:r>
    </w:p>
    <w:p w14:paraId="25A21ECC" w14:textId="5F8BBEE7" w:rsidR="00596358" w:rsidRPr="00754A1D" w:rsidRDefault="00C26F11" w:rsidP="00F237FA">
      <w:pPr>
        <w:spacing w:after="0"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Although synthetic pesticides are still used to control insect pests, greater efforts have been made to develop healthier and more environmentally friendly</w:t>
      </w:r>
      <w:r w:rsidR="000261F9" w:rsidRPr="00754A1D">
        <w:rPr>
          <w:rFonts w:ascii="Times New Roman" w:hAnsi="Times New Roman" w:cs="Times New Roman"/>
          <w:sz w:val="24"/>
          <w:szCs w:val="24"/>
          <w:lang w:val="en-US"/>
        </w:rPr>
        <w:t xml:space="preserve"> pesticides</w:t>
      </w:r>
      <w:r w:rsidRPr="00754A1D">
        <w:rPr>
          <w:rFonts w:ascii="Times New Roman" w:hAnsi="Times New Roman" w:cs="Times New Roman"/>
          <w:sz w:val="24"/>
          <w:szCs w:val="24"/>
          <w:lang w:val="en-US"/>
        </w:rPr>
        <w:t xml:space="preserve">. </w:t>
      </w:r>
      <w:r w:rsidR="004D10B2" w:rsidRPr="00754A1D">
        <w:rPr>
          <w:rFonts w:ascii="Times New Roman" w:hAnsi="Times New Roman" w:cs="Times New Roman"/>
          <w:sz w:val="24"/>
          <w:szCs w:val="24"/>
          <w:lang w:val="en-US"/>
        </w:rPr>
        <w:t xml:space="preserve">Because of their insecticidal properties, botanical essential oils (EOs) are considered as promising alternatives to the use of synthetic insecticides. </w:t>
      </w:r>
      <w:r w:rsidR="001A7251" w:rsidRPr="00754A1D">
        <w:rPr>
          <w:rFonts w:ascii="Times New Roman" w:hAnsi="Times New Roman" w:cs="Times New Roman"/>
          <w:sz w:val="24"/>
          <w:szCs w:val="24"/>
          <w:lang w:val="en-US"/>
        </w:rPr>
        <w:t xml:space="preserve">However, little is known about mechanisms underlying the insecticidal activity of most these natural compounds. </w:t>
      </w:r>
      <w:r w:rsidR="007624EB" w:rsidRPr="00754A1D">
        <w:rPr>
          <w:rFonts w:ascii="Times New Roman" w:hAnsi="Times New Roman" w:cs="Times New Roman"/>
          <w:sz w:val="24"/>
          <w:szCs w:val="24"/>
          <w:lang w:val="en-US"/>
        </w:rPr>
        <w:t>In the present study, we</w:t>
      </w:r>
      <w:r w:rsidR="00F02965" w:rsidRPr="00754A1D">
        <w:rPr>
          <w:rFonts w:ascii="Times New Roman" w:hAnsi="Times New Roman" w:cs="Times New Roman"/>
          <w:sz w:val="24"/>
          <w:szCs w:val="24"/>
          <w:lang w:val="en-US"/>
        </w:rPr>
        <w:t xml:space="preserve"> </w:t>
      </w:r>
      <w:r w:rsidR="007624EB" w:rsidRPr="00754A1D">
        <w:rPr>
          <w:rFonts w:ascii="Times New Roman" w:hAnsi="Times New Roman" w:cs="Times New Roman"/>
          <w:sz w:val="24"/>
          <w:szCs w:val="24"/>
          <w:lang w:val="en-US"/>
        </w:rPr>
        <w:t>evaluated</w:t>
      </w:r>
      <w:r w:rsidR="00F02965" w:rsidRPr="00754A1D">
        <w:rPr>
          <w:rFonts w:ascii="Times New Roman" w:hAnsi="Times New Roman" w:cs="Times New Roman"/>
          <w:sz w:val="24"/>
          <w:szCs w:val="24"/>
          <w:lang w:val="en-US"/>
        </w:rPr>
        <w:t xml:space="preserve"> the contact toxicity and the mode</w:t>
      </w:r>
      <w:r w:rsidR="00811CA2" w:rsidRPr="00754A1D">
        <w:rPr>
          <w:rFonts w:ascii="Times New Roman" w:hAnsi="Times New Roman" w:cs="Times New Roman"/>
          <w:sz w:val="24"/>
          <w:szCs w:val="24"/>
          <w:lang w:val="en-US"/>
        </w:rPr>
        <w:t>s</w:t>
      </w:r>
      <w:r w:rsidR="00F02965" w:rsidRPr="00754A1D">
        <w:rPr>
          <w:rFonts w:ascii="Times New Roman" w:hAnsi="Times New Roman" w:cs="Times New Roman"/>
          <w:sz w:val="24"/>
          <w:szCs w:val="24"/>
          <w:lang w:val="en-US"/>
        </w:rPr>
        <w:t xml:space="preserve"> of action of </w:t>
      </w:r>
      <w:r w:rsidR="0013599C" w:rsidRPr="00754A1D">
        <w:rPr>
          <w:rFonts w:ascii="Times New Roman" w:hAnsi="Times New Roman" w:cs="Times New Roman"/>
          <w:sz w:val="24"/>
          <w:szCs w:val="24"/>
          <w:lang w:val="en-US"/>
        </w:rPr>
        <w:t xml:space="preserve">the </w:t>
      </w:r>
      <w:r w:rsidR="003F20F8" w:rsidRPr="00754A1D">
        <w:rPr>
          <w:rFonts w:ascii="Times New Roman" w:hAnsi="Times New Roman" w:cs="Times New Roman"/>
          <w:sz w:val="24"/>
          <w:szCs w:val="24"/>
          <w:lang w:val="en-US"/>
        </w:rPr>
        <w:t>EO</w:t>
      </w:r>
      <w:r w:rsidR="0013599C" w:rsidRPr="00754A1D">
        <w:rPr>
          <w:rFonts w:ascii="Times New Roman" w:hAnsi="Times New Roman" w:cs="Times New Roman"/>
          <w:sz w:val="24"/>
          <w:szCs w:val="24"/>
          <w:lang w:val="en-US"/>
        </w:rPr>
        <w:t xml:space="preserve"> from </w:t>
      </w:r>
      <w:r w:rsidR="00B66CAC" w:rsidRPr="00754A1D">
        <w:rPr>
          <w:rFonts w:ascii="Times New Roman" w:hAnsi="Times New Roman" w:cs="Times New Roman"/>
          <w:i/>
          <w:sz w:val="24"/>
          <w:szCs w:val="24"/>
          <w:lang w:val="en-US"/>
        </w:rPr>
        <w:t xml:space="preserve">Mentha arvensis </w:t>
      </w:r>
      <w:r w:rsidR="00596358" w:rsidRPr="00754A1D">
        <w:rPr>
          <w:rFonts w:ascii="Times New Roman" w:hAnsi="Times New Roman" w:cs="Times New Roman"/>
          <w:sz w:val="24"/>
          <w:szCs w:val="24"/>
          <w:lang w:val="en-US"/>
        </w:rPr>
        <w:t>against</w:t>
      </w:r>
      <w:r w:rsidR="00F02965" w:rsidRPr="00754A1D">
        <w:rPr>
          <w:rFonts w:ascii="Times New Roman" w:hAnsi="Times New Roman" w:cs="Times New Roman"/>
          <w:sz w:val="24"/>
          <w:szCs w:val="24"/>
          <w:lang w:val="en-US"/>
        </w:rPr>
        <w:t xml:space="preserve"> </w:t>
      </w:r>
      <w:r w:rsidR="00596358" w:rsidRPr="00754A1D">
        <w:rPr>
          <w:rFonts w:ascii="Times New Roman" w:hAnsi="Times New Roman" w:cs="Times New Roman"/>
          <w:sz w:val="24"/>
          <w:szCs w:val="24"/>
          <w:lang w:val="en-US"/>
        </w:rPr>
        <w:t>the granary weevil</w:t>
      </w:r>
      <w:r w:rsidR="001A7251" w:rsidRPr="00754A1D">
        <w:rPr>
          <w:rFonts w:ascii="Times New Roman" w:hAnsi="Times New Roman" w:cs="Times New Roman"/>
          <w:sz w:val="24"/>
          <w:szCs w:val="24"/>
          <w:lang w:val="en-US"/>
        </w:rPr>
        <w:t>,</w:t>
      </w:r>
      <w:r w:rsidR="00596358" w:rsidRPr="00754A1D">
        <w:rPr>
          <w:rFonts w:ascii="Times New Roman" w:hAnsi="Times New Roman" w:cs="Times New Roman"/>
          <w:sz w:val="24"/>
          <w:szCs w:val="24"/>
          <w:lang w:val="en-US"/>
        </w:rPr>
        <w:t xml:space="preserve"> </w:t>
      </w:r>
      <w:r w:rsidR="00596358" w:rsidRPr="00754A1D">
        <w:rPr>
          <w:rFonts w:ascii="Times New Roman" w:hAnsi="Times New Roman" w:cs="Times New Roman"/>
          <w:i/>
          <w:sz w:val="24"/>
          <w:szCs w:val="24"/>
          <w:lang w:val="en-US"/>
        </w:rPr>
        <w:t xml:space="preserve">Sitophilus </w:t>
      </w:r>
      <w:proofErr w:type="spellStart"/>
      <w:r w:rsidR="00596358" w:rsidRPr="00754A1D">
        <w:rPr>
          <w:rFonts w:ascii="Times New Roman" w:hAnsi="Times New Roman" w:cs="Times New Roman"/>
          <w:i/>
          <w:sz w:val="24"/>
          <w:szCs w:val="24"/>
          <w:lang w:val="en-US"/>
        </w:rPr>
        <w:t>granarius</w:t>
      </w:r>
      <w:proofErr w:type="spellEnd"/>
      <w:r w:rsidR="00596358" w:rsidRPr="00754A1D">
        <w:rPr>
          <w:rFonts w:ascii="Times New Roman" w:hAnsi="Times New Roman" w:cs="Times New Roman"/>
          <w:sz w:val="24"/>
          <w:szCs w:val="24"/>
          <w:lang w:val="en-US"/>
        </w:rPr>
        <w:t xml:space="preserve"> L. (Coleoptera: Curculionidae), a cosmopolitan insect pest </w:t>
      </w:r>
      <w:r w:rsidRPr="00754A1D">
        <w:rPr>
          <w:rFonts w:ascii="Times New Roman" w:hAnsi="Times New Roman" w:cs="Times New Roman"/>
          <w:sz w:val="24"/>
          <w:szCs w:val="24"/>
          <w:lang w:val="en-US"/>
        </w:rPr>
        <w:t>that</w:t>
      </w:r>
      <w:r w:rsidR="00596358" w:rsidRPr="00754A1D">
        <w:rPr>
          <w:rFonts w:ascii="Times New Roman" w:hAnsi="Times New Roman" w:cs="Times New Roman"/>
          <w:sz w:val="24"/>
          <w:szCs w:val="24"/>
          <w:lang w:val="en-US"/>
        </w:rPr>
        <w:t xml:space="preserve"> cause</w:t>
      </w:r>
      <w:r w:rsidR="00F23FD8" w:rsidRPr="00754A1D">
        <w:rPr>
          <w:rFonts w:ascii="Times New Roman" w:hAnsi="Times New Roman" w:cs="Times New Roman"/>
          <w:sz w:val="24"/>
          <w:szCs w:val="24"/>
          <w:lang w:val="en-US"/>
        </w:rPr>
        <w:t>s</w:t>
      </w:r>
      <w:r w:rsidR="00596358" w:rsidRPr="00754A1D">
        <w:rPr>
          <w:rFonts w:ascii="Times New Roman" w:hAnsi="Times New Roman" w:cs="Times New Roman"/>
          <w:sz w:val="24"/>
          <w:szCs w:val="24"/>
          <w:lang w:val="en-US"/>
        </w:rPr>
        <w:t xml:space="preserve"> </w:t>
      </w:r>
      <w:r w:rsidRPr="00754A1D">
        <w:rPr>
          <w:rFonts w:ascii="Times New Roman" w:hAnsi="Times New Roman" w:cs="Times New Roman"/>
          <w:sz w:val="24"/>
          <w:szCs w:val="24"/>
          <w:lang w:val="en-US"/>
        </w:rPr>
        <w:t>extensive</w:t>
      </w:r>
      <w:r w:rsidR="00596358" w:rsidRPr="00754A1D">
        <w:rPr>
          <w:rFonts w:ascii="Times New Roman" w:hAnsi="Times New Roman" w:cs="Times New Roman"/>
          <w:sz w:val="24"/>
          <w:szCs w:val="24"/>
          <w:lang w:val="en-US"/>
        </w:rPr>
        <w:t xml:space="preserve"> damage to </w:t>
      </w:r>
      <w:r w:rsidR="007624EB" w:rsidRPr="00754A1D">
        <w:rPr>
          <w:rFonts w:ascii="Times New Roman" w:hAnsi="Times New Roman" w:cs="Times New Roman"/>
          <w:sz w:val="24"/>
          <w:szCs w:val="24"/>
          <w:lang w:val="en-US"/>
        </w:rPr>
        <w:t>stored</w:t>
      </w:r>
      <w:r w:rsidR="00596358" w:rsidRPr="00754A1D">
        <w:rPr>
          <w:rFonts w:ascii="Times New Roman" w:hAnsi="Times New Roman" w:cs="Times New Roman"/>
          <w:sz w:val="24"/>
          <w:szCs w:val="24"/>
          <w:lang w:val="en-US"/>
        </w:rPr>
        <w:t xml:space="preserve"> </w:t>
      </w:r>
      <w:r w:rsidR="000261F9" w:rsidRPr="00754A1D">
        <w:rPr>
          <w:rFonts w:ascii="Times New Roman" w:hAnsi="Times New Roman" w:cs="Times New Roman"/>
          <w:sz w:val="24"/>
          <w:szCs w:val="24"/>
          <w:lang w:val="en-US"/>
        </w:rPr>
        <w:t>cereals</w:t>
      </w:r>
      <w:r w:rsidR="00596358" w:rsidRPr="00754A1D">
        <w:rPr>
          <w:rFonts w:ascii="Times New Roman" w:hAnsi="Times New Roman" w:cs="Times New Roman"/>
          <w:sz w:val="24"/>
          <w:szCs w:val="24"/>
          <w:lang w:val="en-US"/>
        </w:rPr>
        <w:t xml:space="preserve">. </w:t>
      </w:r>
      <w:r w:rsidR="007624EB" w:rsidRPr="00754A1D">
        <w:rPr>
          <w:rFonts w:ascii="Times New Roman" w:hAnsi="Times New Roman" w:cs="Times New Roman"/>
          <w:i/>
          <w:sz w:val="24"/>
          <w:szCs w:val="24"/>
          <w:lang w:val="en-US"/>
        </w:rPr>
        <w:t>M. arvensis</w:t>
      </w:r>
      <w:r w:rsidR="007624EB" w:rsidRPr="00754A1D">
        <w:rPr>
          <w:rFonts w:ascii="Times New Roman" w:hAnsi="Times New Roman" w:cs="Times New Roman"/>
          <w:sz w:val="24"/>
          <w:szCs w:val="24"/>
          <w:lang w:val="en-US"/>
        </w:rPr>
        <w:t xml:space="preserve"> EO caused </w:t>
      </w:r>
      <w:r w:rsidRPr="00754A1D">
        <w:rPr>
          <w:rFonts w:ascii="Times New Roman" w:hAnsi="Times New Roman" w:cs="Times New Roman"/>
          <w:sz w:val="24"/>
          <w:szCs w:val="24"/>
          <w:lang w:val="en-US"/>
        </w:rPr>
        <w:t xml:space="preserve">high contact toxicity in </w:t>
      </w:r>
      <w:r w:rsidRPr="00754A1D">
        <w:rPr>
          <w:rFonts w:ascii="Times New Roman" w:hAnsi="Times New Roman" w:cs="Times New Roman"/>
          <w:i/>
          <w:sz w:val="24"/>
          <w:szCs w:val="24"/>
          <w:lang w:val="en-US"/>
        </w:rPr>
        <w:t xml:space="preserve">S. </w:t>
      </w:r>
      <w:proofErr w:type="spellStart"/>
      <w:r w:rsidRPr="00754A1D">
        <w:rPr>
          <w:rFonts w:ascii="Times New Roman" w:hAnsi="Times New Roman" w:cs="Times New Roman"/>
          <w:i/>
          <w:sz w:val="24"/>
          <w:szCs w:val="24"/>
          <w:lang w:val="en-US"/>
        </w:rPr>
        <w:t>granarius</w:t>
      </w:r>
      <w:proofErr w:type="spellEnd"/>
      <w:r w:rsidRPr="00754A1D">
        <w:rPr>
          <w:rFonts w:ascii="Times New Roman" w:hAnsi="Times New Roman" w:cs="Times New Roman"/>
          <w:sz w:val="24"/>
          <w:szCs w:val="24"/>
          <w:lang w:val="en-US"/>
        </w:rPr>
        <w:t xml:space="preserve"> adults</w:t>
      </w:r>
      <w:r w:rsidR="003F20F8" w:rsidRPr="00754A1D">
        <w:rPr>
          <w:rFonts w:ascii="Times New Roman" w:hAnsi="Times New Roman" w:cs="Times New Roman"/>
          <w:sz w:val="24"/>
          <w:szCs w:val="24"/>
          <w:lang w:val="en-US"/>
        </w:rPr>
        <w:t xml:space="preserve">, resulting in </w:t>
      </w:r>
      <w:r w:rsidR="001D7AEE" w:rsidRPr="00754A1D">
        <w:rPr>
          <w:rFonts w:ascii="Times New Roman" w:hAnsi="Times New Roman" w:cs="Times New Roman"/>
          <w:sz w:val="24"/>
          <w:szCs w:val="24"/>
          <w:lang w:val="en-US"/>
        </w:rPr>
        <w:t xml:space="preserve">a </w:t>
      </w:r>
      <w:r w:rsidR="003F20F8" w:rsidRPr="00754A1D">
        <w:rPr>
          <w:rFonts w:ascii="Times New Roman" w:hAnsi="Times New Roman" w:cs="Times New Roman"/>
          <w:sz w:val="24"/>
          <w:szCs w:val="24"/>
          <w:lang w:val="en-US"/>
        </w:rPr>
        <w:t>rapid paralysis and rapid alteration of walking behavior</w:t>
      </w:r>
      <w:r w:rsidRPr="00754A1D">
        <w:rPr>
          <w:rFonts w:ascii="Times New Roman" w:hAnsi="Times New Roman" w:cs="Times New Roman"/>
          <w:sz w:val="24"/>
          <w:szCs w:val="24"/>
          <w:lang w:val="en-US"/>
        </w:rPr>
        <w:t xml:space="preserve">. </w:t>
      </w:r>
      <w:r w:rsidR="003F20F8" w:rsidRPr="00754A1D">
        <w:rPr>
          <w:rFonts w:ascii="Times New Roman" w:hAnsi="Times New Roman" w:cs="Times New Roman"/>
          <w:sz w:val="24"/>
          <w:szCs w:val="24"/>
          <w:lang w:val="en-US"/>
        </w:rPr>
        <w:t>Our</w:t>
      </w:r>
      <w:r w:rsidR="00596358" w:rsidRPr="00754A1D">
        <w:rPr>
          <w:rFonts w:ascii="Times New Roman" w:hAnsi="Times New Roman" w:cs="Times New Roman"/>
          <w:sz w:val="24"/>
          <w:szCs w:val="24"/>
          <w:lang w:val="en-US"/>
        </w:rPr>
        <w:t xml:space="preserve"> label-free</w:t>
      </w:r>
      <w:r w:rsidR="00F05DE7" w:rsidRPr="00754A1D">
        <w:rPr>
          <w:rFonts w:ascii="Times New Roman" w:hAnsi="Times New Roman" w:cs="Times New Roman"/>
          <w:sz w:val="24"/>
          <w:szCs w:val="24"/>
          <w:lang w:val="en-US"/>
        </w:rPr>
        <w:t xml:space="preserve"> quantitative proteomic</w:t>
      </w:r>
      <w:r w:rsidR="004336B2" w:rsidRPr="00754A1D">
        <w:rPr>
          <w:rFonts w:ascii="Times New Roman" w:hAnsi="Times New Roman" w:cs="Times New Roman"/>
          <w:sz w:val="24"/>
          <w:szCs w:val="24"/>
          <w:lang w:val="en-US"/>
        </w:rPr>
        <w:t>s</w:t>
      </w:r>
      <w:r w:rsidR="00F05DE7" w:rsidRPr="00754A1D">
        <w:rPr>
          <w:rFonts w:ascii="Times New Roman" w:hAnsi="Times New Roman" w:cs="Times New Roman"/>
          <w:sz w:val="24"/>
          <w:szCs w:val="24"/>
          <w:lang w:val="en-US"/>
        </w:rPr>
        <w:t xml:space="preserve"> approach</w:t>
      </w:r>
      <w:r w:rsidR="003F20F8" w:rsidRPr="00754A1D">
        <w:rPr>
          <w:rFonts w:ascii="Times New Roman" w:hAnsi="Times New Roman" w:cs="Times New Roman"/>
          <w:sz w:val="24"/>
          <w:szCs w:val="24"/>
          <w:lang w:val="en-US"/>
        </w:rPr>
        <w:t xml:space="preserve"> revealed </w:t>
      </w:r>
      <w:r w:rsidR="00811CA2" w:rsidRPr="00754A1D">
        <w:rPr>
          <w:rFonts w:ascii="Times New Roman" w:hAnsi="Times New Roman" w:cs="Times New Roman"/>
          <w:sz w:val="24"/>
          <w:szCs w:val="24"/>
          <w:lang w:val="en-US"/>
        </w:rPr>
        <w:t xml:space="preserve">that </w:t>
      </w:r>
      <w:r w:rsidR="00811CA2" w:rsidRPr="00754A1D">
        <w:rPr>
          <w:rFonts w:ascii="Times New Roman" w:hAnsi="Times New Roman" w:cs="Times New Roman"/>
          <w:i/>
          <w:sz w:val="24"/>
          <w:szCs w:val="24"/>
          <w:lang w:val="en-US"/>
        </w:rPr>
        <w:t xml:space="preserve">M. </w:t>
      </w:r>
      <w:r w:rsidR="00B66CAC" w:rsidRPr="00754A1D">
        <w:rPr>
          <w:rFonts w:ascii="Times New Roman" w:hAnsi="Times New Roman" w:cs="Times New Roman"/>
          <w:i/>
          <w:sz w:val="24"/>
          <w:szCs w:val="24"/>
          <w:lang w:val="en-US"/>
        </w:rPr>
        <w:t xml:space="preserve">arvensis </w:t>
      </w:r>
      <w:r w:rsidR="003F20F8" w:rsidRPr="00754A1D">
        <w:rPr>
          <w:rFonts w:ascii="Times New Roman" w:hAnsi="Times New Roman" w:cs="Times New Roman"/>
          <w:sz w:val="24"/>
          <w:szCs w:val="24"/>
          <w:lang w:val="en-US"/>
        </w:rPr>
        <w:t>EO</w:t>
      </w:r>
      <w:r w:rsidR="00811CA2" w:rsidRPr="00754A1D">
        <w:rPr>
          <w:rFonts w:ascii="Times New Roman" w:hAnsi="Times New Roman" w:cs="Times New Roman"/>
          <w:sz w:val="24"/>
          <w:szCs w:val="24"/>
          <w:lang w:val="en-US"/>
        </w:rPr>
        <w:t xml:space="preserve"> induce</w:t>
      </w:r>
      <w:r w:rsidRPr="00754A1D">
        <w:rPr>
          <w:rFonts w:ascii="Times New Roman" w:hAnsi="Times New Roman" w:cs="Times New Roman"/>
          <w:sz w:val="24"/>
          <w:szCs w:val="24"/>
          <w:lang w:val="en-US"/>
        </w:rPr>
        <w:t>d</w:t>
      </w:r>
      <w:r w:rsidR="00811CA2" w:rsidRPr="00754A1D">
        <w:rPr>
          <w:rFonts w:ascii="Times New Roman" w:hAnsi="Times New Roman" w:cs="Times New Roman"/>
          <w:sz w:val="24"/>
          <w:szCs w:val="24"/>
          <w:lang w:val="en-US"/>
        </w:rPr>
        <w:t xml:space="preserve"> dramatic physiological changes in exposed insects. </w:t>
      </w:r>
      <w:r w:rsidR="00F23FD8" w:rsidRPr="00754A1D">
        <w:rPr>
          <w:rFonts w:ascii="Times New Roman" w:hAnsi="Times New Roman" w:cs="Times New Roman"/>
          <w:sz w:val="24"/>
          <w:szCs w:val="24"/>
          <w:lang w:val="en-US"/>
        </w:rPr>
        <w:t xml:space="preserve">The majority of the differentially expressed proteins </w:t>
      </w:r>
      <w:r w:rsidR="00B524CB" w:rsidRPr="00754A1D">
        <w:rPr>
          <w:rFonts w:ascii="Times New Roman" w:hAnsi="Times New Roman" w:cs="Times New Roman"/>
          <w:sz w:val="24"/>
          <w:szCs w:val="24"/>
          <w:lang w:val="en-US"/>
        </w:rPr>
        <w:t xml:space="preserve">(DEPs) </w:t>
      </w:r>
      <w:r w:rsidR="00F23FD8" w:rsidRPr="00754A1D">
        <w:rPr>
          <w:rFonts w:ascii="Times New Roman" w:hAnsi="Times New Roman" w:cs="Times New Roman"/>
          <w:sz w:val="24"/>
          <w:szCs w:val="24"/>
          <w:lang w:val="en-US"/>
        </w:rPr>
        <w:t xml:space="preserve">were </w:t>
      </w:r>
      <w:r w:rsidR="004336B2" w:rsidRPr="00754A1D">
        <w:rPr>
          <w:rFonts w:ascii="Times New Roman" w:hAnsi="Times New Roman" w:cs="Times New Roman"/>
          <w:sz w:val="24"/>
          <w:szCs w:val="24"/>
          <w:lang w:val="en-US"/>
        </w:rPr>
        <w:t>upregulated</w:t>
      </w:r>
      <w:r w:rsidR="00F23FD8" w:rsidRPr="00754A1D">
        <w:rPr>
          <w:rFonts w:ascii="Times New Roman" w:hAnsi="Times New Roman" w:cs="Times New Roman"/>
          <w:sz w:val="24"/>
          <w:szCs w:val="24"/>
          <w:lang w:val="en-US"/>
        </w:rPr>
        <w:t xml:space="preserve"> and </w:t>
      </w:r>
      <w:r w:rsidRPr="00754A1D">
        <w:rPr>
          <w:rFonts w:ascii="Times New Roman" w:hAnsi="Times New Roman" w:cs="Times New Roman"/>
          <w:sz w:val="24"/>
          <w:szCs w:val="24"/>
          <w:lang w:val="en-US"/>
        </w:rPr>
        <w:t xml:space="preserve">are </w:t>
      </w:r>
      <w:r w:rsidR="00811CA2" w:rsidRPr="00754A1D">
        <w:rPr>
          <w:rFonts w:ascii="Times New Roman" w:hAnsi="Times New Roman" w:cs="Times New Roman"/>
          <w:sz w:val="24"/>
          <w:szCs w:val="24"/>
          <w:lang w:val="en-US"/>
        </w:rPr>
        <w:t>related</w:t>
      </w:r>
      <w:r w:rsidR="00F23FD8" w:rsidRPr="00754A1D">
        <w:rPr>
          <w:rFonts w:ascii="Times New Roman" w:hAnsi="Times New Roman" w:cs="Times New Roman"/>
          <w:sz w:val="24"/>
          <w:szCs w:val="24"/>
          <w:lang w:val="en-US"/>
        </w:rPr>
        <w:t xml:space="preserve"> </w:t>
      </w:r>
      <w:r w:rsidR="004336B2" w:rsidRPr="00754A1D">
        <w:rPr>
          <w:rFonts w:ascii="Times New Roman" w:hAnsi="Times New Roman" w:cs="Times New Roman"/>
          <w:sz w:val="24"/>
          <w:szCs w:val="24"/>
          <w:lang w:val="en-US"/>
        </w:rPr>
        <w:t xml:space="preserve">to </w:t>
      </w:r>
      <w:r w:rsidR="00C74CA7" w:rsidRPr="00754A1D">
        <w:rPr>
          <w:rFonts w:ascii="Times New Roman" w:hAnsi="Times New Roman" w:cs="Times New Roman"/>
          <w:sz w:val="24"/>
          <w:szCs w:val="24"/>
          <w:lang w:val="en-US"/>
        </w:rPr>
        <w:t xml:space="preserve">the development and functioning of the muscular and nervous systems, </w:t>
      </w:r>
      <w:r w:rsidR="00F23FD8" w:rsidRPr="00754A1D">
        <w:rPr>
          <w:rFonts w:ascii="Times New Roman" w:hAnsi="Times New Roman" w:cs="Times New Roman"/>
          <w:sz w:val="24"/>
          <w:szCs w:val="24"/>
          <w:lang w:val="en-US"/>
        </w:rPr>
        <w:t>cellular respiration, protein synthesis</w:t>
      </w:r>
      <w:r w:rsidR="004336B2" w:rsidRPr="00754A1D">
        <w:rPr>
          <w:rFonts w:ascii="Times New Roman" w:hAnsi="Times New Roman" w:cs="Times New Roman"/>
          <w:sz w:val="24"/>
          <w:szCs w:val="24"/>
          <w:lang w:val="en-US"/>
        </w:rPr>
        <w:t>,</w:t>
      </w:r>
      <w:r w:rsidR="00F23FD8" w:rsidRPr="00754A1D">
        <w:rPr>
          <w:rFonts w:ascii="Times New Roman" w:hAnsi="Times New Roman" w:cs="Times New Roman"/>
          <w:sz w:val="24"/>
          <w:szCs w:val="24"/>
          <w:lang w:val="en-US"/>
        </w:rPr>
        <w:t xml:space="preserve"> </w:t>
      </w:r>
      <w:r w:rsidR="004336B2" w:rsidRPr="00754A1D">
        <w:rPr>
          <w:rFonts w:ascii="Times New Roman" w:hAnsi="Times New Roman" w:cs="Times New Roman"/>
          <w:sz w:val="24"/>
          <w:szCs w:val="24"/>
          <w:lang w:val="en-US"/>
        </w:rPr>
        <w:t xml:space="preserve">and </w:t>
      </w:r>
      <w:r w:rsidR="00DF17A7" w:rsidRPr="00754A1D">
        <w:rPr>
          <w:rFonts w:ascii="Times New Roman" w:hAnsi="Times New Roman" w:cs="Times New Roman"/>
          <w:sz w:val="24"/>
          <w:szCs w:val="24"/>
          <w:lang w:val="en-US"/>
        </w:rPr>
        <w:t xml:space="preserve">detoxification. These results suggest that </w:t>
      </w:r>
      <w:r w:rsidR="00DF17A7" w:rsidRPr="00754A1D">
        <w:rPr>
          <w:rFonts w:ascii="Times New Roman" w:hAnsi="Times New Roman" w:cs="Times New Roman"/>
          <w:i/>
          <w:sz w:val="24"/>
          <w:szCs w:val="24"/>
          <w:lang w:val="en-US"/>
        </w:rPr>
        <w:t>M. arvensis</w:t>
      </w:r>
      <w:r w:rsidR="00DF17A7" w:rsidRPr="00754A1D">
        <w:rPr>
          <w:rFonts w:ascii="Times New Roman" w:hAnsi="Times New Roman" w:cs="Times New Roman"/>
          <w:sz w:val="24"/>
          <w:szCs w:val="24"/>
          <w:lang w:val="en-US"/>
        </w:rPr>
        <w:t xml:space="preserve"> essential oil </w:t>
      </w:r>
      <w:r w:rsidR="003F20F8" w:rsidRPr="00754A1D">
        <w:rPr>
          <w:rFonts w:ascii="Times New Roman" w:hAnsi="Times New Roman" w:cs="Times New Roman"/>
          <w:sz w:val="24"/>
          <w:szCs w:val="24"/>
          <w:lang w:val="en-US"/>
        </w:rPr>
        <w:t xml:space="preserve">is </w:t>
      </w:r>
      <w:r w:rsidR="000261F9" w:rsidRPr="00754A1D">
        <w:rPr>
          <w:rFonts w:ascii="Times New Roman" w:hAnsi="Times New Roman" w:cs="Times New Roman"/>
          <w:sz w:val="24"/>
          <w:szCs w:val="24"/>
          <w:lang w:val="en-US"/>
        </w:rPr>
        <w:t>capable of affecting</w:t>
      </w:r>
      <w:r w:rsidR="003F20F8" w:rsidRPr="00754A1D">
        <w:rPr>
          <w:rFonts w:ascii="Times New Roman" w:hAnsi="Times New Roman" w:cs="Times New Roman"/>
          <w:sz w:val="24"/>
          <w:szCs w:val="24"/>
          <w:lang w:val="en-US"/>
        </w:rPr>
        <w:t xml:space="preserve"> </w:t>
      </w:r>
      <w:r w:rsidR="00DF17A7" w:rsidRPr="00754A1D">
        <w:rPr>
          <w:rFonts w:ascii="Times New Roman" w:hAnsi="Times New Roman" w:cs="Times New Roman"/>
          <w:sz w:val="24"/>
          <w:szCs w:val="24"/>
          <w:lang w:val="en-US"/>
        </w:rPr>
        <w:t xml:space="preserve">a </w:t>
      </w:r>
      <w:r w:rsidR="003F20F8" w:rsidRPr="00754A1D">
        <w:rPr>
          <w:rFonts w:ascii="Times New Roman" w:hAnsi="Times New Roman" w:cs="Times New Roman"/>
          <w:sz w:val="24"/>
          <w:szCs w:val="24"/>
          <w:lang w:val="en-US"/>
        </w:rPr>
        <w:t>variety</w:t>
      </w:r>
      <w:r w:rsidR="00DF17A7" w:rsidRPr="00754A1D">
        <w:rPr>
          <w:rFonts w:ascii="Times New Roman" w:hAnsi="Times New Roman" w:cs="Times New Roman"/>
          <w:sz w:val="24"/>
          <w:szCs w:val="24"/>
          <w:lang w:val="en-US"/>
        </w:rPr>
        <w:t xml:space="preserve"> of biological processes, </w:t>
      </w:r>
      <w:r w:rsidR="003F20F8" w:rsidRPr="00754A1D">
        <w:rPr>
          <w:rFonts w:ascii="Times New Roman" w:hAnsi="Times New Roman" w:cs="Times New Roman"/>
          <w:sz w:val="24"/>
          <w:szCs w:val="24"/>
          <w:lang w:val="en-US"/>
        </w:rPr>
        <w:t>and shed light on the repair mechanisms put in place in surviving insects to counter the damage inflicted</w:t>
      </w:r>
      <w:r w:rsidR="00DF17A7" w:rsidRPr="00754A1D">
        <w:rPr>
          <w:rFonts w:ascii="Times New Roman" w:hAnsi="Times New Roman" w:cs="Times New Roman"/>
          <w:sz w:val="24"/>
          <w:szCs w:val="24"/>
          <w:lang w:val="en-US"/>
        </w:rPr>
        <w:t xml:space="preserve">. </w:t>
      </w:r>
      <w:r w:rsidR="001D7AEE" w:rsidRPr="00754A1D">
        <w:rPr>
          <w:rFonts w:ascii="Times New Roman" w:hAnsi="Times New Roman" w:cs="Times New Roman"/>
          <w:sz w:val="24"/>
          <w:szCs w:val="24"/>
          <w:lang w:val="en-US"/>
        </w:rPr>
        <w:t>This work opens new perspectives on the proposed mechanisms of insecticidal activity of a promising EO for controlling pests of stored cereals and may represent a first step in the development of novel bio-rational insecticides.</w:t>
      </w:r>
    </w:p>
    <w:p w14:paraId="1533EF24" w14:textId="0469E557" w:rsidR="0041497E" w:rsidRPr="00754A1D" w:rsidRDefault="0041497E" w:rsidP="00F237FA">
      <w:pPr>
        <w:spacing w:after="0" w:line="480" w:lineRule="auto"/>
        <w:jc w:val="both"/>
        <w:rPr>
          <w:rFonts w:ascii="Times New Roman" w:hAnsi="Times New Roman" w:cs="Times New Roman"/>
          <w:sz w:val="24"/>
          <w:szCs w:val="24"/>
          <w:lang w:val="en-US"/>
        </w:rPr>
      </w:pPr>
    </w:p>
    <w:p w14:paraId="48507203" w14:textId="174D3AAF" w:rsidR="0041497E" w:rsidRPr="00754A1D" w:rsidRDefault="0041497E" w:rsidP="00F237FA">
      <w:pPr>
        <w:spacing w:after="0" w:line="480" w:lineRule="auto"/>
        <w:jc w:val="both"/>
        <w:rPr>
          <w:rFonts w:ascii="Times New Roman" w:hAnsi="Times New Roman" w:cs="Times New Roman"/>
          <w:sz w:val="24"/>
          <w:szCs w:val="24"/>
          <w:lang w:val="en-US"/>
        </w:rPr>
      </w:pPr>
    </w:p>
    <w:p w14:paraId="08D10832" w14:textId="77777777" w:rsidR="003C7DB9" w:rsidRPr="00754A1D" w:rsidRDefault="003C7DB9" w:rsidP="00F237FA">
      <w:pPr>
        <w:spacing w:after="0" w:line="480" w:lineRule="auto"/>
        <w:jc w:val="both"/>
        <w:rPr>
          <w:rFonts w:ascii="Times New Roman" w:hAnsi="Times New Roman" w:cs="Times New Roman"/>
          <w:sz w:val="24"/>
          <w:szCs w:val="24"/>
          <w:lang w:val="en-US"/>
        </w:rPr>
      </w:pPr>
    </w:p>
    <w:p w14:paraId="227DF02D" w14:textId="77777777" w:rsidR="0041497E" w:rsidRPr="00754A1D" w:rsidRDefault="0041497E" w:rsidP="00F237FA">
      <w:pPr>
        <w:spacing w:after="0" w:line="480" w:lineRule="auto"/>
        <w:jc w:val="both"/>
        <w:rPr>
          <w:rFonts w:ascii="Times New Roman" w:hAnsi="Times New Roman" w:cs="Times New Roman"/>
          <w:sz w:val="24"/>
          <w:szCs w:val="24"/>
          <w:lang w:val="en-US"/>
        </w:rPr>
      </w:pPr>
    </w:p>
    <w:p w14:paraId="36CDE77A" w14:textId="602B718F" w:rsidR="00665D49" w:rsidRPr="00754A1D" w:rsidRDefault="00F237FA" w:rsidP="00F237FA">
      <w:pPr>
        <w:spacing w:after="0" w:line="480" w:lineRule="auto"/>
        <w:jc w:val="both"/>
        <w:rPr>
          <w:rFonts w:ascii="Times New Roman" w:hAnsi="Times New Roman" w:cs="Times New Roman"/>
          <w:sz w:val="24"/>
          <w:szCs w:val="24"/>
          <w:lang w:val="en-US"/>
        </w:rPr>
      </w:pPr>
      <w:r w:rsidRPr="00754A1D">
        <w:rPr>
          <w:rFonts w:ascii="Times New Roman" w:hAnsi="Times New Roman" w:cs="Times New Roman"/>
          <w:b/>
          <w:sz w:val="24"/>
          <w:szCs w:val="24"/>
          <w:lang w:val="en-US"/>
        </w:rPr>
        <w:t>Keywords</w:t>
      </w:r>
      <w:r w:rsidRPr="00754A1D">
        <w:rPr>
          <w:rFonts w:ascii="Times New Roman" w:hAnsi="Times New Roman" w:cs="Times New Roman"/>
          <w:sz w:val="24"/>
          <w:szCs w:val="24"/>
          <w:lang w:val="en-US"/>
        </w:rPr>
        <w:t xml:space="preserve">: </w:t>
      </w:r>
      <w:r w:rsidR="00183D37" w:rsidRPr="00754A1D">
        <w:rPr>
          <w:rFonts w:ascii="Times New Roman" w:hAnsi="Times New Roman" w:cs="Times New Roman"/>
          <w:sz w:val="24"/>
          <w:szCs w:val="24"/>
          <w:lang w:val="en-US"/>
        </w:rPr>
        <w:t>biopesticide</w:t>
      </w:r>
      <w:r w:rsidR="0041497E" w:rsidRPr="00754A1D">
        <w:rPr>
          <w:rFonts w:ascii="Times New Roman" w:hAnsi="Times New Roman" w:cs="Times New Roman"/>
          <w:sz w:val="24"/>
          <w:szCs w:val="24"/>
          <w:lang w:val="en-US"/>
        </w:rPr>
        <w:t xml:space="preserve">, insecticidal activity, label-free quantitative proteomics, </w:t>
      </w:r>
      <w:r w:rsidR="0013599C" w:rsidRPr="00754A1D">
        <w:rPr>
          <w:rFonts w:ascii="Times New Roman" w:hAnsi="Times New Roman" w:cs="Times New Roman"/>
          <w:i/>
          <w:sz w:val="24"/>
          <w:szCs w:val="24"/>
          <w:lang w:val="en-US"/>
        </w:rPr>
        <w:t>Mentha</w:t>
      </w:r>
      <w:r w:rsidR="0013599C" w:rsidRPr="00754A1D">
        <w:rPr>
          <w:rFonts w:ascii="Times New Roman" w:hAnsi="Times New Roman" w:cs="Times New Roman"/>
          <w:sz w:val="24"/>
          <w:szCs w:val="24"/>
          <w:lang w:val="en-US"/>
        </w:rPr>
        <w:t xml:space="preserve">, </w:t>
      </w:r>
      <w:proofErr w:type="spellStart"/>
      <w:r w:rsidR="00183D37" w:rsidRPr="00754A1D">
        <w:rPr>
          <w:rFonts w:ascii="Times New Roman" w:hAnsi="Times New Roman" w:cs="Times New Roman"/>
          <w:i/>
          <w:sz w:val="24"/>
          <w:szCs w:val="24"/>
          <w:lang w:val="en-US"/>
        </w:rPr>
        <w:t>Sodalis</w:t>
      </w:r>
      <w:proofErr w:type="spellEnd"/>
      <w:r w:rsidR="00183D37" w:rsidRPr="00754A1D">
        <w:rPr>
          <w:rFonts w:ascii="Times New Roman" w:hAnsi="Times New Roman" w:cs="Times New Roman"/>
          <w:sz w:val="24"/>
          <w:szCs w:val="24"/>
          <w:lang w:val="en-US"/>
        </w:rPr>
        <w:t xml:space="preserve">, </w:t>
      </w:r>
      <w:r w:rsidR="0013599C" w:rsidRPr="00754A1D">
        <w:rPr>
          <w:rFonts w:ascii="Times New Roman" w:hAnsi="Times New Roman" w:cs="Times New Roman"/>
          <w:sz w:val="24"/>
          <w:szCs w:val="24"/>
          <w:lang w:val="en-US"/>
        </w:rPr>
        <w:t>weevil</w:t>
      </w:r>
    </w:p>
    <w:p w14:paraId="0F52D6AC" w14:textId="77777777" w:rsidR="00665D49" w:rsidRPr="00754A1D" w:rsidRDefault="00665D49" w:rsidP="003A06C3">
      <w:pPr>
        <w:spacing w:line="480" w:lineRule="auto"/>
        <w:jc w:val="both"/>
        <w:rPr>
          <w:rFonts w:ascii="Times New Roman" w:hAnsi="Times New Roman" w:cs="Times New Roman"/>
          <w:b/>
          <w:bCs/>
          <w:sz w:val="28"/>
          <w:szCs w:val="28"/>
          <w:lang w:val="en-US"/>
        </w:rPr>
      </w:pPr>
      <w:r w:rsidRPr="00754A1D">
        <w:rPr>
          <w:rFonts w:ascii="Times New Roman" w:hAnsi="Times New Roman" w:cs="Times New Roman"/>
          <w:b/>
          <w:bCs/>
          <w:sz w:val="28"/>
          <w:szCs w:val="28"/>
          <w:lang w:val="en-US"/>
        </w:rPr>
        <w:lastRenderedPageBreak/>
        <w:t>Declarations</w:t>
      </w:r>
    </w:p>
    <w:p w14:paraId="34035590" w14:textId="77777777" w:rsidR="00665D49" w:rsidRPr="00754A1D" w:rsidRDefault="00665D49" w:rsidP="00665D49">
      <w:pPr>
        <w:spacing w:after="0" w:line="480" w:lineRule="auto"/>
        <w:jc w:val="both"/>
        <w:rPr>
          <w:rFonts w:ascii="Times New Roman" w:hAnsi="Times New Roman" w:cs="Times New Roman"/>
          <w:b/>
          <w:bCs/>
          <w:sz w:val="24"/>
          <w:szCs w:val="24"/>
          <w:lang w:val="en-US"/>
        </w:rPr>
      </w:pPr>
      <w:r w:rsidRPr="00754A1D">
        <w:rPr>
          <w:rFonts w:ascii="Times New Roman" w:hAnsi="Times New Roman" w:cs="Times New Roman"/>
          <w:b/>
          <w:bCs/>
          <w:sz w:val="24"/>
          <w:szCs w:val="24"/>
          <w:lang w:val="en-US"/>
        </w:rPr>
        <w:t>Funding</w:t>
      </w:r>
    </w:p>
    <w:p w14:paraId="7EF64CE6" w14:textId="6D06D947" w:rsidR="00665D49" w:rsidRPr="00754A1D" w:rsidRDefault="00665D49" w:rsidP="00665D49">
      <w:pPr>
        <w:spacing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This research was supported by the </w:t>
      </w:r>
      <w:proofErr w:type="spellStart"/>
      <w:r w:rsidRPr="00754A1D">
        <w:rPr>
          <w:rFonts w:ascii="Times New Roman" w:hAnsi="Times New Roman" w:cs="Times New Roman"/>
          <w:bCs/>
          <w:sz w:val="24"/>
          <w:szCs w:val="24"/>
          <w:lang w:val="en-US"/>
        </w:rPr>
        <w:t>WALInnove</w:t>
      </w:r>
      <w:proofErr w:type="spellEnd"/>
      <w:r w:rsidRPr="00754A1D">
        <w:rPr>
          <w:rFonts w:ascii="Times New Roman" w:hAnsi="Times New Roman" w:cs="Times New Roman"/>
          <w:bCs/>
          <w:sz w:val="24"/>
          <w:szCs w:val="24"/>
          <w:lang w:val="en-US"/>
        </w:rPr>
        <w:t xml:space="preserve"> program of the Walloon Region (Belgium) under the convention n°1610128, </w:t>
      </w:r>
      <w:proofErr w:type="spellStart"/>
      <w:r w:rsidRPr="00754A1D">
        <w:rPr>
          <w:rFonts w:ascii="Times New Roman" w:hAnsi="Times New Roman" w:cs="Times New Roman"/>
          <w:bCs/>
          <w:sz w:val="24"/>
          <w:szCs w:val="24"/>
          <w:lang w:val="en-US"/>
        </w:rPr>
        <w:t>Oilprotect</w:t>
      </w:r>
      <w:proofErr w:type="spellEnd"/>
      <w:r w:rsidRPr="00754A1D">
        <w:rPr>
          <w:rFonts w:ascii="Times New Roman" w:hAnsi="Times New Roman" w:cs="Times New Roman"/>
          <w:bCs/>
          <w:sz w:val="24"/>
          <w:szCs w:val="24"/>
          <w:lang w:val="en-US"/>
        </w:rPr>
        <w:t xml:space="preserve"> project. </w:t>
      </w:r>
    </w:p>
    <w:p w14:paraId="010A08FF" w14:textId="3B81DACE" w:rsidR="00665D49" w:rsidRPr="00754A1D" w:rsidRDefault="00665D49" w:rsidP="00665D49">
      <w:pPr>
        <w:spacing w:after="0" w:line="480" w:lineRule="auto"/>
        <w:jc w:val="both"/>
        <w:rPr>
          <w:rFonts w:ascii="Times New Roman" w:hAnsi="Times New Roman" w:cs="Times New Roman"/>
          <w:b/>
          <w:bCs/>
          <w:sz w:val="24"/>
          <w:szCs w:val="24"/>
          <w:lang w:val="en-US"/>
        </w:rPr>
      </w:pPr>
      <w:r w:rsidRPr="00754A1D">
        <w:rPr>
          <w:rFonts w:ascii="Times New Roman" w:hAnsi="Times New Roman" w:cs="Times New Roman"/>
          <w:b/>
          <w:bCs/>
          <w:sz w:val="24"/>
          <w:szCs w:val="24"/>
          <w:lang w:val="en-US"/>
        </w:rPr>
        <w:t>Conflicts of interest</w:t>
      </w:r>
    </w:p>
    <w:p w14:paraId="7907CE4A" w14:textId="14708E81" w:rsidR="00665D49" w:rsidRPr="00754A1D" w:rsidRDefault="00665D49" w:rsidP="00665D49">
      <w:pPr>
        <w:spacing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The authors declare that they have no conflicts of interest. </w:t>
      </w:r>
    </w:p>
    <w:p w14:paraId="3D17A96E" w14:textId="3BCE57E8" w:rsidR="00CC3116" w:rsidRPr="00754A1D" w:rsidRDefault="00CC3116" w:rsidP="00CC3116">
      <w:pPr>
        <w:spacing w:after="0" w:line="480" w:lineRule="auto"/>
        <w:jc w:val="both"/>
        <w:rPr>
          <w:rFonts w:ascii="Times New Roman" w:hAnsi="Times New Roman" w:cs="Times New Roman"/>
          <w:b/>
          <w:sz w:val="24"/>
          <w:szCs w:val="24"/>
          <w:lang w:val="en-US"/>
        </w:rPr>
      </w:pPr>
      <w:r w:rsidRPr="00754A1D">
        <w:rPr>
          <w:rFonts w:ascii="Times New Roman" w:hAnsi="Times New Roman" w:cs="Times New Roman"/>
          <w:b/>
          <w:sz w:val="24"/>
          <w:szCs w:val="24"/>
          <w:lang w:val="en-US"/>
        </w:rPr>
        <w:t>Ethics approval</w:t>
      </w:r>
    </w:p>
    <w:p w14:paraId="760F378B" w14:textId="29134049" w:rsidR="00CC3116" w:rsidRPr="00754A1D" w:rsidRDefault="00CC3116" w:rsidP="00665D49">
      <w:pPr>
        <w:spacing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Not applicable</w:t>
      </w:r>
    </w:p>
    <w:p w14:paraId="62960975" w14:textId="33DC0CA0" w:rsidR="00CC3116" w:rsidRPr="00754A1D" w:rsidRDefault="00CC3116" w:rsidP="00CC3116">
      <w:pPr>
        <w:spacing w:after="0" w:line="480" w:lineRule="auto"/>
        <w:jc w:val="both"/>
        <w:rPr>
          <w:rFonts w:ascii="Times New Roman" w:hAnsi="Times New Roman" w:cs="Times New Roman"/>
          <w:b/>
          <w:sz w:val="24"/>
          <w:szCs w:val="24"/>
          <w:lang w:val="en-US"/>
        </w:rPr>
      </w:pPr>
      <w:r w:rsidRPr="00754A1D">
        <w:rPr>
          <w:rFonts w:ascii="Times New Roman" w:hAnsi="Times New Roman" w:cs="Times New Roman"/>
          <w:b/>
          <w:sz w:val="24"/>
          <w:szCs w:val="24"/>
          <w:lang w:val="en-US"/>
        </w:rPr>
        <w:t>Consent to participate</w:t>
      </w:r>
    </w:p>
    <w:p w14:paraId="1BDD1392" w14:textId="27404F29" w:rsidR="00CC3116" w:rsidRPr="00754A1D" w:rsidRDefault="00CC3116" w:rsidP="00665D49">
      <w:pPr>
        <w:spacing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Not applicable</w:t>
      </w:r>
    </w:p>
    <w:p w14:paraId="6929A4EB" w14:textId="028E2F36" w:rsidR="00CC3116" w:rsidRPr="00754A1D" w:rsidRDefault="00CC3116" w:rsidP="00CC3116">
      <w:pPr>
        <w:spacing w:after="0" w:line="480" w:lineRule="auto"/>
        <w:jc w:val="both"/>
        <w:rPr>
          <w:rFonts w:ascii="Times New Roman" w:hAnsi="Times New Roman" w:cs="Times New Roman"/>
          <w:b/>
          <w:sz w:val="24"/>
          <w:szCs w:val="24"/>
          <w:lang w:val="en-US"/>
        </w:rPr>
      </w:pPr>
      <w:r w:rsidRPr="00754A1D">
        <w:rPr>
          <w:rFonts w:ascii="Times New Roman" w:hAnsi="Times New Roman" w:cs="Times New Roman"/>
          <w:b/>
          <w:sz w:val="24"/>
          <w:szCs w:val="24"/>
          <w:lang w:val="en-US"/>
        </w:rPr>
        <w:t>Consent for publication</w:t>
      </w:r>
    </w:p>
    <w:p w14:paraId="23B5D567" w14:textId="31D6BE32" w:rsidR="00CC3116" w:rsidRPr="00754A1D" w:rsidRDefault="00CC3116" w:rsidP="00665D49">
      <w:pPr>
        <w:spacing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Not applicable</w:t>
      </w:r>
    </w:p>
    <w:p w14:paraId="0D6B113E" w14:textId="1D12D768" w:rsidR="00CC3116" w:rsidRPr="00754A1D" w:rsidRDefault="00CC3116" w:rsidP="00665D49">
      <w:pPr>
        <w:spacing w:after="0" w:line="480" w:lineRule="auto"/>
        <w:jc w:val="both"/>
        <w:rPr>
          <w:rFonts w:ascii="Times New Roman" w:hAnsi="Times New Roman" w:cs="Times New Roman"/>
          <w:b/>
          <w:bCs/>
          <w:sz w:val="24"/>
          <w:szCs w:val="24"/>
          <w:lang w:val="en-US"/>
        </w:rPr>
      </w:pPr>
      <w:r w:rsidRPr="00754A1D">
        <w:rPr>
          <w:rFonts w:ascii="Times New Roman" w:hAnsi="Times New Roman" w:cs="Times New Roman"/>
          <w:b/>
          <w:bCs/>
          <w:sz w:val="24"/>
          <w:szCs w:val="24"/>
          <w:lang w:val="en-US"/>
        </w:rPr>
        <w:t xml:space="preserve">Availability of data and material </w:t>
      </w:r>
    </w:p>
    <w:p w14:paraId="6A9FE13C" w14:textId="76DE7410" w:rsidR="00CC3116" w:rsidRPr="00754A1D" w:rsidRDefault="00CC3116" w:rsidP="00CC3116">
      <w:pPr>
        <w:spacing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Not applicable</w:t>
      </w:r>
    </w:p>
    <w:p w14:paraId="1B9F3B66" w14:textId="7FCD98C7" w:rsidR="00665D49" w:rsidRPr="00754A1D" w:rsidRDefault="00CC3116" w:rsidP="00665D49">
      <w:pPr>
        <w:spacing w:after="0" w:line="480" w:lineRule="auto"/>
        <w:jc w:val="both"/>
        <w:rPr>
          <w:rFonts w:ascii="Times New Roman" w:hAnsi="Times New Roman" w:cs="Times New Roman"/>
          <w:b/>
          <w:bCs/>
          <w:sz w:val="24"/>
          <w:szCs w:val="24"/>
          <w:lang w:val="en-US"/>
        </w:rPr>
      </w:pPr>
      <w:r w:rsidRPr="00754A1D">
        <w:rPr>
          <w:rFonts w:ascii="Times New Roman" w:hAnsi="Times New Roman" w:cs="Times New Roman"/>
          <w:b/>
          <w:bCs/>
          <w:sz w:val="24"/>
          <w:szCs w:val="24"/>
          <w:lang w:val="en-US"/>
        </w:rPr>
        <w:t xml:space="preserve">Code availability </w:t>
      </w:r>
    </w:p>
    <w:p w14:paraId="3F3D76CC" w14:textId="6FD6F1A0" w:rsidR="00665D49" w:rsidRPr="00754A1D" w:rsidRDefault="00665D49" w:rsidP="00CC3116">
      <w:pPr>
        <w:spacing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The python code used for video tracking is publicly available from the following link: </w:t>
      </w:r>
      <w:hyperlink r:id="rId9" w:history="1">
        <w:r w:rsidRPr="00754A1D">
          <w:rPr>
            <w:rStyle w:val="Lienhypertexte"/>
            <w:rFonts w:ascii="Times New Roman" w:hAnsi="Times New Roman" w:cs="Times New Roman"/>
            <w:color w:val="auto"/>
            <w:sz w:val="24"/>
            <w:szCs w:val="24"/>
            <w:lang w:val="en-US"/>
          </w:rPr>
          <w:t>https://gitlab.com/abaoula/codes-opencv</w:t>
        </w:r>
      </w:hyperlink>
    </w:p>
    <w:p w14:paraId="46228807" w14:textId="3F9B2DEB" w:rsidR="00665D49" w:rsidRPr="00754A1D" w:rsidRDefault="00665D49" w:rsidP="00665D49">
      <w:pPr>
        <w:spacing w:line="480" w:lineRule="auto"/>
        <w:jc w:val="both"/>
        <w:rPr>
          <w:rFonts w:ascii="Times New Roman" w:hAnsi="Times New Roman" w:cs="Times New Roman"/>
          <w:b/>
          <w:bCs/>
          <w:sz w:val="24"/>
          <w:szCs w:val="24"/>
          <w:lang w:val="en-US"/>
        </w:rPr>
      </w:pPr>
      <w:r w:rsidRPr="00754A1D">
        <w:rPr>
          <w:rFonts w:ascii="Times New Roman" w:hAnsi="Times New Roman" w:cs="Times New Roman"/>
          <w:b/>
          <w:bCs/>
          <w:sz w:val="24"/>
          <w:szCs w:val="24"/>
          <w:lang w:val="en-US"/>
        </w:rPr>
        <w:t xml:space="preserve">Authors’ contributions </w:t>
      </w:r>
    </w:p>
    <w:p w14:paraId="35C94CCF" w14:textId="77777777" w:rsidR="00665D49" w:rsidRPr="00754A1D" w:rsidRDefault="00665D49" w:rsidP="00665D49">
      <w:pPr>
        <w:spacing w:after="0"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FR and TH conceived the study. SD, HD, OL, HM and FR performed the study. SD, HD, SCN, HM and FR analyzed the data; FR wrote the original draft. SD, HD, SCN, OL, HM, JLD, MLF, PM and TH contributed revisions to subsequent drafts. All authors read and approved the manuscript. </w:t>
      </w:r>
    </w:p>
    <w:p w14:paraId="26D1FC1C" w14:textId="77777777" w:rsidR="00CC3116" w:rsidRPr="00754A1D" w:rsidRDefault="00CC3116" w:rsidP="003A06C3">
      <w:pPr>
        <w:spacing w:line="480" w:lineRule="auto"/>
        <w:jc w:val="both"/>
        <w:rPr>
          <w:rFonts w:ascii="Times New Roman" w:hAnsi="Times New Roman" w:cs="Times New Roman"/>
          <w:b/>
          <w:bCs/>
          <w:sz w:val="28"/>
          <w:szCs w:val="28"/>
          <w:lang w:val="en-US"/>
        </w:rPr>
      </w:pPr>
    </w:p>
    <w:p w14:paraId="7DE03D89" w14:textId="161EF3B4" w:rsidR="00CC3116" w:rsidRPr="00754A1D" w:rsidRDefault="00CC3116" w:rsidP="003A06C3">
      <w:pPr>
        <w:spacing w:line="480" w:lineRule="auto"/>
        <w:jc w:val="both"/>
        <w:rPr>
          <w:rFonts w:ascii="Times New Roman" w:hAnsi="Times New Roman" w:cs="Times New Roman"/>
          <w:b/>
          <w:bCs/>
          <w:sz w:val="28"/>
          <w:szCs w:val="28"/>
          <w:lang w:val="en-US"/>
        </w:rPr>
      </w:pPr>
      <w:r w:rsidRPr="00754A1D">
        <w:rPr>
          <w:rFonts w:ascii="Times New Roman" w:hAnsi="Times New Roman" w:cs="Times New Roman"/>
          <w:b/>
          <w:bCs/>
          <w:sz w:val="28"/>
          <w:szCs w:val="28"/>
          <w:lang w:val="en-US"/>
        </w:rPr>
        <w:lastRenderedPageBreak/>
        <w:t>Key message</w:t>
      </w:r>
    </w:p>
    <w:p w14:paraId="646A7E1F" w14:textId="0AB964C8" w:rsidR="00881EBC" w:rsidRPr="00754A1D" w:rsidRDefault="00881EBC" w:rsidP="003A06C3">
      <w:pPr>
        <w:spacing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Studies on the use of </w:t>
      </w:r>
      <w:r w:rsidR="0067749C" w:rsidRPr="00754A1D">
        <w:rPr>
          <w:rFonts w:ascii="Times New Roman" w:hAnsi="Times New Roman" w:cs="Times New Roman"/>
          <w:bCs/>
          <w:sz w:val="24"/>
          <w:szCs w:val="24"/>
          <w:lang w:val="en-US"/>
        </w:rPr>
        <w:t xml:space="preserve">essential oils (EOs) </w:t>
      </w:r>
      <w:r w:rsidRPr="00754A1D">
        <w:rPr>
          <w:rFonts w:ascii="Times New Roman" w:hAnsi="Times New Roman" w:cs="Times New Roman"/>
          <w:bCs/>
          <w:sz w:val="24"/>
          <w:szCs w:val="24"/>
          <w:lang w:val="en-US"/>
        </w:rPr>
        <w:t xml:space="preserve">as insecticides are abundant, but little is known about their modes of action. </w:t>
      </w:r>
    </w:p>
    <w:p w14:paraId="366C0C1F" w14:textId="72DDC262" w:rsidR="00A25085" w:rsidRPr="00754A1D" w:rsidRDefault="00A25085" w:rsidP="003A06C3">
      <w:pPr>
        <w:spacing w:line="480" w:lineRule="auto"/>
        <w:jc w:val="both"/>
        <w:rPr>
          <w:rFonts w:ascii="Times New Roman" w:hAnsi="Times New Roman" w:cs="Times New Roman"/>
          <w:bCs/>
          <w:sz w:val="24"/>
          <w:szCs w:val="24"/>
          <w:lang w:val="en-US"/>
        </w:rPr>
      </w:pPr>
      <w:r w:rsidRPr="00754A1D">
        <w:rPr>
          <w:rFonts w:ascii="Times New Roman" w:hAnsi="Times New Roman" w:cs="Times New Roman"/>
          <w:bCs/>
          <w:i/>
          <w:sz w:val="24"/>
          <w:szCs w:val="24"/>
          <w:lang w:val="en-US"/>
        </w:rPr>
        <w:t>Mentha arvensis</w:t>
      </w:r>
      <w:r w:rsidRPr="00754A1D">
        <w:rPr>
          <w:rFonts w:ascii="Times New Roman" w:hAnsi="Times New Roman" w:cs="Times New Roman"/>
          <w:bCs/>
          <w:sz w:val="24"/>
          <w:szCs w:val="24"/>
          <w:lang w:val="en-US"/>
        </w:rPr>
        <w:t xml:space="preserve"> EO caused </w:t>
      </w:r>
      <w:r w:rsidR="00C1391F" w:rsidRPr="00754A1D">
        <w:rPr>
          <w:rFonts w:ascii="Times New Roman" w:hAnsi="Times New Roman" w:cs="Times New Roman"/>
          <w:bCs/>
          <w:sz w:val="24"/>
          <w:szCs w:val="24"/>
          <w:lang w:val="en-US"/>
        </w:rPr>
        <w:t>high</w:t>
      </w:r>
      <w:r w:rsidRPr="00754A1D">
        <w:rPr>
          <w:rFonts w:ascii="Times New Roman" w:hAnsi="Times New Roman" w:cs="Times New Roman"/>
          <w:bCs/>
          <w:sz w:val="24"/>
          <w:szCs w:val="24"/>
          <w:lang w:val="en-US"/>
        </w:rPr>
        <w:t xml:space="preserve"> contact toxicity in </w:t>
      </w:r>
      <w:r w:rsidRPr="00754A1D">
        <w:rPr>
          <w:rFonts w:ascii="Times New Roman" w:hAnsi="Times New Roman" w:cs="Times New Roman"/>
          <w:bCs/>
          <w:i/>
          <w:sz w:val="24"/>
          <w:szCs w:val="24"/>
          <w:lang w:val="en-US"/>
        </w:rPr>
        <w:t xml:space="preserve">Sitophilus </w:t>
      </w:r>
      <w:proofErr w:type="spellStart"/>
      <w:r w:rsidRPr="00754A1D">
        <w:rPr>
          <w:rFonts w:ascii="Times New Roman" w:hAnsi="Times New Roman" w:cs="Times New Roman"/>
          <w:bCs/>
          <w:i/>
          <w:sz w:val="24"/>
          <w:szCs w:val="24"/>
          <w:lang w:val="en-US"/>
        </w:rPr>
        <w:t>granarius</w:t>
      </w:r>
      <w:proofErr w:type="spellEnd"/>
      <w:r w:rsidRPr="00754A1D">
        <w:rPr>
          <w:rFonts w:ascii="Times New Roman" w:hAnsi="Times New Roman" w:cs="Times New Roman"/>
          <w:bCs/>
          <w:sz w:val="24"/>
          <w:szCs w:val="24"/>
          <w:lang w:val="en-US"/>
        </w:rPr>
        <w:t xml:space="preserve"> adults</w:t>
      </w:r>
      <w:r w:rsidR="008F0116" w:rsidRPr="00754A1D">
        <w:rPr>
          <w:rFonts w:ascii="Times New Roman" w:hAnsi="Times New Roman" w:cs="Times New Roman"/>
          <w:bCs/>
          <w:sz w:val="24"/>
          <w:szCs w:val="24"/>
          <w:lang w:val="en-US"/>
        </w:rPr>
        <w:t xml:space="preserve"> </w:t>
      </w:r>
      <w:r w:rsidR="00C1391F" w:rsidRPr="00754A1D">
        <w:rPr>
          <w:rFonts w:ascii="Times New Roman" w:hAnsi="Times New Roman" w:cs="Times New Roman"/>
          <w:bCs/>
          <w:sz w:val="24"/>
          <w:szCs w:val="24"/>
          <w:lang w:val="en-US"/>
        </w:rPr>
        <w:t xml:space="preserve">resulting in </w:t>
      </w:r>
      <w:r w:rsidRPr="00754A1D">
        <w:rPr>
          <w:rFonts w:ascii="Times New Roman" w:hAnsi="Times New Roman" w:cs="Times New Roman"/>
          <w:bCs/>
          <w:sz w:val="24"/>
          <w:szCs w:val="24"/>
          <w:lang w:val="en-US"/>
        </w:rPr>
        <w:t xml:space="preserve">rapid alteration </w:t>
      </w:r>
      <w:r w:rsidR="00C1391F" w:rsidRPr="00754A1D">
        <w:rPr>
          <w:rFonts w:ascii="Times New Roman" w:hAnsi="Times New Roman" w:cs="Times New Roman"/>
          <w:bCs/>
          <w:sz w:val="24"/>
          <w:szCs w:val="24"/>
          <w:lang w:val="en-US"/>
        </w:rPr>
        <w:t>of</w:t>
      </w:r>
      <w:r w:rsidRPr="00754A1D">
        <w:rPr>
          <w:rFonts w:ascii="Times New Roman" w:hAnsi="Times New Roman" w:cs="Times New Roman"/>
          <w:bCs/>
          <w:sz w:val="24"/>
          <w:szCs w:val="24"/>
          <w:lang w:val="en-US"/>
        </w:rPr>
        <w:t xml:space="preserve"> walking behavior.</w:t>
      </w:r>
    </w:p>
    <w:p w14:paraId="7419AE11" w14:textId="7B5BA08E" w:rsidR="00A25085" w:rsidRPr="00754A1D" w:rsidRDefault="00A25085" w:rsidP="003A06C3">
      <w:pPr>
        <w:spacing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By penetrating the </w:t>
      </w:r>
      <w:r w:rsidR="00C1391F" w:rsidRPr="00754A1D">
        <w:rPr>
          <w:rFonts w:ascii="Times New Roman" w:hAnsi="Times New Roman" w:cs="Times New Roman"/>
          <w:bCs/>
          <w:sz w:val="24"/>
          <w:szCs w:val="24"/>
          <w:lang w:val="en-US"/>
        </w:rPr>
        <w:t xml:space="preserve">insect </w:t>
      </w:r>
      <w:r w:rsidRPr="00754A1D">
        <w:rPr>
          <w:rFonts w:ascii="Times New Roman" w:hAnsi="Times New Roman" w:cs="Times New Roman"/>
          <w:bCs/>
          <w:sz w:val="24"/>
          <w:szCs w:val="24"/>
          <w:lang w:val="en-US"/>
        </w:rPr>
        <w:t xml:space="preserve">cuticle, </w:t>
      </w:r>
      <w:r w:rsidRPr="00754A1D">
        <w:rPr>
          <w:rFonts w:ascii="Times New Roman" w:hAnsi="Times New Roman" w:cs="Times New Roman"/>
          <w:bCs/>
          <w:i/>
          <w:sz w:val="24"/>
          <w:szCs w:val="24"/>
          <w:lang w:val="en-US"/>
        </w:rPr>
        <w:t>M. arvensis</w:t>
      </w:r>
      <w:r w:rsidRPr="00754A1D">
        <w:rPr>
          <w:rFonts w:ascii="Times New Roman" w:hAnsi="Times New Roman" w:cs="Times New Roman"/>
          <w:bCs/>
          <w:sz w:val="24"/>
          <w:szCs w:val="24"/>
          <w:lang w:val="en-US"/>
        </w:rPr>
        <w:t xml:space="preserve"> EO induced dramatic physiological changes</w:t>
      </w:r>
      <w:r w:rsidR="00C1391F" w:rsidRPr="00754A1D">
        <w:rPr>
          <w:rFonts w:ascii="Times New Roman" w:hAnsi="Times New Roman" w:cs="Times New Roman"/>
          <w:bCs/>
          <w:sz w:val="24"/>
          <w:szCs w:val="24"/>
          <w:lang w:val="en-US"/>
        </w:rPr>
        <w:t>.</w:t>
      </w:r>
    </w:p>
    <w:p w14:paraId="7ABF0A36" w14:textId="70104B04" w:rsidR="00A25085" w:rsidRPr="00754A1D" w:rsidRDefault="00A25085" w:rsidP="003A06C3">
      <w:pPr>
        <w:spacing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This work shed light on the </w:t>
      </w:r>
      <w:r w:rsidR="008F0116" w:rsidRPr="00754A1D">
        <w:rPr>
          <w:rFonts w:ascii="Times New Roman" w:hAnsi="Times New Roman" w:cs="Times New Roman"/>
          <w:bCs/>
          <w:sz w:val="24"/>
          <w:szCs w:val="24"/>
          <w:lang w:val="en-US"/>
        </w:rPr>
        <w:t>modes of action</w:t>
      </w:r>
      <w:r w:rsidRPr="00754A1D">
        <w:rPr>
          <w:rFonts w:ascii="Times New Roman" w:hAnsi="Times New Roman" w:cs="Times New Roman"/>
          <w:bCs/>
          <w:sz w:val="24"/>
          <w:szCs w:val="24"/>
          <w:lang w:val="en-US"/>
        </w:rPr>
        <w:t xml:space="preserve"> of a </w:t>
      </w:r>
      <w:r w:rsidR="008F0116" w:rsidRPr="00754A1D">
        <w:rPr>
          <w:rFonts w:ascii="Times New Roman" w:hAnsi="Times New Roman" w:cs="Times New Roman"/>
          <w:bCs/>
          <w:sz w:val="24"/>
          <w:szCs w:val="24"/>
          <w:lang w:val="en-US"/>
        </w:rPr>
        <w:t>promising</w:t>
      </w:r>
      <w:r w:rsidRPr="00754A1D">
        <w:rPr>
          <w:rFonts w:ascii="Times New Roman" w:hAnsi="Times New Roman" w:cs="Times New Roman"/>
          <w:bCs/>
          <w:sz w:val="24"/>
          <w:szCs w:val="24"/>
          <w:lang w:val="en-US"/>
        </w:rPr>
        <w:t xml:space="preserve"> </w:t>
      </w:r>
      <w:r w:rsidR="008F0116" w:rsidRPr="00754A1D">
        <w:rPr>
          <w:rFonts w:ascii="Times New Roman" w:hAnsi="Times New Roman" w:cs="Times New Roman"/>
          <w:bCs/>
          <w:sz w:val="24"/>
          <w:szCs w:val="24"/>
          <w:lang w:val="en-US"/>
        </w:rPr>
        <w:t>candidate</w:t>
      </w:r>
      <w:r w:rsidRPr="00754A1D">
        <w:rPr>
          <w:rFonts w:ascii="Times New Roman" w:hAnsi="Times New Roman" w:cs="Times New Roman"/>
          <w:bCs/>
          <w:sz w:val="24"/>
          <w:szCs w:val="24"/>
          <w:lang w:val="en-US"/>
        </w:rPr>
        <w:t xml:space="preserve"> </w:t>
      </w:r>
      <w:r w:rsidR="008F0116" w:rsidRPr="00754A1D">
        <w:rPr>
          <w:rFonts w:ascii="Times New Roman" w:hAnsi="Times New Roman" w:cs="Times New Roman"/>
          <w:bCs/>
          <w:sz w:val="24"/>
          <w:szCs w:val="24"/>
          <w:lang w:val="en-US"/>
        </w:rPr>
        <w:t>in the development of EO-based insecticides against</w:t>
      </w:r>
      <w:r w:rsidRPr="00754A1D">
        <w:rPr>
          <w:rFonts w:ascii="Times New Roman" w:hAnsi="Times New Roman" w:cs="Times New Roman"/>
          <w:bCs/>
          <w:sz w:val="24"/>
          <w:szCs w:val="24"/>
          <w:lang w:val="en-US"/>
        </w:rPr>
        <w:t xml:space="preserve"> pest</w:t>
      </w:r>
      <w:r w:rsidR="008F0116" w:rsidRPr="00754A1D">
        <w:rPr>
          <w:rFonts w:ascii="Times New Roman" w:hAnsi="Times New Roman" w:cs="Times New Roman"/>
          <w:bCs/>
          <w:sz w:val="24"/>
          <w:szCs w:val="24"/>
          <w:lang w:val="en-US"/>
        </w:rPr>
        <w:t>s</w:t>
      </w:r>
      <w:r w:rsidRPr="00754A1D">
        <w:rPr>
          <w:rFonts w:ascii="Times New Roman" w:hAnsi="Times New Roman" w:cs="Times New Roman"/>
          <w:bCs/>
          <w:sz w:val="24"/>
          <w:szCs w:val="24"/>
          <w:lang w:val="en-US"/>
        </w:rPr>
        <w:t xml:space="preserve"> of stored cereals. </w:t>
      </w:r>
    </w:p>
    <w:p w14:paraId="521EEF19" w14:textId="77777777" w:rsidR="00881EBC" w:rsidRPr="00754A1D" w:rsidRDefault="00881EBC" w:rsidP="003A06C3">
      <w:pPr>
        <w:spacing w:line="480" w:lineRule="auto"/>
        <w:jc w:val="both"/>
        <w:rPr>
          <w:rFonts w:ascii="Times New Roman" w:hAnsi="Times New Roman" w:cs="Times New Roman"/>
          <w:bCs/>
          <w:sz w:val="24"/>
          <w:szCs w:val="24"/>
          <w:lang w:val="en-US"/>
        </w:rPr>
      </w:pPr>
    </w:p>
    <w:p w14:paraId="590EE661" w14:textId="2BA8EFBB" w:rsidR="00CC3116" w:rsidRPr="00754A1D" w:rsidRDefault="00CC3116" w:rsidP="003A06C3">
      <w:pPr>
        <w:spacing w:line="480" w:lineRule="auto"/>
        <w:jc w:val="both"/>
        <w:rPr>
          <w:rFonts w:ascii="Times New Roman" w:hAnsi="Times New Roman" w:cs="Times New Roman"/>
          <w:b/>
          <w:bCs/>
          <w:sz w:val="28"/>
          <w:szCs w:val="28"/>
          <w:lang w:val="en-US"/>
        </w:rPr>
      </w:pPr>
    </w:p>
    <w:p w14:paraId="0B01A045" w14:textId="586E278B" w:rsidR="00CC3116" w:rsidRPr="00754A1D" w:rsidRDefault="00CC3116" w:rsidP="003A06C3">
      <w:pPr>
        <w:spacing w:line="480" w:lineRule="auto"/>
        <w:jc w:val="both"/>
        <w:rPr>
          <w:rFonts w:ascii="Times New Roman" w:hAnsi="Times New Roman" w:cs="Times New Roman"/>
          <w:b/>
          <w:bCs/>
          <w:sz w:val="28"/>
          <w:szCs w:val="28"/>
          <w:lang w:val="en-US"/>
        </w:rPr>
      </w:pPr>
    </w:p>
    <w:p w14:paraId="14EFED58" w14:textId="53710762" w:rsidR="00CC3116" w:rsidRPr="00754A1D" w:rsidRDefault="00CC3116" w:rsidP="003A06C3">
      <w:pPr>
        <w:spacing w:line="480" w:lineRule="auto"/>
        <w:jc w:val="both"/>
        <w:rPr>
          <w:rFonts w:ascii="Times New Roman" w:hAnsi="Times New Roman" w:cs="Times New Roman"/>
          <w:b/>
          <w:bCs/>
          <w:sz w:val="28"/>
          <w:szCs w:val="28"/>
          <w:lang w:val="en-US"/>
        </w:rPr>
      </w:pPr>
    </w:p>
    <w:p w14:paraId="4FD5A36B" w14:textId="51EB12AB" w:rsidR="00CC3116" w:rsidRPr="00754A1D" w:rsidRDefault="00CC3116" w:rsidP="003A06C3">
      <w:pPr>
        <w:spacing w:line="480" w:lineRule="auto"/>
        <w:jc w:val="both"/>
        <w:rPr>
          <w:rFonts w:ascii="Times New Roman" w:hAnsi="Times New Roman" w:cs="Times New Roman"/>
          <w:b/>
          <w:bCs/>
          <w:sz w:val="28"/>
          <w:szCs w:val="28"/>
          <w:lang w:val="en-US"/>
        </w:rPr>
      </w:pPr>
    </w:p>
    <w:p w14:paraId="4237F8F2" w14:textId="7856390C" w:rsidR="00CC3116" w:rsidRPr="00754A1D" w:rsidRDefault="00CC3116" w:rsidP="003A06C3">
      <w:pPr>
        <w:spacing w:line="480" w:lineRule="auto"/>
        <w:jc w:val="both"/>
        <w:rPr>
          <w:rFonts w:ascii="Times New Roman" w:hAnsi="Times New Roman" w:cs="Times New Roman"/>
          <w:b/>
          <w:bCs/>
          <w:sz w:val="28"/>
          <w:szCs w:val="28"/>
          <w:lang w:val="en-US"/>
        </w:rPr>
      </w:pPr>
    </w:p>
    <w:p w14:paraId="1ED77919" w14:textId="4B4D71BF" w:rsidR="00CC3116" w:rsidRPr="00754A1D" w:rsidRDefault="00CC3116" w:rsidP="003A06C3">
      <w:pPr>
        <w:spacing w:line="480" w:lineRule="auto"/>
        <w:jc w:val="both"/>
        <w:rPr>
          <w:rFonts w:ascii="Times New Roman" w:hAnsi="Times New Roman" w:cs="Times New Roman"/>
          <w:b/>
          <w:bCs/>
          <w:sz w:val="28"/>
          <w:szCs w:val="28"/>
          <w:lang w:val="en-US"/>
        </w:rPr>
      </w:pPr>
    </w:p>
    <w:p w14:paraId="75119908" w14:textId="3F28B048" w:rsidR="00CC3116" w:rsidRPr="00754A1D" w:rsidRDefault="00CC3116" w:rsidP="003A06C3">
      <w:pPr>
        <w:spacing w:line="480" w:lineRule="auto"/>
        <w:jc w:val="both"/>
        <w:rPr>
          <w:rFonts w:ascii="Times New Roman" w:hAnsi="Times New Roman" w:cs="Times New Roman"/>
          <w:b/>
          <w:bCs/>
          <w:sz w:val="28"/>
          <w:szCs w:val="28"/>
          <w:lang w:val="en-US"/>
        </w:rPr>
      </w:pPr>
    </w:p>
    <w:p w14:paraId="162C291C" w14:textId="59B98847" w:rsidR="00CC3116" w:rsidRPr="00754A1D" w:rsidRDefault="00CC3116" w:rsidP="003A06C3">
      <w:pPr>
        <w:spacing w:line="480" w:lineRule="auto"/>
        <w:jc w:val="both"/>
        <w:rPr>
          <w:rFonts w:ascii="Times New Roman" w:hAnsi="Times New Roman" w:cs="Times New Roman"/>
          <w:b/>
          <w:bCs/>
          <w:sz w:val="28"/>
          <w:szCs w:val="28"/>
          <w:lang w:val="en-US"/>
        </w:rPr>
      </w:pPr>
    </w:p>
    <w:p w14:paraId="3DADF272" w14:textId="77777777" w:rsidR="000F2428" w:rsidRPr="00754A1D" w:rsidRDefault="000F2428" w:rsidP="003A06C3">
      <w:pPr>
        <w:spacing w:line="480" w:lineRule="auto"/>
        <w:jc w:val="both"/>
        <w:rPr>
          <w:rFonts w:ascii="Times New Roman" w:hAnsi="Times New Roman" w:cs="Times New Roman"/>
          <w:b/>
          <w:bCs/>
          <w:sz w:val="28"/>
          <w:szCs w:val="28"/>
          <w:lang w:val="en-US"/>
        </w:rPr>
      </w:pPr>
    </w:p>
    <w:p w14:paraId="0B6BFD2A" w14:textId="77777777" w:rsidR="00CC3116" w:rsidRPr="00754A1D" w:rsidRDefault="00CC3116" w:rsidP="003A06C3">
      <w:pPr>
        <w:spacing w:line="480" w:lineRule="auto"/>
        <w:jc w:val="both"/>
        <w:rPr>
          <w:rFonts w:ascii="Times New Roman" w:hAnsi="Times New Roman" w:cs="Times New Roman"/>
          <w:b/>
          <w:bCs/>
          <w:sz w:val="28"/>
          <w:szCs w:val="28"/>
          <w:lang w:val="en-US"/>
        </w:rPr>
      </w:pPr>
    </w:p>
    <w:p w14:paraId="2BFA4F50" w14:textId="60C1978F" w:rsidR="00BF5FEC" w:rsidRPr="00754A1D" w:rsidRDefault="003A06C3" w:rsidP="003A06C3">
      <w:pPr>
        <w:spacing w:line="480" w:lineRule="auto"/>
        <w:jc w:val="both"/>
        <w:rPr>
          <w:rFonts w:ascii="Times New Roman" w:hAnsi="Times New Roman" w:cs="Times New Roman"/>
          <w:b/>
          <w:bCs/>
          <w:sz w:val="28"/>
          <w:szCs w:val="28"/>
          <w:lang w:val="en-US"/>
        </w:rPr>
      </w:pPr>
      <w:r w:rsidRPr="00754A1D">
        <w:rPr>
          <w:rFonts w:ascii="Times New Roman" w:hAnsi="Times New Roman" w:cs="Times New Roman"/>
          <w:b/>
          <w:bCs/>
          <w:sz w:val="28"/>
          <w:szCs w:val="28"/>
          <w:lang w:val="en-US"/>
        </w:rPr>
        <w:lastRenderedPageBreak/>
        <w:t>Introduction</w:t>
      </w:r>
    </w:p>
    <w:p w14:paraId="732255DF" w14:textId="35E42CAF" w:rsidR="007F014B" w:rsidRPr="00754A1D" w:rsidRDefault="00D030F4" w:rsidP="00D15D5E">
      <w:pPr>
        <w:spacing w:after="0"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Stored products of agricultural origin are attacked by many insect species, which can </w:t>
      </w:r>
      <w:r w:rsidR="00F30A4E" w:rsidRPr="00754A1D">
        <w:rPr>
          <w:rFonts w:ascii="Times New Roman" w:hAnsi="Times New Roman" w:cs="Times New Roman"/>
          <w:sz w:val="24"/>
          <w:szCs w:val="24"/>
          <w:lang w:val="en-US"/>
        </w:rPr>
        <w:t>lead to</w:t>
      </w:r>
      <w:r w:rsidRPr="00754A1D">
        <w:rPr>
          <w:rFonts w:ascii="Times New Roman" w:hAnsi="Times New Roman" w:cs="Times New Roman"/>
          <w:sz w:val="24"/>
          <w:szCs w:val="24"/>
          <w:lang w:val="en-US"/>
        </w:rPr>
        <w:t xml:space="preserve"> a significant reduction in weight, quality</w:t>
      </w:r>
      <w:r w:rsidR="000261F9" w:rsidRPr="00754A1D">
        <w:rPr>
          <w:rFonts w:ascii="Times New Roman" w:hAnsi="Times New Roman" w:cs="Times New Roman"/>
          <w:sz w:val="24"/>
          <w:szCs w:val="24"/>
          <w:lang w:val="en-US"/>
        </w:rPr>
        <w:t xml:space="preserve"> and </w:t>
      </w:r>
      <w:r w:rsidRPr="00754A1D">
        <w:rPr>
          <w:rFonts w:ascii="Times New Roman" w:hAnsi="Times New Roman" w:cs="Times New Roman"/>
          <w:sz w:val="24"/>
          <w:szCs w:val="24"/>
          <w:lang w:val="en-US"/>
        </w:rPr>
        <w:t xml:space="preserve">commercial value </w:t>
      </w:r>
      <w:r w:rsidR="00946580"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{"citationID":"oTOftN6M","properties":{"formattedCitation":"(Omkar 2018)","plainCitation":"(Omkar 2018)","noteIndex":0},"citationItems":[{"id":643,"uris":["http://zotero.org/users/local/QcSA6amT/items/563JL7FK"],"uri":["http://zotero.org/users/local/QcSA6amT/items/563JL7FK"],"itemData":{"id":643,"type":"book","abstract":"This book comprehensively compiles information on some of the major pests that afflict agricultural, horticultural and medicinal crops in particular as well as many polyphagous pests. Not only does this book deal with the pests of common globally produced crops it also addresses those of rarely dealt with crops such as seed spices, medicinal and aromatic plants. While the perspective of insect pests is largely Indian and South East Asian in context, the book does deal with globally problematic pests, particularly polyphagous ones. Not only will the readers be acquainted with the pests, their damaging potential and their life cycle but also with the latest methods of managements including ecofriendly measures being employed to keep pest populations at manageable levels.  The 27 chapters in the book, are grouped into four sections primarily based on crop types, viz. pest of agricultural, horticultural and medicinal crops, and polyphagous pests, making the book easy to navigate. Each of the chapters is comprehensive and well illustrated and written by academicians who have dedicated their entire lives to the study of a particular crop-pest complex. The final chapter of this book provides an overview on the principles and processes of pest management.","ISBN":"978-981-10-8687-8","language":"en","note":"Google-Books-ID: nhdnDwAAQBAJ","number-of-pages":"1075","publisher":"Springer","source":"Google Books","title":"Pests and Their Management","author":[{"family":"Omkar","given":""}],"issued":{"date-parts":[["2018",8,1]]}}}],"schema":"https://github.com/citation-style-language/schema/raw/master/csl-citation.json"} </w:instrText>
      </w:r>
      <w:r w:rsidR="00946580" w:rsidRPr="00754A1D">
        <w:rPr>
          <w:rFonts w:ascii="Times New Roman" w:hAnsi="Times New Roman" w:cs="Times New Roman"/>
          <w:sz w:val="24"/>
          <w:szCs w:val="24"/>
          <w:lang w:val="en-US"/>
        </w:rPr>
        <w:fldChar w:fldCharType="separate"/>
      </w:r>
      <w:r w:rsidR="00946580" w:rsidRPr="00754A1D">
        <w:rPr>
          <w:rFonts w:ascii="Times New Roman" w:hAnsi="Times New Roman" w:cs="Times New Roman"/>
          <w:sz w:val="24"/>
          <w:lang w:val="en-US"/>
        </w:rPr>
        <w:t>(Omkar 2018)</w:t>
      </w:r>
      <w:r w:rsidR="00946580" w:rsidRPr="00754A1D">
        <w:rPr>
          <w:rFonts w:ascii="Times New Roman" w:hAnsi="Times New Roman" w:cs="Times New Roman"/>
          <w:sz w:val="24"/>
          <w:szCs w:val="24"/>
          <w:lang w:val="en-US"/>
        </w:rPr>
        <w:fldChar w:fldCharType="end"/>
      </w:r>
      <w:r w:rsidRPr="00754A1D">
        <w:rPr>
          <w:rFonts w:ascii="Times New Roman" w:hAnsi="Times New Roman" w:cs="Times New Roman"/>
          <w:sz w:val="24"/>
          <w:szCs w:val="24"/>
          <w:lang w:val="en-US"/>
        </w:rPr>
        <w:t xml:space="preserve">. </w:t>
      </w:r>
      <w:r w:rsidR="00946580" w:rsidRPr="00754A1D">
        <w:rPr>
          <w:rFonts w:ascii="Times New Roman" w:hAnsi="Times New Roman" w:cs="Times New Roman"/>
          <w:sz w:val="24"/>
          <w:szCs w:val="24"/>
          <w:lang w:val="en-US"/>
        </w:rPr>
        <w:t>M</w:t>
      </w:r>
      <w:r w:rsidRPr="00754A1D">
        <w:rPr>
          <w:rFonts w:ascii="Times New Roman" w:hAnsi="Times New Roman" w:cs="Times New Roman"/>
          <w:sz w:val="24"/>
          <w:szCs w:val="24"/>
          <w:lang w:val="en-US"/>
        </w:rPr>
        <w:t>ore than 600 species of pest</w:t>
      </w:r>
      <w:r w:rsidR="000261F9" w:rsidRPr="00754A1D">
        <w:rPr>
          <w:rFonts w:ascii="Times New Roman" w:hAnsi="Times New Roman" w:cs="Times New Roman"/>
          <w:sz w:val="24"/>
          <w:szCs w:val="24"/>
          <w:lang w:val="en-US"/>
        </w:rPr>
        <w:t xml:space="preserve"> beetles</w:t>
      </w:r>
      <w:r w:rsidRPr="00754A1D">
        <w:rPr>
          <w:rFonts w:ascii="Times New Roman" w:hAnsi="Times New Roman" w:cs="Times New Roman"/>
          <w:sz w:val="24"/>
          <w:szCs w:val="24"/>
          <w:lang w:val="en-US"/>
        </w:rPr>
        <w:t xml:space="preserve"> and 70 species of moths are responsible for </w:t>
      </w:r>
      <w:r w:rsidR="000261F9" w:rsidRPr="00754A1D">
        <w:rPr>
          <w:rFonts w:ascii="Times New Roman" w:hAnsi="Times New Roman" w:cs="Times New Roman"/>
          <w:sz w:val="24"/>
          <w:szCs w:val="24"/>
          <w:lang w:val="en-US"/>
        </w:rPr>
        <w:t>about</w:t>
      </w:r>
      <w:r w:rsidRPr="00754A1D">
        <w:rPr>
          <w:rFonts w:ascii="Times New Roman" w:hAnsi="Times New Roman" w:cs="Times New Roman"/>
          <w:sz w:val="24"/>
          <w:szCs w:val="24"/>
          <w:lang w:val="en-US"/>
        </w:rPr>
        <w:t xml:space="preserve"> 10–25% </w:t>
      </w:r>
      <w:r w:rsidR="000261F9" w:rsidRPr="00754A1D">
        <w:rPr>
          <w:rFonts w:ascii="Times New Roman" w:hAnsi="Times New Roman" w:cs="Times New Roman"/>
          <w:sz w:val="24"/>
          <w:szCs w:val="24"/>
          <w:lang w:val="en-US"/>
        </w:rPr>
        <w:t xml:space="preserve">of the </w:t>
      </w:r>
      <w:r w:rsidRPr="00754A1D">
        <w:rPr>
          <w:rFonts w:ascii="Times New Roman" w:hAnsi="Times New Roman" w:cs="Times New Roman"/>
          <w:sz w:val="24"/>
          <w:szCs w:val="24"/>
          <w:lang w:val="en-US"/>
        </w:rPr>
        <w:t>annual quantitative and qualitative losses of stored grain worldwide</w:t>
      </w:r>
      <w:r w:rsidR="00946580" w:rsidRPr="00754A1D">
        <w:rPr>
          <w:rFonts w:ascii="Times New Roman" w:hAnsi="Times New Roman" w:cs="Times New Roman"/>
          <w:sz w:val="24"/>
          <w:szCs w:val="24"/>
          <w:lang w:val="en-US"/>
        </w:rPr>
        <w:t xml:space="preserve"> </w:t>
      </w:r>
      <w:r w:rsidR="00946580"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{"citationID":"xZg6UAT7","properties":{"formattedCitation":"(Jayas et al. 1994; Pourya et al. 2018)","plainCitation":"(Jayas et al. 1994; Pourya et al. 2018)","noteIndex":0},"citationItems":[{"id":645,"uris":["http://zotero.org/users/local/QcSA6amT/items/PXMHXFMZ"],"uri":["http://zotero.org/users/local/QcSA6amT/items/PXMHXFMZ"],"itemData":{"id":645,"type":"book","abstract":"This work takes a multidisciplinary approach to grain storage research, applying knowledge from the fields of biology, cereal chemistry, economics, engineering, mathematical modelling and toxicology to the study of the complex interactions among physical and biological variables in stored-grain bulks that cause the deterioration of stored grain. Details the prevention and control of pests and contaminants.","ISBN":"978-0-8247-8983-1","language":"en","note":"Google-Books-ID: oSVP6ouYVn4C","number-of-pages":"784","publisher":"CRC Press","source":"Google Books","title":"Stored-Grain Ecosystems","author":[{"family":"Jayas","given":"Digvir S."},{"family":"White","given":"Noel D. G."},{"family":"Muir","given":"William E."}],"issued":{"date-parts":[["1994",10,20]]}}},{"id":647,"uris":["http://zotero.org/users/local/QcSA6amT/items/BSR7ETY9"],"uri":["http://zotero.org/users/local/QcSA6amT/items/BSR7ETY9"],"itemData":{"id":647,"type":"article-journal","abstract":"One of the major storage insect pests of cowpea and many other grains is Callosobruchus maculatus (F.) (Col.: Bruchidae). The use of plant materials rather than conventional pesticides to control these pests is a promising alternative to neurotoxic insecticides. In this study, for the first time, the fumigant, contact toxicity and repellent activity of Pistacia atlantica Desf. Subsp. kurdica (Zohary) Rech. f. (gum, fruit and leaves) and Pistacia khinjuk Stocks (fruit and leaf) essential oils were tested against adults of C. maculatus. The essential oil from P. khinjuk fruit showed a stronger fumigant activity against C. maculatus after 24 h exposure (LC50 = 22 μl/l air) compared to the leaves (LC50 = 29 μl/l air). As for P. atlantica subsp. kurdica, the essential oil from the gum showed the highest activity at 24 h (LC50 = 7.0 μl/l air) compared to the fruit (LC50 = 18 μl/l air) and leaves (LC50 = 24 μl/l air). In contact toxicity bioassays, the P. khinjuk fruit and leaf oils caused significant mortality to C. maculatus adults upon contact for 24 h (LC50 = 0.12 μl/cm2 and LC50 = 0.14 μl/cm2, respectively), while the P. atlantica subsp. kurdica gum was the most toxic at 24 h (LC50 = 0.07 μl/cm2) compared to the fruit oil (LC50 = 0.11 μl/cm2) and leaf oil (LC50 = 0.08 μl/cm2). At the highest concentration of 0.0234 μl/cm3, the respective repellency percentages for P. atlantica subsp. kurdica gum, leaves and fruit oils at 24 h were 82%, 77% and 70%. For P. khinjuk, the respective repellency percentages for the leaf and fruit oils at 24 h were 76% and 67% at the highest concentration (0.0234 μl/cm3). These results indicate strong fumigant and contact toxicity, and repellent activity for all the tested essential oils against C. maculatus. Hence, the data can be exploited further to develop a management strategy against C. maculatus.","container-title":"Journal of Stored Products Research","DOI":"10.1016/j.jspr.2018.03.007","ISSN":"0022-474X","journalAbbreviation":"Journal of Stored Products Research","page":"96-105","source":"ScienceDirect","title":"Bioactivity of Pistacia atlantica desf. Subsp. Kurdica (Zohary) Rech. F. and Pistacia khinjuk stocks essential oils against Callosobruchus maculatus (F, 1775) (Coloeptera: Bruchidae) under laboratory conditions","title-short":"Bioactivity of Pistacia atlantica desf. Subsp. Kurdica (Zohary) Rech. F. and Pistacia khinjuk stocks essential oils against Callosobruchus maculatus (F, 1775) (Coloeptera","volume":"77","author":[{"family":"Pourya","given":"Maryam"},{"family":"Sadeghi","given":"Amin"},{"family":"Ghobari","given":"Hamed"},{"family":"Taning","given":"Clauvis Nji Tizi"},{"family":"Smagghe","given":"Guy"}],"issued":{"date-parts":[["2018",6,1]]}}}],"schema":"https://github.com/citation-style-language/schema/raw/master/csl-citation.json"} </w:instrText>
      </w:r>
      <w:r w:rsidR="00946580" w:rsidRPr="00754A1D">
        <w:rPr>
          <w:rFonts w:ascii="Times New Roman" w:hAnsi="Times New Roman" w:cs="Times New Roman"/>
          <w:sz w:val="24"/>
          <w:szCs w:val="24"/>
          <w:lang w:val="en-US"/>
        </w:rPr>
        <w:fldChar w:fldCharType="separate"/>
      </w:r>
      <w:r w:rsidR="00946580" w:rsidRPr="00754A1D">
        <w:rPr>
          <w:rFonts w:ascii="Times New Roman" w:hAnsi="Times New Roman" w:cs="Times New Roman"/>
          <w:sz w:val="24"/>
          <w:lang w:val="en-US"/>
        </w:rPr>
        <w:t>(Jayas et al. 1994; Pourya et al. 2018)</w:t>
      </w:r>
      <w:r w:rsidR="00946580" w:rsidRPr="00754A1D">
        <w:rPr>
          <w:rFonts w:ascii="Times New Roman" w:hAnsi="Times New Roman" w:cs="Times New Roman"/>
          <w:sz w:val="24"/>
          <w:szCs w:val="24"/>
          <w:lang w:val="en-US"/>
        </w:rPr>
        <w:fldChar w:fldCharType="end"/>
      </w:r>
      <w:r w:rsidRPr="00754A1D">
        <w:rPr>
          <w:rFonts w:ascii="Times New Roman" w:hAnsi="Times New Roman" w:cs="Times New Roman"/>
          <w:sz w:val="24"/>
          <w:szCs w:val="24"/>
          <w:lang w:val="en-US"/>
        </w:rPr>
        <w:t xml:space="preserve">. </w:t>
      </w:r>
      <w:r w:rsidR="00CF1BDA" w:rsidRPr="00754A1D">
        <w:rPr>
          <w:rFonts w:ascii="Times New Roman" w:hAnsi="Times New Roman" w:cs="Times New Roman"/>
          <w:sz w:val="24"/>
          <w:szCs w:val="24"/>
          <w:lang w:val="en-US"/>
        </w:rPr>
        <w:t xml:space="preserve">Weevil species of the genus </w:t>
      </w:r>
      <w:r w:rsidR="00CF1BDA" w:rsidRPr="00754A1D">
        <w:rPr>
          <w:rFonts w:ascii="Times New Roman" w:hAnsi="Times New Roman" w:cs="Times New Roman"/>
          <w:i/>
          <w:sz w:val="24"/>
          <w:szCs w:val="24"/>
          <w:lang w:val="en-US"/>
        </w:rPr>
        <w:t>Sitophilus</w:t>
      </w:r>
      <w:r w:rsidR="00E75EA0" w:rsidRPr="00754A1D">
        <w:rPr>
          <w:rFonts w:ascii="Times New Roman" w:hAnsi="Times New Roman" w:cs="Times New Roman"/>
          <w:sz w:val="24"/>
          <w:szCs w:val="24"/>
          <w:lang w:val="en-US"/>
        </w:rPr>
        <w:t xml:space="preserve"> are among the</w:t>
      </w:r>
      <w:r w:rsidR="00CF1BDA" w:rsidRPr="00754A1D">
        <w:rPr>
          <w:rFonts w:ascii="Times New Roman" w:hAnsi="Times New Roman" w:cs="Times New Roman"/>
          <w:sz w:val="24"/>
          <w:szCs w:val="24"/>
          <w:lang w:val="en-US"/>
        </w:rPr>
        <w:t xml:space="preserve"> most widespread and destructive insects </w:t>
      </w:r>
      <w:r w:rsidR="00946580" w:rsidRPr="00754A1D">
        <w:rPr>
          <w:rFonts w:ascii="Times New Roman" w:hAnsi="Times New Roman" w:cs="Times New Roman"/>
          <w:sz w:val="24"/>
          <w:szCs w:val="24"/>
          <w:lang w:val="en-US"/>
        </w:rPr>
        <w:t>of</w:t>
      </w:r>
      <w:r w:rsidR="007B4733" w:rsidRPr="00754A1D">
        <w:rPr>
          <w:rFonts w:ascii="Times New Roman" w:hAnsi="Times New Roman" w:cs="Times New Roman"/>
          <w:sz w:val="24"/>
          <w:szCs w:val="24"/>
          <w:lang w:val="en-US"/>
        </w:rPr>
        <w:t xml:space="preserve"> </w:t>
      </w:r>
      <w:r w:rsidR="005A14E5" w:rsidRPr="00754A1D">
        <w:rPr>
          <w:rFonts w:ascii="Times New Roman" w:hAnsi="Times New Roman" w:cs="Times New Roman"/>
          <w:sz w:val="24"/>
          <w:szCs w:val="24"/>
          <w:lang w:val="en-US"/>
        </w:rPr>
        <w:t xml:space="preserve">stored grain </w:t>
      </w:r>
      <w:r w:rsidR="00E75EA0" w:rsidRPr="00754A1D">
        <w:rPr>
          <w:rFonts w:ascii="Times New Roman" w:hAnsi="Times New Roman" w:cs="Times New Roman"/>
          <w:sz w:val="24"/>
          <w:szCs w:val="24"/>
          <w:lang w:val="en-US"/>
        </w:rPr>
        <w:t xml:space="preserve">in the world </w:t>
      </w:r>
      <w:r w:rsidR="00F30A4E"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{"citationID":"XM5HGcCJ","properties":{"formattedCitation":"(Tripathi 2018)","plainCitation":"(Tripathi 2018)","noteIndex":0},"citationItems":[{"id":656,"uris":["http://zotero.org/users/local/QcSA6amT/items/3FCDQWSX"],"uri":["http://zotero.org/users/local/QcSA6amT/items/3FCDQWSX"],"itemData":{"id":656,"type":"chapter","abstract":"India’s grain production has steadily increased due to advances in technology, but postharvest loss is constant at 10%. Losses during storage account for around 6% of the total losses as proper storage facilities are not available (Sharon et al. 2014). The postharvest losses in India amount to 12–16 million metric tons of food grains each year, and the monetary value of these losses amounts to more than Rs. 50,000 crores per year (Singh 2010). The losses can broadly be categorized as weight loss due to spoilage, quality loss, nutritional loss, seed viability loss and commercial loss. The population is expected to grow to 9.1 billion people by the year 2050, and about 70% extra food production will be required to feed them (Godfray et al. 2010).","container-title":"Pests and Their Management","event-place":"Singapore","ISBN":"978-981-10-8687-8","language":"en","note":"DOI: 10.1007/978-981-10-8687-8_10","page":"311-359","publisher":"Springer Singapore","publisher-place":"Singapore","source":"Springer Link","title":"Pests of Stored Grains","URL":"https://doi.org/10.1007/978-981-10-8687-8_10","author":[{"family":"Tripathi","given":"Arun Kumar"}],"editor":[{"literal":"Omkar"}],"accessed":{"date-parts":[["2019",6,18]]},"issued":{"date-parts":[["2018"]]}}}],"schema":"https://github.com/citation-style-language/schema/raw/master/csl-citation.json"} </w:instrText>
      </w:r>
      <w:r w:rsidR="00F30A4E" w:rsidRPr="00754A1D">
        <w:rPr>
          <w:rFonts w:ascii="Times New Roman" w:hAnsi="Times New Roman" w:cs="Times New Roman"/>
          <w:sz w:val="24"/>
          <w:szCs w:val="24"/>
          <w:lang w:val="en-US"/>
        </w:rPr>
        <w:fldChar w:fldCharType="separate"/>
      </w:r>
      <w:r w:rsidR="00F30A4E" w:rsidRPr="00754A1D">
        <w:rPr>
          <w:rFonts w:ascii="Times New Roman" w:hAnsi="Times New Roman" w:cs="Times New Roman"/>
          <w:sz w:val="24"/>
          <w:lang w:val="en-US"/>
        </w:rPr>
        <w:t>(Tripathi 2018)</w:t>
      </w:r>
      <w:r w:rsidR="00F30A4E" w:rsidRPr="00754A1D">
        <w:rPr>
          <w:rFonts w:ascii="Times New Roman" w:hAnsi="Times New Roman" w:cs="Times New Roman"/>
          <w:sz w:val="24"/>
          <w:szCs w:val="24"/>
          <w:lang w:val="en-US"/>
        </w:rPr>
        <w:fldChar w:fldCharType="end"/>
      </w:r>
      <w:r w:rsidR="00E046E9" w:rsidRPr="00754A1D">
        <w:rPr>
          <w:rFonts w:ascii="Times New Roman" w:hAnsi="Times New Roman" w:cs="Times New Roman"/>
          <w:sz w:val="24"/>
          <w:szCs w:val="24"/>
          <w:lang w:val="en-US"/>
        </w:rPr>
        <w:t xml:space="preserve">. </w:t>
      </w:r>
      <w:r w:rsidR="004200D0" w:rsidRPr="00754A1D">
        <w:rPr>
          <w:rFonts w:ascii="Times New Roman" w:hAnsi="Times New Roman" w:cs="Times New Roman"/>
          <w:sz w:val="24"/>
          <w:szCs w:val="24"/>
          <w:lang w:val="en-US"/>
        </w:rPr>
        <w:t xml:space="preserve">Infestations </w:t>
      </w:r>
      <w:r w:rsidR="00015E79" w:rsidRPr="00754A1D">
        <w:rPr>
          <w:rFonts w:ascii="Times New Roman" w:hAnsi="Times New Roman" w:cs="Times New Roman"/>
          <w:sz w:val="24"/>
          <w:szCs w:val="24"/>
          <w:lang w:val="en-US"/>
        </w:rPr>
        <w:t xml:space="preserve">do </w:t>
      </w:r>
      <w:r w:rsidR="00C56393" w:rsidRPr="00754A1D">
        <w:rPr>
          <w:rFonts w:ascii="Times New Roman" w:hAnsi="Times New Roman" w:cs="Times New Roman"/>
          <w:sz w:val="24"/>
          <w:szCs w:val="24"/>
          <w:lang w:val="en-US"/>
        </w:rPr>
        <w:t>not</w:t>
      </w:r>
      <w:r w:rsidR="004200D0" w:rsidRPr="00754A1D">
        <w:rPr>
          <w:rFonts w:ascii="Times New Roman" w:hAnsi="Times New Roman" w:cs="Times New Roman"/>
          <w:sz w:val="24"/>
          <w:szCs w:val="24"/>
          <w:lang w:val="en-US"/>
        </w:rPr>
        <w:t xml:space="preserve"> only cause significant losses due to </w:t>
      </w:r>
      <w:r w:rsidR="00C56393" w:rsidRPr="00754A1D">
        <w:rPr>
          <w:rFonts w:ascii="Times New Roman" w:hAnsi="Times New Roman" w:cs="Times New Roman"/>
          <w:sz w:val="24"/>
          <w:szCs w:val="24"/>
          <w:lang w:val="en-US"/>
        </w:rPr>
        <w:t>grain</w:t>
      </w:r>
      <w:r w:rsidR="004200D0" w:rsidRPr="00754A1D">
        <w:rPr>
          <w:rFonts w:ascii="Times New Roman" w:hAnsi="Times New Roman" w:cs="Times New Roman"/>
          <w:sz w:val="24"/>
          <w:szCs w:val="24"/>
          <w:lang w:val="en-US"/>
        </w:rPr>
        <w:t xml:space="preserve"> consumption</w:t>
      </w:r>
      <w:r w:rsidR="00C56393" w:rsidRPr="00754A1D">
        <w:rPr>
          <w:rFonts w:ascii="Times New Roman" w:hAnsi="Times New Roman" w:cs="Times New Roman"/>
          <w:sz w:val="24"/>
          <w:szCs w:val="24"/>
          <w:lang w:val="en-US"/>
        </w:rPr>
        <w:t>, but also</w:t>
      </w:r>
      <w:r w:rsidR="004200D0" w:rsidRPr="00754A1D">
        <w:rPr>
          <w:rFonts w:ascii="Times New Roman" w:hAnsi="Times New Roman" w:cs="Times New Roman"/>
          <w:sz w:val="24"/>
          <w:szCs w:val="24"/>
          <w:lang w:val="en-US"/>
        </w:rPr>
        <w:t xml:space="preserve"> </w:t>
      </w:r>
      <w:r w:rsidR="00C56393" w:rsidRPr="00754A1D">
        <w:rPr>
          <w:rFonts w:ascii="Times New Roman" w:hAnsi="Times New Roman" w:cs="Times New Roman"/>
          <w:sz w:val="24"/>
          <w:szCs w:val="24"/>
          <w:lang w:val="en-US"/>
        </w:rPr>
        <w:t>lead</w:t>
      </w:r>
      <w:r w:rsidR="004200D0" w:rsidRPr="00754A1D">
        <w:rPr>
          <w:rFonts w:ascii="Times New Roman" w:hAnsi="Times New Roman" w:cs="Times New Roman"/>
          <w:sz w:val="24"/>
          <w:szCs w:val="24"/>
          <w:lang w:val="en-US"/>
        </w:rPr>
        <w:t xml:space="preserve"> </w:t>
      </w:r>
      <w:r w:rsidR="00C56393" w:rsidRPr="00754A1D">
        <w:rPr>
          <w:rFonts w:ascii="Times New Roman" w:hAnsi="Times New Roman" w:cs="Times New Roman"/>
          <w:sz w:val="24"/>
          <w:szCs w:val="24"/>
          <w:lang w:val="en-US"/>
        </w:rPr>
        <w:t>to</w:t>
      </w:r>
      <w:r w:rsidR="004200D0" w:rsidRPr="00754A1D">
        <w:rPr>
          <w:rFonts w:ascii="Times New Roman" w:hAnsi="Times New Roman" w:cs="Times New Roman"/>
          <w:sz w:val="24"/>
          <w:szCs w:val="24"/>
          <w:lang w:val="en-US"/>
        </w:rPr>
        <w:t xml:space="preserve"> </w:t>
      </w:r>
      <w:r w:rsidR="0068019F" w:rsidRPr="00754A1D">
        <w:rPr>
          <w:rFonts w:ascii="Times New Roman" w:hAnsi="Times New Roman" w:cs="Times New Roman"/>
          <w:sz w:val="24"/>
          <w:szCs w:val="24"/>
          <w:lang w:val="en-US"/>
        </w:rPr>
        <w:t>high</w:t>
      </w:r>
      <w:r w:rsidR="004200D0" w:rsidRPr="00754A1D">
        <w:rPr>
          <w:rFonts w:ascii="Times New Roman" w:hAnsi="Times New Roman" w:cs="Times New Roman"/>
          <w:sz w:val="24"/>
          <w:szCs w:val="24"/>
          <w:lang w:val="en-US"/>
        </w:rPr>
        <w:t xml:space="preserve"> temperature and moisture conditions </w:t>
      </w:r>
      <w:r w:rsidR="00C56393" w:rsidRPr="00754A1D">
        <w:rPr>
          <w:rFonts w:ascii="Times New Roman" w:hAnsi="Times New Roman" w:cs="Times New Roman"/>
          <w:sz w:val="24"/>
          <w:szCs w:val="24"/>
          <w:lang w:val="en-US"/>
        </w:rPr>
        <w:t>that</w:t>
      </w:r>
      <w:r w:rsidR="004200D0" w:rsidRPr="00754A1D">
        <w:rPr>
          <w:rFonts w:ascii="Times New Roman" w:hAnsi="Times New Roman" w:cs="Times New Roman"/>
          <w:sz w:val="24"/>
          <w:szCs w:val="24"/>
          <w:lang w:val="en-US"/>
        </w:rPr>
        <w:t xml:space="preserve"> </w:t>
      </w:r>
      <w:r w:rsidR="007F014B" w:rsidRPr="00754A1D">
        <w:rPr>
          <w:rFonts w:ascii="Times New Roman" w:hAnsi="Times New Roman" w:cs="Times New Roman"/>
          <w:sz w:val="24"/>
          <w:szCs w:val="24"/>
          <w:lang w:val="en-US"/>
        </w:rPr>
        <w:t>accelerate</w:t>
      </w:r>
      <w:r w:rsidR="004200D0" w:rsidRPr="00754A1D">
        <w:rPr>
          <w:rFonts w:ascii="Times New Roman" w:hAnsi="Times New Roman" w:cs="Times New Roman"/>
          <w:sz w:val="24"/>
          <w:szCs w:val="24"/>
          <w:lang w:val="en-US"/>
        </w:rPr>
        <w:t xml:space="preserve"> growth of molds, including toxigenic species</w:t>
      </w:r>
      <w:r w:rsidR="007B4733" w:rsidRPr="00754A1D">
        <w:rPr>
          <w:rFonts w:ascii="Times New Roman" w:hAnsi="Times New Roman" w:cs="Times New Roman"/>
          <w:sz w:val="24"/>
          <w:szCs w:val="24"/>
          <w:lang w:val="en-US"/>
        </w:rPr>
        <w:t xml:space="preserve"> </w:t>
      </w:r>
      <w:r w:rsidR="007B4733"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{"citationID":"mi6cO6sb","properties":{"formattedCitation":"(Storey et al. 1984; Magan et al. 2003; Tripathi 2018)","plainCitation":"(Storey et al. 1984; Magan et al. 2003; Tripathi 2018)","noteIndex":0},"citationItems":[{"id":641,"uris":["http://zotero.org/users/local/QcSA6amT/items/3ALACN8D"],"uri":["http://zotero.org/users/local/QcSA6amT/items/3ALACN8D"],"itemData":{"id":641,"type":"article-journal","abstract":"Abstract.  Preventive and remedial actions reported by producers to maintain the quality of grain during storage on the farm was minimal. Application of malathi","container-title":"Journal of Economic Entomology","DOI":"10.1093/jee/77.3.784","ISSN":"0022-0493","issue":"3","journalAbbreviation":"J Econ Entomol","language":"en","page":"784-788","source":"academic.oup.com","title":"Present Use of Pest Management Practices in Wheat, Corn, and Oats Stored on the Farm","volume":"77","author":[{"family":"Storey","given":"C. L."},{"family":"Sauer","given":"D. B."},{"family":"Walker","given":"D."}],"issued":{"date-parts":[["1984",6,1]]}}},{"id":640,"uris":["http://zotero.org/users/local/QcSA6amT/items/X7D6TKNK"],"uri":["http://zotero.org/users/local/QcSA6amT/items/X7D6TKNK"],"itemData":{"id":640,"type":"chapter","abstract":"Grain quality after harvest is influenced by a wide variety of abiotic and biotic factors and has been studied as a stored grain ecosystem. Important factors include grain and contaminant mould respiration, insects and mites, and the key environmental factors of water availability and temperature. Interactions between these factors influence the dominance of fungi, particularly mycotoxigenic species. Studies have shown that growth, mycotoxin production, competitiveness and niche occupation by mycotoxigenic species are influenced by the presence of other contaminant moulds and environmental factors. This has been demonstrated for both Fusarium culmorum and deoxynivalenol production,Aspergillus ochraceus/Penicillium verruscosum and ochratoxin production and Fusarium section Liseola and fumonisin production. Interactions between mycotoxigenic spoilage fungi and insects do occur but have not been studied thoroughly. Some insects disseminate mycotoxigenic species, others are known to use spoilage moulds as a food source, while others avoid certain fungal species. Thus, a more holistic ecological view is needed when considering management approaches to long-term-safe storage of cereal grains after harvest.","container-title":"Epidemiology of Mycotoxin Producing Fungi: Under the aegis of COST Action 835 ‘Agriculturally Important Toxigenic Fungi 1998–2003’, EU project (QLK 1-CT-1998–01380)","event-place":"Dordrecht","ISBN":"978-94-017-1452-5","language":"en","note":"DOI: 10.1007/978-94-017-1452-5_7","page":"723-730","publisher":"Springer Netherlands","publisher-place":"Dordrecht","source":"Springer Link","title":"Post-harvest fungal ecology: Impact of fungal growth and mycotoxin accumulation in stored grain","title-short":"Post-harvest fungal ecology","URL":"https://doi.org/10.1007/978-94-017-1452-5_7","author":[{"family":"Magan","given":"Naresh"},{"family":"Hope","given":"Russell"},{"family":"Cairns","given":"Victoria"},{"family":"Aldred","given":"David"}],"editor":[{"family":"Xu","given":"Xiangming"},{"family":"Bailey","given":"John A."},{"family":"Cooke","given":"B. Michael"}],"accessed":{"date-parts":[["2019",6,18]]},"issued":{"date-parts":[["2003"]]}}},{"id":656,"uris":["http://zotero.org/users/local/QcSA6amT/items/3FCDQWSX"],"uri":["http://zotero.org/users/local/QcSA6amT/items/3FCDQWSX"],"itemData":{"id":656,"type":"chapter","abstract":"India’s grain production has steadily increased due to advances in technology, but postharvest loss is constant at 10%. Losses during storage account for around 6% of the total losses as proper storage facilities are not available (Sharon et al. 2014). The postharvest losses in India amount to 12–16 million metric tons of food grains each year, and the monetary value of these losses amounts to more than Rs. 50,000 crores per year (Singh 2010). The losses can broadly be categorized as weight loss due to spoilage, quality loss, nutritional loss, seed viability loss and commercial loss. The population is expected to grow to 9.1 billion people by the year 2050, and about 70% extra food production will be required to feed them (Godfray et al. 2010).","container-title":"Pests and Their Management","event-place":"Singapore","ISBN":"978-981-10-8687-8","language":"en","note":"DOI: 10.1007/978-981-10-8687-8_10","page":"311-359","publisher":"Springer Singapore","publisher-place":"Singapore","source":"Springer Link","title":"Pests of Stored Grains","URL":"https://doi.org/10.1007/978-981-10-8687-8_10","author":[{"family":"Tripathi","given":"Arun Kumar"}],"editor":[{"literal":"Omkar"}],"accessed":{"date-parts":[["2019",6,18]]},"issued":{"date-parts":[["2018"]]}}}],"schema":"https://github.com/citation-style-language/schema/raw/master/csl-citation.json"} </w:instrText>
      </w:r>
      <w:r w:rsidR="007B4733" w:rsidRPr="00754A1D">
        <w:rPr>
          <w:rFonts w:ascii="Times New Roman" w:hAnsi="Times New Roman" w:cs="Times New Roman"/>
          <w:sz w:val="24"/>
          <w:szCs w:val="24"/>
          <w:lang w:val="en-US"/>
        </w:rPr>
        <w:fldChar w:fldCharType="separate"/>
      </w:r>
      <w:r w:rsidR="00F30A4E" w:rsidRPr="00754A1D">
        <w:rPr>
          <w:rFonts w:ascii="Times New Roman" w:hAnsi="Times New Roman" w:cs="Times New Roman"/>
          <w:sz w:val="24"/>
          <w:lang w:val="en-US"/>
        </w:rPr>
        <w:t>(Storey et al. 1984; Magan et al. 2003; Tripathi 2018)</w:t>
      </w:r>
      <w:r w:rsidR="007B4733" w:rsidRPr="00754A1D">
        <w:rPr>
          <w:rFonts w:ascii="Times New Roman" w:hAnsi="Times New Roman" w:cs="Times New Roman"/>
          <w:sz w:val="24"/>
          <w:szCs w:val="24"/>
          <w:lang w:val="en-US"/>
        </w:rPr>
        <w:fldChar w:fldCharType="end"/>
      </w:r>
      <w:r w:rsidR="007B4733" w:rsidRPr="00754A1D">
        <w:rPr>
          <w:rFonts w:ascii="Times New Roman" w:hAnsi="Times New Roman" w:cs="Times New Roman"/>
          <w:sz w:val="24"/>
          <w:szCs w:val="24"/>
          <w:lang w:val="en-US"/>
        </w:rPr>
        <w:t xml:space="preserve">. </w:t>
      </w:r>
      <w:r w:rsidR="00B368BD" w:rsidRPr="00754A1D">
        <w:rPr>
          <w:rFonts w:ascii="Times New Roman" w:hAnsi="Times New Roman" w:cs="Times New Roman"/>
          <w:sz w:val="24"/>
          <w:szCs w:val="24"/>
          <w:lang w:val="en-US"/>
        </w:rPr>
        <w:t>These s</w:t>
      </w:r>
      <w:r w:rsidR="00F30A4E" w:rsidRPr="00754A1D">
        <w:rPr>
          <w:rFonts w:ascii="Times New Roman" w:hAnsi="Times New Roman" w:cs="Times New Roman"/>
          <w:sz w:val="24"/>
          <w:szCs w:val="24"/>
          <w:lang w:val="en-US"/>
        </w:rPr>
        <w:t>torage p</w:t>
      </w:r>
      <w:r w:rsidR="00B368BD" w:rsidRPr="00754A1D">
        <w:rPr>
          <w:rFonts w:ascii="Times New Roman" w:hAnsi="Times New Roman" w:cs="Times New Roman"/>
          <w:sz w:val="24"/>
          <w:szCs w:val="24"/>
          <w:lang w:val="en-US"/>
        </w:rPr>
        <w:t xml:space="preserve">ests </w:t>
      </w:r>
      <w:r w:rsidR="00CD28C6" w:rsidRPr="00754A1D">
        <w:rPr>
          <w:rFonts w:ascii="Times New Roman" w:hAnsi="Times New Roman" w:cs="Times New Roman"/>
          <w:sz w:val="24"/>
          <w:szCs w:val="24"/>
          <w:lang w:val="en-US"/>
        </w:rPr>
        <w:t xml:space="preserve">are usually controlled </w:t>
      </w:r>
      <w:r w:rsidR="00F30A4E" w:rsidRPr="00754A1D">
        <w:rPr>
          <w:rFonts w:ascii="Times New Roman" w:hAnsi="Times New Roman" w:cs="Times New Roman"/>
          <w:sz w:val="24"/>
          <w:szCs w:val="24"/>
          <w:lang w:val="en-US"/>
        </w:rPr>
        <w:t>with</w:t>
      </w:r>
      <w:r w:rsidR="00CD28C6" w:rsidRPr="00754A1D">
        <w:rPr>
          <w:rFonts w:ascii="Times New Roman" w:hAnsi="Times New Roman" w:cs="Times New Roman"/>
          <w:sz w:val="24"/>
          <w:szCs w:val="24"/>
          <w:lang w:val="en-US"/>
        </w:rPr>
        <w:t xml:space="preserve"> synthetic pesticides, </w:t>
      </w:r>
      <w:r w:rsidR="0024742E" w:rsidRPr="00754A1D">
        <w:rPr>
          <w:rFonts w:ascii="Times New Roman" w:hAnsi="Times New Roman" w:cs="Times New Roman"/>
          <w:sz w:val="24"/>
          <w:szCs w:val="24"/>
          <w:lang w:val="en-US"/>
        </w:rPr>
        <w:t>which increases</w:t>
      </w:r>
      <w:r w:rsidR="00F30A4E" w:rsidRPr="00754A1D">
        <w:rPr>
          <w:rFonts w:ascii="Times New Roman" w:hAnsi="Times New Roman" w:cs="Times New Roman"/>
          <w:sz w:val="24"/>
          <w:szCs w:val="24"/>
          <w:lang w:val="en-US"/>
        </w:rPr>
        <w:t xml:space="preserve"> the</w:t>
      </w:r>
      <w:r w:rsidR="00CD28C6" w:rsidRPr="00754A1D">
        <w:rPr>
          <w:rFonts w:ascii="Times New Roman" w:hAnsi="Times New Roman" w:cs="Times New Roman"/>
          <w:sz w:val="24"/>
          <w:szCs w:val="24"/>
          <w:lang w:val="en-US"/>
        </w:rPr>
        <w:t xml:space="preserve"> risk</w:t>
      </w:r>
      <w:r w:rsidR="00E75EA0" w:rsidRPr="00754A1D">
        <w:rPr>
          <w:rFonts w:ascii="Times New Roman" w:hAnsi="Times New Roman" w:cs="Times New Roman"/>
          <w:sz w:val="24"/>
          <w:szCs w:val="24"/>
          <w:lang w:val="en-US"/>
        </w:rPr>
        <w:t xml:space="preserve"> of environmental pollution</w:t>
      </w:r>
      <w:r w:rsidR="00CD28C6" w:rsidRPr="00754A1D">
        <w:rPr>
          <w:rFonts w:ascii="Times New Roman" w:hAnsi="Times New Roman" w:cs="Times New Roman"/>
          <w:sz w:val="24"/>
          <w:szCs w:val="24"/>
          <w:lang w:val="en-US"/>
        </w:rPr>
        <w:t xml:space="preserve">, </w:t>
      </w:r>
      <w:r w:rsidR="00E75EA0" w:rsidRPr="00754A1D">
        <w:rPr>
          <w:rFonts w:ascii="Times New Roman" w:hAnsi="Times New Roman" w:cs="Times New Roman"/>
          <w:sz w:val="24"/>
          <w:szCs w:val="24"/>
          <w:lang w:val="en-US"/>
        </w:rPr>
        <w:t>insecticide</w:t>
      </w:r>
      <w:r w:rsidR="00CD28C6" w:rsidRPr="00754A1D">
        <w:rPr>
          <w:rFonts w:ascii="Times New Roman" w:hAnsi="Times New Roman" w:cs="Times New Roman"/>
          <w:sz w:val="24"/>
          <w:szCs w:val="24"/>
          <w:lang w:val="en-US"/>
        </w:rPr>
        <w:t xml:space="preserve"> residues, and </w:t>
      </w:r>
      <w:r w:rsidR="00C56393" w:rsidRPr="00754A1D">
        <w:rPr>
          <w:rFonts w:ascii="Times New Roman" w:hAnsi="Times New Roman" w:cs="Times New Roman"/>
          <w:sz w:val="24"/>
          <w:szCs w:val="24"/>
          <w:lang w:val="en-US"/>
        </w:rPr>
        <w:t xml:space="preserve">pesticide </w:t>
      </w:r>
      <w:r w:rsidR="00CD28C6" w:rsidRPr="00754A1D">
        <w:rPr>
          <w:rFonts w:ascii="Times New Roman" w:hAnsi="Times New Roman" w:cs="Times New Roman"/>
          <w:sz w:val="24"/>
          <w:szCs w:val="24"/>
          <w:lang w:val="en-US"/>
        </w:rPr>
        <w:t>resistance</w:t>
      </w:r>
      <w:r w:rsidR="00F30A4E" w:rsidRPr="00754A1D">
        <w:rPr>
          <w:rFonts w:ascii="Times New Roman" w:hAnsi="Times New Roman" w:cs="Times New Roman"/>
          <w:sz w:val="24"/>
          <w:szCs w:val="24"/>
          <w:lang w:val="en-US"/>
        </w:rPr>
        <w:t xml:space="preserve"> </w:t>
      </w:r>
      <w:r w:rsidR="00F30A4E"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{"citationID":"78kUgDz3","properties":{"formattedCitation":"(Regev et al. 1983; Guedes et al. 1994; Kljaji\\uc0\\u263{} and Peri\\uc0\\u263{} 2007)","plainCitation":"(Regev et al. 1983; Guedes et al. 1994; Kljajić and Perić 2007)","noteIndex":0},"citationItems":[{"id":658,"uris":["http://zotero.org/users/local/QcSA6amT/items/3NEADBV9"],"uri":["http://zotero.org/users/local/QcSA6amT/items/3NEADBV9"],"itemData":{"id":658,"type":"article-journal","abstract":"The problem of pesticide application under increasing pesticide resistance is explored. A theoretical model is developed to determine optimal pesticide use. This allocation is compared to the laissez-faire solution and to the centralized solution with incomplete information about pesticide resistance. The methodology is then applied in a case study on the Egyptian alfalfa weevil in California.","container-title":"Journal of Environmental Economics and Management","DOI":"10.1016/0095-0696(83)90017-7","ISSN":"0095-0696","issue":"1","journalAbbreviation":"Journal of Environmental Economics and Management","page":"86-100","source":"ScienceDirect","title":"On the optimal allocation of pesticides with increasing resistance: The case of alfalfa weevil","title-short":"On the optimal allocation of pesticides with increasing resistance","volume":"10","author":[{"family":"Regev","given":"Uri"},{"family":"Shalit","given":"Haim"},{"family":"Gutierrez","given":"A. P"}],"issued":{"date-parts":[["1983",3,1]]}}},{"id":660,"uris":["http://zotero.org/users/local/QcSA6amT/items/CFFFMKI4"],"uri":["http://zotero.org/users/local/QcSA6amT/items/CFFFMKI4"],"itemData":{"id":660,"type":"article-journal","abstract":"Insecticide‐impregnated paper assays were used to analyse the inheritance of Deltamethrin resistance (2634X) in a DDT‐pyrethroid cross‐resistant strain of maize weevil, Sitophilus zeamais Mots., from Brazil. At the KD50 the responses of the F1hybrid reciprocal crosses were very different and χ2 analyses of the observed responses of F2 and F1‐backcross progenies provided evidence that a single gene was responsible for resistance. Deltamethrin resistance seems to be controlled by a single recessive sex‐linked gene.","container-title":"International Journal of Pest Management","DOI":"10.1080/09670879409371863","ISSN":"0967-0874","issue":"1","page":"103-106","source":"Taylor and Francis+NEJM","title":"Inheritance of Deltamethrin resistance in a Brazilian strain of maize weevil (Sitophilus zeamais mots.)","volume":"40","author":[{"family":"Guedes","given":"R. N. C."},{"family":"Lima","given":"J. O. G."},{"family":"Santos","given":"J. P."},{"family":"Cruz","given":"C. D."}],"issued":{"date-parts":[["1994",1,1]]}}},{"id":662,"uris":["http://zotero.org/users/local/QcSA6amT/items/5J8HUQZW"],"uri":["http://zotero.org/users/local/QcSA6amT/items/5J8HUQZW"],"itemData":{"id":662,"type":"article-journal","abstract":"Toxicity of the contact insecticides dichlorvos, malathion, chlorpyrifos-methyl, pirimiphos-methyl, deltamethrin and cypermethrin to granary weevil Sitophilus granarius (L.) adults from five populations previously selected with deltamethrin and pirimiphos-methyl, and two populations that had no contact with pesticides over an interval of 12 generations, was investigated in the laboratory by application to filter paper. The populations originated from storage facilities situated in different parts of the former Yugoslavia. A population originating from Apatin and one from Belgrade Port were selected three times each at the LD50 level with deltamethrin and pirimiphos-methyl, respectively. In separate experiments, weevils from Belgrade Port were selected once at the pirimiphos-methyl LD70 level and Bijeljina and Kikinda populations both once at the deltamethrin LD70 level. All selection doses were at a level obtained from determining weevil mortality after 24h of exposure to treated filter paper. Compared with the toxicity to laboratory weevils, the weevils from Apatin after the third selection were found to be 32.1 and 51.9 times less susceptible to deltamethrin at the LD50 and LD95 levels, respectively, while those from Belgrade Port were 2.7 and 3.2 times less susceptible to pirimiphos-methyl. Selection of Belgrade Port weevils at the pirimiphos-methyl LD70 did not significantly affect their susceptibility to that insecticide but it caused a significant decrease in deltamethrin toxicity, which is indicative of a cross-resistance between the two compounds. Selection of Bijeljina weevils caused an increased resistance to deltamethrin, while selection of Kikinda weevils had little effect on their susceptibility to dichlorvos, but it caused a significant decrease in malathion and cypermethrin toxicity, and resistance to deltamethrin markedly increased (RR=238.8 at LD50 and 660.8 at LD95 levels, compared with laboratory weevils). Chlorpyrifos-methyl was the most toxic insecticide to all populations, while cypermethrin was the least toxic compound.","container-title":"Journal of Stored Products Research","DOI":"10.1016/j.jspr.2006.02.004","ISSN":"0022-474X","issue":"2","journalAbbreviation":"Journal of Stored Products Research","page":"134-141","source":"ScienceDirect","title":"Altered susceptibility of granary weevil Sitophilus granarius (L.) (Coleoptera: Curculionidae) populations to insecticides after selection with pirimiphos-methyl and deltamethrin","title-short":"Altered susceptibility of granary weevil Sitophilus granarius (L.) (Coleoptera","volume":"43","author":[{"family":"Kljajić","given":"Petar"},{"family":"Perić","given":"Ilija"}],"issued":{"date-parts":[["2007",1,1]]}}}],"schema":"https://github.com/citation-style-language/schema/raw/master/csl-citation.json"} </w:instrText>
      </w:r>
      <w:r w:rsidR="00F30A4E" w:rsidRPr="00754A1D">
        <w:rPr>
          <w:rFonts w:ascii="Times New Roman" w:hAnsi="Times New Roman" w:cs="Times New Roman"/>
          <w:sz w:val="24"/>
          <w:szCs w:val="24"/>
          <w:lang w:val="en-US"/>
        </w:rPr>
        <w:fldChar w:fldCharType="separate"/>
      </w:r>
      <w:r w:rsidR="00F30A4E" w:rsidRPr="00754A1D">
        <w:rPr>
          <w:rFonts w:ascii="Times New Roman" w:hAnsi="Times New Roman" w:cs="Times New Roman"/>
          <w:sz w:val="24"/>
          <w:szCs w:val="24"/>
          <w:lang w:val="en-US"/>
        </w:rPr>
        <w:t>(Regev et al. 1983; Guedes et al. 1994; Kljajić and Perić 2007)</w:t>
      </w:r>
      <w:r w:rsidR="00F30A4E" w:rsidRPr="00754A1D">
        <w:rPr>
          <w:rFonts w:ascii="Times New Roman" w:hAnsi="Times New Roman" w:cs="Times New Roman"/>
          <w:sz w:val="24"/>
          <w:szCs w:val="24"/>
          <w:lang w:val="en-US"/>
        </w:rPr>
        <w:fldChar w:fldCharType="end"/>
      </w:r>
      <w:r w:rsidR="00CD28C6" w:rsidRPr="00754A1D">
        <w:rPr>
          <w:rFonts w:ascii="Times New Roman" w:hAnsi="Times New Roman" w:cs="Times New Roman"/>
          <w:sz w:val="24"/>
          <w:szCs w:val="24"/>
          <w:lang w:val="en-US"/>
        </w:rPr>
        <w:t xml:space="preserve">. </w:t>
      </w:r>
      <w:r w:rsidR="00867E12" w:rsidRPr="00754A1D">
        <w:rPr>
          <w:rFonts w:ascii="Times New Roman" w:hAnsi="Times New Roman" w:cs="Times New Roman"/>
          <w:sz w:val="24"/>
          <w:szCs w:val="24"/>
          <w:lang w:val="en-US"/>
        </w:rPr>
        <w:t>In addition, legislation in many countries tends to limit the use of broad-spectrum contact insecticides</w:t>
      </w:r>
      <w:r w:rsidR="007F014B" w:rsidRPr="00754A1D">
        <w:rPr>
          <w:rFonts w:ascii="Times New Roman" w:hAnsi="Times New Roman" w:cs="Times New Roman"/>
          <w:sz w:val="24"/>
          <w:szCs w:val="24"/>
          <w:lang w:val="en-US"/>
        </w:rPr>
        <w:t>.</w:t>
      </w:r>
      <w:r w:rsidR="00867E12" w:rsidRPr="00754A1D">
        <w:rPr>
          <w:rFonts w:ascii="Times New Roman" w:hAnsi="Times New Roman" w:cs="Times New Roman"/>
          <w:sz w:val="24"/>
          <w:szCs w:val="24"/>
          <w:lang w:val="en-US"/>
        </w:rPr>
        <w:t xml:space="preserve"> </w:t>
      </w:r>
      <w:r w:rsidR="007F014B" w:rsidRPr="00754A1D">
        <w:rPr>
          <w:rFonts w:ascii="Times New Roman" w:hAnsi="Times New Roman" w:cs="Times New Roman"/>
          <w:sz w:val="24"/>
          <w:szCs w:val="24"/>
          <w:lang w:val="en-US"/>
        </w:rPr>
        <w:t xml:space="preserve">This corresponds to an </w:t>
      </w:r>
      <w:r w:rsidR="00867E12" w:rsidRPr="00754A1D">
        <w:rPr>
          <w:rFonts w:ascii="Times New Roman" w:hAnsi="Times New Roman" w:cs="Times New Roman"/>
          <w:sz w:val="24"/>
          <w:szCs w:val="24"/>
          <w:lang w:val="en-US"/>
        </w:rPr>
        <w:t>increasing consumer demand for safe food</w:t>
      </w:r>
      <w:r w:rsidR="007F014B" w:rsidRPr="00754A1D">
        <w:rPr>
          <w:rFonts w:ascii="Times New Roman" w:hAnsi="Times New Roman" w:cs="Times New Roman"/>
          <w:sz w:val="24"/>
          <w:szCs w:val="24"/>
          <w:lang w:val="en-US"/>
        </w:rPr>
        <w:t xml:space="preserve"> </w:t>
      </w:r>
      <w:r w:rsidR="00483E24"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{"citationID":"GYVd9PKt","properties":{"formattedCitation":"(Handford et al. 2015)","plainCitation":"(Handford et al. 2015)","noteIndex":0},"citationItems":[{"id":665,"uris":["http://zotero.org/users/local/QcSA6amT/items/L96683U8"],"uri":["http://zotero.org/users/local/QcSA6amT/items/L96683U8"],"itemData":{"id":665,"type":"article-journal","abstract":"Pesticide use is important in agriculture to protect crops and improve productivity. However, pesticides have the potential to cause adverse human health or environmental effects, depending on exposure levels. This review examines existing pesticide legislation worldwide, focusing on the level of harmonization and impacts of differing legislation on food safety and trade. Pesticide legislation varies greatly worldwide, because countries have different requirements, guidelines, and legal limits for plant protection. Developed nations have more stringent regulations than developing countries, which lack the resources and expertise to adequately implement and enforce legislation. Global differences in pesticide legislation act as a technical barrier to trade. International parties such as the European Union (EU), Codex Alimentarius Commission (Codex), and North American Free Trade Agreement (NAFTA) have attempted to harmonize pesticide legislation by providing maximum residue limits (MRLs), but globally these limits remain variable. Globally harmonized pesticide standards would serve to increase productivity, profits, and trade and also enhance the ability to protect public health and the environment.","container-title":"Integrated Environmental Assessment and Management","DOI":"10.1002/ieam.1635","ISSN":"1551-3793","issue":"4","journalAbbreviation":"Integr Environ Assess Manag","language":"eng","note":"PMID: 25765969","page":"525-536","source":"PubMed","title":"A review of the global pesticide legislation and the scale of challenge in reaching the global harmonization of food safety standards","volume":"11","author":[{"family":"Handford","given":"Caroline E."},{"family":"Elliott","given":"Christopher T."},{"family":"Campbell","given":"Katrina"}],"issued":{"date-parts":[["2015",10]]}}}],"schema":"https://github.com/citation-style-language/schema/raw/master/csl-citation.json"} </w:instrText>
      </w:r>
      <w:r w:rsidR="00483E24" w:rsidRPr="00754A1D">
        <w:rPr>
          <w:rFonts w:ascii="Times New Roman" w:hAnsi="Times New Roman" w:cs="Times New Roman"/>
          <w:sz w:val="24"/>
          <w:szCs w:val="24"/>
          <w:lang w:val="en-US"/>
        </w:rPr>
        <w:fldChar w:fldCharType="separate"/>
      </w:r>
      <w:r w:rsidR="00483E24" w:rsidRPr="00754A1D">
        <w:rPr>
          <w:rFonts w:ascii="Times New Roman" w:hAnsi="Times New Roman" w:cs="Times New Roman"/>
          <w:sz w:val="24"/>
          <w:lang w:val="en-US"/>
        </w:rPr>
        <w:t>(Handford et al. 2015)</w:t>
      </w:r>
      <w:r w:rsidR="00483E24" w:rsidRPr="00754A1D">
        <w:rPr>
          <w:rFonts w:ascii="Times New Roman" w:hAnsi="Times New Roman" w:cs="Times New Roman"/>
          <w:sz w:val="24"/>
          <w:szCs w:val="24"/>
          <w:lang w:val="en-US"/>
        </w:rPr>
        <w:fldChar w:fldCharType="end"/>
      </w:r>
      <w:r w:rsidR="00CD28C6" w:rsidRPr="00754A1D">
        <w:rPr>
          <w:rFonts w:ascii="Times New Roman" w:hAnsi="Times New Roman" w:cs="Times New Roman"/>
          <w:sz w:val="24"/>
          <w:szCs w:val="24"/>
          <w:lang w:val="en-US"/>
        </w:rPr>
        <w:t>.</w:t>
      </w:r>
      <w:r w:rsidR="004F4493" w:rsidRPr="00754A1D">
        <w:rPr>
          <w:rFonts w:ascii="Times New Roman" w:hAnsi="Times New Roman" w:cs="Times New Roman"/>
          <w:sz w:val="24"/>
          <w:szCs w:val="24"/>
          <w:lang w:val="en-US"/>
        </w:rPr>
        <w:t xml:space="preserve"> </w:t>
      </w:r>
      <w:r w:rsidR="00E75EA0" w:rsidRPr="00754A1D">
        <w:rPr>
          <w:rFonts w:ascii="Times New Roman" w:hAnsi="Times New Roman" w:cs="Times New Roman"/>
          <w:sz w:val="24"/>
          <w:szCs w:val="24"/>
          <w:lang w:val="en-US"/>
        </w:rPr>
        <w:t xml:space="preserve">In this context, </w:t>
      </w:r>
      <w:r w:rsidR="007F014B" w:rsidRPr="00754A1D">
        <w:rPr>
          <w:rFonts w:ascii="Times New Roman" w:hAnsi="Times New Roman" w:cs="Times New Roman"/>
          <w:sz w:val="24"/>
          <w:szCs w:val="24"/>
          <w:lang w:val="en-US"/>
        </w:rPr>
        <w:t>it has become crucial to develop alternative strategies for the control of these pests that are more respectful of the environment and human health.</w:t>
      </w:r>
    </w:p>
    <w:p w14:paraId="260F39E6" w14:textId="09B550B3" w:rsidR="00612501" w:rsidRPr="00754A1D" w:rsidRDefault="009C1473" w:rsidP="00612501">
      <w:pPr>
        <w:spacing w:after="0" w:line="480" w:lineRule="auto"/>
        <w:ind w:firstLine="708"/>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Plant e</w:t>
      </w:r>
      <w:r w:rsidR="00483E24" w:rsidRPr="00754A1D">
        <w:rPr>
          <w:rFonts w:ascii="Times New Roman" w:hAnsi="Times New Roman" w:cs="Times New Roman"/>
          <w:sz w:val="24"/>
          <w:szCs w:val="24"/>
          <w:lang w:val="en-US"/>
        </w:rPr>
        <w:t xml:space="preserve">ssential oils </w:t>
      </w:r>
      <w:r w:rsidR="001751BD" w:rsidRPr="00754A1D">
        <w:rPr>
          <w:rFonts w:ascii="Times New Roman" w:hAnsi="Times New Roman" w:cs="Times New Roman"/>
          <w:sz w:val="24"/>
          <w:szCs w:val="24"/>
          <w:lang w:val="en-US"/>
        </w:rPr>
        <w:t xml:space="preserve">(EOs) </w:t>
      </w:r>
      <w:r w:rsidR="00483E24" w:rsidRPr="00754A1D">
        <w:rPr>
          <w:rFonts w:ascii="Times New Roman" w:hAnsi="Times New Roman" w:cs="Times New Roman"/>
          <w:sz w:val="24"/>
          <w:szCs w:val="24"/>
          <w:lang w:val="en-US"/>
        </w:rPr>
        <w:t xml:space="preserve">are secondary metabolites </w:t>
      </w:r>
      <w:r w:rsidR="006D7B15" w:rsidRPr="00754A1D">
        <w:rPr>
          <w:rFonts w:ascii="Times New Roman" w:hAnsi="Times New Roman" w:cs="Times New Roman"/>
          <w:sz w:val="24"/>
          <w:szCs w:val="24"/>
          <w:lang w:val="en-US"/>
        </w:rPr>
        <w:t xml:space="preserve">of plants </w:t>
      </w:r>
      <w:r w:rsidR="00160C33" w:rsidRPr="00754A1D">
        <w:rPr>
          <w:rFonts w:ascii="Times New Roman" w:hAnsi="Times New Roman" w:cs="Times New Roman"/>
          <w:sz w:val="24"/>
          <w:szCs w:val="24"/>
          <w:lang w:val="en-US"/>
        </w:rPr>
        <w:t>that act</w:t>
      </w:r>
      <w:r w:rsidR="006D7B15" w:rsidRPr="00754A1D">
        <w:rPr>
          <w:rFonts w:ascii="Times New Roman" w:hAnsi="Times New Roman" w:cs="Times New Roman"/>
          <w:sz w:val="24"/>
          <w:szCs w:val="24"/>
          <w:lang w:val="en-US"/>
        </w:rPr>
        <w:t xml:space="preserve"> as communication and defense molecules </w:t>
      </w:r>
      <w:r w:rsidR="00116A75"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{"citationID":"TUVquovM","properties":{"formattedCitation":"(Regnault-Roger et al. 2012; Pavela and Benelli 2016)","plainCitation":"(Regnault-Roger et al. 2012; Pavela and Benelli 2016)","noteIndex":0},"citationItems":[{"id":673,"uris":["http://zotero.org/users/local/QcSA6amT/items/K7R7LZ7E"],"uri":["http://zotero.org/users/local/QcSA6amT/items/K7R7LZ7E"],"itemData":{"id":673,"type":"article-journal","abstract":"In recent years, the use of essential oils (EOs) derived from aromatic plants as low-risk insecticides has increased considerably owing to their popularity with organic growers and environmentally conscious consumers. EOs are easily produced by steam distillation of plant material and contain many volatile, low-molecular-weight terpenes and phenolics. The major plant families from which EOs are extracted include Myrtaceae, Lauraceae, Lamiaceae, and Asteraceae. EOs have repellent, insecticidal, and growth-reducing effects on a variety of insects. They have been used effectively to control preharvest and postharvest phytophagous insects and as insect repellents for biting flies and for home and garden insects. The compounds exert their activities on insects through neurotoxic effects involving several mechanisms, notably through GABA, octopamine synapses, and the inhibition of acetylcholinesterase. With a few exceptions, their mammalian toxicity is low and environmental persistence is short. Registration has been the main bottleneck in putting new products on the market, but more EOs have been approved for use in the United States than elsewhere owing to reduced-risk processes for these materials.","container-title":"Annual Review of Entomology","DOI":"10.1146/annurev-ento-120710-100554","issue":"1","note":"PMID: 21942843","page":"405-424","source":"Annual Reviews","title":"Essential Oils in Insect Control: Low-Risk Products in a High-Stakes World","title-short":"Essential Oils in Insect Control","volume":"57","author":[{"family":"Regnault-Roger","given":"Catherine"},{"family":"Vincent","given":"Charles"},{"family":"Arnason","given":"John Thor"}],"issued":{"date-parts":[["2012"]]}}},{"id":670,"uris":["http://zotero.org/users/local/QcSA6amT/items/FKUI9SQC"],"uri":["http://zotero.org/users/local/QcSA6amT/items/FKUI9SQC"],"itemData":{"id":670,"type":"article-journal","abstract":"Recently, a growing number of plant essential oils (EOs) have been tested against a wide range of arthropod pests with promising results. EOs showed high effectiveness, multiple mechanisms of action, low toxicity on non-target vertebrates and potential for the use of byproducts as reducing and stabilizing agents for the synthesis of nanopesticides. However, the number of commercial biopesticides based on EOs remains low. We analyze the main strengths and weaknesses arising from the use of EO-based biopesticides. Key challenges for future research include: (i) development of efficient stabilization processes (e.g., microencapsulation); (ii) simplification of the complex and costly biopesticide authorization requirements; and (iii) optimization of plant growing conditions and extraction processes leading to EOs of homogeneous chemical composition.","container-title":"Trends in Plant Science","DOI":"10.1016/j.tplants.2016.10.005","ISSN":"1360-1385","issue":"12","journalAbbreviation":"Trends in Plant Science","page":"1000-1007","source":"ScienceDirect","title":"Essential Oils as Ecofriendly Biopesticides? Challenges and Constraints","title-short":"Essential Oils as Ecofriendly Biopesticides?","volume":"21","author":[{"family":"Pavela","given":"Roman"},{"family":"Benelli","given":"Giovanni"}],"issued":{"date-parts":[["2016",12,1]]}}}],"schema":"https://github.com/citation-style-language/schema/raw/master/csl-citation.json"} </w:instrText>
      </w:r>
      <w:r w:rsidR="00116A75" w:rsidRPr="00754A1D">
        <w:rPr>
          <w:rFonts w:ascii="Times New Roman" w:hAnsi="Times New Roman" w:cs="Times New Roman"/>
          <w:sz w:val="24"/>
          <w:szCs w:val="24"/>
          <w:lang w:val="en-US"/>
        </w:rPr>
        <w:fldChar w:fldCharType="separate"/>
      </w:r>
      <w:r w:rsidR="006D7B15" w:rsidRPr="00754A1D">
        <w:rPr>
          <w:rFonts w:ascii="Times New Roman" w:hAnsi="Times New Roman" w:cs="Times New Roman"/>
          <w:sz w:val="24"/>
          <w:lang w:val="en-US"/>
        </w:rPr>
        <w:t>(Regnault-Roger et al. 2012; Pavela and Benelli 2016)</w:t>
      </w:r>
      <w:r w:rsidR="00116A75" w:rsidRPr="00754A1D">
        <w:rPr>
          <w:rFonts w:ascii="Times New Roman" w:hAnsi="Times New Roman" w:cs="Times New Roman"/>
          <w:sz w:val="24"/>
          <w:szCs w:val="24"/>
          <w:lang w:val="en-US"/>
        </w:rPr>
        <w:fldChar w:fldCharType="end"/>
      </w:r>
      <w:r w:rsidR="00116A75" w:rsidRPr="00754A1D">
        <w:rPr>
          <w:rFonts w:ascii="Times New Roman" w:hAnsi="Times New Roman" w:cs="Times New Roman"/>
          <w:sz w:val="24"/>
          <w:szCs w:val="24"/>
          <w:lang w:val="en-US"/>
        </w:rPr>
        <w:t xml:space="preserve">. </w:t>
      </w:r>
      <w:r w:rsidR="00C56393" w:rsidRPr="00754A1D">
        <w:rPr>
          <w:rFonts w:ascii="Times New Roman" w:hAnsi="Times New Roman" w:cs="Times New Roman"/>
          <w:sz w:val="24"/>
          <w:szCs w:val="24"/>
          <w:lang w:val="en-US"/>
        </w:rPr>
        <w:t>Because of</w:t>
      </w:r>
      <w:r w:rsidR="00116A75" w:rsidRPr="00754A1D">
        <w:rPr>
          <w:rFonts w:ascii="Times New Roman" w:hAnsi="Times New Roman" w:cs="Times New Roman"/>
          <w:sz w:val="24"/>
          <w:szCs w:val="24"/>
          <w:lang w:val="en-US"/>
        </w:rPr>
        <w:t xml:space="preserve"> their repellent, insecticidal, and growth-reducing effects on a wide variety of insects, </w:t>
      </w:r>
      <w:r w:rsidR="003B1F03" w:rsidRPr="00754A1D">
        <w:rPr>
          <w:rFonts w:ascii="Times New Roman" w:hAnsi="Times New Roman" w:cs="Times New Roman"/>
          <w:sz w:val="24"/>
          <w:szCs w:val="24"/>
          <w:lang w:val="en-US"/>
        </w:rPr>
        <w:t xml:space="preserve">they </w:t>
      </w:r>
      <w:r w:rsidR="006D7B15" w:rsidRPr="00754A1D">
        <w:rPr>
          <w:rFonts w:ascii="Times New Roman" w:hAnsi="Times New Roman" w:cs="Times New Roman"/>
          <w:sz w:val="24"/>
          <w:szCs w:val="24"/>
          <w:lang w:val="en-US"/>
        </w:rPr>
        <w:t xml:space="preserve">are </w:t>
      </w:r>
      <w:r w:rsidR="00483E24" w:rsidRPr="00754A1D">
        <w:rPr>
          <w:rFonts w:ascii="Times New Roman" w:hAnsi="Times New Roman" w:cs="Times New Roman"/>
          <w:sz w:val="24"/>
          <w:szCs w:val="24"/>
          <w:lang w:val="en-US"/>
        </w:rPr>
        <w:t xml:space="preserve">increasingly </w:t>
      </w:r>
      <w:r w:rsidR="00D36EDA" w:rsidRPr="00754A1D">
        <w:rPr>
          <w:rFonts w:ascii="Times New Roman" w:hAnsi="Times New Roman" w:cs="Times New Roman"/>
          <w:sz w:val="24"/>
          <w:szCs w:val="24"/>
          <w:lang w:val="en-US"/>
        </w:rPr>
        <w:t xml:space="preserve">being </w:t>
      </w:r>
      <w:r w:rsidR="00483E24" w:rsidRPr="00754A1D">
        <w:rPr>
          <w:rFonts w:ascii="Times New Roman" w:hAnsi="Times New Roman" w:cs="Times New Roman"/>
          <w:sz w:val="24"/>
          <w:szCs w:val="24"/>
          <w:lang w:val="en-US"/>
        </w:rPr>
        <w:t xml:space="preserve">considered </w:t>
      </w:r>
      <w:r w:rsidR="002051A8" w:rsidRPr="00754A1D">
        <w:rPr>
          <w:rFonts w:ascii="Times New Roman" w:hAnsi="Times New Roman" w:cs="Times New Roman"/>
          <w:sz w:val="24"/>
          <w:szCs w:val="24"/>
          <w:lang w:val="en-US"/>
        </w:rPr>
        <w:t>a</w:t>
      </w:r>
      <w:r w:rsidR="00867E12" w:rsidRPr="00754A1D">
        <w:rPr>
          <w:rFonts w:ascii="Times New Roman" w:hAnsi="Times New Roman" w:cs="Times New Roman"/>
          <w:sz w:val="24"/>
          <w:szCs w:val="24"/>
          <w:lang w:val="en-US"/>
        </w:rPr>
        <w:t xml:space="preserve"> credible</w:t>
      </w:r>
      <w:r w:rsidR="002051A8" w:rsidRPr="00754A1D">
        <w:rPr>
          <w:rFonts w:ascii="Times New Roman" w:hAnsi="Times New Roman" w:cs="Times New Roman"/>
          <w:sz w:val="24"/>
          <w:szCs w:val="24"/>
          <w:lang w:val="en-US"/>
        </w:rPr>
        <w:t xml:space="preserve"> alternative</w:t>
      </w:r>
      <w:r w:rsidR="00483E24" w:rsidRPr="00754A1D">
        <w:rPr>
          <w:rFonts w:ascii="Times New Roman" w:hAnsi="Times New Roman" w:cs="Times New Roman"/>
          <w:sz w:val="24"/>
          <w:szCs w:val="24"/>
          <w:lang w:val="en-US"/>
        </w:rPr>
        <w:t xml:space="preserve"> to syntheti</w:t>
      </w:r>
      <w:r w:rsidR="00AD11CC" w:rsidRPr="00754A1D">
        <w:rPr>
          <w:rFonts w:ascii="Times New Roman" w:hAnsi="Times New Roman" w:cs="Times New Roman"/>
          <w:sz w:val="24"/>
          <w:szCs w:val="24"/>
          <w:lang w:val="en-US"/>
        </w:rPr>
        <w:t>c</w:t>
      </w:r>
      <w:r w:rsidR="00064F9F" w:rsidRPr="00754A1D">
        <w:rPr>
          <w:rFonts w:ascii="Times New Roman" w:hAnsi="Times New Roman" w:cs="Times New Roman"/>
          <w:sz w:val="24"/>
          <w:szCs w:val="24"/>
          <w:lang w:val="en-US"/>
        </w:rPr>
        <w:t>/conventional</w:t>
      </w:r>
      <w:r w:rsidR="00AD11CC" w:rsidRPr="00754A1D">
        <w:rPr>
          <w:rFonts w:ascii="Times New Roman" w:hAnsi="Times New Roman" w:cs="Times New Roman"/>
          <w:sz w:val="24"/>
          <w:szCs w:val="24"/>
          <w:lang w:val="en-US"/>
        </w:rPr>
        <w:t xml:space="preserve"> </w:t>
      </w:r>
      <w:r w:rsidR="00B368BD" w:rsidRPr="00754A1D">
        <w:rPr>
          <w:rFonts w:ascii="Times New Roman" w:hAnsi="Times New Roman" w:cs="Times New Roman"/>
          <w:sz w:val="24"/>
          <w:szCs w:val="24"/>
          <w:lang w:val="en-US"/>
        </w:rPr>
        <w:t>insecticides</w:t>
      </w:r>
      <w:r w:rsidR="00931126" w:rsidRPr="00754A1D">
        <w:rPr>
          <w:rFonts w:ascii="Times New Roman" w:hAnsi="Times New Roman" w:cs="Times New Roman"/>
          <w:sz w:val="24"/>
          <w:szCs w:val="24"/>
          <w:lang w:val="en-US"/>
        </w:rPr>
        <w:t>, o</w:t>
      </w:r>
      <w:r w:rsidR="00064F9F" w:rsidRPr="00754A1D">
        <w:rPr>
          <w:rFonts w:ascii="Times New Roman" w:hAnsi="Times New Roman" w:cs="Times New Roman"/>
          <w:sz w:val="24"/>
          <w:szCs w:val="24"/>
          <w:lang w:val="en-US"/>
        </w:rPr>
        <w:t>ften neurotoxic</w:t>
      </w:r>
      <w:r w:rsidR="00116A75" w:rsidRPr="00754A1D">
        <w:rPr>
          <w:rFonts w:ascii="Times New Roman" w:hAnsi="Times New Roman" w:cs="Times New Roman"/>
          <w:sz w:val="24"/>
          <w:szCs w:val="24"/>
          <w:lang w:val="en-US"/>
        </w:rPr>
        <w:t xml:space="preserve"> </w:t>
      </w:r>
      <w:r w:rsidR="00AF140D" w:rsidRPr="00754A1D">
        <w:rPr>
          <w:rFonts w:ascii="Times New Roman" w:hAnsi="Times New Roman" w:cs="Times New Roman"/>
          <w:sz w:val="24"/>
          <w:szCs w:val="24"/>
          <w:lang w:val="en-US"/>
        </w:rPr>
        <w:t>to</w:t>
      </w:r>
      <w:r w:rsidR="00116A75" w:rsidRPr="00754A1D">
        <w:rPr>
          <w:rFonts w:ascii="Times New Roman" w:hAnsi="Times New Roman" w:cs="Times New Roman"/>
          <w:sz w:val="24"/>
          <w:szCs w:val="24"/>
          <w:lang w:val="en-US"/>
        </w:rPr>
        <w:t xml:space="preserve"> mammals</w:t>
      </w:r>
      <w:r w:rsidR="00064F9F" w:rsidRPr="00754A1D">
        <w:rPr>
          <w:rFonts w:ascii="Times New Roman" w:hAnsi="Times New Roman" w:cs="Times New Roman"/>
          <w:sz w:val="24"/>
          <w:szCs w:val="24"/>
          <w:lang w:val="en-US"/>
        </w:rPr>
        <w:t xml:space="preserve"> </w:t>
      </w:r>
      <w:r w:rsidR="002051A8" w:rsidRPr="00754A1D">
        <w:rPr>
          <w:rFonts w:ascii="Times New Roman" w:hAnsi="Times New Roman" w:cs="Times New Roman"/>
          <w:sz w:val="24"/>
          <w:szCs w:val="24"/>
          <w:lang w:val="en-US"/>
        </w:rPr>
        <w:fldChar w:fldCharType="begin"/>
      </w:r>
      <w:r w:rsidR="00931126" w:rsidRPr="00754A1D">
        <w:rPr>
          <w:rFonts w:ascii="Times New Roman" w:hAnsi="Times New Roman" w:cs="Times New Roman"/>
          <w:sz w:val="24"/>
          <w:szCs w:val="24"/>
          <w:lang w:val="en-US"/>
        </w:rPr>
        <w:instrText xml:space="preserve"> ADDIN ZOTERO_ITEM CSL_CITATION {"citationID":"GGbXQRMZ","properties":{"formattedCitation":"(Ngamo and Hance 2007; Nerio et al. 2010; Regnault-Roger et al. 2012; Pavela and Benelli 2016)","plainCitation":"(Ngamo and Hance 2007; Nerio et al. 2010; Regnault-Roger et al. 2012; Pavela and Benelli 2016)","noteIndex":0},"citationItems":[{"id":2665,"uris":["http://zotero.org/users/local/QcSA6amT/items/XUHLYLU2"],"uri":["http://zotero.org/users/local/QcSA6amT/items/XUHLYLU2"],"itemData":{"id":2665,"type":"article-journal","abstract":"Diversity of Stored Grain Pests and Alternative Methods for their Control in Tropics. The major cause of important post-harvest losses in northern Cameroon is due to the attacks of insects pests. These beetles (Insecta: Coleoptera) during their development depreciate food in storage, they are able to destroy a whole stock in a very short period of time. To protect stored products against these insects, synthetic insecticides and many other biological or physical methods are used, very important amount of work had been carried out on this subject. This review summarises the importance and the diversification of stored grain pests in Cameroon and presents current methods. Hence, the review highlights the use of the essential oils from spices as an important user and consumer friendly method to protect grain in storage.","container-title":"Tropicultura","journalAbbreviation":"Tropicultura","source":"ResearchGate","title":"Diversité des ravageurs des denrée et méthodes alternatives de lutte en milieu tropical","volume":"25","author":[{"family":"Ngamo","given":"Léonard"},{"family":"Hance","given":"Thierry"}],"issued":{"date-parts":[["2007",1,1]]}}},{"id":667,"uris":["http://zotero.org/users/local/QcSA6amT/items/L3E2GY5F"],"uri":["http://zotero.org/users/local/QcSA6amT/items/L3E2GY5F"],"itemData":{"id":667,"type":"article-journal","abstract":"Currently, the use of synthetic chemicals to control insects and arthropods raises several concerns related to environment and human health. An alternative is to use natural products that possess good efficacy and are environmentally friendly. Among those chemicals, essential oils from plants belonging to several species have been extensively tested to assess their repellent properties as a valuable natural resource. The essential oils whose repellent activities have been demonstrated, as well as the importance of the synergistic effects among their components are the main focus of this review. Essential oils are volatile mixtures of hydrocarbons with a diversity of functional groups, and their repellent activity has been linked to the presence of monoterpenes and sesquiterpenes. However, in some cases, these chemicals can work synergistically, improving their effectiveness. In addition, the use of other natural products in the mixture, such as vanillin, could increase the protection time, potentiating the repellent effect of some essential oils. Among the plant families with promising essential oils used as repellents, Cymbopogon spp., Ocimum spp. and Eucalyptus spp. are the most cited. Individual compounds present in these mixtures with high repellent activity include α-pinene, limonene, citronellol, citronellal, camphor and thymol. Finally, although from an economical point of view synthetic chemicals are still more frequently used as repellents than essential oils, these natural products have the potential to provide efficient, and safer repellents for humans and the environment.","container-title":"Bioresource Technology","DOI":"10.1016/j.biortech.2009.07.048","ISSN":"0960-8524","issue":"1","journalAbbreviation":"Bioresource Technology","page":"372-378","source":"ScienceDirect","title":"Repellent activity of essential oils: A review","title-short":"Repellent activity of essential oils","volume":"101","author":[{"family":"Nerio","given":"Luz Stella"},{"family":"Olivero-Verbel","given":"Jesus"},{"family":"Stashenko","given":"Elena"}],"issued":{"date-parts":[["2010",1,1]]}}},{"id":673,"uris":["http://zotero.org/users/local/QcSA6amT/items/K7R7LZ7E"],"uri":["http://zotero.org/users/local/QcSA6amT/items/K7R7LZ7E"],"itemData":{"id":673,"type":"article-journal","abstract":"In recent years, the use of essential oils (EOs) derived from aromatic plants as low-risk insecticides has increased considerably owing to their popularity with organic growers and environmentally conscious consumers. EOs are easily produced by steam distillation of plant material and contain many volatile, low-molecular-weight terpenes and phenolics. The major plant families from which EOs are extracted include Myrtaceae, Lauraceae, Lamiaceae, and Asteraceae. EOs have repellent, insecticidal, and growth-reducing effects on a variety of insects. They have been used effectively to control preharvest and postharvest phytophagous insects and as insect repellents for biting flies and for home and garden insects. The compounds exert their activities on insects through neurotoxic effects involving several mechanisms, notably through GABA, octopamine synapses, and the inhibition of acetylcholinesterase. With a few exceptions, their mammalian toxicity is low and environmental persistence is short. Registration has been the main bottleneck in putting new products on the market, but more EOs have been approved for use in the United States than elsewhere owing to reduced-risk processes for these materials.","container-title":"Annual Review of Entomology","DOI":"10.1146/annurev-ento-120710-100554","issue":"1","note":"PMID: 21942843","page":"405-424","source":"Annual Reviews","title":"Essential Oils in Insect Control: Low-Risk Products in a High-Stakes World","title-short":"Essential Oils in Insect Control","volume":"57","author":[{"family":"Regnault-Roger","given":"Catherine"},{"family":"Vincent","given":"Charles"},{"family":"Arnason","given":"John Thor"}],"issued":{"date-parts":[["2012"]]}}},{"id":670,"uris":["http://zotero.org/users/local/QcSA6amT/items/FKUI9SQC"],"uri":["http://zotero.org/users/local/QcSA6amT/items/FKUI9SQC"],"itemData":{"id":670,"type":"article-journal","abstract":"Recently, a growing number of plant essential oils (EOs) have been tested against a wide range of arthropod pests with promising results. EOs showed high effectiveness, multiple mechanisms of action, low toxicity on non-target vertebrates and potential for the use of byproducts as reducing and stabilizing agents for the synthesis of nanopesticides. However, the number of commercial biopesticides based on EOs remains low. We analyze the main strengths and weaknesses arising from the use of EO-based biopesticides. Key challenges for future research include: (i) development of efficient stabilization processes (e.g., microencapsulation); (ii) simplification of the complex and costly biopesticide authorization requirements; and (iii) optimization of plant growing conditions and extraction processes leading to EOs of homogeneous chemical composition.","container-title":"Trends in Plant Science","DOI":"10.1016/j.tplants.2016.10.005","ISSN":"1360-1385","issue":"12","journalAbbreviation":"Trends in Plant Science","page":"1000-1007","source":"ScienceDirect","title":"Essential Oils as Ecofriendly Biopesticides? Challenges and Constraints","title-short":"Essential Oils as Ecofriendly Biopesticides?","volume":"21","author":[{"family":"Pavela","given":"Roman"},{"family":"Benelli","given":"Giovanni"}],"issued":{"date-parts":[["2016",12,1]]}}}],"schema":"https://github.com/citation-style-language/schema/raw/master/csl-citation.json"} </w:instrText>
      </w:r>
      <w:r w:rsidR="002051A8" w:rsidRPr="00754A1D">
        <w:rPr>
          <w:rFonts w:ascii="Times New Roman" w:hAnsi="Times New Roman" w:cs="Times New Roman"/>
          <w:sz w:val="24"/>
          <w:szCs w:val="24"/>
          <w:lang w:val="en-US"/>
        </w:rPr>
        <w:fldChar w:fldCharType="separate"/>
      </w:r>
      <w:r w:rsidR="00931126" w:rsidRPr="00754A1D">
        <w:rPr>
          <w:rFonts w:ascii="Times New Roman" w:hAnsi="Times New Roman" w:cs="Times New Roman"/>
          <w:sz w:val="24"/>
          <w:lang w:val="en-US"/>
        </w:rPr>
        <w:t>(Ngamo and Hance 2007; Nerio et al. 2010; Regnault-Roger et al. 2012; Pavela and Benelli 2016)</w:t>
      </w:r>
      <w:r w:rsidR="002051A8" w:rsidRPr="00754A1D">
        <w:rPr>
          <w:rFonts w:ascii="Times New Roman" w:hAnsi="Times New Roman" w:cs="Times New Roman"/>
          <w:sz w:val="24"/>
          <w:szCs w:val="24"/>
          <w:lang w:val="en-US"/>
        </w:rPr>
        <w:fldChar w:fldCharType="end"/>
      </w:r>
      <w:r w:rsidR="002051A8" w:rsidRPr="00754A1D">
        <w:rPr>
          <w:rFonts w:ascii="Times New Roman" w:hAnsi="Times New Roman" w:cs="Times New Roman"/>
          <w:sz w:val="24"/>
          <w:szCs w:val="24"/>
          <w:lang w:val="en-US"/>
        </w:rPr>
        <w:t xml:space="preserve">. This is </w:t>
      </w:r>
      <w:r w:rsidR="00160C33" w:rsidRPr="00754A1D">
        <w:rPr>
          <w:rFonts w:ascii="Times New Roman" w:hAnsi="Times New Roman" w:cs="Times New Roman"/>
          <w:sz w:val="24"/>
          <w:szCs w:val="24"/>
          <w:lang w:val="en-US"/>
        </w:rPr>
        <w:t>particularly</w:t>
      </w:r>
      <w:r w:rsidR="00AD11CC" w:rsidRPr="00754A1D">
        <w:rPr>
          <w:rFonts w:ascii="Times New Roman" w:hAnsi="Times New Roman" w:cs="Times New Roman"/>
          <w:sz w:val="24"/>
          <w:szCs w:val="24"/>
          <w:lang w:val="en-US"/>
        </w:rPr>
        <w:t xml:space="preserve"> </w:t>
      </w:r>
      <w:r w:rsidR="00116A75" w:rsidRPr="00754A1D">
        <w:rPr>
          <w:rFonts w:ascii="Times New Roman" w:hAnsi="Times New Roman" w:cs="Times New Roman"/>
          <w:sz w:val="24"/>
          <w:szCs w:val="24"/>
          <w:lang w:val="en-US"/>
        </w:rPr>
        <w:t xml:space="preserve">the case </w:t>
      </w:r>
      <w:r w:rsidR="002E737C" w:rsidRPr="00754A1D">
        <w:rPr>
          <w:rFonts w:ascii="Times New Roman" w:hAnsi="Times New Roman" w:cs="Times New Roman"/>
          <w:sz w:val="24"/>
          <w:szCs w:val="24"/>
          <w:lang w:val="en-US"/>
        </w:rPr>
        <w:t xml:space="preserve">for the protection of stored products </w:t>
      </w:r>
      <w:r w:rsidR="00610E89" w:rsidRPr="00754A1D">
        <w:rPr>
          <w:rFonts w:ascii="Times New Roman" w:hAnsi="Times New Roman" w:cs="Times New Roman"/>
          <w:sz w:val="24"/>
          <w:szCs w:val="24"/>
          <w:lang w:val="en-US"/>
        </w:rPr>
        <w:t xml:space="preserve">whose </w:t>
      </w:r>
      <w:r w:rsidR="00160C33" w:rsidRPr="00754A1D">
        <w:rPr>
          <w:rFonts w:ascii="Times New Roman" w:hAnsi="Times New Roman" w:cs="Times New Roman"/>
          <w:sz w:val="24"/>
          <w:szCs w:val="24"/>
          <w:lang w:val="en-US"/>
        </w:rPr>
        <w:t xml:space="preserve">confinement </w:t>
      </w:r>
      <w:r w:rsidR="00610E89" w:rsidRPr="00754A1D">
        <w:rPr>
          <w:rFonts w:ascii="Times New Roman" w:hAnsi="Times New Roman" w:cs="Times New Roman"/>
          <w:sz w:val="24"/>
          <w:szCs w:val="24"/>
          <w:lang w:val="en-US"/>
        </w:rPr>
        <w:t xml:space="preserve">favors the action of naturally highly volatile molecules </w:t>
      </w:r>
      <w:r w:rsidR="00647ECF"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{"citationID":"6VknwITG","properties":{"formattedCitation":"(Isman 2000; Isman and Grieneisen 2014)","plainCitation":"(Isman 2000; Isman and Grieneisen 2014)","noteIndex":0},"citationItems":[{"id":650,"uris":["http://zotero.org/users/local/QcSA6amT/items/DEAIYLMQ"],"uri":["http://zotero.org/users/local/QcSA6amT/items/DEAIYLMQ"],"itemData":{"id":650,"type":"article-journal","abstract":"Certain essential plant oils, widely used as fragrances and flavors in the perfume and food industries, have long been reputed to repel insects. Recent investigations in several countries confirm that some plant essential oils not only repel insects, but have contact and fumigant insecticidal actions against specific pests, and fungicidal actions against some important plant pathogens. As part of an effort aimed at the development of reduced-risk pesticides based on plant essential oils, toxic and sublethal effects of some essential oil terpenes and phenols have been investigated using the tobacco cutworm (Spodoptera litura) and the green peach aphid (Myzus persicae) as model pest species. In this paper I review (i) the range of biological activities of essential oils and their constituents; (ii) their toxicity and proposed mode-of-action in insects; (iii) their potential health and environmental impacts as crop protectants; and (iv) commercialization of pesticides based on plant essential oils.","collection-title":"XIVth International Plant Protection Congress","container-title":"Crop Protection","DOI":"10.1016/S0261-2194(00)00079-X","ISSN":"0261-2194","issue":"8","journalAbbreviation":"Crop Protection","page":"603-608","source":"ScienceDirect","title":"Plant essential oils for pest and disease management","volume":"19","author":[{"family":"Isman","given":"Murray B"}],"issued":{"date-parts":[["2000",9,12]]}}},{"id":653,"uris":["http://zotero.org/users/local/QcSA6amT/items/CWUXSAQH"],"uri":["http://zotero.org/users/local/QcSA6amT/items/CWUXSAQH"],"itemData":{"id":653,"type":"article-journal","abstract":"Our analysis of &gt;20000 papers on botanical insecticides from 1980 to 2012, indicates major growth in the number of papers published annually (61 in 1980 to 1207 in 2012), and their proportion among all papers on insecticides (1.43% in 1980 to 21.38% in 2012). However, only one-third of 197 random articles among the 1086 papers on botanical insecticides published in 2011 included any chemical data or characterization; and only a quarter of them included positive controls. Therefore, a substantial portion of recently published studies has design flaws that limit reproducibility and comparisons with other and/or future studies. In our opinion, much of the scientific literature on this subject is of limited use in the progress toward commercialization or advancement of knowledge, given the resources expended.","container-title":"Trends in Plant Science","DOI":"10.1016/j.tplants.2013.11.005","ISSN":"1360-1385","issue":"3","journalAbbreviation":"Trends in Plant Science","page":"140-145","source":"ScienceDirect","title":"Botanical insecticide research: many publications, limited useful data","title-short":"Botanical insecticide research","volume":"19","author":[{"family":"Isman","given":"Murray B."},{"family":"Grieneisen","given":"Michael L."}],"issued":{"date-parts":[["2014",3,1]]}}}],"schema":"https://github.com/citation-style-language/schema/raw/master/csl-citation.json"} </w:instrText>
      </w:r>
      <w:r w:rsidR="00647ECF" w:rsidRPr="00754A1D">
        <w:rPr>
          <w:rFonts w:ascii="Times New Roman" w:hAnsi="Times New Roman" w:cs="Times New Roman"/>
          <w:sz w:val="24"/>
          <w:szCs w:val="24"/>
          <w:lang w:val="en-US"/>
        </w:rPr>
        <w:fldChar w:fldCharType="separate"/>
      </w:r>
      <w:r w:rsidR="00647ECF" w:rsidRPr="00754A1D">
        <w:rPr>
          <w:rFonts w:ascii="Times New Roman" w:hAnsi="Times New Roman" w:cs="Times New Roman"/>
          <w:sz w:val="24"/>
          <w:szCs w:val="24"/>
          <w:lang w:val="en-US"/>
        </w:rPr>
        <w:t>(Isman 2000; Isman and Grieneisen 2014)</w:t>
      </w:r>
      <w:r w:rsidR="00647ECF" w:rsidRPr="00754A1D">
        <w:rPr>
          <w:rFonts w:ascii="Times New Roman" w:hAnsi="Times New Roman" w:cs="Times New Roman"/>
          <w:sz w:val="24"/>
          <w:szCs w:val="24"/>
          <w:lang w:val="en-US"/>
        </w:rPr>
        <w:fldChar w:fldCharType="end"/>
      </w:r>
      <w:r w:rsidR="00A633AE" w:rsidRPr="00754A1D">
        <w:rPr>
          <w:rFonts w:ascii="Times New Roman" w:hAnsi="Times New Roman" w:cs="Times New Roman"/>
          <w:sz w:val="24"/>
          <w:szCs w:val="24"/>
          <w:lang w:val="en-US"/>
        </w:rPr>
        <w:t xml:space="preserve">. </w:t>
      </w:r>
      <w:r w:rsidR="0024742E" w:rsidRPr="00754A1D">
        <w:rPr>
          <w:rFonts w:ascii="Times New Roman" w:hAnsi="Times New Roman" w:cs="Times New Roman"/>
          <w:sz w:val="24"/>
          <w:szCs w:val="24"/>
          <w:lang w:val="en-US"/>
        </w:rPr>
        <w:t>It has been reported</w:t>
      </w:r>
      <w:r w:rsidR="00171F19" w:rsidRPr="00754A1D">
        <w:rPr>
          <w:rFonts w:ascii="Times New Roman" w:hAnsi="Times New Roman" w:cs="Times New Roman"/>
          <w:sz w:val="24"/>
          <w:szCs w:val="24"/>
          <w:lang w:val="en-US"/>
        </w:rPr>
        <w:t xml:space="preserve"> that </w:t>
      </w:r>
      <w:r w:rsidR="009567AA" w:rsidRPr="00754A1D">
        <w:rPr>
          <w:rFonts w:ascii="Times New Roman" w:hAnsi="Times New Roman" w:cs="Times New Roman"/>
          <w:sz w:val="24"/>
          <w:szCs w:val="24"/>
          <w:lang w:val="en-US"/>
        </w:rPr>
        <w:t xml:space="preserve">plant </w:t>
      </w:r>
      <w:r w:rsidR="00DA2F73" w:rsidRPr="00754A1D">
        <w:rPr>
          <w:rFonts w:ascii="Times New Roman" w:hAnsi="Times New Roman" w:cs="Times New Roman"/>
          <w:sz w:val="24"/>
          <w:szCs w:val="24"/>
          <w:lang w:val="en-US"/>
        </w:rPr>
        <w:t>EOs</w:t>
      </w:r>
      <w:r w:rsidR="00171F19" w:rsidRPr="00754A1D">
        <w:rPr>
          <w:rFonts w:ascii="Times New Roman" w:hAnsi="Times New Roman" w:cs="Times New Roman"/>
          <w:sz w:val="24"/>
          <w:szCs w:val="24"/>
          <w:lang w:val="en-US"/>
        </w:rPr>
        <w:t xml:space="preserve"> </w:t>
      </w:r>
      <w:r w:rsidR="00C56393" w:rsidRPr="00754A1D">
        <w:rPr>
          <w:rFonts w:ascii="Times New Roman" w:hAnsi="Times New Roman" w:cs="Times New Roman"/>
          <w:sz w:val="24"/>
          <w:szCs w:val="24"/>
          <w:lang w:val="en-US"/>
        </w:rPr>
        <w:t>may</w:t>
      </w:r>
      <w:r w:rsidR="009567AA" w:rsidRPr="00754A1D">
        <w:rPr>
          <w:rFonts w:ascii="Times New Roman" w:hAnsi="Times New Roman" w:cs="Times New Roman"/>
          <w:sz w:val="24"/>
          <w:szCs w:val="24"/>
          <w:lang w:val="en-US"/>
        </w:rPr>
        <w:t xml:space="preserve"> be</w:t>
      </w:r>
      <w:r w:rsidR="00DB5953" w:rsidRPr="00754A1D">
        <w:rPr>
          <w:rFonts w:ascii="Times New Roman" w:hAnsi="Times New Roman" w:cs="Times New Roman"/>
          <w:sz w:val="24"/>
          <w:szCs w:val="24"/>
          <w:lang w:val="en-US"/>
        </w:rPr>
        <w:t xml:space="preserve"> effective against pests </w:t>
      </w:r>
      <w:r w:rsidR="00C56393" w:rsidRPr="00754A1D">
        <w:rPr>
          <w:rFonts w:ascii="Times New Roman" w:hAnsi="Times New Roman" w:cs="Times New Roman"/>
          <w:sz w:val="24"/>
          <w:szCs w:val="24"/>
          <w:lang w:val="en-US"/>
        </w:rPr>
        <w:t xml:space="preserve">of stored grain </w:t>
      </w:r>
      <w:r w:rsidR="00DB5953" w:rsidRPr="00754A1D">
        <w:rPr>
          <w:rFonts w:ascii="Times New Roman" w:hAnsi="Times New Roman" w:cs="Times New Roman"/>
          <w:sz w:val="24"/>
          <w:szCs w:val="24"/>
          <w:lang w:val="en-US"/>
        </w:rPr>
        <w:t>including</w:t>
      </w:r>
      <w:r w:rsidR="00D36EDA" w:rsidRPr="00754A1D">
        <w:rPr>
          <w:rFonts w:ascii="Times New Roman" w:hAnsi="Times New Roman" w:cs="Times New Roman"/>
          <w:sz w:val="24"/>
          <w:szCs w:val="24"/>
          <w:lang w:val="en-US"/>
        </w:rPr>
        <w:t xml:space="preserve"> </w:t>
      </w:r>
      <w:r w:rsidR="00DA2F73" w:rsidRPr="00754A1D">
        <w:rPr>
          <w:rFonts w:ascii="Times New Roman" w:hAnsi="Times New Roman" w:cs="Times New Roman"/>
          <w:sz w:val="24"/>
          <w:szCs w:val="24"/>
          <w:lang w:val="en-US"/>
        </w:rPr>
        <w:t>EOs</w:t>
      </w:r>
      <w:r w:rsidR="00DB5953" w:rsidRPr="00754A1D">
        <w:rPr>
          <w:rFonts w:ascii="Times New Roman" w:hAnsi="Times New Roman" w:cs="Times New Roman"/>
          <w:sz w:val="24"/>
          <w:szCs w:val="24"/>
          <w:lang w:val="en-US"/>
        </w:rPr>
        <w:t xml:space="preserve"> from</w:t>
      </w:r>
      <w:r w:rsidR="00171F19" w:rsidRPr="00754A1D">
        <w:rPr>
          <w:rFonts w:ascii="Times New Roman" w:hAnsi="Times New Roman" w:cs="Times New Roman"/>
          <w:sz w:val="24"/>
          <w:szCs w:val="24"/>
          <w:lang w:val="en-US"/>
        </w:rPr>
        <w:t xml:space="preserve"> </w:t>
      </w:r>
      <w:r w:rsidR="009567AA" w:rsidRPr="00754A1D">
        <w:rPr>
          <w:rFonts w:ascii="Times New Roman" w:hAnsi="Times New Roman" w:cs="Times New Roman"/>
          <w:i/>
          <w:sz w:val="24"/>
          <w:szCs w:val="24"/>
          <w:lang w:val="en-US"/>
        </w:rPr>
        <w:t>Brassicaceae</w:t>
      </w:r>
      <w:r w:rsidR="009567AA" w:rsidRPr="00754A1D">
        <w:rPr>
          <w:rFonts w:ascii="Times New Roman" w:hAnsi="Times New Roman" w:cs="Times New Roman"/>
          <w:sz w:val="24"/>
          <w:szCs w:val="24"/>
          <w:lang w:val="en-US"/>
        </w:rPr>
        <w:t xml:space="preserve"> (e.g. </w:t>
      </w:r>
      <w:r w:rsidR="002B4719" w:rsidRPr="00754A1D">
        <w:rPr>
          <w:rFonts w:ascii="Times New Roman" w:hAnsi="Times New Roman" w:cs="Times New Roman"/>
          <w:i/>
          <w:sz w:val="24"/>
          <w:szCs w:val="24"/>
          <w:lang w:val="en-US"/>
        </w:rPr>
        <w:t xml:space="preserve">Brassica </w:t>
      </w:r>
      <w:proofErr w:type="spellStart"/>
      <w:r w:rsidR="002B4719" w:rsidRPr="00754A1D">
        <w:rPr>
          <w:rFonts w:ascii="Times New Roman" w:hAnsi="Times New Roman" w:cs="Times New Roman"/>
          <w:i/>
          <w:sz w:val="24"/>
          <w:szCs w:val="24"/>
          <w:lang w:val="en-US"/>
        </w:rPr>
        <w:t>juncea</w:t>
      </w:r>
      <w:proofErr w:type="spellEnd"/>
      <w:r w:rsidR="009567AA" w:rsidRPr="00754A1D">
        <w:rPr>
          <w:rFonts w:ascii="Times New Roman" w:hAnsi="Times New Roman" w:cs="Times New Roman"/>
          <w:sz w:val="24"/>
          <w:szCs w:val="24"/>
          <w:lang w:val="en-US"/>
        </w:rPr>
        <w:t>),</w:t>
      </w:r>
      <w:r w:rsidR="003813FD" w:rsidRPr="00754A1D">
        <w:rPr>
          <w:rFonts w:ascii="Times New Roman" w:hAnsi="Times New Roman" w:cs="Times New Roman"/>
          <w:sz w:val="24"/>
          <w:szCs w:val="24"/>
          <w:lang w:val="en-US"/>
        </w:rPr>
        <w:t xml:space="preserve"> </w:t>
      </w:r>
      <w:proofErr w:type="spellStart"/>
      <w:r w:rsidR="009567AA" w:rsidRPr="00754A1D">
        <w:rPr>
          <w:rFonts w:ascii="Times New Roman" w:hAnsi="Times New Roman" w:cs="Times New Roman"/>
          <w:i/>
          <w:sz w:val="24"/>
          <w:szCs w:val="24"/>
          <w:lang w:val="en-US"/>
        </w:rPr>
        <w:t>Myrtaceae</w:t>
      </w:r>
      <w:proofErr w:type="spellEnd"/>
      <w:r w:rsidR="009567AA" w:rsidRPr="00754A1D">
        <w:rPr>
          <w:rFonts w:ascii="Times New Roman" w:hAnsi="Times New Roman" w:cs="Times New Roman"/>
          <w:i/>
          <w:sz w:val="24"/>
          <w:szCs w:val="24"/>
          <w:lang w:val="en-US"/>
        </w:rPr>
        <w:t xml:space="preserve"> </w:t>
      </w:r>
      <w:r w:rsidR="009567AA" w:rsidRPr="00754A1D">
        <w:rPr>
          <w:rFonts w:ascii="Times New Roman" w:hAnsi="Times New Roman" w:cs="Times New Roman"/>
          <w:sz w:val="24"/>
          <w:szCs w:val="24"/>
          <w:lang w:val="en-US"/>
        </w:rPr>
        <w:t xml:space="preserve">(e. g. </w:t>
      </w:r>
      <w:r w:rsidR="002E737C" w:rsidRPr="00754A1D">
        <w:rPr>
          <w:rFonts w:ascii="Times New Roman" w:hAnsi="Times New Roman" w:cs="Times New Roman"/>
          <w:i/>
          <w:sz w:val="24"/>
          <w:szCs w:val="24"/>
          <w:lang w:val="en-US"/>
        </w:rPr>
        <w:lastRenderedPageBreak/>
        <w:t>Eucalyptus</w:t>
      </w:r>
      <w:r w:rsidR="009567AA" w:rsidRPr="00754A1D">
        <w:rPr>
          <w:rFonts w:ascii="Times New Roman" w:hAnsi="Times New Roman" w:cs="Times New Roman"/>
          <w:sz w:val="24"/>
          <w:szCs w:val="24"/>
          <w:lang w:val="en-US"/>
        </w:rPr>
        <w:t>)</w:t>
      </w:r>
      <w:r w:rsidR="003332D3" w:rsidRPr="00754A1D">
        <w:rPr>
          <w:rFonts w:ascii="Times New Roman" w:hAnsi="Times New Roman" w:cs="Times New Roman"/>
          <w:sz w:val="24"/>
          <w:szCs w:val="24"/>
          <w:lang w:val="en-US"/>
        </w:rPr>
        <w:t xml:space="preserve">, </w:t>
      </w:r>
      <w:proofErr w:type="spellStart"/>
      <w:r w:rsidR="009567AA" w:rsidRPr="00754A1D">
        <w:rPr>
          <w:rFonts w:ascii="Times New Roman" w:hAnsi="Times New Roman" w:cs="Times New Roman"/>
          <w:i/>
          <w:sz w:val="24"/>
          <w:szCs w:val="24"/>
          <w:lang w:val="en-US"/>
        </w:rPr>
        <w:t>Verbenaceae</w:t>
      </w:r>
      <w:proofErr w:type="spellEnd"/>
      <w:r w:rsidR="009567AA" w:rsidRPr="00754A1D">
        <w:rPr>
          <w:rFonts w:ascii="Times New Roman" w:hAnsi="Times New Roman" w:cs="Times New Roman"/>
          <w:sz w:val="24"/>
          <w:szCs w:val="24"/>
          <w:lang w:val="en-US"/>
        </w:rPr>
        <w:t xml:space="preserve"> (e. g. </w:t>
      </w:r>
      <w:proofErr w:type="spellStart"/>
      <w:r w:rsidR="003813FD" w:rsidRPr="00754A1D">
        <w:rPr>
          <w:rFonts w:ascii="Times New Roman" w:hAnsi="Times New Roman" w:cs="Times New Roman"/>
          <w:i/>
          <w:sz w:val="24"/>
          <w:szCs w:val="24"/>
          <w:lang w:val="en-US"/>
        </w:rPr>
        <w:t>Lippia</w:t>
      </w:r>
      <w:proofErr w:type="spellEnd"/>
      <w:r w:rsidR="003813FD" w:rsidRPr="00754A1D">
        <w:rPr>
          <w:rFonts w:ascii="Times New Roman" w:hAnsi="Times New Roman" w:cs="Times New Roman"/>
          <w:i/>
          <w:sz w:val="24"/>
          <w:szCs w:val="24"/>
          <w:lang w:val="en-US"/>
        </w:rPr>
        <w:t xml:space="preserve"> </w:t>
      </w:r>
      <w:proofErr w:type="spellStart"/>
      <w:r w:rsidR="003813FD" w:rsidRPr="00754A1D">
        <w:rPr>
          <w:rFonts w:ascii="Times New Roman" w:hAnsi="Times New Roman" w:cs="Times New Roman"/>
          <w:i/>
          <w:sz w:val="24"/>
          <w:szCs w:val="24"/>
          <w:lang w:val="en-US"/>
        </w:rPr>
        <w:t>sidoides</w:t>
      </w:r>
      <w:proofErr w:type="spellEnd"/>
      <w:r w:rsidR="009567AA" w:rsidRPr="00754A1D">
        <w:rPr>
          <w:rFonts w:ascii="Times New Roman" w:hAnsi="Times New Roman" w:cs="Times New Roman"/>
          <w:sz w:val="24"/>
          <w:szCs w:val="24"/>
          <w:lang w:val="en-US"/>
        </w:rPr>
        <w:t xml:space="preserve">) </w:t>
      </w:r>
      <w:r w:rsidR="00DB6804" w:rsidRPr="00754A1D">
        <w:rPr>
          <w:rFonts w:ascii="Times New Roman" w:hAnsi="Times New Roman" w:cs="Times New Roman"/>
          <w:sz w:val="24"/>
          <w:szCs w:val="24"/>
          <w:lang w:val="en-US"/>
        </w:rPr>
        <w:t xml:space="preserve">and </w:t>
      </w:r>
      <w:proofErr w:type="spellStart"/>
      <w:r w:rsidR="00DB6804" w:rsidRPr="00754A1D">
        <w:rPr>
          <w:rFonts w:ascii="Times New Roman" w:hAnsi="Times New Roman" w:cs="Times New Roman"/>
          <w:i/>
          <w:sz w:val="24"/>
          <w:szCs w:val="24"/>
          <w:lang w:val="en-US"/>
        </w:rPr>
        <w:t>Lamiaceae</w:t>
      </w:r>
      <w:proofErr w:type="spellEnd"/>
      <w:r w:rsidR="00DB6804" w:rsidRPr="00754A1D">
        <w:rPr>
          <w:rFonts w:ascii="Times New Roman" w:hAnsi="Times New Roman" w:cs="Times New Roman"/>
          <w:sz w:val="24"/>
          <w:szCs w:val="24"/>
          <w:lang w:val="en-US"/>
        </w:rPr>
        <w:t xml:space="preserve"> (e. g. </w:t>
      </w:r>
      <w:proofErr w:type="spellStart"/>
      <w:r w:rsidR="00DB6804" w:rsidRPr="00754A1D">
        <w:rPr>
          <w:rFonts w:ascii="Times New Roman" w:hAnsi="Times New Roman" w:cs="Times New Roman"/>
          <w:i/>
          <w:sz w:val="24"/>
          <w:szCs w:val="24"/>
          <w:lang w:val="en-US"/>
        </w:rPr>
        <w:t>Ocimum</w:t>
      </w:r>
      <w:proofErr w:type="spellEnd"/>
      <w:r w:rsidR="00DB6804" w:rsidRPr="00754A1D">
        <w:rPr>
          <w:rFonts w:ascii="Times New Roman" w:hAnsi="Times New Roman" w:cs="Times New Roman"/>
          <w:i/>
          <w:sz w:val="24"/>
          <w:szCs w:val="24"/>
          <w:lang w:val="en-US"/>
        </w:rPr>
        <w:t xml:space="preserve"> </w:t>
      </w:r>
      <w:proofErr w:type="spellStart"/>
      <w:r w:rsidR="00DB6804" w:rsidRPr="00754A1D">
        <w:rPr>
          <w:rFonts w:ascii="Times New Roman" w:hAnsi="Times New Roman" w:cs="Times New Roman"/>
          <w:i/>
          <w:sz w:val="24"/>
          <w:szCs w:val="24"/>
          <w:lang w:val="en-US"/>
        </w:rPr>
        <w:t>basilicum</w:t>
      </w:r>
      <w:proofErr w:type="spellEnd"/>
      <w:r w:rsidR="00DB6804" w:rsidRPr="00754A1D">
        <w:rPr>
          <w:rFonts w:ascii="Times New Roman" w:hAnsi="Times New Roman" w:cs="Times New Roman"/>
          <w:sz w:val="24"/>
          <w:szCs w:val="24"/>
          <w:lang w:val="en-US"/>
        </w:rPr>
        <w:t xml:space="preserve">) </w:t>
      </w:r>
      <w:r w:rsidR="002B4719"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{"citationID":"yNkHgrh7","properties":{"formattedCitation":"(Jembere et al. 1995; Lee et al. 2001; Kim et al. 2003; Popovi\\uc0\\u263{} et al. 2006; Cetin- and Yanikoglu 2006; Oliveira et al. 2017, 2018)","plainCitation":"(Jembere et al. 1995; Lee et al. 2001; Kim et al. 2003; Popović et al. 2006; Cetin- and Yanikoglu 2006; Oliveira et al. 2017, 2018)","dontUpdate":true,"noteIndex":0},"citationItems":[{"id":1864,"uris":["http://zotero.org/users/local/QcSA6amT/items/6YE5DJ6F"],"uri":["http://zotero.org/users/local/QcSA6amT/items/6YE5DJ6F"],"itemData":{"id":1864,"type":"article-journal","abstract":"The bioactivity of materials from the leaves of Ocimum kilimandscharicum was tested against Sitophilus zeamais Mots chulsky (Coleoptera: Curculionidae), Rhyzopertha dominica (Fabricius) (Coleoptera: Bostrichidae) and Sitotroga cerealella (Olivier) (Lepidoptera: Gelechiidae) in maize and sorghum grains in the laboratory. Exposure of adults of the three insect species to dried ground leaves and essential oil extract of O. kilimandscharicum induced 100% mortality after 48 h. Fresh and dried whole leaves were not toxic to Sitophilus zeamais or R. dominica. Grains treated with dried ground leaves and essential oil extract caused significant reductions in the number of progeny and survival rate of all three pest species tested. There was no adult survival or progeny production in grains treated separately with each of the two materials at doses of 25.0 g (dried ground leaves) and 0.3 g (essential oil) per 250 g of grain, respectively. Unlike R. dominica and Sitotroga cerealella, grains treated with fresh leaves enhanced the feeding activity of Sitophilus zeamais. Ground leaves and the essential oil, however, protected the grains against feeding by all three species, resulting in lower weight loss and number of damaged seeds compared with untreated grains. All the plant materials were repellent to S. zeamais with the essential oil extract applied at 0.3 g/250 g of grain evoking the highest repellent action. There was, however, considerable variation in the repellency of the materials against R. dominica and Sitotroga cerealella. The results are discussed in terms of the efficacy of O. kilimandscharicum for protection against loss due to insects in traditional grain storage in developing countries.","container-title":"Bulletin of Entomological Research","DOI":"10.1017/S0007485300036099","ISSN":"1475-2670, 0007-4853","issue":"3","language":"en","page":"361-367","source":"Cambridge Core","title":"Products derived from the leaves of Ocimum kilimandscharicum (Labiatae) as post-harvest grain protectants against the infestation of three major stored product insect pests","volume":"85","author":[{"family":"Jembere","given":"B."},{"family":"Obeng-Ofori","given":"D."},{"family":"Hassanali","given":"A."},{"family":"Nyamasyo","given":"G. N. N."}],"issued":{"date-parts":[["1995",9]]}}},{"id":681,"uris":["http://zotero.org/users/local/QcSA6amT/items/A5J5NURV"],"uri":["http://zotero.org/users/local/QcSA6amT/items/A5J5NURV"],"itemData":{"id":681,"type":"article-journal","abstract":"Toxicity of various essential oils and their volatile constituents towards the rice weevil, Sitophilus oryzae (L.) (Coleoptera: Curculionidae), was determined. The most potent toxicity was found in essential oil from eucalyptus (LD50=28.9μl/l air). GC-MS analysis of essential oil from eucalyptus showed it to be rich in 1,8-cineole (81.1%), limonene (7.6%) and α-pinene (4.0%). Treatment of S. oryzae with each of these terpenes showed 1,8-cineole to be most active (LD50=23.5μl/l air). In addition to 1,8-cineole, benzaldehyde (LD50=8.65μl/l air) occurring in peach and almond kernels had a potent fumigant toxicity towards the rice weevils. Therefore, benzaldehyde and other natural volatiles could be a safer fumigant to control stored-grain insect pests than those currently used.","container-title":"Crop Protection","DOI":"10.1016/S0261-2194(00)00158-7","ISSN":"0261-2194","issue":"4","journalAbbreviation":"Crop Protection","page":"317-320","source":"ScienceDirect","title":"Fumigant toxicity of essential oils and their constituent compounds towards the rice weevil, Sitophilus oryzae (L.)","volume":"20","author":[{"family":"Lee","given":"Byung-Ho"},{"family":"Choi","given":"Won-Sik"},{"family":"Lee","given":"Sung-Eun"},{"family":"Park","given":"Byeoung-Soo"}],"issued":{"date-parts":[["2001",5,1]]}}},{"id":675,"uris":["http://zotero.org/users/local/QcSA6amT/items/FQECDP8U"],"uri":["http://zotero.org/users/local/QcSA6amT/items/FQECDP8U"],"itemData":{"id":675,"type":"article-journal","abstract":"Methanol extracts from 30 aromatic medicinal plant species and five essential oils were tested for their insecticidal activities against adults of Sitophilus oryzae (L.) and Callosobruchus chinensis (L.), using direct contact application and fumigation methods. Responses varied with plant material, insect species, and exposure time. In a test with a filter paper diffusion method at 3.5mg/cm2, potent insecticidal activity against both species was produced by an extract from Cinnamomum cassia bark, cinnamon (C. cassia) oil, horseradish (Cocholeria aroracia) oil, and mustard (Brassica juncea) oil within 1 day after treatment. Over 90% mortality at 3 or 4 days after treatment was achieved using extracts of Acorus calamus var. angustatus rhizome, Acorus gramineus rhizome, Illicium verum fruit, and Foeniculum vulgare fruit. An extract from Cinnamomum sieboldii root bark gave 100% mortality at 2 days after treatment. At 0.7mg/cm2, extracts from C. cassia, C. sieboldii, and F. vulgare as well as cinnamon oil, horseradish oil and mustard oil were highly effective against both species. In a fumigation test with S. oryzae adults, the oils described were much more effective in closed containers than in open ones, indicating that the insecticidal activity of the oils was attributable to fumigant action. The plant extracts and essential oils described could be useful for managing field populations of S. oryzae and C. chinensis.","container-title":"Journal of Stored Products Research","DOI":"10.1016/S0022-474X(02)00017-6","ISSN":"0022-474X","issue":"3","journalAbbreviation":"Journal of Stored Products Research","page":"293-303","source":"ScienceDirect","title":"Insecticidal activities of aromatic plant extracts and essential oils against Sitophilus oryzae and Callosobruchus chinensis","volume":"39","author":[{"family":"Kim","given":"Soon-Il"},{"family":"Roh","given":"Jung-Yeon"},{"family":"Kim","given":"Do-Hyoung"},{"family":"Lee","given":"Han-Seung"},{"family":"Ahn","given":"Young-Joon"}],"issued":{"date-parts":[["2003",1,1]]}}},{"id":678,"uris":["http://zotero.org/users/local/QcSA6amT/items/ZKQB4GZQ"],"uri":["http://zotero.org/users/local/QcSA6amT/items/ZKQB4GZQ"],"itemData":{"id":678,"type":"article-journal","abstract":"The biological activities of essential oils from Ocimum basilicum L. and Salvia officinalis L. against Sitophilus oryzae were investigated in the laboratory experiments. Contact toxicity (applied essential oils on filter papers), grain treatment for mortality and repellency assays, and also effect of oils on insect fecundity were obtained during four weeks. Only the most concentrated solutions of essential oils (2 %) of both plants caused the significant mortality, repellency and anti-reproductive effect. All grain-protective properties of essential oils were concentration- and time-dependent. Insecticidal effectiveness of applied oil's solutions on the grain surface was similar as on filter paper; repellency of the most concentrated oils was significant, but their effect in reduction the F1 progeny was the most striking.","container-title":"Biotechnology &amp; Biotechnological Equipment","DOI":"10.1080/13102818.2006.10817301","ISSN":"1310-2818","issue":"1","page":"36-40","source":"Taylor and Francis+NEJM","title":"Bioactivities of Essential Oils from Basil and Sage To Sitophilus Oryzae L.","volume":"20","author":[{"family":"Popović","given":"Z."},{"family":"Kostić","given":"M."},{"family":"Popović","given":"S."},{"family":"Skorić","given":"S."}],"issued":{"date-parts":[["2006",1,1]]}}},{"id":1862,"uris":["http://zotero.org/users/local/QcSA6amT/items/HV2V3CLI"],"uri":["http://zotero.org/users/local/QcSA6amT/items/HV2V3CLI"],"itemData":{"id":1862,"type":"article-journal","abstract":"The insecticidal activity of essential oils isolated from two species of Origanum (Origanum onites L. and Origanum minutiflorum (O. Schwarz and P.H. Davis) (Labiate)) was investigated against 3rd and 4th instar larvae of the mosquito, Culex pipiens L. (Diptera: Culicidae). The LC50 and LC90 values were 24.8 and 61.3 ppm, and 73.8 and 118.9 ppm, respectively. This activity was attributed to the carvacrol, the major constituent of these oils.","container-title":"Journal of Vector Ecology: Journal of the Society for Vector Ecology","DOI":"10.3376/1081-1710(2006)31[118:asotla]2.0.co;2","ISSN":"1081-1710","issue":"1","journalAbbreviation":"J. Vector Ecol.","language":"eng","note":"PMID: 16859099","page":"118-122","source":"PubMed","title":"A study of the larvicidal activity of Origanum (Labiatae) species from southwest Turkey","volume":"31","author":[{"family":"Cetin-","given":"Huseyin"},{"family":"Yanikoglu","given":"Atila"}],"issued":{"date-parts":[["2006",6]]}}},{"id":687,"uris":["http://zotero.org/users/local/QcSA6amT/items/2EE78LPC"],"uri":["http://zotero.org/users/local/QcSA6amT/items/2EE78LPC"],"itemData":{"id":687,"type":"article-journal","abstract":"Sitophilus zeamais is a pest of global significance and it is difficult to control due to the high indices of resistance to insecticides showed by the populations. As an alternative to the management of S. zeamais populations, in the present study, we evaluated the toxicity of essential oil (EO) of Lippia sidoides, its major compound (thymol − 68.5%) and prototypes of nanoformulations (NF) (18%) based on these compounds on S. zeamais populations (N=5) from different regions of Brazil. Toxicity bioassays were performed to determine lethal and chronic toxicity doses and times to test the efficiency of prototypes in the treatment of stored grains. Additionally, we study the efficiency and stability of stored NFs. The lethal doses of EO of L. sidoides and thymol required to kill 50% of S. zeamais populations ranged from 7.1 to 19.9μg/mg−1 and 17.1 to 25.7μg/mg−1, respectively. The populations of Jacarezinho-PR and Maracaju-MS were, respectively, the most tolerant and susceptible to the EO of L. sidoides. EO of L. sidoides, thymol and its NFs acted fast on the populations of S. zeamais. Increasing of NF concentrations led to reduced grain consumption and total population mortality. NFs stored for up to seven months maintained high mortalities on S. zeamais. This work indicates that the prototypes of NFs based on the EO of L. sidoides and its major compound are promising for the management of S. zeamais populations.","container-title":"Industrial Crops and Products","DOI":"10.1016/j.indcrop.2017.05.046","ISSN":"0926-6690","journalAbbreviation":"Industrial Crops and Products","page":"198-205","source":"ScienceDirect","title":"Nanoformulation prototype of the essential oil of Lippia sidoides and thymol to population management of Sitophilus zeamais (Coleoptera: Curculionidae)","title-short":"Nanoformulation prototype of the essential oil of Lippia sidoides and thymol to population management of Sitophilus zeamais (Coleoptera","volume":"107","author":[{"family":"Oliveira","given":"Alexandre P."},{"family":"Santana","given":"Alisson S."},{"family":"Santana","given":"Emile D. R."},{"family":"Lima","given":"Ana Paula S."},{"family":"Faro","given":"Ruan R. N."},{"family":"Nunes","given":"Rogéria S."},{"family":"Lima","given":"Alyne D."},{"family":"Blank","given":"Arie F."},{"family":"Araújo","given":"Ana Paula A."},{"family":"Cristaldo","given":"Paulo F."},{"family":"Bacci","given":"Leandro"}],"issued":{"date-parts":[["2017",11,15]]}}},{"id":684,"uris":["http://zotero.org/users/local/QcSA6amT/items/NH6VGKMP"],"uri":["http://zotero.org/users/local/QcSA6amT/items/NH6VGKMP"],"itemData":{"id":684,"type":"article-journal","abstract":"The maize weevil, Sitophilus zeamais (Motschulsky) (Coleoptera: Curculionidae), is the main pest of stored grains across tropical regions. An alternative strategy to the use of synthetic insecticides for the management of S. zeamais is the development of botanical insecticides based in the essential oils (EOs) from aromatic plants. In the present study, we evaluated the lethal and sublethal effects of the EO of Lippia sidoides (Cham.) and its major compounds (thymol and ρ-cymene) on different populations of S. zeamais. For this, we determined toxicity by fumigation of treatments of five populations from different Brazilian regions and assessed the lethal time and walking behavior for the most tolerant and susceptible populations. The lethal concentration required to kill 50% of S. zeamais populations ranged from 35.48 to 118.29 μL L−1 air for EO of L. sidoides, 65.00–91.23 μL L−1 air for thymol and 801.24 to 2188,83 μL L−1 air for ρ-cymene. Population from Jacarezinho was the most tolerant to treatments, while population of Rio Branco was the most susceptible one. The survival of S. zeamais populations was significantly af</w:instrText>
      </w:r>
      <w:r w:rsidR="009364F5" w:rsidRPr="00754A1D">
        <w:rPr>
          <w:rFonts w:ascii="Times New Roman" w:hAnsi="Times New Roman" w:cs="Times New Roman"/>
          <w:sz w:val="24"/>
          <w:szCs w:val="24"/>
        </w:rPr>
        <w:instrText xml:space="preserve">fected by treatments and </w:instrText>
      </w:r>
      <w:r w:rsidR="009364F5" w:rsidRPr="00754A1D">
        <w:rPr>
          <w:rFonts w:ascii="Times New Roman" w:hAnsi="Times New Roman" w:cs="Times New Roman"/>
          <w:sz w:val="24"/>
          <w:szCs w:val="24"/>
          <w:lang w:val="en-US"/>
        </w:rPr>
        <w:instrText>ρ</w:instrText>
      </w:r>
      <w:r w:rsidR="009364F5" w:rsidRPr="00754A1D">
        <w:rPr>
          <w:rFonts w:ascii="Times New Roman" w:hAnsi="Times New Roman" w:cs="Times New Roman"/>
          <w:sz w:val="24"/>
          <w:szCs w:val="24"/>
        </w:rPr>
        <w:instrText xml:space="preserve">-cymene showed the faster action on both Jacarezinho and Rio Branco populations (LT50 = 0.3 h). The walking behavior of maize weevil showed that the EO of L. sidoides and thymol present repellent effect, however, </w:instrText>
      </w:r>
      <w:r w:rsidR="009364F5" w:rsidRPr="00754A1D">
        <w:rPr>
          <w:rFonts w:ascii="Times New Roman" w:hAnsi="Times New Roman" w:cs="Times New Roman"/>
          <w:sz w:val="24"/>
          <w:szCs w:val="24"/>
          <w:lang w:val="en-US"/>
        </w:rPr>
        <w:instrText>ρ</w:instrText>
      </w:r>
      <w:r w:rsidR="009364F5" w:rsidRPr="00754A1D">
        <w:rPr>
          <w:rFonts w:ascii="Times New Roman" w:hAnsi="Times New Roman" w:cs="Times New Roman"/>
          <w:sz w:val="24"/>
          <w:szCs w:val="24"/>
        </w:rPr>
        <w:instrText xml:space="preserve">-cymene present attractive effect. Therefore, the EO of L. sidoides and its major compound thymol are promising source to develop bioinsecticides for the management of S. zeamais populations with different levels of resistance.","container-title":"Crop Protection","DOI":"10.1016/j.cropro.2018.05.011","ISSN":"0261-2194","journalAbbreviation":"Crop Protection","page":"33-38","source":"ScienceDirect","title":"Essential oil of Lippia sidoides and its major compound thymol: Toxicity and walking response of populations of Sitophilus zeamais (Coleoptera: Curculionidae)","title-short":"Essential oil of Lippia sidoides and its major compound thymol","volume":"112","author":[{"family":"Oliveira","given":"Alexandre P."},{"family":"Santos","given":"Abraão A."},{"family":"Santana","given":"Alisson S."},{"family":"Lima","given":"Ana Paula S."},{"family":"Melo","given":"Carlisson R."},{"family":"Santana","given":"Emile D. R."},{"family":"Sampaio","given":"Taís S."},{"family":"Blank","given":"Arie F."},{"family":"Araújo","given":"Ana Paula A."},{"family":"Cristaldo","given":"Paulo F."},{"family":"Bacci","given":"Leandro"}],"issued":{"date-parts":[["2018",10,1]]}}}],"schema":"https://github.com/citation-style-language/schema/raw/master/csl-citation.json"} </w:instrText>
      </w:r>
      <w:r w:rsidR="002B4719" w:rsidRPr="00754A1D">
        <w:rPr>
          <w:rFonts w:ascii="Times New Roman" w:hAnsi="Times New Roman" w:cs="Times New Roman"/>
          <w:sz w:val="24"/>
          <w:szCs w:val="24"/>
          <w:lang w:val="en-US"/>
        </w:rPr>
        <w:fldChar w:fldCharType="separate"/>
      </w:r>
      <w:r w:rsidR="003332D3" w:rsidRPr="00754A1D">
        <w:rPr>
          <w:rFonts w:ascii="Times New Roman" w:hAnsi="Times New Roman" w:cs="Times New Roman"/>
          <w:sz w:val="24"/>
          <w:szCs w:val="24"/>
        </w:rPr>
        <w:t>(Jembere et al. 1995; Lee et al. 2001; Kim et al. 2003; Popović et al. 2006; Cetin and Yanikoglu 2006; Oliveira et al. 2017, 2018)</w:t>
      </w:r>
      <w:r w:rsidR="002B4719" w:rsidRPr="00754A1D">
        <w:rPr>
          <w:rFonts w:ascii="Times New Roman" w:hAnsi="Times New Roman" w:cs="Times New Roman"/>
          <w:sz w:val="24"/>
          <w:szCs w:val="24"/>
          <w:lang w:val="en-US"/>
        </w:rPr>
        <w:fldChar w:fldCharType="end"/>
      </w:r>
      <w:r w:rsidR="00171F19" w:rsidRPr="00754A1D">
        <w:rPr>
          <w:rFonts w:ascii="Times New Roman" w:hAnsi="Times New Roman" w:cs="Times New Roman"/>
          <w:sz w:val="24"/>
          <w:szCs w:val="24"/>
        </w:rPr>
        <w:t>.</w:t>
      </w:r>
      <w:r w:rsidR="003813FD" w:rsidRPr="00754A1D">
        <w:rPr>
          <w:rFonts w:ascii="Times New Roman" w:hAnsi="Times New Roman" w:cs="Times New Roman"/>
          <w:sz w:val="24"/>
          <w:szCs w:val="24"/>
        </w:rPr>
        <w:t xml:space="preserve"> </w:t>
      </w:r>
      <w:r w:rsidR="0024742E" w:rsidRPr="00754A1D">
        <w:rPr>
          <w:rFonts w:ascii="Times New Roman" w:hAnsi="Times New Roman" w:cs="Times New Roman"/>
          <w:sz w:val="24"/>
          <w:szCs w:val="24"/>
          <w:lang w:val="en-US"/>
        </w:rPr>
        <w:t>While</w:t>
      </w:r>
      <w:r w:rsidR="006D7B15" w:rsidRPr="00754A1D">
        <w:rPr>
          <w:rFonts w:ascii="Times New Roman" w:hAnsi="Times New Roman" w:cs="Times New Roman"/>
          <w:sz w:val="24"/>
          <w:szCs w:val="24"/>
          <w:lang w:val="en-US"/>
        </w:rPr>
        <w:t xml:space="preserve"> the </w:t>
      </w:r>
      <w:r w:rsidR="00944F9F" w:rsidRPr="00754A1D">
        <w:rPr>
          <w:rFonts w:ascii="Times New Roman" w:hAnsi="Times New Roman" w:cs="Times New Roman"/>
          <w:sz w:val="24"/>
          <w:szCs w:val="24"/>
          <w:lang w:val="en-US"/>
        </w:rPr>
        <w:t xml:space="preserve">toxicity and </w:t>
      </w:r>
      <w:r w:rsidR="006D7B15" w:rsidRPr="00754A1D">
        <w:rPr>
          <w:rFonts w:ascii="Times New Roman" w:hAnsi="Times New Roman" w:cs="Times New Roman"/>
          <w:sz w:val="24"/>
          <w:szCs w:val="24"/>
          <w:lang w:val="en-US"/>
        </w:rPr>
        <w:t xml:space="preserve">biological activity of </w:t>
      </w:r>
      <w:r w:rsidR="00190F8B" w:rsidRPr="00754A1D">
        <w:rPr>
          <w:rFonts w:ascii="Times New Roman" w:hAnsi="Times New Roman" w:cs="Times New Roman"/>
          <w:sz w:val="24"/>
          <w:szCs w:val="24"/>
          <w:lang w:val="en-US"/>
        </w:rPr>
        <w:t xml:space="preserve">certain </w:t>
      </w:r>
      <w:r w:rsidR="00DA2F73" w:rsidRPr="00754A1D">
        <w:rPr>
          <w:rFonts w:ascii="Times New Roman" w:hAnsi="Times New Roman" w:cs="Times New Roman"/>
          <w:sz w:val="24"/>
          <w:szCs w:val="24"/>
          <w:lang w:val="en-US"/>
        </w:rPr>
        <w:t>EOs</w:t>
      </w:r>
      <w:r w:rsidR="006D7B15" w:rsidRPr="00754A1D">
        <w:rPr>
          <w:rFonts w:ascii="Times New Roman" w:hAnsi="Times New Roman" w:cs="Times New Roman"/>
          <w:sz w:val="24"/>
          <w:szCs w:val="24"/>
          <w:lang w:val="en-US"/>
        </w:rPr>
        <w:t xml:space="preserve"> on target </w:t>
      </w:r>
      <w:r w:rsidR="00190F8B" w:rsidRPr="00754A1D">
        <w:rPr>
          <w:rFonts w:ascii="Times New Roman" w:hAnsi="Times New Roman" w:cs="Times New Roman"/>
          <w:sz w:val="24"/>
          <w:szCs w:val="24"/>
          <w:lang w:val="en-US"/>
        </w:rPr>
        <w:t>insects</w:t>
      </w:r>
      <w:r w:rsidR="0015416F" w:rsidRPr="00754A1D">
        <w:rPr>
          <w:rFonts w:ascii="Times New Roman" w:hAnsi="Times New Roman" w:cs="Times New Roman"/>
          <w:sz w:val="24"/>
          <w:szCs w:val="24"/>
          <w:lang w:val="en-US"/>
        </w:rPr>
        <w:t xml:space="preserve"> have been </w:t>
      </w:r>
      <w:r w:rsidR="0024742E" w:rsidRPr="00754A1D">
        <w:rPr>
          <w:rFonts w:ascii="Times New Roman" w:hAnsi="Times New Roman" w:cs="Times New Roman"/>
          <w:sz w:val="24"/>
          <w:szCs w:val="24"/>
          <w:lang w:val="en-US"/>
        </w:rPr>
        <w:t>demonstrated</w:t>
      </w:r>
      <w:r w:rsidR="006D7B15" w:rsidRPr="00754A1D">
        <w:rPr>
          <w:rFonts w:ascii="Times New Roman" w:hAnsi="Times New Roman" w:cs="Times New Roman"/>
          <w:sz w:val="24"/>
          <w:szCs w:val="24"/>
          <w:lang w:val="en-US"/>
        </w:rPr>
        <w:t xml:space="preserve">, </w:t>
      </w:r>
      <w:r w:rsidR="00AF140D" w:rsidRPr="00754A1D">
        <w:rPr>
          <w:rFonts w:ascii="Times New Roman" w:hAnsi="Times New Roman" w:cs="Times New Roman"/>
          <w:sz w:val="24"/>
          <w:szCs w:val="24"/>
          <w:lang w:val="en-US"/>
        </w:rPr>
        <w:t>our knowledge of the mechanisms of action of these natural substances is still very limited.</w:t>
      </w:r>
      <w:r w:rsidR="006E709C" w:rsidRPr="00754A1D">
        <w:rPr>
          <w:rFonts w:ascii="Times New Roman" w:hAnsi="Times New Roman" w:cs="Times New Roman"/>
          <w:sz w:val="24"/>
          <w:szCs w:val="24"/>
          <w:lang w:val="en-US"/>
        </w:rPr>
        <w:t xml:space="preserve"> </w:t>
      </w:r>
      <w:r w:rsidR="00D47B22" w:rsidRPr="00754A1D">
        <w:rPr>
          <w:rFonts w:ascii="Times New Roman" w:hAnsi="Times New Roman" w:cs="Times New Roman"/>
          <w:sz w:val="24"/>
          <w:szCs w:val="24"/>
          <w:lang w:val="en-US"/>
        </w:rPr>
        <w:t xml:space="preserve">Several studies </w:t>
      </w:r>
      <w:r w:rsidR="00C45809" w:rsidRPr="00754A1D">
        <w:rPr>
          <w:rFonts w:ascii="Times New Roman" w:hAnsi="Times New Roman" w:cs="Times New Roman"/>
          <w:sz w:val="24"/>
          <w:szCs w:val="24"/>
          <w:lang w:val="en-US"/>
        </w:rPr>
        <w:t xml:space="preserve">have </w:t>
      </w:r>
      <w:r w:rsidR="00D47B22" w:rsidRPr="00754A1D">
        <w:rPr>
          <w:rFonts w:ascii="Times New Roman" w:hAnsi="Times New Roman" w:cs="Times New Roman"/>
          <w:sz w:val="24"/>
          <w:szCs w:val="24"/>
          <w:lang w:val="en-US"/>
        </w:rPr>
        <w:t xml:space="preserve">reported the neurotoxic </w:t>
      </w:r>
      <w:r w:rsidR="00190F8B" w:rsidRPr="00754A1D">
        <w:rPr>
          <w:rFonts w:ascii="Times New Roman" w:hAnsi="Times New Roman" w:cs="Times New Roman"/>
          <w:sz w:val="24"/>
          <w:szCs w:val="24"/>
          <w:lang w:val="en-US"/>
        </w:rPr>
        <w:t>mode of action</w:t>
      </w:r>
      <w:r w:rsidR="00D47B22" w:rsidRPr="00754A1D">
        <w:rPr>
          <w:rFonts w:ascii="Times New Roman" w:hAnsi="Times New Roman" w:cs="Times New Roman"/>
          <w:sz w:val="24"/>
          <w:szCs w:val="24"/>
          <w:lang w:val="en-US"/>
        </w:rPr>
        <w:t xml:space="preserve"> of </w:t>
      </w:r>
      <w:r w:rsidR="00190F8B" w:rsidRPr="00754A1D">
        <w:rPr>
          <w:rFonts w:ascii="Times New Roman" w:hAnsi="Times New Roman" w:cs="Times New Roman"/>
          <w:sz w:val="24"/>
          <w:szCs w:val="24"/>
          <w:lang w:val="en-US"/>
        </w:rPr>
        <w:t>certain</w:t>
      </w:r>
      <w:r w:rsidR="00D47B22" w:rsidRPr="00754A1D">
        <w:rPr>
          <w:rFonts w:ascii="Times New Roman" w:hAnsi="Times New Roman" w:cs="Times New Roman"/>
          <w:sz w:val="24"/>
          <w:szCs w:val="24"/>
          <w:lang w:val="en-US"/>
        </w:rPr>
        <w:t xml:space="preserve"> </w:t>
      </w:r>
      <w:r w:rsidR="00DA2F73" w:rsidRPr="00754A1D">
        <w:rPr>
          <w:rFonts w:ascii="Times New Roman" w:hAnsi="Times New Roman" w:cs="Times New Roman"/>
          <w:sz w:val="24"/>
          <w:szCs w:val="24"/>
          <w:lang w:val="en-US"/>
        </w:rPr>
        <w:t>EOs</w:t>
      </w:r>
      <w:r w:rsidR="00D47B22" w:rsidRPr="00754A1D">
        <w:rPr>
          <w:rFonts w:ascii="Times New Roman" w:hAnsi="Times New Roman" w:cs="Times New Roman"/>
          <w:sz w:val="24"/>
          <w:szCs w:val="24"/>
          <w:lang w:val="en-US"/>
        </w:rPr>
        <w:t xml:space="preserve"> </w:t>
      </w:r>
      <w:r w:rsidR="00C56393" w:rsidRPr="00754A1D">
        <w:rPr>
          <w:rFonts w:ascii="Times New Roman" w:hAnsi="Times New Roman" w:cs="Times New Roman"/>
          <w:sz w:val="24"/>
          <w:szCs w:val="24"/>
          <w:lang w:val="en-US"/>
        </w:rPr>
        <w:t>that may</w:t>
      </w:r>
      <w:r w:rsidR="008D055F" w:rsidRPr="00754A1D">
        <w:rPr>
          <w:rFonts w:ascii="Times New Roman" w:hAnsi="Times New Roman" w:cs="Times New Roman"/>
          <w:sz w:val="24"/>
          <w:szCs w:val="24"/>
          <w:lang w:val="en-US"/>
        </w:rPr>
        <w:t xml:space="preserve"> </w:t>
      </w:r>
      <w:r w:rsidR="0031572E" w:rsidRPr="00754A1D">
        <w:rPr>
          <w:rFonts w:ascii="Times New Roman" w:hAnsi="Times New Roman" w:cs="Times New Roman"/>
          <w:sz w:val="24"/>
          <w:szCs w:val="24"/>
          <w:lang w:val="en-US"/>
        </w:rPr>
        <w:t xml:space="preserve">inhibit </w:t>
      </w:r>
      <w:r w:rsidR="00944F9F" w:rsidRPr="00754A1D">
        <w:rPr>
          <w:rFonts w:ascii="Times New Roman" w:hAnsi="Times New Roman" w:cs="Times New Roman"/>
          <w:sz w:val="24"/>
          <w:szCs w:val="24"/>
          <w:lang w:val="en-US"/>
        </w:rPr>
        <w:t xml:space="preserve">the cholinergic and </w:t>
      </w:r>
      <w:proofErr w:type="spellStart"/>
      <w:r w:rsidR="00944F9F" w:rsidRPr="00754A1D">
        <w:rPr>
          <w:rFonts w:ascii="Times New Roman" w:hAnsi="Times New Roman" w:cs="Times New Roman"/>
          <w:sz w:val="24"/>
          <w:szCs w:val="24"/>
          <w:lang w:val="en-US"/>
        </w:rPr>
        <w:t>octopamenergic</w:t>
      </w:r>
      <w:proofErr w:type="spellEnd"/>
      <w:r w:rsidR="00944F9F" w:rsidRPr="00754A1D">
        <w:rPr>
          <w:rFonts w:ascii="Times New Roman" w:hAnsi="Times New Roman" w:cs="Times New Roman"/>
          <w:sz w:val="24"/>
          <w:szCs w:val="24"/>
          <w:lang w:val="en-US"/>
        </w:rPr>
        <w:t xml:space="preserve"> systems</w:t>
      </w:r>
      <w:r w:rsidR="00945BE8" w:rsidRPr="00754A1D">
        <w:rPr>
          <w:rFonts w:ascii="Times New Roman" w:hAnsi="Times New Roman" w:cs="Times New Roman"/>
          <w:sz w:val="24"/>
          <w:szCs w:val="24"/>
          <w:lang w:val="en-US"/>
        </w:rPr>
        <w:t xml:space="preserve"> </w:t>
      </w:r>
      <w:r w:rsidR="00945BE8"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{"citationID":"Tula9kjC","properties":{"formattedCitation":"(Miyazawa et al. 1997; Kostyukovsky et al. 2002; Enan 2005)","plainCitation":"(Miyazawa et al. 1997; Kostyukovsky et al. 2002; Enan 2005)","noteIndex":0},"citationItems":[{"id":699,"uris":["http://zotero.org/users/local/QcSA6amT/items/KIGK84VE"],"uri":["http://zotero.org/users/local/QcSA6amT/items/KIGK84VE"],"itemData":{"id":699,"type":"article-journal","abstract":"Inhibition of acetylcholinesterase (AChE) activity by 17 kinds of monoterpenoids (hydrocarbons, alcohols, and ketones) with p-menthane skeletons was studied. Inhibition of AChE was measured by the colorimetric method. The terpene ketones showed stronger inhibition than the terpene alcohols. The terpene hydrocarbon compounds showed identical inhibitory activity with the terpene alcohols, but α-terpinene and (+)-p-menth-1-ene were equally strong inhibitors as the terpene ketones. Monoterpenoids used in this study were found to be competitive inhibitors. Keywords: Acetylcholinesterase; monoterpenoids; p-menthane skeleton; inhibition of enzyme activity; competitive inhibitor","container-title":"Journal of Agricultural and Food Chemistry","DOI":"10.1021/jf960398b","ISSN":"0021-8561","issue":"3","journalAbbreviation":"J. Agric. Food Chem.","page":"677-679","source":"ACS Publications","title":"Inhibition of Acetylcholinesterase Activity by Monoterpenoids with a p-Menthane Skeleton","volume":"45","author":[{"family":"Miyazawa","given":"Mitsuo"},{"family":"Watanabe","given":"Hitomi"},{"family":"Kameoka","given":"Hiromu"}],"issued":{"date-parts":[["1997",3,1]]}}},{"id":696,"uris":["http://zotero.org/users/local/QcSA6amT/items/KQL2SPJP"],"uri":["http://zotero.org/users/local/QcSA6amT/items/KQL2SPJP"],"itemData":{"id":696,"type":"article-journal","abstract":"As a result of screening a large number of essential oils from Israeli aromatic plants and their biologically active constituents, we isolated two oils with high activity against several stored-product insects. In this study the effect of these compounds on the acetylcholinesterase and the octopamine systems in insects was studied in order to elucidate their mode of action. Inhibition of acetylcholinesterase activity in vitro was evident only at high concentrations (10−3 M) and could not account effectively for the low-dose mortality for some stored-product insects observed in vivo. However, the essential oil constituents were found to cause a significant increase in the levels of the intracellular messenger, cyclic AMP of abdominal epidermal tissue in the model insect, Helicoverpa armigera Hübn. The effect was significant even at low, physiological concentrations (10−8 M) when tested directly on abdominal epidermal tissue preparations in vitro. This intracellular response was found to resemble closely the significant increases in the levels of the cyclic AMP of abdominal epidermal tissue due to treatment with the neurotransmitter/neuromodulator, octopamine. Subsequent treatment with the octopaminergic antagonist, phentolamine, effectively inhibited the cyclic AMP levels induced by essential oil treatment, indicating possible competitive activation of octopaminergic receptors by essential oil constituents. © 2002 Society of Chemical Industry","container-title":"Pest Management Science","DOI":"10.1002/ps.548","ISSN":"1526-4998","issue":"11","language":"de","page":"1101-1106","source":"Wiley Online Library","title":"Activation of octopaminergic receptors by essential oil constituents isolated from aromatic plants: possible mode of action against insect pests","title-short":"Activation of octopaminergic receptors by essential oil constituents isolated from aromatic plants","volume":"58","author":[{"family":"Kostyukovsky","given":"Moshe"},{"family":"Rafaeli","given":"Ada"},{"family":"Gileadi","given":"Carina"},{"family":"Demchenko","given":"Nataly"},{"family":"Shaaya","given":"Eli"}],"issued":{"date-parts":[["2002"]]}}},{"id":701,"uris":["http://zotero.org/users/local/QcSA6amT/items/N42M8UTD"],"uri":["http://zotero.org/users/local/QcSA6amT/items/N42M8UTD"],"itemData":{"id":701,"type":"article-journal","abstract":"Octopamine receptors from American cockroach, Periplaneta americana (Pa oa1), and fruit fly, Drosophila melanogaster (OAMB), were cloned and permanently expressed in HEK-293 cells, and found to activate adenylate cyclase activity and increase [Ca2+]i levels through G-protein coupled receptor signaling pathways. Sequencing information (GenBank accession number AY333178) and functional data of Pa oa1 were recently published. Saturation binding analysis with 3H-yohimbine was performed with Pa oa(1) and OAMB expressed in COS-7 cells. The K(d) values were determined to be 28.4 and 43.0 nM, respectively. B(max) was determined to be 11.8 and 8.04 pmol receptor/mg protein, respectively. Competitive binding data using cell membranes expressing either OAMB or Pa oa1 demonstrated significantly decreased binding activity in binding assays performed in the presence of plant essential oils, eugenol, cinnamic alcohol, and trans-anethole. Eugenol decreased cAMP level in HEK-293 cells expressing Pa oa1, but trans-anethole increased cAMP in HEK-293 cells expressing OAMB. All three chemicals increased [Ca2+]i level in both cell models. Toxicity data against fruit flies and American cockroaches demonstrated species differences in response to treatment with tested plant essential oils. The toxicity of tested chemicals against wild type and octopamine mutant (iav) fly strains suggested that an octopamine receptor mediates the toxicity of cinnamic alcohol, eugenol, trans-antehole, and 2-phenethyl propionate against fruit flies. Collectively, the data suggest a correlation between cellular changes induced by tested plant essential oils and their toxicity against fruit fly and American cockroach.","container-title":"Archives of Insect Biochemistry and Physiology","DOI":"10.1002/arch.20076","ISSN":"0739-4462","issue":"3","journalAbbreviation":"Arch. Insect Biochem. Physiol.","language":"eng","note":"PMID: 15986384","page":"161-171","source":"PubMed","title":"Molecular and pharmacological analysis of an octopamine receptor from American cockroach and fruit fly in response to plant essential oils","volume":"59","author":[{"family":"Enan","given":"Essam E."}],"issued":{"date-parts":[["2005",7]]}}}],"schema":"https://github.com/citation-style-language/schema/raw/master/csl-citation.json"} </w:instrText>
      </w:r>
      <w:r w:rsidR="00945BE8" w:rsidRPr="00754A1D">
        <w:rPr>
          <w:rFonts w:ascii="Times New Roman" w:hAnsi="Times New Roman" w:cs="Times New Roman"/>
          <w:sz w:val="24"/>
          <w:szCs w:val="24"/>
          <w:lang w:val="en-US"/>
        </w:rPr>
        <w:fldChar w:fldCharType="separate"/>
      </w:r>
      <w:r w:rsidR="00945BE8" w:rsidRPr="00754A1D">
        <w:rPr>
          <w:rFonts w:ascii="Times New Roman" w:hAnsi="Times New Roman" w:cs="Times New Roman"/>
          <w:sz w:val="24"/>
          <w:lang w:val="en-US"/>
        </w:rPr>
        <w:t>(Miyazawa et al. 1997; Kostyukovsky et al. 2002; Enan 2005)</w:t>
      </w:r>
      <w:r w:rsidR="00945BE8" w:rsidRPr="00754A1D">
        <w:rPr>
          <w:rFonts w:ascii="Times New Roman" w:hAnsi="Times New Roman" w:cs="Times New Roman"/>
          <w:sz w:val="24"/>
          <w:szCs w:val="24"/>
          <w:lang w:val="en-US"/>
        </w:rPr>
        <w:fldChar w:fldCharType="end"/>
      </w:r>
      <w:r w:rsidR="00190F8B" w:rsidRPr="00754A1D">
        <w:rPr>
          <w:rFonts w:ascii="Times New Roman" w:hAnsi="Times New Roman" w:cs="Times New Roman"/>
          <w:sz w:val="24"/>
          <w:szCs w:val="24"/>
          <w:lang w:val="en-US"/>
        </w:rPr>
        <w:t xml:space="preserve">, or </w:t>
      </w:r>
      <w:r w:rsidR="00944F9F" w:rsidRPr="00754A1D">
        <w:rPr>
          <w:rFonts w:ascii="Times New Roman" w:hAnsi="Times New Roman" w:cs="Times New Roman"/>
          <w:sz w:val="24"/>
          <w:szCs w:val="24"/>
          <w:lang w:val="en-US"/>
        </w:rPr>
        <w:t>block</w:t>
      </w:r>
      <w:r w:rsidR="008D055F" w:rsidRPr="00754A1D">
        <w:rPr>
          <w:rFonts w:ascii="Times New Roman" w:hAnsi="Times New Roman" w:cs="Times New Roman"/>
          <w:sz w:val="24"/>
          <w:szCs w:val="24"/>
          <w:lang w:val="en-US"/>
        </w:rPr>
        <w:t xml:space="preserve"> </w:t>
      </w:r>
      <w:r w:rsidR="00944F9F" w:rsidRPr="00754A1D">
        <w:rPr>
          <w:rFonts w:ascii="Times New Roman" w:hAnsi="Times New Roman" w:cs="Times New Roman"/>
          <w:sz w:val="24"/>
          <w:szCs w:val="24"/>
          <w:lang w:val="en-US"/>
        </w:rPr>
        <w:t>t</w:t>
      </w:r>
      <w:r w:rsidR="00190F8B" w:rsidRPr="00754A1D">
        <w:rPr>
          <w:rFonts w:ascii="Times New Roman" w:hAnsi="Times New Roman" w:cs="Times New Roman"/>
          <w:sz w:val="24"/>
          <w:szCs w:val="24"/>
          <w:lang w:val="en-US"/>
        </w:rPr>
        <w:t>he GABA-gated chloride channel</w:t>
      </w:r>
      <w:r w:rsidR="0031572E" w:rsidRPr="00754A1D">
        <w:rPr>
          <w:rFonts w:ascii="Times New Roman" w:hAnsi="Times New Roman" w:cs="Times New Roman"/>
          <w:sz w:val="24"/>
          <w:szCs w:val="24"/>
          <w:lang w:val="en-US"/>
        </w:rPr>
        <w:t>s</w:t>
      </w:r>
      <w:r w:rsidR="00190F8B" w:rsidRPr="00754A1D">
        <w:rPr>
          <w:rFonts w:ascii="Times New Roman" w:hAnsi="Times New Roman" w:cs="Times New Roman"/>
          <w:sz w:val="24"/>
          <w:szCs w:val="24"/>
          <w:lang w:val="en-US"/>
        </w:rPr>
        <w:t xml:space="preserve"> </w:t>
      </w:r>
      <w:r w:rsidR="0031572E" w:rsidRPr="00754A1D">
        <w:rPr>
          <w:rFonts w:ascii="Times New Roman" w:hAnsi="Times New Roman" w:cs="Times New Roman"/>
          <w:sz w:val="24"/>
          <w:szCs w:val="24"/>
          <w:lang w:val="en-US"/>
        </w:rPr>
        <w:t xml:space="preserve">in insects </w:t>
      </w:r>
      <w:r w:rsidR="00D47B22"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{"citationID":"1KqjaPTc","properties":{"formattedCitation":"(Bloomquist 2003)","plainCitation":"(Bloomquist 2003)","noteIndex":0},"citationItems":[{"id":693,"uris":["http://zotero.org/users/local/QcSA6amT/items/U7L7IYA6"],"uri":["http://zotero.org/users/local/QcSA6amT/items/U7L7IYA6"],"itemData":{"id":693,"type":"article-journal","abstract":"Ligand-gated chloride channels underlie inhibition in excitable membranes and are proven target sites for insecticides. The γ-aminobutyric acid (GABA1) receptor/chloride ionophore complex is the primary site of action for a number of currently used insecticides, such as lindane, endosulfan, and fipronil. These compounds act as antagonists by stabilizing nonconducting conformations of the chloride channel. Blockage of the GABA-gated chloride channel reduces neuronal inhibition, which leads to hyperexcitation of the central nervous system, convulsions, and death. We recently investigated the mode of action of the silphinenes, plant-derived natural compounds that structurally resemble picrotoxinin. These materials antagonize the action of GABA on insect neurons and block GABA-mediated chloride uptake into mouse brain synaptoneurosomes in a noncompetitive manner. In mammals, avermectins have a blocking action on the GABA-gated chloride channel consistent with a coarse tremor, whereas at longer times and higher concentrations, activation of the channel suppresses neuronal activity. Invertebrates display ataxia, paralysis, and death as the predominant signs of poisoning, with a glutamate-gated chloride channel playing a major role. Additional target sites for the avermectins or other chloride channel-directed compounds might include receptors gated by histamine, serotonin, or acetylcholine. The voltage-sensitive chloride channels form another large gene family of chloride channels. Voltage-dependent chloride channels are involved in a number of physiological processes including: maintenance of electrical excitability, chloride ion secretion and resorption, intravesicular acidification, and cell volume regulation. A subset of these channels is affected by convulsants and insecticides in mammals, although the role they play in acute lethality in insects is unclear. Given the wide range of functions that they mediate, these channels are also potential targets for insecticide development. Arch. Insect Biochem. Physiol. 54:145–156, 2003. © 2003 Wiley-Liss, Inc.","container-title":"Archives of Insect Biochemistry and Physiology","DOI":"10.1002/arch.10112","ISSN":"1520-6327","issue":"4","language":"en","page":"145-156","source":"Wiley Online Library","title":"Chloride channels as tools for developing selective insecticides","volume":"54","author":[{"family":"Bloomquist","given":"Jeffrey R."}],"issued":{"date-parts":[["2003"]]}}}],"schema":"https://github.com/citation-style-language/schema/raw/master/csl-citation.json"} </w:instrText>
      </w:r>
      <w:r w:rsidR="00D47B22" w:rsidRPr="00754A1D">
        <w:rPr>
          <w:rFonts w:ascii="Times New Roman" w:hAnsi="Times New Roman" w:cs="Times New Roman"/>
          <w:sz w:val="24"/>
          <w:szCs w:val="24"/>
          <w:lang w:val="en-US"/>
        </w:rPr>
        <w:fldChar w:fldCharType="separate"/>
      </w:r>
      <w:r w:rsidR="00D47B22" w:rsidRPr="00754A1D">
        <w:rPr>
          <w:rFonts w:ascii="Times New Roman" w:hAnsi="Times New Roman" w:cs="Times New Roman"/>
          <w:sz w:val="24"/>
          <w:lang w:val="en-US"/>
        </w:rPr>
        <w:t>(Bloomquist 2003)</w:t>
      </w:r>
      <w:r w:rsidR="00D47B22" w:rsidRPr="00754A1D">
        <w:rPr>
          <w:rFonts w:ascii="Times New Roman" w:hAnsi="Times New Roman" w:cs="Times New Roman"/>
          <w:sz w:val="24"/>
          <w:szCs w:val="24"/>
          <w:lang w:val="en-US"/>
        </w:rPr>
        <w:fldChar w:fldCharType="end"/>
      </w:r>
      <w:r w:rsidR="00944F9F" w:rsidRPr="00754A1D">
        <w:rPr>
          <w:rFonts w:ascii="Times New Roman" w:hAnsi="Times New Roman" w:cs="Times New Roman"/>
          <w:sz w:val="24"/>
          <w:szCs w:val="24"/>
          <w:lang w:val="en-US"/>
        </w:rPr>
        <w:t xml:space="preserve">. </w:t>
      </w:r>
      <w:r w:rsidR="00190F8B" w:rsidRPr="00754A1D">
        <w:rPr>
          <w:rFonts w:ascii="Times New Roman" w:hAnsi="Times New Roman" w:cs="Times New Roman"/>
          <w:sz w:val="24"/>
          <w:szCs w:val="24"/>
          <w:lang w:val="en-US"/>
        </w:rPr>
        <w:t xml:space="preserve">Other studies </w:t>
      </w:r>
      <w:r w:rsidR="003E7FC0" w:rsidRPr="00754A1D">
        <w:rPr>
          <w:rFonts w:ascii="Times New Roman" w:hAnsi="Times New Roman" w:cs="Times New Roman"/>
          <w:sz w:val="24"/>
          <w:szCs w:val="24"/>
          <w:lang w:val="en-US"/>
        </w:rPr>
        <w:t xml:space="preserve">demonstrated that </w:t>
      </w:r>
      <w:r w:rsidR="00DA2F73" w:rsidRPr="00754A1D">
        <w:rPr>
          <w:rFonts w:ascii="Times New Roman" w:hAnsi="Times New Roman" w:cs="Times New Roman"/>
          <w:sz w:val="24"/>
          <w:szCs w:val="24"/>
          <w:lang w:val="en-US"/>
        </w:rPr>
        <w:t>EOs</w:t>
      </w:r>
      <w:r w:rsidR="003E7FC0" w:rsidRPr="00754A1D">
        <w:rPr>
          <w:rFonts w:ascii="Times New Roman" w:hAnsi="Times New Roman" w:cs="Times New Roman"/>
          <w:sz w:val="24"/>
          <w:szCs w:val="24"/>
          <w:lang w:val="en-US"/>
        </w:rPr>
        <w:t xml:space="preserve"> can alter the functioning of </w:t>
      </w:r>
      <w:r w:rsidR="00190F8B" w:rsidRPr="00754A1D">
        <w:rPr>
          <w:rFonts w:ascii="Times New Roman" w:hAnsi="Times New Roman" w:cs="Times New Roman"/>
          <w:sz w:val="24"/>
          <w:szCs w:val="24"/>
          <w:lang w:val="en-US"/>
        </w:rPr>
        <w:t>the mitochondrial system</w:t>
      </w:r>
      <w:r w:rsidR="0031572E" w:rsidRPr="00754A1D">
        <w:rPr>
          <w:rFonts w:ascii="Times New Roman" w:hAnsi="Times New Roman" w:cs="Times New Roman"/>
          <w:sz w:val="24"/>
          <w:szCs w:val="24"/>
          <w:lang w:val="en-US"/>
        </w:rPr>
        <w:t xml:space="preserve">, </w:t>
      </w:r>
      <w:r w:rsidR="00C56393" w:rsidRPr="00754A1D">
        <w:rPr>
          <w:rFonts w:ascii="Times New Roman" w:hAnsi="Times New Roman" w:cs="Times New Roman"/>
          <w:sz w:val="24"/>
          <w:szCs w:val="24"/>
          <w:lang w:val="en-US"/>
        </w:rPr>
        <w:t>notably</w:t>
      </w:r>
      <w:r w:rsidR="00190F8B" w:rsidRPr="00754A1D">
        <w:rPr>
          <w:rFonts w:ascii="Times New Roman" w:hAnsi="Times New Roman" w:cs="Times New Roman"/>
          <w:sz w:val="24"/>
          <w:szCs w:val="24"/>
          <w:lang w:val="en-US"/>
        </w:rPr>
        <w:t xml:space="preserve"> by disrupting ion exchange </w:t>
      </w:r>
      <w:r w:rsidR="00190F8B"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{"citationID":"yhv98L5I","properties":{"formattedCitation":"(Copping and Menn 2000)","plainCitation":"(Copping and Menn 2000)","noteIndex":0},"citationItems":[{"id":703,"uris":["http://zotero.org/users/local/QcSA6amT/items/S9RGV39T"],"uri":["http://zotero.org/users/local/QcSA6amT/items/S9RGV39T"],"itemData":{"id":703,"type":"article-journal","abstract":"A survey is given of the wide range of different materials and organisms that can be classified as biopesticides. Details are given of those currently of commercial importance, and future developments in this area are discussed. It is considered that, while in the immediate future biopesticides may continue to be limited mainly to niche and speciality markets, there is great potential for long-term development and growth, both in their own right and in providing leads in other areas of pest management science. © 2000 Society of Chemical Industry","container-title":"Pest Management Science","DOI":"10.1002/1526-4998(200008)56:8&lt;651::AID-PS201&gt;3.0.CO;2-U","ISSN":"1526-4998","issue":"8","language":"en","page":"651-676","source":"Wiley Online Library","title":"Biopesticides: a review of their action, applications and efficacy","title-short":"Biopesticides","volume":"56","author":[{"family":"Copping","given":"Leonard G."},{"family":"Menn","given":"Julius J."}],"issued":{"date-parts":[["2000"]]}}}],"schema":"https://github.com/citation-style-language/schema/raw/master/csl-citation.json"} </w:instrText>
      </w:r>
      <w:r w:rsidR="00190F8B" w:rsidRPr="00754A1D">
        <w:rPr>
          <w:rFonts w:ascii="Times New Roman" w:hAnsi="Times New Roman" w:cs="Times New Roman"/>
          <w:sz w:val="24"/>
          <w:szCs w:val="24"/>
          <w:lang w:val="en-US"/>
        </w:rPr>
        <w:fldChar w:fldCharType="separate"/>
      </w:r>
      <w:r w:rsidR="00190F8B" w:rsidRPr="00754A1D">
        <w:rPr>
          <w:rFonts w:ascii="Times New Roman" w:hAnsi="Times New Roman" w:cs="Times New Roman"/>
          <w:sz w:val="24"/>
          <w:lang w:val="en-US"/>
        </w:rPr>
        <w:t>(Copping and Menn 2000)</w:t>
      </w:r>
      <w:r w:rsidR="00190F8B" w:rsidRPr="00754A1D">
        <w:rPr>
          <w:rFonts w:ascii="Times New Roman" w:hAnsi="Times New Roman" w:cs="Times New Roman"/>
          <w:sz w:val="24"/>
          <w:szCs w:val="24"/>
          <w:lang w:val="en-US"/>
        </w:rPr>
        <w:fldChar w:fldCharType="end"/>
      </w:r>
      <w:r w:rsidR="00190F8B" w:rsidRPr="00754A1D">
        <w:rPr>
          <w:rFonts w:ascii="Times New Roman" w:hAnsi="Times New Roman" w:cs="Times New Roman"/>
          <w:sz w:val="24"/>
          <w:szCs w:val="24"/>
          <w:lang w:val="en-US"/>
        </w:rPr>
        <w:t xml:space="preserve">. </w:t>
      </w:r>
      <w:r w:rsidR="000543BF" w:rsidRPr="00754A1D">
        <w:rPr>
          <w:rFonts w:ascii="Times New Roman" w:hAnsi="Times New Roman" w:cs="Times New Roman"/>
          <w:sz w:val="24"/>
          <w:szCs w:val="24"/>
          <w:lang w:val="en-US"/>
        </w:rPr>
        <w:t xml:space="preserve">To cope with insecticides, </w:t>
      </w:r>
      <w:r w:rsidR="00C510AE" w:rsidRPr="00754A1D">
        <w:rPr>
          <w:rFonts w:ascii="Times New Roman" w:hAnsi="Times New Roman" w:cs="Times New Roman"/>
          <w:sz w:val="24"/>
          <w:szCs w:val="24"/>
          <w:lang w:val="en-US"/>
        </w:rPr>
        <w:t xml:space="preserve">insects </w:t>
      </w:r>
      <w:r w:rsidR="00C56393" w:rsidRPr="00754A1D">
        <w:rPr>
          <w:rFonts w:ascii="Times New Roman" w:hAnsi="Times New Roman" w:cs="Times New Roman"/>
          <w:sz w:val="24"/>
          <w:szCs w:val="24"/>
          <w:lang w:val="en-US"/>
        </w:rPr>
        <w:t>may</w:t>
      </w:r>
      <w:r w:rsidR="000543BF" w:rsidRPr="00754A1D">
        <w:rPr>
          <w:rFonts w:ascii="Times New Roman" w:hAnsi="Times New Roman" w:cs="Times New Roman"/>
          <w:sz w:val="24"/>
          <w:szCs w:val="24"/>
          <w:lang w:val="en-US"/>
        </w:rPr>
        <w:t xml:space="preserve"> </w:t>
      </w:r>
      <w:r w:rsidR="00C45809" w:rsidRPr="00754A1D">
        <w:rPr>
          <w:rFonts w:ascii="Times New Roman" w:hAnsi="Times New Roman" w:cs="Times New Roman"/>
          <w:sz w:val="24"/>
          <w:szCs w:val="24"/>
          <w:lang w:val="en-US"/>
        </w:rPr>
        <w:t>use</w:t>
      </w:r>
      <w:r w:rsidR="00C510AE" w:rsidRPr="00754A1D">
        <w:rPr>
          <w:rFonts w:ascii="Times New Roman" w:hAnsi="Times New Roman" w:cs="Times New Roman"/>
          <w:sz w:val="24"/>
          <w:szCs w:val="24"/>
          <w:lang w:val="en-US"/>
        </w:rPr>
        <w:t xml:space="preserve"> a variety of detoxifying enzymes and </w:t>
      </w:r>
      <w:r w:rsidR="000543BF" w:rsidRPr="00754A1D">
        <w:rPr>
          <w:rFonts w:ascii="Times New Roman" w:hAnsi="Times New Roman" w:cs="Times New Roman"/>
          <w:sz w:val="24"/>
          <w:szCs w:val="24"/>
          <w:lang w:val="en-US"/>
        </w:rPr>
        <w:t>other defense mechanisms that remain largely unknown</w:t>
      </w:r>
      <w:r w:rsidR="003E7FC0" w:rsidRPr="00754A1D">
        <w:rPr>
          <w:rFonts w:ascii="Times New Roman" w:hAnsi="Times New Roman" w:cs="Times New Roman"/>
          <w:sz w:val="24"/>
          <w:szCs w:val="24"/>
          <w:lang w:val="en-US"/>
        </w:rPr>
        <w:t xml:space="preserve"> </w:t>
      </w:r>
      <w:r w:rsidR="003E7FC0"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{"citationID":"sWMMpJj4","properties":{"formattedCitation":"(Zhang et al. 2013; Li et al. 2013)","plainCitation":"(Zhang et al. 2013; Li et al. 2013)","noteIndex":0},"citationItems":[{"id":710,"uris":["http://zotero.org/users/local/QcSA6amT/items/BTAJPBNI"],"uri":["http://zotero.org/users/local/QcSA6amT/items/BTAJPBNI"],"itemData":{"id":710,"type":"article-journal","abstract":"Carboxylesterases (CarEs) play key roles in metabolism of specific hormones and detoxification of dietary and environmental xenobiotics in insects. We sequenced and characterized CarE cDNAs putatively derived from two different genes named LmCesA1 and LmCesA2 from the migratory locust, Locusta migratoria, one of the most important agricultural pests in the world. The full-length cDNAs of LmCesA1 (1892 bp) and LmCesA2 (1643 bp) encode 543 and 501 amino acid residues, respectively. The two deduced CarEs share a characteristic α/β-hydrolase structure, including a catalytic triad composed of Ser-Glu (Asp)-His and a consensus sequence GQSAG, which suggests that both CarEs are biologically active. Phylogenetic analysis grouped both LmCesA1 and LmCesA2 into clade A which has been suggested to be involved in dietary detoxification. Both transcripts were highly expressed in all the nymphal and adult stages, but only slightly expressed in eggs. Analyses of tissue-dependent expression and in situ hybridization revealed that both transcripts were primarily expressed in gastric caeca. RNA interference (RNAi) of LmCesA1 and LmCesA2 followed by a topical application of carbaryl or deltamethrin did not lead to a significantly increased mortality with either insecticide. However, RNAi of LmCesA1 and LmCesA2 increased insect mortalities by 20.9% and 14.5%, respectively, when chlorpyrifos was applied. These results suggest that these genes might not play a significant role in detoxification of carbaryl and deltamethrin but are most likely to be involved in detoxification of chlorpyrifos in L. migratoria.","container-title":"Chemosphere","DOI":"10.1016/j.chemosphere.2013.06.081","ISSN":"1879-1298","issue":"6","journalAbbreviation":"Chemosphere","language":"eng","note":"PMID: 23899922","page":"1207-1215","source":"PubMed","title":"RNA interference revealed the roles of two carboxylesterase genes in insecticide detoxification in Locusta migratoria","volume":"93","author":[{"family":"Zhang","given":"Jianqin"},{"family":"Li","given":"Daqi"},{"family":"Ge","given":"Pingting"},{"family":"Yang","given":"Meiling"},{"family":"Guo","given":"Yaping"},{"family":"Zhu","given":"Kun Yan"},{"family":"Ma","given":"Enbo"},{"family":"Zhang","given":"Jianzhen"}],"issued":{"date-parts":[["2013",10]]}}},{"id":706,"uris":["http://zotero.org/users/local/QcSA6amT/items/QHSAMGT7"],"uri":["http://zotero.org/users/local/QcSA6amT/items/QHSAMGT7"],"itemData":{"id":706,"type":"article-journal","abstract":"The insecticidal activity of Illicium verum Hook. f. against Sitophilus zeamais Motschulsky adults were identified, and the underlying mechanisms were studied. Extracts from I. verum fruits in methyl alcohol (MA), ethyl acetate (EA), and petroleum ether (PE) were tested by fumigation in a hermetic container to determine their toxicity. The effects of the three extracts on the activity of acetylcholinesterase (AChE) and glutathione S-transferases (GSTs) of S. zeamais were determined in vivo. All extracts showed strong fumigant activity. The fumigant effects were enhanced with increased dosage and prolonged exposure time. 1.25, 2.50, 5.00, 10.00, and 20.0 mg/l doses of the MA, EA, and PE extracts caused the mortalities from 8.37 to 90.26 %, 21.81 to 95.89 %, and 15.84 to 92.57 %, respectively, at 72 h after treatment. Consequently, the most effective dose of the MA, EA, and PE extracts is the 20.0 mg/l. The LD50 of the MA, EA, and PE extracts at 72 h after treatment were 7.10, 3.93, and 4.55 mg/l, respectively. The activities of AChE and GSTs were notably inhibited by the three extracts, as compared with the control, with strong dose- and time-dependent effects. The inhibition strength of the three extracts on AChE and GSTs activities were in the following order: EA extract &gt; PE extract ≥ MA extract. Therefore, I. verum extracts could be explored as novel natural fumigants for the future control of stored-product insect pests.","container-title":"Journal of Pest Science","DOI":"10.1007/s10340-013-0520-z","ISSN":"1612-4766","issue":"4","journalAbbreviation":"J Pest Sci","language":"en","page":"677-683","source":"Springer Link","title":"Fumigant activity of Illicium verum fruit extracts and their effects on the acetylcholinesterase and glutathione S-transferase activities in adult Sitophilus zeamais","volume":"86","author":[{"family":"Li","given":"Shi-Guang"},{"family":"Li","given":"Mao-Ye"},{"family":"Huang","given":"Yan-Zhang"},{"family":"Hua","given":"Ri-Mao"},{"family":"Lin","given":"Hua-Feng"},{"family":"He","given":"Yu-Jie"},{"family":"Wei","given":"Lin-Lin"},{"family":"Liu","given":"Zhu-Qin"}],"issued":{"date-parts":[["2013",12,1]]}}}],"schema":"https://github.com/citation-style-language/schema/raw/master/csl-citation.json"} </w:instrText>
      </w:r>
      <w:r w:rsidR="003E7FC0" w:rsidRPr="00754A1D">
        <w:rPr>
          <w:rFonts w:ascii="Times New Roman" w:hAnsi="Times New Roman" w:cs="Times New Roman"/>
          <w:sz w:val="24"/>
          <w:szCs w:val="24"/>
          <w:lang w:val="en-US"/>
        </w:rPr>
        <w:fldChar w:fldCharType="separate"/>
      </w:r>
      <w:r w:rsidR="003E7FC0" w:rsidRPr="00754A1D">
        <w:rPr>
          <w:rFonts w:ascii="Times New Roman" w:hAnsi="Times New Roman" w:cs="Times New Roman"/>
          <w:sz w:val="24"/>
          <w:lang w:val="en-US"/>
        </w:rPr>
        <w:t>(Zhang et al. 2013; Li et al. 2013)</w:t>
      </w:r>
      <w:r w:rsidR="003E7FC0" w:rsidRPr="00754A1D">
        <w:rPr>
          <w:rFonts w:ascii="Times New Roman" w:hAnsi="Times New Roman" w:cs="Times New Roman"/>
          <w:sz w:val="24"/>
          <w:szCs w:val="24"/>
          <w:lang w:val="en-US"/>
        </w:rPr>
        <w:fldChar w:fldCharType="end"/>
      </w:r>
      <w:r w:rsidR="00C510AE" w:rsidRPr="00754A1D">
        <w:rPr>
          <w:rFonts w:ascii="Times New Roman" w:hAnsi="Times New Roman" w:cs="Times New Roman"/>
          <w:sz w:val="24"/>
          <w:szCs w:val="24"/>
          <w:lang w:val="en-US"/>
        </w:rPr>
        <w:t>. D</w:t>
      </w:r>
      <w:r w:rsidR="00190F8B" w:rsidRPr="00754A1D">
        <w:rPr>
          <w:rFonts w:ascii="Times New Roman" w:hAnsi="Times New Roman" w:cs="Times New Roman"/>
          <w:sz w:val="24"/>
          <w:szCs w:val="24"/>
          <w:lang w:val="en-US"/>
        </w:rPr>
        <w:t xml:space="preserve">espite </w:t>
      </w:r>
      <w:r w:rsidR="00C56393" w:rsidRPr="00754A1D">
        <w:rPr>
          <w:rFonts w:ascii="Times New Roman" w:hAnsi="Times New Roman" w:cs="Times New Roman"/>
          <w:sz w:val="24"/>
          <w:szCs w:val="24"/>
          <w:lang w:val="en-US"/>
        </w:rPr>
        <w:t xml:space="preserve">the </w:t>
      </w:r>
      <w:r w:rsidR="00190F8B" w:rsidRPr="00754A1D">
        <w:rPr>
          <w:rFonts w:ascii="Times New Roman" w:hAnsi="Times New Roman" w:cs="Times New Roman"/>
          <w:sz w:val="24"/>
          <w:szCs w:val="24"/>
          <w:lang w:val="en-US"/>
        </w:rPr>
        <w:t xml:space="preserve">growing interest </w:t>
      </w:r>
      <w:r w:rsidR="00C56393" w:rsidRPr="00754A1D">
        <w:rPr>
          <w:rFonts w:ascii="Times New Roman" w:hAnsi="Times New Roman" w:cs="Times New Roman"/>
          <w:sz w:val="24"/>
          <w:szCs w:val="24"/>
          <w:lang w:val="en-US"/>
        </w:rPr>
        <w:t>in</w:t>
      </w:r>
      <w:r w:rsidR="00190F8B" w:rsidRPr="00754A1D">
        <w:rPr>
          <w:rFonts w:ascii="Times New Roman" w:hAnsi="Times New Roman" w:cs="Times New Roman"/>
          <w:sz w:val="24"/>
          <w:szCs w:val="24"/>
          <w:lang w:val="en-US"/>
        </w:rPr>
        <w:t xml:space="preserve"> </w:t>
      </w:r>
      <w:r w:rsidR="00DA2F73" w:rsidRPr="00754A1D">
        <w:rPr>
          <w:rFonts w:ascii="Times New Roman" w:hAnsi="Times New Roman" w:cs="Times New Roman"/>
          <w:sz w:val="24"/>
          <w:szCs w:val="24"/>
          <w:lang w:val="en-US"/>
        </w:rPr>
        <w:t>EOs</w:t>
      </w:r>
      <w:r w:rsidR="00190F8B" w:rsidRPr="00754A1D">
        <w:rPr>
          <w:rFonts w:ascii="Times New Roman" w:hAnsi="Times New Roman" w:cs="Times New Roman"/>
          <w:sz w:val="24"/>
          <w:szCs w:val="24"/>
          <w:lang w:val="en-US"/>
        </w:rPr>
        <w:t xml:space="preserve">, few studies have focused on </w:t>
      </w:r>
      <w:r w:rsidR="000543BF" w:rsidRPr="00754A1D">
        <w:rPr>
          <w:rFonts w:ascii="Times New Roman" w:hAnsi="Times New Roman" w:cs="Times New Roman"/>
          <w:sz w:val="24"/>
          <w:szCs w:val="24"/>
          <w:lang w:val="en-US"/>
        </w:rPr>
        <w:t xml:space="preserve">the mechanisms behind their insecticidal activity </w:t>
      </w:r>
      <w:r w:rsidR="000543BF"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{"citationID":"N2zHZ2ar","properties":{"formattedCitation":"(Liao et al. 2016; Huang et al. 2019)","plainCitation":"(Liao et al. 2016; Huang et al. 2019)","noteIndex":0},"citationItems":[{"id":715,"uris":["http://zotero.org/users/local/QcSA6amT/items/QFEXWE78"],"uri":["http://zotero.org/users/local/QcSA6amT/items/QFEXWE78"],"itemData":{"id":715,"type":"article-journal","abstract":"Background The cereal weevil, Sitophilus zeamais is one of the most destructive pests of stored cereals worldwide. Frequent use of fumigants for managing stored-product insects has led to the development of resistance in insects. Essential oils from aromatic plants including the tea oil plant, Melaleuca alternifolia may provide environmentally friendly alternatives to currently used pest control agents. However, little is known about molecular events involved in stored-product insects in response to plant essential oil fumigation. Results M. alternifolia essential oil was shown to possess the fumigant toxicity against S. zeamais. The constituent, terpinen-4-ol was the most effective compound for fumigant toxicity. M. alternifolia essential oil significantly inhibited the activity of three enzymes in S. zeamais, including two detoxifying enzymes, glutathione S-transferase (GST), and carboxylesterase (CarE), as well as a nerve conduction enzyme, acetylcholinesterase (AChE). Comparative transcriptome analysis of S. zeamais through RNA-Seq identified a total of 3,562 differentially expressed genes (DEGs), of which 2,836 and 726 were up-regulated and down-regulated in response to M. alternifolia essential oil fumigation, respectively. Based on gene ontology (GO) analysis, the majority of DEGs were involved in insecticide detoxification and mitochondrial function. Furthermore, an abundance of DEGs mapped into the metabolism pathway in the Kyoto Encyclopedia of Genes and Genomes (KEGG) pathway database were associated with respiration and metabolism of xenobiotics, including cytochrome P450s, CarEs, GSTs, and ATP-binding cassette transporters (ABC transporters). Some DEGs mapped into the proteasome and phagosome pathway were found to be significantly enriched. These results led us to propose a model of insecticide action that M. alternifolia essential oil likely directly affects the hydrogen carrier to block the electron flow and interfere energy synthesis in mitochondrial respiratory chain. Conclusion This is the first study to perform a comparative transcriptome analysis of S. zeamais in response to M. alternifolia essential oil fumigation. Our results provide new insights into the insecticidal mechanism of M. alternifolia essential oil fumigation against S. zeamais and eventually contribute to the management of this important agricultural pest.","container-title":"PLOS ONE","DOI":"10.1371/journal.pone.0167748","ISSN":"1932-6203","issue":"12","journalAbbreviation":"PLOS ONE","language":"en","page":"e0167748","source":"PLoS Journals","title":"Insecticidal Activity of Melaleuca alternifolia Essential Oil and RNA-Seq Analysis of Sitophilus zeamais Transcriptome in Response to Oil Fumigation","volume":"11","author":[{"family":"Liao","given":"Min"},{"family":"Xiao","given":"Jin-Jing"},{"family":"Zhou","given":"Li-Jun"},{"family":"Liu","given":"Yang"},{"family":"Wu","given":"Xiang-Wei"},{"family":"Hua","given":"Ri-Mao"},{"family":"Wang","given":"Gui-Rong"},{"family":"Cao","given":"Hai-Qun"}],"issued":{"date-parts":[["2016",12,9]]}}},{"id":717,"uris":["http://zotero.org/users/local/QcSA6amT/items/KYNFFXN8"],"uri":["http://zotero.org/users/local/QcSA6amT/items/KYNFFXN8"],"itemData":{"id":717,"type":"article-journal","abstract":"BACKGROUND Terpinen-4-ol has high insecticidal activity towards the stored-grain pest Sitophilus zeamais, a key pest of cereals worldwide. Comparative proteomic analysis can identify proteins related to the response to terpinen-4-ol fumigation in S. zeamais, improving our understanding of the mechanisms behind the insecticidal activity and the detoxification of terpinen-4-ol in insects. RESULTS Using an isobaric tags for relative and absolute quantification (iTRAQ)-based strategy, 2761 proteins were obtained from S. zeamais adults. Comparative proteomic analysis showed that 215 proteins were upregulated and 129 were downregulated after exposure to terpinen-4-ol. Based on functional classifications, differentially expressed proteins (DEPs) were enriched in the carbohydrate, energy and xenobiotics metabolism pathways. DEPs associated with lactose, sucrose and starch metabolism were identified, including alcohol dehydrogenase, aldose reductase, β-galactosidase, maltase, and myrosinase. Among detoxification-related proteins, the levels of 14 cytochrome P450s, seven glutathione S-transferases, and three UDP-glucuronosyltransferases were altered, most of which were upregulated after exposure to terpinen-4-ol. CONCLUSION Metabolic changes indicated that terpinen-4-ol could affect the energy supply and potentially be metabolized and detoxified by various enzymes in S. zeamais. The results provide a foundation for further functional studies of key proteins mediated by terpinen-4-ol. © 2018 Society of Chemical Industry","container-title":"Pest Management Science","DOI":"10.1002/ps.5135","ISSN":"1526-4998","issue":"2","language":"en","page":"444-451","source":"Wiley Online Library","title":"iTRAQ-based quantitative proteome revealed metabolic changes of Sitophilus zeamais in response to terpinen-4-ol fumigation","volume":"75","author":[{"family":"Huang","given":"Yong"},{"family":"Liao","given":"Min"},{"family":"Yang","given":"Qianqian"},{"family":"Xiao","given":"Jinjing"},{"family":"Hu","given":"Zhaoyin"},{"family":"Cao","given":"Haiqun"}],"issued":{"date-parts":[["2019"]]}}}],"schema":"https://github.com/citation-style-language/schema/raw/master/csl-citation.json"} </w:instrText>
      </w:r>
      <w:r w:rsidR="000543BF" w:rsidRPr="00754A1D">
        <w:rPr>
          <w:rFonts w:ascii="Times New Roman" w:hAnsi="Times New Roman" w:cs="Times New Roman"/>
          <w:sz w:val="24"/>
          <w:szCs w:val="24"/>
          <w:lang w:val="en-US"/>
        </w:rPr>
        <w:fldChar w:fldCharType="separate"/>
      </w:r>
      <w:r w:rsidR="000543BF" w:rsidRPr="00754A1D">
        <w:rPr>
          <w:rFonts w:ascii="Times New Roman" w:hAnsi="Times New Roman" w:cs="Times New Roman"/>
          <w:sz w:val="24"/>
          <w:lang w:val="en-US"/>
        </w:rPr>
        <w:t>(Liao et al. 2016; Huang et al. 2019)</w:t>
      </w:r>
      <w:r w:rsidR="000543BF" w:rsidRPr="00754A1D">
        <w:rPr>
          <w:rFonts w:ascii="Times New Roman" w:hAnsi="Times New Roman" w:cs="Times New Roman"/>
          <w:sz w:val="24"/>
          <w:szCs w:val="24"/>
          <w:lang w:val="en-US"/>
        </w:rPr>
        <w:fldChar w:fldCharType="end"/>
      </w:r>
      <w:r w:rsidR="00C56393" w:rsidRPr="00754A1D">
        <w:rPr>
          <w:rFonts w:ascii="Times New Roman" w:hAnsi="Times New Roman" w:cs="Times New Roman"/>
          <w:sz w:val="24"/>
          <w:szCs w:val="24"/>
          <w:lang w:val="en-US"/>
        </w:rPr>
        <w:t xml:space="preserve">. Yet, </w:t>
      </w:r>
      <w:r w:rsidR="002D0F12" w:rsidRPr="00754A1D">
        <w:rPr>
          <w:rFonts w:ascii="Times New Roman" w:hAnsi="Times New Roman" w:cs="Times New Roman"/>
          <w:sz w:val="24"/>
          <w:szCs w:val="24"/>
          <w:lang w:val="en-US"/>
        </w:rPr>
        <w:t>d</w:t>
      </w:r>
      <w:r w:rsidR="00190F8B" w:rsidRPr="00754A1D">
        <w:rPr>
          <w:rFonts w:ascii="Times New Roman" w:hAnsi="Times New Roman" w:cs="Times New Roman"/>
          <w:sz w:val="24"/>
          <w:szCs w:val="24"/>
          <w:lang w:val="en-US"/>
        </w:rPr>
        <w:t xml:space="preserve">eciphering the modes of action of </w:t>
      </w:r>
      <w:r w:rsidR="00DA2F73" w:rsidRPr="00754A1D">
        <w:rPr>
          <w:rFonts w:ascii="Times New Roman" w:hAnsi="Times New Roman" w:cs="Times New Roman"/>
          <w:sz w:val="24"/>
          <w:szCs w:val="24"/>
          <w:lang w:val="en-US"/>
        </w:rPr>
        <w:t>EOs</w:t>
      </w:r>
      <w:r w:rsidR="00190F8B" w:rsidRPr="00754A1D">
        <w:rPr>
          <w:rFonts w:ascii="Times New Roman" w:hAnsi="Times New Roman" w:cs="Times New Roman"/>
          <w:sz w:val="24"/>
          <w:szCs w:val="24"/>
          <w:lang w:val="en-US"/>
        </w:rPr>
        <w:t xml:space="preserve"> </w:t>
      </w:r>
      <w:r w:rsidR="00555072" w:rsidRPr="00754A1D">
        <w:rPr>
          <w:rFonts w:ascii="Times New Roman" w:hAnsi="Times New Roman" w:cs="Times New Roman"/>
          <w:sz w:val="24"/>
          <w:szCs w:val="24"/>
          <w:lang w:val="en-US"/>
        </w:rPr>
        <w:t>on</w:t>
      </w:r>
      <w:r w:rsidR="00190F8B" w:rsidRPr="00754A1D">
        <w:rPr>
          <w:rFonts w:ascii="Times New Roman" w:hAnsi="Times New Roman" w:cs="Times New Roman"/>
          <w:sz w:val="24"/>
          <w:szCs w:val="24"/>
          <w:lang w:val="en-US"/>
        </w:rPr>
        <w:t xml:space="preserve"> target insects </w:t>
      </w:r>
      <w:r w:rsidR="00F259D3" w:rsidRPr="00754A1D">
        <w:rPr>
          <w:rFonts w:ascii="Times New Roman" w:hAnsi="Times New Roman" w:cs="Times New Roman"/>
          <w:sz w:val="24"/>
          <w:szCs w:val="24"/>
          <w:lang w:val="en-US"/>
        </w:rPr>
        <w:t>is</w:t>
      </w:r>
      <w:r w:rsidR="00190F8B" w:rsidRPr="00754A1D">
        <w:rPr>
          <w:rFonts w:ascii="Times New Roman" w:hAnsi="Times New Roman" w:cs="Times New Roman"/>
          <w:sz w:val="24"/>
          <w:szCs w:val="24"/>
          <w:lang w:val="en-US"/>
        </w:rPr>
        <w:t xml:space="preserve"> a crucial step to highlight </w:t>
      </w:r>
      <w:r w:rsidR="000543BF" w:rsidRPr="00754A1D">
        <w:rPr>
          <w:rFonts w:ascii="Times New Roman" w:hAnsi="Times New Roman" w:cs="Times New Roman"/>
          <w:sz w:val="24"/>
          <w:szCs w:val="24"/>
          <w:lang w:val="en-US"/>
        </w:rPr>
        <w:t xml:space="preserve">the </w:t>
      </w:r>
      <w:r w:rsidR="00190F8B" w:rsidRPr="00754A1D">
        <w:rPr>
          <w:rFonts w:ascii="Times New Roman" w:hAnsi="Times New Roman" w:cs="Times New Roman"/>
          <w:sz w:val="24"/>
          <w:szCs w:val="24"/>
          <w:lang w:val="en-US"/>
        </w:rPr>
        <w:t xml:space="preserve">synergies </w:t>
      </w:r>
      <w:r w:rsidR="00555072" w:rsidRPr="00754A1D">
        <w:rPr>
          <w:rFonts w:ascii="Times New Roman" w:hAnsi="Times New Roman" w:cs="Times New Roman"/>
          <w:sz w:val="24"/>
          <w:szCs w:val="24"/>
          <w:lang w:val="en-US"/>
        </w:rPr>
        <w:t xml:space="preserve">between molecules </w:t>
      </w:r>
      <w:r w:rsidR="000543BF" w:rsidRPr="00754A1D">
        <w:rPr>
          <w:rFonts w:ascii="Times New Roman" w:hAnsi="Times New Roman" w:cs="Times New Roman"/>
          <w:sz w:val="24"/>
          <w:szCs w:val="24"/>
          <w:lang w:val="en-US"/>
        </w:rPr>
        <w:t>when designing new types of pesticides</w:t>
      </w:r>
      <w:r w:rsidR="00190F8B" w:rsidRPr="00754A1D">
        <w:rPr>
          <w:rFonts w:ascii="Times New Roman" w:hAnsi="Times New Roman" w:cs="Times New Roman"/>
          <w:sz w:val="24"/>
          <w:szCs w:val="24"/>
          <w:lang w:val="en-US"/>
        </w:rPr>
        <w:t>.</w:t>
      </w:r>
      <w:r w:rsidR="00612501" w:rsidRPr="00754A1D">
        <w:rPr>
          <w:rFonts w:ascii="Times New Roman" w:hAnsi="Times New Roman" w:cs="Times New Roman"/>
          <w:sz w:val="24"/>
          <w:szCs w:val="24"/>
          <w:lang w:val="en-US"/>
        </w:rPr>
        <w:t xml:space="preserve"> </w:t>
      </w:r>
      <w:r w:rsidR="00AF140D" w:rsidRPr="00754A1D">
        <w:rPr>
          <w:rFonts w:ascii="Times New Roman" w:hAnsi="Times New Roman" w:cs="Times New Roman"/>
          <w:sz w:val="24"/>
          <w:szCs w:val="24"/>
          <w:lang w:val="en-US"/>
        </w:rPr>
        <w:t xml:space="preserve">In this context, </w:t>
      </w:r>
      <w:r w:rsidR="00612501" w:rsidRPr="00754A1D">
        <w:rPr>
          <w:rFonts w:ascii="Times New Roman" w:hAnsi="Times New Roman" w:cs="Times New Roman"/>
          <w:bCs/>
          <w:sz w:val="24"/>
          <w:szCs w:val="24"/>
          <w:lang w:val="en-US"/>
        </w:rPr>
        <w:t xml:space="preserve">“Omics” approaches are particularly </w:t>
      </w:r>
      <w:r w:rsidR="00F259D3" w:rsidRPr="00754A1D">
        <w:rPr>
          <w:rFonts w:ascii="Times New Roman" w:hAnsi="Times New Roman" w:cs="Times New Roman"/>
          <w:bCs/>
          <w:sz w:val="24"/>
          <w:szCs w:val="24"/>
          <w:lang w:val="en-US"/>
        </w:rPr>
        <w:t xml:space="preserve">well </w:t>
      </w:r>
      <w:r w:rsidR="00AF140D" w:rsidRPr="00754A1D">
        <w:rPr>
          <w:rFonts w:ascii="Times New Roman" w:hAnsi="Times New Roman" w:cs="Times New Roman"/>
          <w:bCs/>
          <w:sz w:val="24"/>
          <w:szCs w:val="24"/>
          <w:lang w:val="en-US"/>
        </w:rPr>
        <w:t>suited</w:t>
      </w:r>
      <w:r w:rsidR="00612501" w:rsidRPr="00754A1D">
        <w:rPr>
          <w:rFonts w:ascii="Times New Roman" w:hAnsi="Times New Roman" w:cs="Times New Roman"/>
          <w:bCs/>
          <w:sz w:val="24"/>
          <w:szCs w:val="24"/>
          <w:lang w:val="en-US"/>
        </w:rPr>
        <w:t xml:space="preserve"> </w:t>
      </w:r>
      <w:r w:rsidR="00AF140D" w:rsidRPr="00754A1D">
        <w:rPr>
          <w:rFonts w:ascii="Times New Roman" w:hAnsi="Times New Roman" w:cs="Times New Roman"/>
          <w:bCs/>
          <w:sz w:val="24"/>
          <w:szCs w:val="24"/>
          <w:lang w:val="en-US"/>
        </w:rPr>
        <w:t>to better understand</w:t>
      </w:r>
      <w:r w:rsidR="00612501" w:rsidRPr="00754A1D">
        <w:rPr>
          <w:rFonts w:ascii="Times New Roman" w:hAnsi="Times New Roman" w:cs="Times New Roman"/>
          <w:bCs/>
          <w:sz w:val="24"/>
          <w:szCs w:val="24"/>
          <w:lang w:val="en-US"/>
        </w:rPr>
        <w:t xml:space="preserve"> the mechanisms behind the insecticidal activity of EOs</w:t>
      </w:r>
      <w:r w:rsidR="00AF140D" w:rsidRPr="00754A1D">
        <w:rPr>
          <w:rFonts w:ascii="Times New Roman" w:hAnsi="Times New Roman" w:cs="Times New Roman"/>
          <w:bCs/>
          <w:sz w:val="24"/>
          <w:szCs w:val="24"/>
          <w:lang w:val="en-US"/>
        </w:rPr>
        <w:t>,</w:t>
      </w:r>
      <w:r w:rsidR="00612501" w:rsidRPr="00754A1D">
        <w:rPr>
          <w:rFonts w:ascii="Times New Roman" w:hAnsi="Times New Roman" w:cs="Times New Roman"/>
          <w:bCs/>
          <w:sz w:val="24"/>
          <w:szCs w:val="24"/>
          <w:lang w:val="en-US"/>
        </w:rPr>
        <w:t xml:space="preserve"> as they can rapidly provide large-scale data and a systemic overview of the underlying mechanisms.</w:t>
      </w:r>
    </w:p>
    <w:p w14:paraId="079D4076" w14:textId="0020ED14" w:rsidR="00F259D3" w:rsidRPr="00754A1D" w:rsidRDefault="00DB6804" w:rsidP="005F2CC3">
      <w:pPr>
        <w:spacing w:after="0" w:line="480" w:lineRule="auto"/>
        <w:ind w:firstLine="708"/>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Previous </w:t>
      </w:r>
      <w:r w:rsidR="00F10E68" w:rsidRPr="00754A1D">
        <w:rPr>
          <w:rFonts w:ascii="Times New Roman" w:hAnsi="Times New Roman" w:cs="Times New Roman"/>
          <w:sz w:val="24"/>
          <w:szCs w:val="24"/>
          <w:lang w:val="en-US"/>
        </w:rPr>
        <w:t>research has</w:t>
      </w:r>
      <w:r w:rsidRPr="00754A1D">
        <w:rPr>
          <w:rFonts w:ascii="Times New Roman" w:hAnsi="Times New Roman" w:cs="Times New Roman"/>
          <w:sz w:val="24"/>
          <w:szCs w:val="24"/>
          <w:lang w:val="en-US"/>
        </w:rPr>
        <w:t xml:space="preserve"> reported </w:t>
      </w:r>
      <w:r w:rsidR="00884FAB" w:rsidRPr="00754A1D">
        <w:rPr>
          <w:rFonts w:ascii="Times New Roman" w:hAnsi="Times New Roman" w:cs="Times New Roman"/>
          <w:sz w:val="24"/>
          <w:szCs w:val="24"/>
          <w:lang w:val="en-US"/>
        </w:rPr>
        <w:t xml:space="preserve">the </w:t>
      </w:r>
      <w:r w:rsidRPr="00754A1D">
        <w:rPr>
          <w:rFonts w:ascii="Times New Roman" w:hAnsi="Times New Roman" w:cs="Times New Roman"/>
          <w:sz w:val="24"/>
          <w:szCs w:val="24"/>
          <w:lang w:val="en-US"/>
        </w:rPr>
        <w:t xml:space="preserve">insecticidal properties of </w:t>
      </w:r>
      <w:r w:rsidR="00DA2F73" w:rsidRPr="00754A1D">
        <w:rPr>
          <w:rFonts w:ascii="Times New Roman" w:hAnsi="Times New Roman" w:cs="Times New Roman"/>
          <w:sz w:val="24"/>
          <w:szCs w:val="24"/>
          <w:lang w:val="en-US"/>
        </w:rPr>
        <w:t>EOs</w:t>
      </w:r>
      <w:r w:rsidRPr="00754A1D">
        <w:rPr>
          <w:rFonts w:ascii="Times New Roman" w:hAnsi="Times New Roman" w:cs="Times New Roman"/>
          <w:sz w:val="24"/>
          <w:szCs w:val="24"/>
          <w:lang w:val="en-US"/>
        </w:rPr>
        <w:t xml:space="preserve"> from plant species of the genus </w:t>
      </w:r>
      <w:r w:rsidRPr="00754A1D">
        <w:rPr>
          <w:rFonts w:ascii="Times New Roman" w:hAnsi="Times New Roman" w:cs="Times New Roman"/>
          <w:i/>
          <w:sz w:val="24"/>
          <w:szCs w:val="24"/>
          <w:lang w:val="en-US"/>
        </w:rPr>
        <w:t>Mentha</w:t>
      </w:r>
      <w:r w:rsidRPr="00754A1D">
        <w:rPr>
          <w:rFonts w:ascii="Times New Roman" w:hAnsi="Times New Roman" w:cs="Times New Roman"/>
          <w:sz w:val="24"/>
          <w:szCs w:val="24"/>
          <w:lang w:val="en-US"/>
        </w:rPr>
        <w:t xml:space="preserve"> </w:t>
      </w:r>
      <w:r w:rsidRPr="00754A1D">
        <w:rPr>
          <w:rFonts w:ascii="Times New Roman" w:hAnsi="Times New Roman" w:cs="Times New Roman"/>
          <w:sz w:val="24"/>
          <w:szCs w:val="24"/>
          <w:lang w:val="en-US"/>
        </w:rPr>
        <w:fldChar w:fldCharType="begin"/>
      </w:r>
      <w:r w:rsidR="009364F5" w:rsidRPr="00754A1D">
        <w:rPr>
          <w:rFonts w:ascii="Times New Roman" w:hAnsi="Times New Roman" w:cs="Times New Roman"/>
          <w:sz w:val="24"/>
          <w:szCs w:val="24"/>
          <w:lang w:val="en-US"/>
        </w:rPr>
        <w:instrText xml:space="preserve"> ADDIN ZOTERO_ITEM CSL_CITATION {"citationID":"XUInMXFU","properties":{"formattedCitation":"(Tripathi et al. 2000; Ansari et al. 2000; Aggarwal et al. 2001; Cetin et al. 2006; Kumar et al. 2009, 2011; Koliopoulos et al. 2010; Govindarajan et al. 2012)","plainCitation":"(Tripathi et al. 2000; Ansari et al. 2000; Aggarwal et al. 2001; Cetin et al. 2006; Kumar et al. 2009, 2011; Koliopoulos et al. 2010; Govindarajan et al. 2012)","noteIndex":0},"citationItems":[{"id":1920,"uris":["http://zotero.org/users/local/QcSA6amT/items/YN7L6J4X"],"uri":["http://zotero.org/users/local/QcSA6amT/items/YN7L6J4X"],"itemData":{"id":1920,"type":"article-journal","abstract":"Essential oils of Mentha arvensis, M. citrata [M. piperita var. citrata], M. piperita and M. spicata and their fractions rich in menthone, menthol, linalool, linalyl acetate, menthofuran, limonene and l-carvone were tested for their fumigant toxicity against flour beetle (Tribolium castaneum) and pulse beetle (Callosobruchus maculatus) and repellent, contact toxicity and development inhibition...","container-title":"Journal of Medicinal and Aromatic Plant Sciences","ISSN":"0253-7125","issue":"1B","language":"English","page":"549-556","source":"www.cabdirect.org","title":"Effect of volatile oil constituents of Mentha species against the stored grain pests, Callosobruchus maculatus and Tribolium castaneum.","volume":"22","author":[{"family":"Tripathi","given":"A. K."},{"family":"Prajapati","given":"Veena"},{"family":"Aggarwal","given":"K. K."},{"family":"Kumar","given":"Sushil"}],"issued":{"date-parts":[["2000"]]}}},{"id":1917,"uris":["http://zotero.org/users/local/QcSA6amT/items/BY9PZIRF"],"uri":["http://zotero.org/users/local/QcSA6amT/items/BY9PZIRF"],"itemData":{"id":1917,"type":"article-journal","abstract":"Oil of Mentha piperita L. (Peppermint oil), a widely used essential oil, was evaluated for larvicidal activity against different mosquito species: Aedes aegypti, Anopheles stephensi and Culex quinquefasciatus by exposing IIIrd instar larvae of mosquitoes in enamel trays 6×4 inch2 size filled to a depth of 3 inch with water. Of the three species tested Cx. quinquefasciatus was most susceptible followed by Ae. aegypti and An. stephensi. Application of oil at 3 ml/m2 of water surface area resulted in 100% mortality within 24 h for Cx. quinquefasciatus, 90% for Ae. aegypti and 85% for An. stephensi. For Ae. aegypti 100% mortality was achieved at 3 ml/m2 in 48 h or 4 ml/m2 in 24 h. For An. stephensi 100% mortality was observed at 4 ml/m2 in 72 h. The emergence at 3 ml/m2 was also inhibited to a great extent and the few adults which emerged did not ovipost even after taking a blood meal. The oil showed strong repellent action against adult mosquitoes when applied on human skin. Percent protection obtained against An. annularis, An. culicifacies, and Cx. quinquefasciatus was 100%, 92.3% and 84.5%, respectively. The repellent action of Mentha oil was comparable to that of Mylol oil consisting of dibutyl and dimethyl phthalates.","container-title":"Bioresource Technology","DOI":"10.1016/S0960-8524(99)00079-6","ISSN":"0960-8524","issue":"3","journalAbbreviation":"Bioresource Technology","language":"en","page":"267-271","source":"ScienceDirect","title":"Larvicidal and mosquito repellent action of peppermint (Mentha piperita) oil","volume":"71","author":[{"family":"Ansari","given":"M. A"},{"family":"Vasudevan","given":"Padma"},{"family":"Tandon","given":"Mamta"},{"family":"Razdan","given":"R. K"}],"issued":{"date-parts":[["2000",2,1]]}}},{"id":1922,"uris":["http://zotero.org/users/local/QcSA6amT/items/KKK7CSKU"],"uri":["http://zotero.org/users/local/QcSA6amT/items/KKK7CSKU"],"itemData":{"id":1922,"type":"article-journal","abstract":"l-menthol isolated from the essential oil of Mentha arvensis and seven of its acyl derivatives were tested for contact and vapour toxicity, and ovicidal and repellent activity against the storage pests Callosobruchus maculatus F., Rhyzopertha dominica F., Sitophilus oryzae L. and Tribolium castaneum Herbst. Menthyl propionate and l-menthol were highly toxic in contact assays and vapour toxicity assays respectively. l-menthol was also found to be strongly repellent (82–100% at 0.353 μg/cm2 dose) against all the insects, while menthyl acetate was highly ovicidal against T. castaneum., Le l-menthol isolé de l'huile essentielle de Mentha arvensis et sept de ses dérivés acétylés ont été testés pour leur toxicité de contact et fumigène et leur activité ovicide et répulsive vis à vis des ravageurs des stocks Callosobruchus maculatus F., Rhyzopertha dominica F., Sitophilus oryzae L. et Tribolium castaneum Herbst. Le propionate de menthyl et le l-menthol ont été hautement toxiques lors des essais par contact et par fumigation. Le l-menthol a été également fortement répulsif (82–100% à la dose de 0,353 mg/cm2) contre tous les insectes, alors que l'acétate de menthyl a été hautement ovicide contre T. castaneum.","container-title":"International Journal of Tropical Insect Science","DOI":"10.1017/S1742758400007621","ISSN":"0191-9040","issue":"3","language":"en","page":"229-235","source":"Cambridge Core","title":"Toxicity of l-menthol and its derivatives against four storage insects","volume":"21","author":[{"family":"Aggarwal","given":"K. K."},{"family":"Tripathi","given":"A. K."},{"family":"Ahmad","given":"Ateeque"},{"family":"Prajapati","given":"Veena"},{"family":"Verma","given":"Neetu"},{"family":"Kumar","given":"Sushil"}],"issued":{"date-parts":[["2001",9]]}}},{"id":1871,"uris":["http://zotero.org/users/local/QcSA6amT/items/Z9R8JJYH"],"uri":["http://zotero.org/users/local/QcSA6amT/items/Z9R8JJYH"],"itemData":{"id":1871,"type":"article-journal","abstract":"Ethanol extracts of the aerial parts from five Labiatae (Lamiaceae) species, obtained from Antalya, Turkey, were tested for larvicidal activity against the house mosquito Culex pipiens L. (Diptera: Culicidae) under laboratory conditions. Third and fourth instar mortality from six concentrations (5, 10, 25, 50, 100 and 200 ppm) of each plant extract were compared against the organophosphorus insecticide, temephos which is currently used for larval control. All plant extracts showed high larvicidal activity in 24 h exposure tests. Teucrium divaricatum Sieber was the most toxic, followed by Mentha longifolia (L.) Huds., Melissa officinalis L., Salvia sclarea L. and Mentha pulegium L. with LC50 values of 18.6, 26.8, 39.1, 62.7 and 81.0 ppm, respectively. This study is the first to report on the larvicidal activity of ethanol extracts of these five plant species against C. pipiens. Copyright © 2006 John Wiley &amp; Sons, Ltd.","container-title":"Phytotherapy Research","DOI":"10.1002/ptr.2004","ISSN":"1099-1573","issue":"12","language":"en","page":"1088-1090","source":"Wiley Online Library","title":"Larvicidal activity of some labiatae (lamiaceae) plant extracts from Turkey","volume":"20","author":[{"family":"Cetin","given":"Huseyin"},{"family":"Cinbilgel","given":"Ilker"},{"family":"Yanikoglu","given":"Atila"},{"family":"Gokceoglu","given":"Mustafa"}],"issued":{"date-parts":[["2006"]]}}},{"id":1911,"uris":["http://zotero.org/users/local/QcSA6amT/items/KMMSZ8LB"],"uri":["http://zotero.org/users/local/QcSA6amT/items/KMMSZ8LB"],"itemData":{"id":1911,"type":"article-journal","abstract":"BACKGROUND: Fungal contamination and Callosobruchus infestation results in qualitative and quantitative losses of chickpea seeds during storage. Most of the synthetic chemicals used as preservatives have adverse effects. Therefore, the antifungal and insecticidal potential of Mentha arvensis essential oil was evaluated to determine whether this could be an eco-friendly substitute of synthetic preservatives. RESULTS: The stored chickpea seeds were dominated by Aspergillus flavus (46.1%) and 30% isolates among them were found toxigenic. The MIC of Mentha oil against A. flavus was recorded at 400 µL L−1 and it exhibited broad fungitoxic activity against 14 storage fungi. The oil was found superior to some prevalent synthetic fungicides. Mentha oil showed potent insecticidal activity against Callosobruchus chinensis at different concentrations and exposure times. The oviposition by C. chinensis was completely checked at 10 µL L−1 while F1 emergence was completely inhibited at 200 µL L−1. During in situ experiments, 94.05% protection of the chickpea from C. chinensis by Mentha oil showed superiority over the organophosphate insecticide malathion, where 90.75% protection was recorded. CONCLUSION: The Mentha EO showing potent fungitoxic and insecticidal efficacy and may be recommended as a plant-based preservative in the management of fungal and insect infestation of chickpea and other pulses during storage. Copyright © 2009 Society of Chemical Industry","container-title":"Journal of the Science of Food and Agriculture","DOI":"10.1002/jsfa.3768","ISSN":"1097-0010","issue":"15","language":"en","page":"2643-2649","source":"Wiley Online Library","title":"Use of essential oil from Mentha arvensis L. to control storage moulds and insects in stored chickpea","volume":"89","author":[{"family":"Kumar","given":"Ashok"},{"family":"Shukla","given":"Ravindra"},{"family":"Singh","given":"Priyanka"},{"family":"Singh","given":"Amit K."},{"family":"Dubey","given":"Nawal K."}],"issued":{"date-parts":[["2009"]]}}},{"id":1886,"uris":["http://zotero.org/users/local/QcSA6amT/items/M3SARQX5"],"uri":["http://zotero.org/users/local/QcSA6amT/items/M3SARQX5"],"itemData":{"id":1886,"type":"article-journal","abstract":"In view of the environmental, food-safety and health related issues associated with the application of chemical insecticides, growing emphasis is being laid on insect-pest control through plant resources. Mentha (mint) is one of the most common herb which has been known for its medicinal and aromotherapeutic properties since ancient times and in the last few decades, its insecticidal potential has also been investigated. The present review consolidates studies concerning insecticidal activity of Mentha against various stored grain pests and vectors. Insecticidal properties of different Mentha species are commonly inherent in its essential oils or plant extracts which is correlated with their chemical composition. Insect/pest control potential of various Mentha species has been evaluated by conducting adulticidal, larvicidal and growth/reproduction inhibition bioassays. Fumigant and repellent activity of Mentha essential oil has been studied against several stored grain pests (Tribolium castaneum, Sitophilus oryzae, Acanthoscelides obtectus, etc.) and vectors. Nevertheless, studies exploring larvicidal and growth/reproduction regulatory activity of Mentha, are relatively less. Among the vectors, mosquitocidal activity of several Mentha essential oils and their constituents is established. However, the studies directed towards formulation or product development and performance assessment in actual field conditions are lacking. Hence, although a ground has been set based on the lab scale research investigations, field studies on these aspects are warranted to ensure wide scale application.","container-title":"Industrial Crops and Products","DOI":"10.1016/j.indcrop.2011.02.019","ISSN":"0926-6690","issue":"1","journalAbbreviation":"Industrial Crops and Products","language":"en","page":"802-817","source":"ScienceDirect","title":"Insecticidal properties of Mentha species: A review","title-short":"Insecticidal properties of Mentha species","volume":"34","author":[{"family":"Kumar","given":"Peeyush"},{"family":"Mishra","given":"Sapna"},{"family":"Malik","given":"Anushree"},{"family":"Satya","given":"Santosh"}],"issued":{"date-parts":[["2011",7,1]]}}},{"id":1869,"uris":["http://zotero.org/users/local/QcSA6amT/items/TAVDKZY5"],"uri":["http://zotero.org/users/local/QcSA6amT/items/TAVDKZY5"],"itemData":{"id":1869,"type":"article-journal","abstract":"The volatile metabolites of wild-growing Mentha spicata, M. longifolia, M. suaveolens, Melissa officinalis, Salvia fruticosa, S. pomifera subsp. calycina, and S. pomifera subsp. pomifera from Greece were determined by gas chromatography and gas chromatography–mass spectrometry. The insecticidal properties of the analyzed essential oils were screened on Culex pipiens larvae. Additionally two of the main components of the essential oils, piperitenone oxide and 1,8-cineole were assayed against C. pipiens in order to define the affiliation between them and the larvicidal properties of the oils. The most effective oils were M. suaveolens (major constituent piperitenone oxide, 62.4%), M. spicata (piperitenone oxide, 35.7% and 1,8-cineole, 14.5%) and M. longifolia—Central Greece (piperitenone oxide, 33.4%; 1,8-cineole, 24.5% and trans-piperitone epoxide, 17.4%), which exhibited LC50 values ranging from 47.88 to 59.33 mg l−1. Medium activity revealed the oils of M. officinalis (terpin-4-ol, 15.8%; caryophyllene oxide, 13.2%; sabinene, 12.9%; β-pinene, 12.1%; and trans-caryophyllene, 10.2%), M. longifolia—Southern Greece (carvone, 54.7% and limonene 20.0%), S. pomifera subsp. pomifera (trans-caryophyllene, 22.5% and trans-thujone, 21.0%), S. pomifera subsp. calycina—West Southern Greece (trans-thujone, 56.1% and 1,8-cineole, 10.4%), and S. fruticosa—population 2 (camphor, 23.1%; α-pinene, 12.7%; and borneol, 12.6%), with LC50 values ranging from 78.28 to 91.45 mg l−1. S. pomifera subsp. calycina (Central Greece) essential oil (trans-thujone, 26.5% and cis-thujone, 12.0%) presented rather low activity (LC50 values 140.42 mg l−1), while S. fruticosa—population 1 (1,8-cineole, 31.4% and camphor, 22.6%) was the only inactive oil. Additionally, the constituent piperitenone oxide was found to be highly active (LC50 values 9.95 mg l−1), whereas 1,8-cineole revealed no toxicity.","container-title":"Parasitology Research","DOI":"10.1007/s00436-010-1865-3","ISSN":"1432-1955","issue":"2","journalAbbreviation":"Parasitol Res","language":"en","page":"327-335","source":"Springer Link","title":"Chemical composition and larvicidal evaluation of Mentha, Salvia, and Melissa essential oils against the West Nile virus mosquito Culex pipiens","volume":"107","author":[{"family":"Koliopoulos","given":"George"},{"family":"Pitarokili","given":"Danae"},{"family":"Kioulos","given":"Elias"},{"family":"Michaelakis","given":"Antonios"},{"family":"Tzakou","given":"Olga"}],"issued":{"date-parts":[["2010",7,1]]}}},{"id":1867,"uris":["http://zotero.org/users/local/QcSA6amT/items/NEFI89N2"],"uri":["http://zotero.org/users/local/QcSA6amT/items/NEFI89N2"],"itemData":{"id":1867,"type":"article-journal","abstract":"Mosquitoes are blood-feeding insects and serve as the most important vectors for spreading human diseases such as malaria, yellow fever, dengue fever, and filariasis. The continued use of synthetic insecticides has resulted in resistance in mosquitoes. Synthetic insecticides are toxic and affect the environment by contaminating soil, water, and air, and then natural products may be an alternative to synthetic insecticides because they are effective, biodegradable, eco-friendly, and safe to environment. Botanical origin may serve as suitable alternative biocontrol techniques in the future. Mentha spicata, an edible and medicinal plant, is chiefly distributed in Southeast Asia and South Asia. In the present study, the toxicity of mosquito larvicidal activity of leaf essential oil (EO) and their major chemical constituents from Mentha spicata against Culex quinquefasciatus, Aedes aegypti, and Anopheles stephensi. The chemical composition of the leaf EO was analyzed using gas chromatography–mass spectroscopy (GC-MS). GC-MS revealed that the EO of M. spicata contained 18 compounds. The major chemical components identified were carvone (48.60%), cis-carveol (21.30%), and limonene (11.30%). The EO had a significant toxic effect against early third-stage larvae of C. quinquefasciatus, A. aegypti, and A. stephensi with LC50 values of 62.62, 56.08, and 49.71 ppm and LC90 values of 118.70, 110.28, and 100.99 ppm, respectively. The three major pure constituents extracted from the M. spicata leaf EO were also tested individually against three mosquito larvae. The LC50 values of carvone, cis-carveol, and limonene appeared to be most effective against A. stephensi (LC50 19.33, 28.50, and 8.83 ppm) followed by A. aegypti (LC50 23.69, 32.88, and 12.01 ppm), and C. quinquefasciatus (LC50 25.47, 35.20, and 14.07 ppm). The results could be useful in search for newer, safer, and more effective natural larvicidal agents against C. quinquefasciatus, A. aegypti, and A. stephensi.","container-title":"Parasitology Research","DOI":"10.1007/s00436-011-2731-7","ISSN":"1432-1955","issue":"5","journalAbbreviation":"Parasitol Res","language":"en","page":"2023-2032","source":"Springer Link","title":"Chemical composition and larvicidal activity of essential oil from Mentha spicata (Linn.) against three mosquito species","volume":"110","author":[{"family":"Govindarajan","given":"M."},{"family":"Sivakumar","given":"R."},{"family":"Rajeswari","given":"M."},{"family":"Yogalakshmi","given":"K."}],"issued":{"date-parts":[["2012",5,1]]}}}],"schema":"https://github.com/citation-style-language/schema/raw/master/csl-citation.json"} </w:instrText>
      </w:r>
      <w:r w:rsidRPr="00754A1D">
        <w:rPr>
          <w:rFonts w:ascii="Times New Roman" w:hAnsi="Times New Roman" w:cs="Times New Roman"/>
          <w:sz w:val="24"/>
          <w:szCs w:val="24"/>
          <w:lang w:val="en-US"/>
        </w:rPr>
        <w:fldChar w:fldCharType="separate"/>
      </w:r>
      <w:r w:rsidR="00B66CAC" w:rsidRPr="00754A1D">
        <w:rPr>
          <w:rFonts w:ascii="Times New Roman" w:hAnsi="Times New Roman" w:cs="Times New Roman"/>
          <w:sz w:val="24"/>
          <w:lang w:val="en-US"/>
        </w:rPr>
        <w:t>(Tripathi et al. 2000; Ansari et al. 2000; Aggarwal et al. 2001; Cetin et al. 2006; Kumar et al. 2009, 2011; Koliopoulos et al. 2010; Govindarajan et al. 2012)</w:t>
      </w:r>
      <w:r w:rsidRPr="00754A1D">
        <w:rPr>
          <w:rFonts w:ascii="Times New Roman" w:hAnsi="Times New Roman" w:cs="Times New Roman"/>
          <w:sz w:val="24"/>
          <w:szCs w:val="24"/>
          <w:lang w:val="en-US"/>
        </w:rPr>
        <w:fldChar w:fldCharType="end"/>
      </w:r>
      <w:r w:rsidRPr="00754A1D">
        <w:rPr>
          <w:rFonts w:ascii="Times New Roman" w:hAnsi="Times New Roman" w:cs="Times New Roman"/>
          <w:sz w:val="24"/>
          <w:szCs w:val="24"/>
          <w:lang w:val="en-US"/>
        </w:rPr>
        <w:t xml:space="preserve"> </w:t>
      </w:r>
      <w:r w:rsidR="00F259D3" w:rsidRPr="00754A1D">
        <w:rPr>
          <w:rFonts w:ascii="Times New Roman" w:hAnsi="Times New Roman" w:cs="Times New Roman"/>
          <w:sz w:val="24"/>
          <w:szCs w:val="24"/>
          <w:lang w:val="en-US"/>
        </w:rPr>
        <w:t>that</w:t>
      </w:r>
      <w:r w:rsidRPr="00754A1D">
        <w:rPr>
          <w:rFonts w:ascii="Times New Roman" w:hAnsi="Times New Roman" w:cs="Times New Roman"/>
          <w:sz w:val="24"/>
          <w:szCs w:val="24"/>
          <w:lang w:val="en-US"/>
        </w:rPr>
        <w:t xml:space="preserve"> </w:t>
      </w:r>
      <w:r w:rsidR="00F10E68" w:rsidRPr="00754A1D">
        <w:rPr>
          <w:rFonts w:ascii="Times New Roman" w:hAnsi="Times New Roman" w:cs="Times New Roman"/>
          <w:sz w:val="24"/>
          <w:szCs w:val="24"/>
          <w:lang w:val="en-US"/>
        </w:rPr>
        <w:t>grow</w:t>
      </w:r>
      <w:r w:rsidRPr="00754A1D">
        <w:rPr>
          <w:rFonts w:ascii="Times New Roman" w:hAnsi="Times New Roman" w:cs="Times New Roman"/>
          <w:sz w:val="24"/>
          <w:szCs w:val="24"/>
          <w:lang w:val="en-US"/>
        </w:rPr>
        <w:t xml:space="preserve"> </w:t>
      </w:r>
      <w:r w:rsidR="004508B2" w:rsidRPr="00754A1D">
        <w:rPr>
          <w:rFonts w:ascii="Times New Roman" w:hAnsi="Times New Roman" w:cs="Times New Roman"/>
          <w:sz w:val="24"/>
          <w:szCs w:val="24"/>
          <w:lang w:val="en-US"/>
        </w:rPr>
        <w:t>from tropical to temperate regions</w:t>
      </w:r>
      <w:r w:rsidRPr="00754A1D">
        <w:rPr>
          <w:rFonts w:ascii="Times New Roman" w:hAnsi="Times New Roman" w:cs="Times New Roman"/>
          <w:sz w:val="24"/>
          <w:szCs w:val="24"/>
          <w:lang w:val="en-US"/>
        </w:rPr>
        <w:t>.</w:t>
      </w:r>
      <w:r w:rsidR="009F6BC9" w:rsidRPr="00754A1D">
        <w:rPr>
          <w:rFonts w:ascii="Times New Roman" w:hAnsi="Times New Roman" w:cs="Times New Roman"/>
          <w:sz w:val="24"/>
          <w:szCs w:val="24"/>
          <w:lang w:val="en-US"/>
        </w:rPr>
        <w:t xml:space="preserve"> For example, </w:t>
      </w:r>
      <w:r w:rsidR="009F6BC9" w:rsidRPr="00754A1D">
        <w:rPr>
          <w:rFonts w:ascii="Times New Roman" w:hAnsi="Times New Roman" w:cs="Times New Roman"/>
          <w:i/>
          <w:sz w:val="24"/>
          <w:szCs w:val="24"/>
          <w:lang w:val="en-US"/>
        </w:rPr>
        <w:t>M. arvensis</w:t>
      </w:r>
      <w:r w:rsidR="009F6BC9" w:rsidRPr="00754A1D">
        <w:rPr>
          <w:rFonts w:ascii="Times New Roman" w:hAnsi="Times New Roman" w:cs="Times New Roman"/>
          <w:sz w:val="24"/>
          <w:szCs w:val="24"/>
          <w:lang w:val="en-US"/>
        </w:rPr>
        <w:t xml:space="preserve"> EO is known to be associated with antibacterial effects </w:t>
      </w:r>
      <w:r w:rsidR="009F6BC9" w:rsidRPr="00754A1D">
        <w:rPr>
          <w:rFonts w:ascii="Times New Roman" w:hAnsi="Times New Roman" w:cs="Times New Roman"/>
          <w:sz w:val="24"/>
          <w:szCs w:val="24"/>
          <w:lang w:val="en-US"/>
        </w:rPr>
        <w:fldChar w:fldCharType="begin"/>
      </w:r>
      <w:r w:rsidR="009F6BC9" w:rsidRPr="00754A1D">
        <w:rPr>
          <w:rFonts w:ascii="Times New Roman" w:hAnsi="Times New Roman" w:cs="Times New Roman"/>
          <w:sz w:val="24"/>
          <w:szCs w:val="24"/>
          <w:lang w:val="en-US"/>
        </w:rPr>
        <w:instrText xml:space="preserve"> ADDIN ZOTERO_ITEM CSL_CITATION {"citationID":"qdWgVtRw","properties":{"formattedCitation":"(Biswas et al. 2014; Horv\\uc0\\u225{}th and Ko\\uc0\\u353{}\\uc0\\u269{}ov\\uc0\\u225{} 2017)","plainCitation":"(Biswas et al. 2014; Horváth and Koščová 2017)","noteIndex":0},"citationItems":[{"id":1925,"uris":["http://zotero.org/users/local/QcSA6amT/items/4A6CFAUU"],"uri":["http://zotero.org/users/local/QcSA6amT/items/4A6CFAUU"],"itemData":{"id":1925,"type":"article-journal","abstract":"Objective\nTo investigate potential antioxidant, antimicrobial, cytotoxic and analgesic activities of ethanolic extract of Mentha arvensis L. in different in vivo and in vitro experimental models.\nMethods\nIn vitro DPPH radical scavenging assay was used to evaluate the antioxidant activity of the plant extract. In vivo analgesic activity was carried out by acetic acid-induced writhing test in Swiss albino mice. All studies in mice were undertaken at the doses of 250 and 500 mg/kg body weight. Antibacterial activity was studied by disk diffusion assay against some Gram-positive and Gram-negative bacterial strains. Brine shrimp lethality assay was used to investigate cytotoxicity effects of the plant extract.\nResults\nThe extract showed free radical scavenging activity in the DPPH assay (IC50</w:instrText>
      </w:r>
      <w:r w:rsidR="009F6BC9" w:rsidRPr="00754A1D">
        <w:rPr>
          <w:rFonts w:ascii="Cambria Math" w:hAnsi="Cambria Math" w:cs="Cambria Math"/>
          <w:sz w:val="24"/>
          <w:szCs w:val="24"/>
          <w:lang w:val="en-US"/>
        </w:rPr>
        <w:instrText>∼</w:instrText>
      </w:r>
      <w:r w:rsidR="009F6BC9" w:rsidRPr="00754A1D">
        <w:rPr>
          <w:rFonts w:ascii="Times New Roman" w:hAnsi="Times New Roman" w:cs="Times New Roman"/>
          <w:sz w:val="24"/>
          <w:szCs w:val="24"/>
          <w:lang w:val="en-US"/>
        </w:rPr>
        <w:instrText>41 μg/mL) compared to the standard antioxidant ascorbic acid (IC50</w:instrText>
      </w:r>
      <w:r w:rsidR="009F6BC9" w:rsidRPr="00754A1D">
        <w:rPr>
          <w:rFonts w:ascii="Cambria Math" w:hAnsi="Cambria Math" w:cs="Cambria Math"/>
          <w:sz w:val="24"/>
          <w:szCs w:val="24"/>
          <w:lang w:val="en-US"/>
        </w:rPr>
        <w:instrText>∼</w:instrText>
      </w:r>
      <w:r w:rsidR="009F6BC9" w:rsidRPr="00754A1D">
        <w:rPr>
          <w:rFonts w:ascii="Times New Roman" w:hAnsi="Times New Roman" w:cs="Times New Roman"/>
          <w:sz w:val="24"/>
          <w:szCs w:val="24"/>
          <w:lang w:val="en-US"/>
        </w:rPr>
        <w:instrText xml:space="preserve">19 μg/mL). The extract also produced prominent antimicrobial activity against Salmonella typhi, Salmonella paratyphi, Shigella boydii, Streptococcus pyogenes and Streptococcus aureus compared to standard drug kanamycin at the dose of 30 μg/disc. The extract exhibited lethality against the brine shrimp nauplii with the LC50 values of 40 μg/mL, and also 90% mortality (LC90) value was found to be 160 μg/mL. In analgesic test, the extract demonstrated statistically significant (P&lt;0.01) analgesic effect in acetic acid induced writhing in white albino mice at both dose levels.\nConclusions\nThese results suggest that the ethanolic extract of Mentha arvensis L. has potential antioxidant, antibacterial, cytotoxic and analgesic activities that support the ethnopharmacological uses of this plant.","container-title":"Asian Pacific Journal of Tropical Biomedicine","DOI":"10.12980/APJTB.4.2014C1298","ISSN":"2221-1691","issue":"10","journalAbbreviation":"Asian Pacific Journal of Tropical Biomedicine","language":"en","page":"792-797","source":"ScienceDirect","title":"Antioxidant, antimicrobial, cytotoxic and analgesic activities of ethanolic extract of Mentha arvensis L.","volume":"4","author":[{"family":"Biswas","given":"Nripendra Nath"},{"family":"Saha","given":"Subarna"},{"family":"Ali","given":"Mohammed Khadem"}],"issued":{"date-parts":[["2014",10,1]]}}},{"id":1924,"uris":["http://zotero.org/users/local/QcSA6amT/items/QVZ9LVY9"],"uri":["http://zotero.org/users/local/QcSA6amT/items/QVZ9LVY9"],"itemData":{"id":1924,"type":"article-journal","abstract":"Plant extracts and essential oils (EOs) are characterized by their antibacterial properties against various bacterial pathogens, including staphylococci. Some strains of these bacteria are resistant against the adverse effects of the environment including antibiotics, e. g. methicillin-resistant Staphylococcus aureus (MRSA). EOs alone cannot substitute for antibiotics but their treatment may be useful to intensify and strengthen the effects of antibiotics on pathogenic staphylococci. In this work, we tested the antibacterial effects of the essential oils of Mentha species with menthol as one of the effective substances against different strains of S. aureus. Two in vitro methods were used, the qualitative disc diffusion assay and the quantitative minimal inhibitory concentration (MIC) of selected essential oils. Peppermint oil from Mentha piperita, spearmint oil from Mentha spicata var. crispa and cornmint oil from Mentha arvensis were tested in this study against the various strains of Staphylococcus aureus, including methicillin resistant Staphylococcus aureus (MRSA). The oils were dissolved in DMSO (dimethyl sulfoxide) and diluted at the following ratios: 1 : 1, 1 : 2, 1 : 5, and 1 : 10. Based on the results determined by the agar disc diffusion test, the highest antibacterial properties were observed in spearmint oil against S. aureus CCM 4223 at 1 : 2 ratio where the inhibition zone varied at a range of 35.67 ± 6.81 mm. We determined also the MIC of all the oils where concentrations of the oils were as follows: 1 %; 0.5 %; 0.25 %; 0.125 % and 0.0625 %. The lowest concentrations of essential oils that possessed inhibitory effects on the growth of S. aureus varied between 0.125 % and 0.25 %.","container-title":"Folia Veterinaria","DOI":"10.1515/fv-2017-0030","issue":"3","page":"71–77","source":"DeGruyter","title":"In vitro Antibacterial Activity of Mentha Essential Oils Against Staphylococcus aureus","volume":"61","author":[{"family":"Horváth","given":"P."},{"family":"Koščová","given":"J."}],"issued":{"date-parts":[["2017"]]}}}],"schema":"https://github.com/citation-style-language/schema/raw/master/csl-citation.json"} </w:instrText>
      </w:r>
      <w:r w:rsidR="009F6BC9" w:rsidRPr="00754A1D">
        <w:rPr>
          <w:rFonts w:ascii="Times New Roman" w:hAnsi="Times New Roman" w:cs="Times New Roman"/>
          <w:sz w:val="24"/>
          <w:szCs w:val="24"/>
          <w:lang w:val="en-US"/>
        </w:rPr>
        <w:fldChar w:fldCharType="separate"/>
      </w:r>
      <w:r w:rsidR="009F6BC9" w:rsidRPr="00754A1D">
        <w:rPr>
          <w:rFonts w:ascii="Times New Roman" w:hAnsi="Times New Roman" w:cs="Times New Roman"/>
          <w:sz w:val="24"/>
          <w:szCs w:val="24"/>
          <w:lang w:val="en-US"/>
        </w:rPr>
        <w:t>(Biswas et al. 2014; Horváth and Koščová 2017)</w:t>
      </w:r>
      <w:r w:rsidR="009F6BC9" w:rsidRPr="00754A1D">
        <w:rPr>
          <w:rFonts w:ascii="Times New Roman" w:hAnsi="Times New Roman" w:cs="Times New Roman"/>
          <w:sz w:val="24"/>
          <w:szCs w:val="24"/>
          <w:lang w:val="en-US"/>
        </w:rPr>
        <w:fldChar w:fldCharType="end"/>
      </w:r>
      <w:r w:rsidR="009F6BC9" w:rsidRPr="00754A1D">
        <w:rPr>
          <w:rFonts w:ascii="Times New Roman" w:hAnsi="Times New Roman" w:cs="Times New Roman"/>
          <w:sz w:val="24"/>
          <w:szCs w:val="24"/>
          <w:lang w:val="en-US"/>
        </w:rPr>
        <w:t xml:space="preserve">, antifungal effects </w:t>
      </w:r>
      <w:r w:rsidR="009F6BC9" w:rsidRPr="00754A1D">
        <w:rPr>
          <w:rFonts w:ascii="Times New Roman" w:hAnsi="Times New Roman" w:cs="Times New Roman"/>
          <w:sz w:val="24"/>
          <w:szCs w:val="24"/>
          <w:lang w:val="en-US"/>
        </w:rPr>
        <w:fldChar w:fldCharType="begin"/>
      </w:r>
      <w:r w:rsidR="009F6BC9" w:rsidRPr="00754A1D">
        <w:rPr>
          <w:rFonts w:ascii="Times New Roman" w:hAnsi="Times New Roman" w:cs="Times New Roman"/>
          <w:sz w:val="24"/>
          <w:szCs w:val="24"/>
          <w:lang w:val="en-US"/>
        </w:rPr>
        <w:instrText xml:space="preserve"> ADDIN ZOTERO_ITEM CSL_CITATION {"citationID":"NiTx6D03","properties":{"formattedCitation":"(Varma and Dubey 2001; Kumar et al. 2007, 2009)","plainCitation":"(Varma and Dubey 2001; Kumar et al. 2007, 2009)","noteIndex":0},"citationItems":[{"id":1912,"uris":["http://zotero.org/users/local/QcSA6amT/items/JLU683Z3"],"uri":["http://zotero.org/users/local/QcSA6amT/items/JLU683Z3"],"itemData":{"id":1912,"type":"article-journal","abstract":"The essential oils of Caesulia axillaris and Mentha arvensis have been tested for their fumigant activity in the management of biodeterioration of stored wheat samples by Aspergillus flavus and the insect pests, Sitophilus oryzae and Tribolium castaneum, at 1300 and 600 ppm, respectively. The findings indicate the efficacy of the oils as potent fumigants for management of the biodeterioration of stored wheat samples. The oils also controlled the blue mould rot of oranges caused by Penicillium italicum and enhanced the market life of the oranges for a considerable period, showing their efficacy as postharvest fungicides of higher plant origin.","container-title":"International Journal of Food Microbiology","DOI":"10.1016/S0168-1605(01)00506-2","ISSN":"0168-1605","issue":"3","journalAbbreviation":"International Journal of Food Microbiology","language":"en","page":"207-210","source":"ScienceDirect","title":"Efficacy of essential oils of Caesulia axillaris and Mentha arvensis against some storage pests causing biodeterioration of food commodities","volume":"68","author":[{"family":"Varma","given":"Jaya"},{"family":"Dubey","given":"N. K"}],"issued":{"date-parts":[["2001",9,1]]}}},{"id":1932,"uris":["http://zotero.org/users/local/QcSA6amT/items/94AIBFTX"],"uri":["http://zotero.org/users/local/QcSA6amT/items/94AIBFTX"],"itemData":{"id":1932,"type":"article-journal","abstract":"Essential oils from different parts of 18 plants belonging to 11 families were extracted and tested against two toxigenic strains of Aspergillus flavus Link through the poisoned food technique. The oil of Mentha arvensis was found to be effective against both strains of A. flavus and completely stopped the radial mycelial growth of A. flavus at 0.10 mg mL−1. It was found to be superior over the synthetic fungicides tested and showed a broad fungitoxic spectrum against A. niger, A. fumigatus, Botryodiplodia theobromae, Cladosporium cladosporioides, Fusarium oxysporum, Helminthosporium oryzae, Macrophomina phaseolina and Sclerotium rolfsii at 0.10 mg mL−1. The oil completely inhibited the aflatoxin B1 production by the toxigenic strain of A. flavus at 0.05 mg mL−1. Moreover, the Mentha oil also exhibited potent antioxidant activity in 2,2′-azino-bis-3-ethylbenzothiazoline-6-sulphuric acid (ABTS) bioassay. Keeping in mind the side effects of synthetic pesticides and the global interest in botanical pesticides for plant protection due to their biodegradable nature, M. arvensis oil may be used as a botanical fungitoxicant against fungal attack to stored food commodities. The antiaflatoxigenic and antioxidant nature of the oil suggest the possibility of its exploitation for enhancing the shelf life of stored food commodities. Copyright © 2007 Society of Chemical Industry","container-title":"Journal of the Science of Food and Agriculture","DOI":"10.1002/jsfa.2906","ISSN":"1097-0010","issue":"9","language":"en","page":"1737-1742","source":"Wiley Online Library","title":"Evaluation of some essential oils as botanical fungitoxicants for the protection of stored food commodities from fungal infestation","volume":"87","author":[{"family":"Kumar","given":"Rajesh"},{"family":"Dubey","given":"Nawal K."},{"family":"Tiwari","given":"Om P."},{"family":"Tripathi","given":"Yamini B."},{"family":"Sinha","given":"Kauskal K."}],"issued":{"date-parts":[["2007"]]}}},{"id":1911,"uris":["http://zotero.org/users/local/QcSA6amT/items/KMMSZ8LB"],"uri":["http://zotero.org/users/local/QcSA6amT/items/KMMSZ8LB"],"itemData":{"id":1911,"type":"article-journal","abstract":"BACKGROUND: Fungal contamination and Callosobruchus infestation results in qualitative and quantitative losses of chickpea seeds during storage. Most of the synthetic chemicals used as preservatives have adverse effects. Therefore, the antifungal and insecticidal potential of Mentha arvensis essential oil was evaluated to determine whether this could be an eco-friendly substitute of synthetic preservatives. RESULTS: The stored chickpea seeds were dominated by Aspergillus flavus (46.1%) and 30% isolates among them were found toxigenic. The MIC of Mentha oil against A. flavus was recorded at 400 µL L−1 and it exhibited broad fungitoxic activity against 14 storage fungi. The oil was found superior to some prevalent synthetic fungicides. Mentha oil showed potent insecticidal activity against Callosobruchus chinensis at different concentrations and exposure times. The oviposition by C. chinensis was completely checked at 10 µL L−1 while F1 emergence was completely inhibited at 200 µL L−1. During in situ experiments, 94.05% protection of the chickpea from C. chinensis by Mentha oil showed superiority over the organophosphate insecticide malathion, where 90.75% protection was recorded. CONCLUSION: The Mentha EO showing potent fungitoxic and insecticidal efficacy and may be recommended as a plant-based preservative in the management of fungal and insect infestation of chickpea and other pulses during storage. Copyright © 2009 Society of Chemical Industry","container-title":"Journal of the Science of Food and Agriculture","DOI":"10.1002/jsfa.3768","ISSN":"1097-0010","issue":"15","language":"en","page":"2643-2649","source":"Wiley Online Library","title":"Use of essential oil from Mentha arvensis L. to control storage moulds and insects in stored chickpea","volume":"89","author":[{"family":"Kumar","given":"Ashok"},{"family":"Shukla","given":"Ravindra"},{"family":"Singh","given":"Priyanka"},{"family":"Singh","given":"Amit K."},{"family":"Dubey","given":"Nawal K."}],"issued":{"date-parts":[["2009"]]}}}],"schema":"https://github.com/citation-style-language/schema/raw/master/csl-citation.json"} </w:instrText>
      </w:r>
      <w:r w:rsidR="009F6BC9" w:rsidRPr="00754A1D">
        <w:rPr>
          <w:rFonts w:ascii="Times New Roman" w:hAnsi="Times New Roman" w:cs="Times New Roman"/>
          <w:sz w:val="24"/>
          <w:szCs w:val="24"/>
          <w:lang w:val="en-US"/>
        </w:rPr>
        <w:fldChar w:fldCharType="separate"/>
      </w:r>
      <w:r w:rsidR="009F6BC9" w:rsidRPr="00754A1D">
        <w:rPr>
          <w:rFonts w:ascii="Times New Roman" w:hAnsi="Times New Roman" w:cs="Times New Roman"/>
          <w:sz w:val="24"/>
          <w:lang w:val="en-US"/>
        </w:rPr>
        <w:t>(Varma and Dubey 2001; Kumar et al. 2007, 2009)</w:t>
      </w:r>
      <w:r w:rsidR="009F6BC9" w:rsidRPr="00754A1D">
        <w:rPr>
          <w:rFonts w:ascii="Times New Roman" w:hAnsi="Times New Roman" w:cs="Times New Roman"/>
          <w:sz w:val="24"/>
          <w:szCs w:val="24"/>
          <w:lang w:val="en-US"/>
        </w:rPr>
        <w:fldChar w:fldCharType="end"/>
      </w:r>
      <w:r w:rsidR="009F6BC9" w:rsidRPr="00754A1D">
        <w:rPr>
          <w:rFonts w:ascii="Times New Roman" w:hAnsi="Times New Roman" w:cs="Times New Roman"/>
          <w:sz w:val="24"/>
          <w:szCs w:val="24"/>
          <w:lang w:val="en-US"/>
        </w:rPr>
        <w:t xml:space="preserve"> and </w:t>
      </w:r>
      <w:r w:rsidR="005F2CC3" w:rsidRPr="00754A1D">
        <w:rPr>
          <w:rFonts w:ascii="Times New Roman" w:hAnsi="Times New Roman" w:cs="Times New Roman"/>
          <w:sz w:val="24"/>
          <w:szCs w:val="24"/>
          <w:lang w:val="en-US"/>
        </w:rPr>
        <w:t>adulticidal</w:t>
      </w:r>
      <w:r w:rsidR="009F6BC9" w:rsidRPr="00754A1D">
        <w:rPr>
          <w:rFonts w:ascii="Times New Roman" w:hAnsi="Times New Roman" w:cs="Times New Roman"/>
          <w:sz w:val="24"/>
          <w:szCs w:val="24"/>
          <w:lang w:val="en-US"/>
        </w:rPr>
        <w:t xml:space="preserve"> activity on several species of storage pests </w:t>
      </w:r>
      <w:r w:rsidR="009F6BC9" w:rsidRPr="00754A1D">
        <w:rPr>
          <w:rFonts w:ascii="Times New Roman" w:hAnsi="Times New Roman" w:cs="Times New Roman"/>
          <w:sz w:val="24"/>
          <w:szCs w:val="24"/>
          <w:lang w:val="en-US"/>
        </w:rPr>
        <w:fldChar w:fldCharType="begin"/>
      </w:r>
      <w:r w:rsidR="009F6BC9" w:rsidRPr="00754A1D">
        <w:rPr>
          <w:rFonts w:ascii="Times New Roman" w:hAnsi="Times New Roman" w:cs="Times New Roman"/>
          <w:sz w:val="24"/>
          <w:szCs w:val="24"/>
          <w:lang w:val="en-US"/>
        </w:rPr>
        <w:instrText xml:space="preserve"> ADDIN ZOTERO_ITEM CSL_CITATION {"citationID":"GeIp8NEx","properties":{"formattedCitation":"(Tripathi et al. 2000; Aggarwal et al. 2001; Mishra et al. 2012)","plainCitation":"(Tripathi et al. 2000; Aggarwal et al. 2001; Mishra et al. 2012)","noteIndex":0},"citationItems":[{"id":1920,"uris":["http://zotero.org/users/local/QcSA6amT/items/YN7L6J4X"],"uri":["http://zotero.org/users/local/QcSA6amT/items/YN7L6J4X"],"itemData":{"id":1920,"type":"article-journal","abstract":"Essential oils of Mentha arvensis, M. citrata [M. piperita var. citrata], M. piperita and M. spicata and their fractions rich in menthone, menthol, linalool, linalyl acetate, menthofuran, limonene and l-carvone were tested for their fumigant toxicity against flour beetle (Tribolium castaneum) and pulse beetle (Callosobruchus maculatus) and repellent, contact toxicity and development inhibition...","container-title":"Journal of Medicinal and Aromatic Plant Sciences","ISSN":"0253-7125","issue":"1B","language":"English","page":"549-556","source":"www.cabdirect.org","title":"Effect of volatile oil constituents of Mentha species against the stored grain pests, Callosobruchus maculatus and Tribolium castaneum.","volume":"22","author":[{"family":"Tripathi","given":"A. K."},{"family":"Prajapati","given":"Veena"},{"family":"Aggarwal","given":"K. K."},{"family":"Kumar","given":"Sushil"}],"issued":{"date-parts":[["2000"]]}}},{"id":1922,"uris":["http://zotero.org/users/local/QcSA6amT/items/KKK7CSKU"],"uri":["http://zotero.org/users/local/QcSA6amT/items/KKK7CSKU"],"itemData":{"id":1922,"type":"article-journal","abstract":"l-menthol isolated from the essential oil of Mentha arvensis and seven of its acyl derivatives were tested for contact and vapour toxicity, and ovicidal and repellent activity against the storage pests Callosobruchus maculatus F., Rhyzopertha dominica F., Sitophilus oryzae L. and Tribolium castaneum Herbst. Menthyl propionate and l-menthol were highly toxic in contact assays and vapour toxicity assays respectively. l-menthol was also found to be strongly repellent (82–100% at 0.353 μg/cm2 dose) against all the insects, while menthyl acetate was highly ovicidal against T. castaneum., Le l-menthol isolé de l'huile essentielle de Mentha arvensis et sept de ses dérivés acétylés ont été testés pour leur toxicité de contact et fumigène et leur activité ovicide et répulsive vis à vis des ravageurs des stocks Callosobruchus maculatus F., Rhyzopertha dominica F., Sitophilus oryzae L. et Tribolium castaneum Herbst. Le propionate de menthyl et le l-menthol ont été hautement toxiques lors des essais par contact et par fumigation. Le l-menthol a été également fortement répulsif (82–100% à la dose de 0,353 mg/cm2) contre tous les insectes, alors que l'acétate de menthyl a été hautement ovicide contre T. castaneum.","container-title":"International Journal of Tropical Insect Science","DOI":"10.1017/S1742758400007621","ISSN":"0191-9040","issue":"3","language":"en","page":"229-235","source":"Cambridge Core","title":"Toxicity of l-menthol and its derivatives against four storage insects","volume":"21","author":[{"family":"Aggarwal","given":"K. K."},{"family":"Tripathi","given":"A. K."},{"family":"Ahmad","given":"Ateeque"},{"family":"Prajapati","given":"Veena"},{"family":"Verma","given":"Neetu"},{"family":"Kumar","given":"Sushil"}],"issued":{"date-parts":[["2001",9]]}}},{"id":1935,"uris":["http://zotero.org/users/local/QcSA6amT/items/SPQ929LZ"],"uri":["http://zotero.org/users/local/QcSA6amT/items/SPQ929LZ"],"itemData":{"id":1935,"type":"article-journal","abstract":"The essential oil of Mentha arvensis L. was extracted by water distillation method and the insecticidal properties of M. arvensis were evaluated under laboratory conditions. The oil showed repellency and toxicity against T. castaneum (Coleoptera: Tenebrionidae) and S. oryzae (Coleoptera: Curculionidae). The result revealed that this essential oil strongly repels T. castaneum and S. oryzae even at low concentration, but its repellency was more marked towards S. oryzae. The essential oil of M. arvensis showed toxic effects against insect pests. The toxicity of newly molted 4th instars larvae of T. castaneum and 10-day-old-adults of T. castaneum and S. oryzae increased with concentration from 15 to 30 μL/100 μL and with exposure time 24 to 48 h. The LC50 against the larvae of T. castaneum was 18.685 μL at 48 h exposure. The LC50 against T. castaneum and S. oryzae adults were 22.759 μL and 21.788 μL at 48 h exposure, respectively.","container-title":"Biological Agriculture &amp; Horticulture","DOI":"10.1080/01448765.2012.662792","ISSN":"0144-8765","issue":"1","page":"34-40","source":"Taylor and Francis+NEJM","title":"Response of Tribolium castaneum (Coleoptera: Tenebrionidae) and Sitophilus oryzae (Coleoptera: Curculionidae) to potential insecticide derived from essential oil of Mentha arvensis leaves","title-short":"Response of Tribolium castaneum (Coleoptera","volume":"28","author":[{"family":"Mishra","given":"Bhuwan Bhaskar"},{"family":"Tripathi","given":"S. P."},{"family":"Tripathi","given":"C. P. M."}],"issued":{"date-parts":[["2012",3,1]]}}}],"schema":"https://github.com/citation-style-language/schema/raw/master/csl-citation.json"} </w:instrText>
      </w:r>
      <w:r w:rsidR="009F6BC9" w:rsidRPr="00754A1D">
        <w:rPr>
          <w:rFonts w:ascii="Times New Roman" w:hAnsi="Times New Roman" w:cs="Times New Roman"/>
          <w:sz w:val="24"/>
          <w:szCs w:val="24"/>
          <w:lang w:val="en-US"/>
        </w:rPr>
        <w:fldChar w:fldCharType="separate"/>
      </w:r>
      <w:r w:rsidR="009F6BC9" w:rsidRPr="00754A1D">
        <w:rPr>
          <w:rFonts w:ascii="Times New Roman" w:hAnsi="Times New Roman" w:cs="Times New Roman"/>
          <w:sz w:val="24"/>
          <w:lang w:val="en-US"/>
        </w:rPr>
        <w:t>(Tripathi et al. 2000; Aggarwal et al. 2001; Mishra et al. 2012)</w:t>
      </w:r>
      <w:r w:rsidR="009F6BC9" w:rsidRPr="00754A1D">
        <w:rPr>
          <w:rFonts w:ascii="Times New Roman" w:hAnsi="Times New Roman" w:cs="Times New Roman"/>
          <w:sz w:val="24"/>
          <w:szCs w:val="24"/>
          <w:lang w:val="en-US"/>
        </w:rPr>
        <w:fldChar w:fldCharType="end"/>
      </w:r>
      <w:r w:rsidR="005F2CC3" w:rsidRPr="00754A1D">
        <w:rPr>
          <w:rFonts w:ascii="Times New Roman" w:hAnsi="Times New Roman" w:cs="Times New Roman"/>
          <w:sz w:val="24"/>
          <w:szCs w:val="24"/>
          <w:lang w:val="en-US"/>
        </w:rPr>
        <w:t xml:space="preserve">. </w:t>
      </w:r>
      <w:r w:rsidR="00C510AE" w:rsidRPr="00754A1D">
        <w:rPr>
          <w:rFonts w:ascii="Times New Roman" w:hAnsi="Times New Roman" w:cs="Times New Roman"/>
          <w:sz w:val="24"/>
          <w:szCs w:val="24"/>
          <w:lang w:val="en-US"/>
        </w:rPr>
        <w:t>In this study</w:t>
      </w:r>
      <w:r w:rsidR="0014180C" w:rsidRPr="00754A1D">
        <w:rPr>
          <w:rFonts w:ascii="Times New Roman" w:hAnsi="Times New Roman" w:cs="Times New Roman"/>
          <w:sz w:val="24"/>
          <w:szCs w:val="24"/>
          <w:lang w:val="en-US"/>
        </w:rPr>
        <w:t>,</w:t>
      </w:r>
      <w:r w:rsidR="003813FD" w:rsidRPr="00754A1D">
        <w:rPr>
          <w:rFonts w:ascii="Times New Roman" w:hAnsi="Times New Roman" w:cs="Times New Roman"/>
          <w:sz w:val="24"/>
          <w:szCs w:val="24"/>
          <w:lang w:val="en-US"/>
        </w:rPr>
        <w:t xml:space="preserve"> we </w:t>
      </w:r>
      <w:r w:rsidR="00F259D3" w:rsidRPr="00754A1D">
        <w:rPr>
          <w:rFonts w:ascii="Times New Roman" w:hAnsi="Times New Roman" w:cs="Times New Roman"/>
          <w:sz w:val="24"/>
          <w:szCs w:val="24"/>
          <w:lang w:val="en-US"/>
        </w:rPr>
        <w:t>evaluated</w:t>
      </w:r>
      <w:r w:rsidR="003813FD" w:rsidRPr="00754A1D">
        <w:rPr>
          <w:rFonts w:ascii="Times New Roman" w:hAnsi="Times New Roman" w:cs="Times New Roman"/>
          <w:sz w:val="24"/>
          <w:szCs w:val="24"/>
          <w:lang w:val="en-US"/>
        </w:rPr>
        <w:t xml:space="preserve"> </w:t>
      </w:r>
      <w:r w:rsidR="002D0F12" w:rsidRPr="00754A1D">
        <w:rPr>
          <w:rFonts w:ascii="Times New Roman" w:hAnsi="Times New Roman" w:cs="Times New Roman"/>
          <w:sz w:val="24"/>
          <w:szCs w:val="24"/>
          <w:lang w:val="en-US"/>
        </w:rPr>
        <w:t>the</w:t>
      </w:r>
      <w:r w:rsidR="003813FD" w:rsidRPr="00754A1D">
        <w:rPr>
          <w:rFonts w:ascii="Times New Roman" w:hAnsi="Times New Roman" w:cs="Times New Roman"/>
          <w:sz w:val="24"/>
          <w:szCs w:val="24"/>
          <w:lang w:val="en-US"/>
        </w:rPr>
        <w:t xml:space="preserve"> </w:t>
      </w:r>
      <w:r w:rsidR="00C510AE" w:rsidRPr="00754A1D">
        <w:rPr>
          <w:rFonts w:ascii="Times New Roman" w:hAnsi="Times New Roman" w:cs="Times New Roman"/>
          <w:sz w:val="24"/>
          <w:szCs w:val="24"/>
          <w:lang w:val="en-US"/>
        </w:rPr>
        <w:t xml:space="preserve">contact </w:t>
      </w:r>
      <w:r w:rsidR="003813FD" w:rsidRPr="00754A1D">
        <w:rPr>
          <w:rFonts w:ascii="Times New Roman" w:hAnsi="Times New Roman" w:cs="Times New Roman"/>
          <w:sz w:val="24"/>
          <w:szCs w:val="24"/>
          <w:lang w:val="en-US"/>
        </w:rPr>
        <w:t xml:space="preserve">toxicity of </w:t>
      </w:r>
      <w:r w:rsidR="003813FD" w:rsidRPr="00754A1D">
        <w:rPr>
          <w:rFonts w:ascii="Times New Roman" w:hAnsi="Times New Roman" w:cs="Times New Roman"/>
          <w:i/>
          <w:sz w:val="24"/>
          <w:szCs w:val="24"/>
          <w:lang w:val="en-US"/>
        </w:rPr>
        <w:t xml:space="preserve">Mentha </w:t>
      </w:r>
      <w:r w:rsidR="00B66CAC" w:rsidRPr="00754A1D">
        <w:rPr>
          <w:rFonts w:ascii="Times New Roman" w:hAnsi="Times New Roman" w:cs="Times New Roman"/>
          <w:i/>
          <w:sz w:val="24"/>
          <w:szCs w:val="24"/>
          <w:lang w:val="en-US"/>
        </w:rPr>
        <w:t xml:space="preserve">arvensis </w:t>
      </w:r>
      <w:r w:rsidR="00DA2F73" w:rsidRPr="00754A1D">
        <w:rPr>
          <w:rFonts w:ascii="Times New Roman" w:hAnsi="Times New Roman" w:cs="Times New Roman"/>
          <w:sz w:val="24"/>
          <w:szCs w:val="24"/>
          <w:lang w:val="en-US"/>
        </w:rPr>
        <w:t>EO</w:t>
      </w:r>
      <w:r w:rsidRPr="00754A1D">
        <w:rPr>
          <w:rFonts w:ascii="Times New Roman" w:hAnsi="Times New Roman" w:cs="Times New Roman"/>
          <w:sz w:val="24"/>
          <w:szCs w:val="24"/>
          <w:lang w:val="en-US"/>
        </w:rPr>
        <w:t xml:space="preserve"> against the granary weevil </w:t>
      </w:r>
      <w:r w:rsidRPr="00754A1D">
        <w:rPr>
          <w:rFonts w:ascii="Times New Roman" w:hAnsi="Times New Roman" w:cs="Times New Roman"/>
          <w:i/>
          <w:sz w:val="24"/>
          <w:szCs w:val="24"/>
          <w:lang w:val="en-US"/>
        </w:rPr>
        <w:t xml:space="preserve">S. </w:t>
      </w:r>
      <w:proofErr w:type="spellStart"/>
      <w:r w:rsidRPr="00754A1D">
        <w:rPr>
          <w:rFonts w:ascii="Times New Roman" w:hAnsi="Times New Roman" w:cs="Times New Roman"/>
          <w:i/>
          <w:sz w:val="24"/>
          <w:szCs w:val="24"/>
          <w:lang w:val="en-US"/>
        </w:rPr>
        <w:t>granarius</w:t>
      </w:r>
      <w:proofErr w:type="spellEnd"/>
      <w:r w:rsidR="004508B2" w:rsidRPr="00754A1D">
        <w:rPr>
          <w:rFonts w:ascii="Times New Roman" w:hAnsi="Times New Roman" w:cs="Times New Roman"/>
          <w:sz w:val="24"/>
          <w:szCs w:val="24"/>
          <w:lang w:val="en-US"/>
        </w:rPr>
        <w:t xml:space="preserve">, a major </w:t>
      </w:r>
      <w:r w:rsidR="004508B2" w:rsidRPr="00754A1D">
        <w:rPr>
          <w:rFonts w:ascii="Times New Roman" w:hAnsi="Times New Roman" w:cs="Times New Roman"/>
          <w:sz w:val="24"/>
          <w:szCs w:val="24"/>
          <w:lang w:val="en-US"/>
        </w:rPr>
        <w:lastRenderedPageBreak/>
        <w:t xml:space="preserve">pest of stored grain in temperate regions. </w:t>
      </w:r>
      <w:r w:rsidR="006E709C" w:rsidRPr="00754A1D">
        <w:rPr>
          <w:rFonts w:ascii="Times New Roman" w:hAnsi="Times New Roman" w:cs="Times New Roman"/>
          <w:sz w:val="24"/>
          <w:szCs w:val="24"/>
          <w:lang w:val="en-US"/>
        </w:rPr>
        <w:t xml:space="preserve">Subsequently, we evaluated </w:t>
      </w:r>
      <w:r w:rsidR="00CB1206" w:rsidRPr="00754A1D">
        <w:rPr>
          <w:rFonts w:ascii="Times New Roman" w:hAnsi="Times New Roman" w:cs="Times New Roman"/>
          <w:sz w:val="24"/>
          <w:szCs w:val="24"/>
          <w:lang w:val="en-US"/>
        </w:rPr>
        <w:t xml:space="preserve">the </w:t>
      </w:r>
      <w:r w:rsidR="00CB1206" w:rsidRPr="00754A1D">
        <w:rPr>
          <w:rFonts w:ascii="Times New Roman" w:hAnsi="Times New Roman" w:cs="Times New Roman"/>
          <w:i/>
          <w:sz w:val="24"/>
          <w:szCs w:val="24"/>
          <w:lang w:val="en-US"/>
        </w:rPr>
        <w:t>in vivo</w:t>
      </w:r>
      <w:r w:rsidR="00CB1206" w:rsidRPr="00754A1D">
        <w:rPr>
          <w:rFonts w:ascii="Times New Roman" w:hAnsi="Times New Roman" w:cs="Times New Roman"/>
          <w:sz w:val="24"/>
          <w:szCs w:val="24"/>
          <w:lang w:val="en-US"/>
        </w:rPr>
        <w:t xml:space="preserve"> cuticular penetration of </w:t>
      </w:r>
      <w:r w:rsidR="006E709C" w:rsidRPr="00754A1D">
        <w:rPr>
          <w:rFonts w:ascii="Times New Roman" w:hAnsi="Times New Roman" w:cs="Times New Roman"/>
          <w:sz w:val="24"/>
          <w:szCs w:val="24"/>
          <w:lang w:val="en-US"/>
        </w:rPr>
        <w:t xml:space="preserve">the </w:t>
      </w:r>
      <w:r w:rsidR="00F259D3" w:rsidRPr="00754A1D">
        <w:rPr>
          <w:rFonts w:ascii="Times New Roman" w:hAnsi="Times New Roman" w:cs="Times New Roman"/>
          <w:sz w:val="24"/>
          <w:szCs w:val="24"/>
          <w:lang w:val="en-US"/>
        </w:rPr>
        <w:t>EO</w:t>
      </w:r>
      <w:r w:rsidR="006E709C" w:rsidRPr="00754A1D">
        <w:rPr>
          <w:rFonts w:ascii="Times New Roman" w:hAnsi="Times New Roman" w:cs="Times New Roman"/>
          <w:sz w:val="24"/>
          <w:szCs w:val="24"/>
          <w:lang w:val="en-US"/>
        </w:rPr>
        <w:t xml:space="preserve"> </w:t>
      </w:r>
      <w:r w:rsidR="00CB1206" w:rsidRPr="00754A1D">
        <w:rPr>
          <w:rFonts w:ascii="Times New Roman" w:hAnsi="Times New Roman" w:cs="Times New Roman"/>
          <w:sz w:val="24"/>
          <w:szCs w:val="24"/>
          <w:lang w:val="en-US"/>
        </w:rPr>
        <w:t xml:space="preserve">and its effects </w:t>
      </w:r>
      <w:r w:rsidR="006E709C" w:rsidRPr="00754A1D">
        <w:rPr>
          <w:rFonts w:ascii="Times New Roman" w:hAnsi="Times New Roman" w:cs="Times New Roman"/>
          <w:sz w:val="24"/>
          <w:szCs w:val="24"/>
          <w:lang w:val="en-US"/>
        </w:rPr>
        <w:t xml:space="preserve">on the locomotor behavior of </w:t>
      </w:r>
      <w:r w:rsidR="00697474" w:rsidRPr="00754A1D">
        <w:rPr>
          <w:rFonts w:ascii="Times New Roman" w:hAnsi="Times New Roman" w:cs="Times New Roman"/>
          <w:sz w:val="24"/>
          <w:szCs w:val="24"/>
          <w:lang w:val="en-US"/>
        </w:rPr>
        <w:t>the insect</w:t>
      </w:r>
      <w:r w:rsidR="006E709C" w:rsidRPr="00754A1D">
        <w:rPr>
          <w:rFonts w:ascii="Times New Roman" w:hAnsi="Times New Roman" w:cs="Times New Roman"/>
          <w:sz w:val="24"/>
          <w:szCs w:val="24"/>
          <w:lang w:val="en-US"/>
        </w:rPr>
        <w:t xml:space="preserve">. </w:t>
      </w:r>
      <w:r w:rsidR="00F259D3" w:rsidRPr="00754A1D">
        <w:rPr>
          <w:rFonts w:ascii="Times New Roman" w:hAnsi="Times New Roman" w:cs="Times New Roman"/>
          <w:sz w:val="24"/>
          <w:szCs w:val="24"/>
          <w:lang w:val="en-US"/>
        </w:rPr>
        <w:t xml:space="preserve">Finally, our label-free quantitative proteomics approach highlighted the physiological changes taking place in </w:t>
      </w:r>
      <w:r w:rsidR="00CB1206" w:rsidRPr="00754A1D">
        <w:rPr>
          <w:rFonts w:ascii="Times New Roman" w:hAnsi="Times New Roman" w:cs="Times New Roman"/>
          <w:i/>
          <w:sz w:val="24"/>
          <w:szCs w:val="24"/>
          <w:lang w:val="en-US"/>
        </w:rPr>
        <w:t xml:space="preserve">S. </w:t>
      </w:r>
      <w:proofErr w:type="spellStart"/>
      <w:r w:rsidR="00CB1206" w:rsidRPr="00754A1D">
        <w:rPr>
          <w:rFonts w:ascii="Times New Roman" w:hAnsi="Times New Roman" w:cs="Times New Roman"/>
          <w:i/>
          <w:sz w:val="24"/>
          <w:szCs w:val="24"/>
          <w:lang w:val="en-US"/>
        </w:rPr>
        <w:t>granarius</w:t>
      </w:r>
      <w:proofErr w:type="spellEnd"/>
      <w:r w:rsidR="00F259D3" w:rsidRPr="00754A1D">
        <w:rPr>
          <w:rFonts w:ascii="Times New Roman" w:hAnsi="Times New Roman" w:cs="Times New Roman"/>
          <w:sz w:val="24"/>
          <w:szCs w:val="24"/>
          <w:lang w:val="en-US"/>
        </w:rPr>
        <w:t xml:space="preserve"> after exposure to </w:t>
      </w:r>
      <w:r w:rsidR="00F259D3" w:rsidRPr="00754A1D">
        <w:rPr>
          <w:rFonts w:ascii="Times New Roman" w:hAnsi="Times New Roman" w:cs="Times New Roman"/>
          <w:i/>
          <w:sz w:val="24"/>
          <w:szCs w:val="24"/>
          <w:lang w:val="en-US"/>
        </w:rPr>
        <w:t>M. arvensis</w:t>
      </w:r>
      <w:r w:rsidR="00F259D3" w:rsidRPr="00754A1D">
        <w:rPr>
          <w:rFonts w:ascii="Times New Roman" w:hAnsi="Times New Roman" w:cs="Times New Roman"/>
          <w:sz w:val="24"/>
          <w:szCs w:val="24"/>
          <w:lang w:val="en-US"/>
        </w:rPr>
        <w:t xml:space="preserve"> EO and shed light on the mechanisms behind its insecticidal activity.</w:t>
      </w:r>
    </w:p>
    <w:p w14:paraId="5865BC8E" w14:textId="77777777" w:rsidR="00612501" w:rsidRPr="00754A1D" w:rsidRDefault="00612501" w:rsidP="00F259D3">
      <w:pPr>
        <w:spacing w:after="0" w:line="480" w:lineRule="auto"/>
        <w:jc w:val="both"/>
        <w:rPr>
          <w:rFonts w:ascii="Times New Roman" w:hAnsi="Times New Roman" w:cs="Times New Roman"/>
          <w:sz w:val="24"/>
          <w:szCs w:val="24"/>
          <w:lang w:val="en-US"/>
        </w:rPr>
      </w:pPr>
    </w:p>
    <w:p w14:paraId="7E934D57" w14:textId="6598CF51" w:rsidR="0041497E" w:rsidRPr="00754A1D" w:rsidRDefault="00351B87" w:rsidP="001239F0">
      <w:pPr>
        <w:spacing w:line="480" w:lineRule="auto"/>
        <w:jc w:val="both"/>
        <w:rPr>
          <w:rFonts w:ascii="Times New Roman" w:hAnsi="Times New Roman" w:cs="Times New Roman"/>
          <w:b/>
          <w:bCs/>
          <w:sz w:val="28"/>
          <w:szCs w:val="28"/>
          <w:lang w:val="en-US"/>
        </w:rPr>
      </w:pPr>
      <w:r w:rsidRPr="00754A1D">
        <w:rPr>
          <w:rFonts w:ascii="Times New Roman" w:hAnsi="Times New Roman" w:cs="Times New Roman"/>
          <w:b/>
          <w:bCs/>
          <w:sz w:val="28"/>
          <w:szCs w:val="28"/>
          <w:lang w:val="en-US"/>
        </w:rPr>
        <w:t xml:space="preserve">Material and methods </w:t>
      </w:r>
    </w:p>
    <w:p w14:paraId="6EB52B8C" w14:textId="01570D62" w:rsidR="008E1ADC" w:rsidRPr="00754A1D" w:rsidRDefault="00F21E7C" w:rsidP="001239F0">
      <w:pPr>
        <w:spacing w:line="480" w:lineRule="auto"/>
        <w:jc w:val="both"/>
        <w:rPr>
          <w:rFonts w:ascii="Times New Roman" w:hAnsi="Times New Roman" w:cs="Times New Roman"/>
          <w:b/>
          <w:sz w:val="24"/>
          <w:szCs w:val="24"/>
          <w:lang w:val="en-US"/>
        </w:rPr>
      </w:pPr>
      <w:r w:rsidRPr="00754A1D">
        <w:rPr>
          <w:rFonts w:ascii="Times New Roman" w:hAnsi="Times New Roman" w:cs="Times New Roman"/>
          <w:b/>
          <w:sz w:val="24"/>
          <w:szCs w:val="24"/>
          <w:lang w:val="en-US"/>
        </w:rPr>
        <w:t>Insect mass rearing</w:t>
      </w:r>
    </w:p>
    <w:p w14:paraId="4C1BE96E" w14:textId="727B1B86" w:rsidR="006560AB" w:rsidRPr="00754A1D" w:rsidRDefault="00F31E15" w:rsidP="00F21E7C">
      <w:pPr>
        <w:spacing w:line="480" w:lineRule="auto"/>
        <w:jc w:val="both"/>
        <w:rPr>
          <w:rFonts w:ascii="Times New Roman" w:hAnsi="Times New Roman" w:cs="Times New Roman"/>
          <w:sz w:val="24"/>
          <w:szCs w:val="24"/>
          <w:lang w:val="en-US"/>
        </w:rPr>
      </w:pPr>
      <w:r w:rsidRPr="00754A1D">
        <w:rPr>
          <w:rFonts w:ascii="Times New Roman" w:hAnsi="Times New Roman" w:cs="Times New Roman"/>
          <w:i/>
          <w:sz w:val="24"/>
          <w:szCs w:val="24"/>
          <w:lang w:val="en-US"/>
        </w:rPr>
        <w:t>S.</w:t>
      </w:r>
      <w:r w:rsidR="00A2013D" w:rsidRPr="00754A1D">
        <w:rPr>
          <w:rFonts w:ascii="Times New Roman" w:hAnsi="Times New Roman" w:cs="Times New Roman"/>
          <w:i/>
          <w:sz w:val="24"/>
          <w:szCs w:val="24"/>
          <w:lang w:val="en-US"/>
        </w:rPr>
        <w:t xml:space="preserve"> </w:t>
      </w:r>
      <w:proofErr w:type="spellStart"/>
      <w:r w:rsidR="00A2013D" w:rsidRPr="00754A1D">
        <w:rPr>
          <w:rFonts w:ascii="Times New Roman" w:hAnsi="Times New Roman" w:cs="Times New Roman"/>
          <w:i/>
          <w:sz w:val="24"/>
          <w:szCs w:val="24"/>
          <w:lang w:val="en-US"/>
        </w:rPr>
        <w:t>granarius</w:t>
      </w:r>
      <w:proofErr w:type="spellEnd"/>
      <w:r w:rsidR="00A2013D" w:rsidRPr="00754A1D">
        <w:rPr>
          <w:rFonts w:ascii="Times New Roman" w:hAnsi="Times New Roman" w:cs="Times New Roman"/>
          <w:sz w:val="24"/>
          <w:szCs w:val="24"/>
          <w:lang w:val="en-US"/>
        </w:rPr>
        <w:t xml:space="preserve"> used in this study was obtained from a laboratory colony kept </w:t>
      </w:r>
      <w:r w:rsidR="000519B7" w:rsidRPr="00754A1D">
        <w:rPr>
          <w:rFonts w:ascii="Times New Roman" w:hAnsi="Times New Roman" w:cs="Times New Roman"/>
          <w:sz w:val="24"/>
          <w:szCs w:val="24"/>
          <w:lang w:val="en-US"/>
        </w:rPr>
        <w:t>for</w:t>
      </w:r>
      <w:r w:rsidR="00A2013D" w:rsidRPr="00754A1D">
        <w:rPr>
          <w:rFonts w:ascii="Times New Roman" w:hAnsi="Times New Roman" w:cs="Times New Roman"/>
          <w:sz w:val="24"/>
          <w:szCs w:val="24"/>
          <w:lang w:val="en-US"/>
        </w:rPr>
        <w:t xml:space="preserve"> breeding in the insectariums at the </w:t>
      </w:r>
      <w:r w:rsidR="00682F13" w:rsidRPr="00754A1D">
        <w:rPr>
          <w:rFonts w:ascii="Times New Roman" w:hAnsi="Times New Roman" w:cs="Times New Roman"/>
          <w:sz w:val="24"/>
          <w:szCs w:val="24"/>
          <w:lang w:val="en-US"/>
        </w:rPr>
        <w:t>c</w:t>
      </w:r>
      <w:r w:rsidR="00B45E2B" w:rsidRPr="00754A1D">
        <w:rPr>
          <w:rFonts w:ascii="Times New Roman" w:hAnsi="Times New Roman" w:cs="Times New Roman"/>
          <w:sz w:val="24"/>
          <w:szCs w:val="24"/>
          <w:lang w:val="en-US"/>
        </w:rPr>
        <w:t xml:space="preserve">atholic </w:t>
      </w:r>
      <w:r w:rsidR="00A2013D" w:rsidRPr="00754A1D">
        <w:rPr>
          <w:rFonts w:ascii="Times New Roman" w:hAnsi="Times New Roman" w:cs="Times New Roman"/>
          <w:sz w:val="24"/>
          <w:szCs w:val="24"/>
          <w:lang w:val="en-US"/>
        </w:rPr>
        <w:t>University of Louvain (Louvain-</w:t>
      </w:r>
      <w:r w:rsidR="00F8612E" w:rsidRPr="00754A1D">
        <w:rPr>
          <w:rFonts w:ascii="Times New Roman" w:hAnsi="Times New Roman" w:cs="Times New Roman"/>
          <w:sz w:val="24"/>
          <w:szCs w:val="24"/>
          <w:lang w:val="en-US"/>
        </w:rPr>
        <w:t>l</w:t>
      </w:r>
      <w:r w:rsidR="00A2013D" w:rsidRPr="00754A1D">
        <w:rPr>
          <w:rFonts w:ascii="Times New Roman" w:hAnsi="Times New Roman" w:cs="Times New Roman"/>
          <w:sz w:val="24"/>
          <w:szCs w:val="24"/>
          <w:lang w:val="en-US"/>
        </w:rPr>
        <w:t>a-</w:t>
      </w:r>
      <w:proofErr w:type="spellStart"/>
      <w:r w:rsidR="00A2013D" w:rsidRPr="00754A1D">
        <w:rPr>
          <w:rFonts w:ascii="Times New Roman" w:hAnsi="Times New Roman" w:cs="Times New Roman"/>
          <w:sz w:val="24"/>
          <w:szCs w:val="24"/>
          <w:lang w:val="en-US"/>
        </w:rPr>
        <w:t>Neuve</w:t>
      </w:r>
      <w:proofErr w:type="spellEnd"/>
      <w:r w:rsidR="00A2013D" w:rsidRPr="00754A1D">
        <w:rPr>
          <w:rFonts w:ascii="Times New Roman" w:hAnsi="Times New Roman" w:cs="Times New Roman"/>
          <w:sz w:val="24"/>
          <w:szCs w:val="24"/>
          <w:lang w:val="en-US"/>
        </w:rPr>
        <w:t xml:space="preserve">, </w:t>
      </w:r>
      <w:r w:rsidR="00E66779" w:rsidRPr="00754A1D">
        <w:rPr>
          <w:rFonts w:ascii="Times New Roman" w:hAnsi="Times New Roman" w:cs="Times New Roman"/>
          <w:sz w:val="24"/>
          <w:szCs w:val="24"/>
          <w:lang w:val="en-US"/>
        </w:rPr>
        <w:t>Belgium</w:t>
      </w:r>
      <w:r w:rsidR="00A2013D" w:rsidRPr="00754A1D">
        <w:rPr>
          <w:rFonts w:ascii="Times New Roman" w:hAnsi="Times New Roman" w:cs="Times New Roman"/>
          <w:sz w:val="24"/>
          <w:szCs w:val="24"/>
          <w:lang w:val="en-US"/>
        </w:rPr>
        <w:t xml:space="preserve">). </w:t>
      </w:r>
      <w:r w:rsidR="0016249B" w:rsidRPr="00754A1D">
        <w:rPr>
          <w:rFonts w:ascii="Times New Roman" w:hAnsi="Times New Roman" w:cs="Times New Roman"/>
          <w:sz w:val="24"/>
          <w:szCs w:val="24"/>
          <w:lang w:val="en-US"/>
        </w:rPr>
        <w:t>The insects were not exposed to insecticides and</w:t>
      </w:r>
      <w:r w:rsidR="00A2013D" w:rsidRPr="00754A1D">
        <w:rPr>
          <w:rFonts w:ascii="Times New Roman" w:hAnsi="Times New Roman" w:cs="Times New Roman"/>
          <w:sz w:val="24"/>
          <w:szCs w:val="24"/>
          <w:lang w:val="en-US"/>
        </w:rPr>
        <w:t xml:space="preserve"> were reared </w:t>
      </w:r>
      <w:r w:rsidR="00B45E2B" w:rsidRPr="00754A1D">
        <w:rPr>
          <w:rFonts w:ascii="Times New Roman" w:hAnsi="Times New Roman" w:cs="Times New Roman"/>
          <w:sz w:val="24"/>
          <w:szCs w:val="24"/>
          <w:lang w:val="en-US"/>
        </w:rPr>
        <w:t xml:space="preserve">in glass jars containing </w:t>
      </w:r>
      <w:r w:rsidR="00AE5BA7" w:rsidRPr="00754A1D">
        <w:rPr>
          <w:rFonts w:ascii="Times New Roman" w:hAnsi="Times New Roman" w:cs="Times New Roman"/>
          <w:sz w:val="24"/>
          <w:szCs w:val="24"/>
          <w:lang w:val="en-US"/>
        </w:rPr>
        <w:t xml:space="preserve">organic </w:t>
      </w:r>
      <w:r w:rsidR="00B45E2B" w:rsidRPr="00754A1D">
        <w:rPr>
          <w:rFonts w:ascii="Times New Roman" w:hAnsi="Times New Roman" w:cs="Times New Roman"/>
          <w:sz w:val="24"/>
          <w:szCs w:val="24"/>
          <w:lang w:val="en-US"/>
        </w:rPr>
        <w:t>wheat grains</w:t>
      </w:r>
      <w:r w:rsidR="00A2013D" w:rsidRPr="00754A1D">
        <w:rPr>
          <w:rFonts w:ascii="Times New Roman" w:hAnsi="Times New Roman" w:cs="Times New Roman"/>
          <w:sz w:val="24"/>
          <w:szCs w:val="24"/>
          <w:lang w:val="en-US"/>
        </w:rPr>
        <w:t xml:space="preserve"> </w:t>
      </w:r>
      <w:r w:rsidR="002E5452" w:rsidRPr="00754A1D">
        <w:rPr>
          <w:rFonts w:ascii="Times New Roman" w:hAnsi="Times New Roman" w:cs="Times New Roman"/>
          <w:sz w:val="24"/>
          <w:szCs w:val="24"/>
          <w:lang w:val="en-US"/>
        </w:rPr>
        <w:t xml:space="preserve">placed </w:t>
      </w:r>
      <w:r w:rsidR="00A2013D" w:rsidRPr="00754A1D">
        <w:rPr>
          <w:rFonts w:ascii="Times New Roman" w:hAnsi="Times New Roman" w:cs="Times New Roman"/>
          <w:sz w:val="24"/>
          <w:szCs w:val="24"/>
          <w:lang w:val="en-US"/>
        </w:rPr>
        <w:t xml:space="preserve">in </w:t>
      </w:r>
      <w:r w:rsidR="002E5452" w:rsidRPr="00754A1D">
        <w:rPr>
          <w:rFonts w:ascii="Times New Roman" w:hAnsi="Times New Roman" w:cs="Times New Roman"/>
          <w:sz w:val="24"/>
          <w:szCs w:val="24"/>
          <w:lang w:val="en-US"/>
        </w:rPr>
        <w:t xml:space="preserve">an incubator </w:t>
      </w:r>
      <w:r w:rsidR="000519B7" w:rsidRPr="00754A1D">
        <w:rPr>
          <w:rFonts w:ascii="Times New Roman" w:hAnsi="Times New Roman" w:cs="Times New Roman"/>
          <w:sz w:val="24"/>
          <w:szCs w:val="24"/>
          <w:lang w:val="en-US"/>
        </w:rPr>
        <w:t>under</w:t>
      </w:r>
      <w:r w:rsidR="00DA2F73" w:rsidRPr="00754A1D">
        <w:rPr>
          <w:rFonts w:ascii="Times New Roman" w:hAnsi="Times New Roman" w:cs="Times New Roman"/>
          <w:sz w:val="24"/>
          <w:szCs w:val="24"/>
          <w:lang w:val="en-US"/>
        </w:rPr>
        <w:t xml:space="preserve"> the following conditions:</w:t>
      </w:r>
      <w:r w:rsidR="00A2013D" w:rsidRPr="00754A1D">
        <w:rPr>
          <w:rFonts w:ascii="Times New Roman" w:hAnsi="Times New Roman" w:cs="Times New Roman"/>
          <w:sz w:val="24"/>
          <w:szCs w:val="24"/>
          <w:lang w:val="en-US"/>
        </w:rPr>
        <w:t xml:space="preserve"> </w:t>
      </w:r>
      <w:r w:rsidR="006560AB" w:rsidRPr="00754A1D">
        <w:rPr>
          <w:rFonts w:ascii="Times New Roman" w:hAnsi="Times New Roman" w:cs="Times New Roman"/>
          <w:sz w:val="24"/>
          <w:szCs w:val="24"/>
          <w:lang w:val="en-US"/>
        </w:rPr>
        <w:t>28 ±</w:t>
      </w:r>
      <w:r w:rsidR="00D6446F" w:rsidRPr="00754A1D">
        <w:rPr>
          <w:rFonts w:ascii="Times New Roman" w:hAnsi="Times New Roman" w:cs="Times New Roman"/>
          <w:sz w:val="24"/>
          <w:szCs w:val="24"/>
          <w:lang w:val="en-US"/>
        </w:rPr>
        <w:t xml:space="preserve"> 1 °C and 7</w:t>
      </w:r>
      <w:r w:rsidR="00C72EC6" w:rsidRPr="00754A1D">
        <w:rPr>
          <w:rFonts w:ascii="Times New Roman" w:hAnsi="Times New Roman" w:cs="Times New Roman"/>
          <w:sz w:val="24"/>
          <w:szCs w:val="24"/>
          <w:lang w:val="en-US"/>
        </w:rPr>
        <w:t>5</w:t>
      </w:r>
      <w:r w:rsidR="006560AB" w:rsidRPr="00754A1D">
        <w:rPr>
          <w:rFonts w:ascii="Times New Roman" w:hAnsi="Times New Roman" w:cs="Times New Roman"/>
          <w:sz w:val="24"/>
          <w:szCs w:val="24"/>
          <w:lang w:val="en-US"/>
        </w:rPr>
        <w:t xml:space="preserve"> ±</w:t>
      </w:r>
      <w:r w:rsidR="00D6446F" w:rsidRPr="00754A1D">
        <w:rPr>
          <w:rFonts w:ascii="Times New Roman" w:hAnsi="Times New Roman" w:cs="Times New Roman"/>
          <w:sz w:val="24"/>
          <w:szCs w:val="24"/>
          <w:lang w:val="en-US"/>
        </w:rPr>
        <w:t xml:space="preserve"> 1</w:t>
      </w:r>
      <w:r w:rsidR="006560AB" w:rsidRPr="00754A1D">
        <w:rPr>
          <w:rFonts w:ascii="Times New Roman" w:hAnsi="Times New Roman" w:cs="Times New Roman"/>
          <w:sz w:val="24"/>
          <w:szCs w:val="24"/>
          <w:lang w:val="en-US"/>
        </w:rPr>
        <w:t xml:space="preserve">% relative humidity (RH) </w:t>
      </w:r>
      <w:r w:rsidR="002E5452" w:rsidRPr="00754A1D">
        <w:rPr>
          <w:rFonts w:ascii="Times New Roman" w:hAnsi="Times New Roman" w:cs="Times New Roman"/>
          <w:sz w:val="24"/>
          <w:szCs w:val="24"/>
          <w:lang w:val="en-US"/>
        </w:rPr>
        <w:t>in</w:t>
      </w:r>
      <w:r w:rsidR="006560AB" w:rsidRPr="00754A1D">
        <w:rPr>
          <w:rFonts w:ascii="Times New Roman" w:hAnsi="Times New Roman" w:cs="Times New Roman"/>
          <w:sz w:val="24"/>
          <w:szCs w:val="24"/>
          <w:lang w:val="en-US"/>
        </w:rPr>
        <w:t xml:space="preserve"> total darkness</w:t>
      </w:r>
      <w:r w:rsidR="002E5452" w:rsidRPr="00754A1D">
        <w:rPr>
          <w:rFonts w:ascii="Times New Roman" w:hAnsi="Times New Roman" w:cs="Times New Roman"/>
          <w:sz w:val="24"/>
          <w:szCs w:val="24"/>
          <w:lang w:val="en-US"/>
        </w:rPr>
        <w:t xml:space="preserve">. </w:t>
      </w:r>
    </w:p>
    <w:p w14:paraId="710699A5" w14:textId="04E3A84F" w:rsidR="00377CAB" w:rsidRPr="00754A1D" w:rsidRDefault="00157AF3" w:rsidP="001239F0">
      <w:pPr>
        <w:spacing w:before="240" w:line="480" w:lineRule="auto"/>
        <w:jc w:val="both"/>
        <w:rPr>
          <w:rFonts w:ascii="Times New Roman" w:hAnsi="Times New Roman" w:cs="Times New Roman"/>
          <w:b/>
          <w:sz w:val="24"/>
          <w:szCs w:val="24"/>
          <w:lang w:val="en-US"/>
        </w:rPr>
      </w:pPr>
      <w:r w:rsidRPr="00754A1D">
        <w:rPr>
          <w:rFonts w:ascii="Times New Roman" w:hAnsi="Times New Roman" w:cs="Times New Roman"/>
          <w:b/>
          <w:sz w:val="24"/>
          <w:szCs w:val="24"/>
          <w:lang w:val="en-US"/>
        </w:rPr>
        <w:t>Contact t</w:t>
      </w:r>
      <w:r w:rsidR="00377CAB" w:rsidRPr="00754A1D">
        <w:rPr>
          <w:rFonts w:ascii="Times New Roman" w:hAnsi="Times New Roman" w:cs="Times New Roman"/>
          <w:b/>
          <w:sz w:val="24"/>
          <w:szCs w:val="24"/>
          <w:lang w:val="en-US"/>
        </w:rPr>
        <w:t xml:space="preserve">oxicity </w:t>
      </w:r>
      <w:r w:rsidR="00F21E7C" w:rsidRPr="00754A1D">
        <w:rPr>
          <w:rFonts w:ascii="Times New Roman" w:hAnsi="Times New Roman" w:cs="Times New Roman"/>
          <w:b/>
          <w:sz w:val="24"/>
          <w:szCs w:val="24"/>
          <w:lang w:val="en-US"/>
        </w:rPr>
        <w:t xml:space="preserve">test </w:t>
      </w:r>
      <w:r w:rsidR="00377CAB" w:rsidRPr="00754A1D">
        <w:rPr>
          <w:rFonts w:ascii="Times New Roman" w:hAnsi="Times New Roman" w:cs="Times New Roman"/>
          <w:b/>
          <w:sz w:val="24"/>
          <w:szCs w:val="24"/>
          <w:lang w:val="en-US"/>
        </w:rPr>
        <w:t xml:space="preserve">of </w:t>
      </w:r>
      <w:r w:rsidR="0054491F" w:rsidRPr="00754A1D">
        <w:rPr>
          <w:rFonts w:ascii="Times New Roman" w:hAnsi="Times New Roman" w:cs="Times New Roman"/>
          <w:b/>
          <w:i/>
          <w:sz w:val="24"/>
          <w:szCs w:val="24"/>
          <w:lang w:val="en-US"/>
        </w:rPr>
        <w:t>M. arvensis</w:t>
      </w:r>
      <w:r w:rsidR="0054491F" w:rsidRPr="00754A1D">
        <w:rPr>
          <w:rFonts w:ascii="Times New Roman" w:hAnsi="Times New Roman" w:cs="Times New Roman"/>
          <w:b/>
          <w:sz w:val="24"/>
          <w:szCs w:val="24"/>
          <w:lang w:val="en-US"/>
        </w:rPr>
        <w:t xml:space="preserve"> </w:t>
      </w:r>
      <w:r w:rsidR="00F21E7C" w:rsidRPr="00754A1D">
        <w:rPr>
          <w:rFonts w:ascii="Times New Roman" w:hAnsi="Times New Roman" w:cs="Times New Roman"/>
          <w:b/>
          <w:sz w:val="24"/>
          <w:szCs w:val="24"/>
          <w:lang w:val="en-US"/>
        </w:rPr>
        <w:t>EO</w:t>
      </w:r>
    </w:p>
    <w:p w14:paraId="13170664" w14:textId="2E2D50FA" w:rsidR="003204F1" w:rsidRPr="00754A1D" w:rsidRDefault="00F21E7C" w:rsidP="003204F1">
      <w:pPr>
        <w:spacing w:after="0"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The organic </w:t>
      </w:r>
      <w:r w:rsidRPr="00754A1D">
        <w:rPr>
          <w:rFonts w:ascii="Times New Roman" w:hAnsi="Times New Roman" w:cs="Times New Roman"/>
          <w:i/>
          <w:sz w:val="24"/>
          <w:szCs w:val="24"/>
          <w:lang w:val="en-US"/>
        </w:rPr>
        <w:t>M. arvensis</w:t>
      </w:r>
      <w:r w:rsidRPr="00754A1D">
        <w:rPr>
          <w:rFonts w:ascii="Times New Roman" w:hAnsi="Times New Roman" w:cs="Times New Roman"/>
          <w:sz w:val="24"/>
          <w:szCs w:val="24"/>
          <w:lang w:val="en-US"/>
        </w:rPr>
        <w:t xml:space="preserve"> EO was purchased from PRANARÔM (B‐7822 </w:t>
      </w:r>
      <w:proofErr w:type="spellStart"/>
      <w:r w:rsidRPr="00754A1D">
        <w:rPr>
          <w:rFonts w:ascii="Times New Roman" w:hAnsi="Times New Roman" w:cs="Times New Roman"/>
          <w:sz w:val="24"/>
          <w:szCs w:val="24"/>
          <w:lang w:val="en-US"/>
        </w:rPr>
        <w:t>Ghislenghien</w:t>
      </w:r>
      <w:proofErr w:type="spellEnd"/>
      <w:r w:rsidRPr="00754A1D">
        <w:rPr>
          <w:rFonts w:ascii="Times New Roman" w:hAnsi="Times New Roman" w:cs="Times New Roman"/>
          <w:sz w:val="24"/>
          <w:szCs w:val="24"/>
          <w:lang w:val="en-US"/>
        </w:rPr>
        <w:t xml:space="preserve">, Belgium). </w:t>
      </w:r>
      <w:r w:rsidR="00EA7473" w:rsidRPr="00754A1D">
        <w:rPr>
          <w:rFonts w:ascii="Times New Roman" w:hAnsi="Times New Roman" w:cs="Times New Roman"/>
          <w:sz w:val="24"/>
          <w:szCs w:val="24"/>
          <w:lang w:val="en-US"/>
        </w:rPr>
        <w:t xml:space="preserve">The technical data sheet (GC-MS) relating to the specific batch of the EO used in this study showed that the main components are: </w:t>
      </w:r>
      <w:r w:rsidRPr="00754A1D">
        <w:rPr>
          <w:rFonts w:ascii="Times New Roman" w:hAnsi="Times New Roman" w:cs="Times New Roman"/>
          <w:sz w:val="24"/>
          <w:szCs w:val="24"/>
          <w:lang w:val="en-US"/>
        </w:rPr>
        <w:t xml:space="preserve">menthol (73.72%), menthone (6.36%), </w:t>
      </w:r>
      <w:proofErr w:type="spellStart"/>
      <w:r w:rsidRPr="00754A1D">
        <w:rPr>
          <w:rFonts w:ascii="Times New Roman" w:hAnsi="Times New Roman" w:cs="Times New Roman"/>
          <w:sz w:val="24"/>
          <w:szCs w:val="24"/>
          <w:lang w:val="en-US"/>
        </w:rPr>
        <w:t>Menthyl</w:t>
      </w:r>
      <w:proofErr w:type="spellEnd"/>
      <w:r w:rsidRPr="00754A1D">
        <w:rPr>
          <w:rFonts w:ascii="Times New Roman" w:hAnsi="Times New Roman" w:cs="Times New Roman"/>
          <w:sz w:val="24"/>
          <w:szCs w:val="24"/>
          <w:lang w:val="en-US"/>
        </w:rPr>
        <w:t xml:space="preserve"> acetate (2.76%), </w:t>
      </w:r>
      <w:proofErr w:type="spellStart"/>
      <w:r w:rsidRPr="00754A1D">
        <w:rPr>
          <w:rFonts w:ascii="Times New Roman" w:hAnsi="Times New Roman" w:cs="Times New Roman"/>
          <w:sz w:val="24"/>
          <w:szCs w:val="24"/>
          <w:lang w:val="en-US"/>
        </w:rPr>
        <w:t>isomenthone</w:t>
      </w:r>
      <w:proofErr w:type="spellEnd"/>
      <w:r w:rsidRPr="00754A1D">
        <w:rPr>
          <w:rFonts w:ascii="Times New Roman" w:hAnsi="Times New Roman" w:cs="Times New Roman"/>
          <w:sz w:val="24"/>
          <w:szCs w:val="24"/>
          <w:lang w:val="en-US"/>
        </w:rPr>
        <w:t xml:space="preserve"> (3.67%), limonene (2.6%) and neomenthol (2.36%) (Table S1).</w:t>
      </w:r>
      <w:r w:rsidR="00185A24" w:rsidRPr="00754A1D">
        <w:rPr>
          <w:rFonts w:ascii="Times New Roman" w:hAnsi="Times New Roman" w:cs="Times New Roman"/>
          <w:sz w:val="24"/>
          <w:szCs w:val="24"/>
          <w:lang w:val="en-US"/>
        </w:rPr>
        <w:t xml:space="preserve"> </w:t>
      </w:r>
      <w:r w:rsidR="00185A24" w:rsidRPr="00754A1D">
        <w:rPr>
          <w:rFonts w:ascii="Times New Roman" w:hAnsi="Times New Roman" w:cs="Times New Roman"/>
          <w:i/>
          <w:sz w:val="24"/>
          <w:szCs w:val="24"/>
          <w:lang w:val="en-US"/>
        </w:rPr>
        <w:t>M. arvensis</w:t>
      </w:r>
      <w:r w:rsidR="00185A24" w:rsidRPr="00754A1D">
        <w:rPr>
          <w:rFonts w:ascii="Times New Roman" w:hAnsi="Times New Roman" w:cs="Times New Roman"/>
          <w:sz w:val="24"/>
          <w:szCs w:val="24"/>
          <w:lang w:val="en-US"/>
        </w:rPr>
        <w:t xml:space="preserve"> EO was diluted with acetone to obtain the eight concentrations that were used to assess its toxicity and determine </w:t>
      </w:r>
      <w:r w:rsidRPr="00754A1D">
        <w:rPr>
          <w:rFonts w:ascii="Times New Roman" w:hAnsi="Times New Roman" w:cs="Times New Roman"/>
          <w:sz w:val="24"/>
          <w:szCs w:val="24"/>
          <w:lang w:val="en-US"/>
        </w:rPr>
        <w:t>relevant toxicological endpoints</w:t>
      </w:r>
      <w:r w:rsidR="00377CAB" w:rsidRPr="00754A1D">
        <w:rPr>
          <w:rFonts w:ascii="Times New Roman" w:hAnsi="Times New Roman" w:cs="Times New Roman"/>
          <w:sz w:val="24"/>
          <w:szCs w:val="24"/>
          <w:lang w:val="en-US"/>
        </w:rPr>
        <w:t xml:space="preserve">: </w:t>
      </w:r>
      <w:r w:rsidR="00C72EC6" w:rsidRPr="00754A1D">
        <w:rPr>
          <w:rFonts w:ascii="Times New Roman" w:hAnsi="Times New Roman" w:cs="Times New Roman"/>
          <w:sz w:val="24"/>
          <w:szCs w:val="24"/>
          <w:lang w:val="en-US"/>
        </w:rPr>
        <w:t>6</w:t>
      </w:r>
      <w:r w:rsidR="00377CAB" w:rsidRPr="00754A1D">
        <w:rPr>
          <w:rFonts w:ascii="Times New Roman" w:hAnsi="Times New Roman" w:cs="Times New Roman"/>
          <w:sz w:val="24"/>
          <w:szCs w:val="24"/>
          <w:lang w:val="en-US"/>
        </w:rPr>
        <w:t>%</w:t>
      </w:r>
      <w:r w:rsidR="00A06A45" w:rsidRPr="00754A1D">
        <w:rPr>
          <w:rFonts w:ascii="Times New Roman" w:hAnsi="Times New Roman" w:cs="Times New Roman"/>
          <w:sz w:val="24"/>
          <w:szCs w:val="24"/>
          <w:lang w:val="en-US"/>
        </w:rPr>
        <w:t xml:space="preserve"> (27.1 µg/insect)</w:t>
      </w:r>
      <w:r w:rsidR="00377CAB" w:rsidRPr="00754A1D">
        <w:rPr>
          <w:rFonts w:ascii="Times New Roman" w:hAnsi="Times New Roman" w:cs="Times New Roman"/>
          <w:sz w:val="24"/>
          <w:szCs w:val="24"/>
          <w:lang w:val="en-US"/>
        </w:rPr>
        <w:t xml:space="preserve">, </w:t>
      </w:r>
      <w:r w:rsidR="00C72EC6" w:rsidRPr="00754A1D">
        <w:rPr>
          <w:rFonts w:ascii="Times New Roman" w:hAnsi="Times New Roman" w:cs="Times New Roman"/>
          <w:sz w:val="24"/>
          <w:szCs w:val="24"/>
          <w:lang w:val="en-US"/>
        </w:rPr>
        <w:t>9</w:t>
      </w:r>
      <w:r w:rsidR="00377CAB" w:rsidRPr="00754A1D">
        <w:rPr>
          <w:rFonts w:ascii="Times New Roman" w:hAnsi="Times New Roman" w:cs="Times New Roman"/>
          <w:sz w:val="24"/>
          <w:szCs w:val="24"/>
          <w:lang w:val="en-US"/>
        </w:rPr>
        <w:t>%</w:t>
      </w:r>
      <w:r w:rsidR="00A06A45" w:rsidRPr="00754A1D">
        <w:rPr>
          <w:rFonts w:ascii="Times New Roman" w:hAnsi="Times New Roman" w:cs="Times New Roman"/>
          <w:sz w:val="24"/>
          <w:szCs w:val="24"/>
          <w:lang w:val="en-US"/>
        </w:rPr>
        <w:t xml:space="preserve"> (40.7 µg/insect)</w:t>
      </w:r>
      <w:r w:rsidR="00377CAB" w:rsidRPr="00754A1D">
        <w:rPr>
          <w:rFonts w:ascii="Times New Roman" w:hAnsi="Times New Roman" w:cs="Times New Roman"/>
          <w:sz w:val="24"/>
          <w:szCs w:val="24"/>
          <w:lang w:val="en-US"/>
        </w:rPr>
        <w:t xml:space="preserve">, </w:t>
      </w:r>
      <w:r w:rsidR="00C72EC6" w:rsidRPr="00754A1D">
        <w:rPr>
          <w:rFonts w:ascii="Times New Roman" w:hAnsi="Times New Roman" w:cs="Times New Roman"/>
          <w:sz w:val="24"/>
          <w:szCs w:val="24"/>
          <w:lang w:val="en-US"/>
        </w:rPr>
        <w:t>10,5</w:t>
      </w:r>
      <w:r w:rsidR="00377CAB" w:rsidRPr="00754A1D">
        <w:rPr>
          <w:rFonts w:ascii="Times New Roman" w:hAnsi="Times New Roman" w:cs="Times New Roman"/>
          <w:sz w:val="24"/>
          <w:szCs w:val="24"/>
          <w:lang w:val="en-US"/>
        </w:rPr>
        <w:t>%</w:t>
      </w:r>
      <w:r w:rsidR="00A06A45" w:rsidRPr="00754A1D">
        <w:rPr>
          <w:rFonts w:ascii="Times New Roman" w:hAnsi="Times New Roman" w:cs="Times New Roman"/>
          <w:sz w:val="24"/>
          <w:szCs w:val="24"/>
          <w:lang w:val="en-US"/>
        </w:rPr>
        <w:t xml:space="preserve"> (47.5 µg/insect)</w:t>
      </w:r>
      <w:r w:rsidR="00377CAB" w:rsidRPr="00754A1D">
        <w:rPr>
          <w:rFonts w:ascii="Times New Roman" w:hAnsi="Times New Roman" w:cs="Times New Roman"/>
          <w:sz w:val="24"/>
          <w:szCs w:val="24"/>
          <w:lang w:val="en-US"/>
        </w:rPr>
        <w:t xml:space="preserve">, </w:t>
      </w:r>
      <w:r w:rsidR="00C72EC6" w:rsidRPr="00754A1D">
        <w:rPr>
          <w:rFonts w:ascii="Times New Roman" w:hAnsi="Times New Roman" w:cs="Times New Roman"/>
          <w:sz w:val="24"/>
          <w:szCs w:val="24"/>
          <w:lang w:val="en-US"/>
        </w:rPr>
        <w:t>12</w:t>
      </w:r>
      <w:r w:rsidR="00377CAB" w:rsidRPr="00754A1D">
        <w:rPr>
          <w:rFonts w:ascii="Times New Roman" w:hAnsi="Times New Roman" w:cs="Times New Roman"/>
          <w:sz w:val="24"/>
          <w:szCs w:val="24"/>
          <w:lang w:val="en-US"/>
        </w:rPr>
        <w:t>%</w:t>
      </w:r>
      <w:r w:rsidR="00A06A45" w:rsidRPr="00754A1D">
        <w:rPr>
          <w:rFonts w:ascii="Times New Roman" w:hAnsi="Times New Roman" w:cs="Times New Roman"/>
          <w:sz w:val="24"/>
          <w:szCs w:val="24"/>
          <w:lang w:val="en-US"/>
        </w:rPr>
        <w:t xml:space="preserve"> (54.2 µg/insect)</w:t>
      </w:r>
      <w:r w:rsidR="00377CAB" w:rsidRPr="00754A1D">
        <w:rPr>
          <w:rFonts w:ascii="Times New Roman" w:hAnsi="Times New Roman" w:cs="Times New Roman"/>
          <w:sz w:val="24"/>
          <w:szCs w:val="24"/>
          <w:lang w:val="en-US"/>
        </w:rPr>
        <w:t>, 1</w:t>
      </w:r>
      <w:r w:rsidR="005E65CE" w:rsidRPr="00754A1D">
        <w:rPr>
          <w:rFonts w:ascii="Times New Roman" w:hAnsi="Times New Roman" w:cs="Times New Roman"/>
          <w:sz w:val="24"/>
          <w:szCs w:val="24"/>
          <w:lang w:val="en-US"/>
        </w:rPr>
        <w:t>4</w:t>
      </w:r>
      <w:r w:rsidR="00377CAB" w:rsidRPr="00754A1D">
        <w:rPr>
          <w:rFonts w:ascii="Times New Roman" w:hAnsi="Times New Roman" w:cs="Times New Roman"/>
          <w:sz w:val="24"/>
          <w:szCs w:val="24"/>
          <w:lang w:val="en-US"/>
        </w:rPr>
        <w:t>%</w:t>
      </w:r>
      <w:r w:rsidR="00A06A45" w:rsidRPr="00754A1D">
        <w:rPr>
          <w:rFonts w:ascii="Times New Roman" w:hAnsi="Times New Roman" w:cs="Times New Roman"/>
          <w:sz w:val="24"/>
          <w:szCs w:val="24"/>
          <w:lang w:val="en-US"/>
        </w:rPr>
        <w:t xml:space="preserve"> (63.3 µg/insect)</w:t>
      </w:r>
      <w:r w:rsidR="005E65CE" w:rsidRPr="00754A1D">
        <w:rPr>
          <w:rFonts w:ascii="Times New Roman" w:hAnsi="Times New Roman" w:cs="Times New Roman"/>
          <w:sz w:val="24"/>
          <w:szCs w:val="24"/>
          <w:lang w:val="en-US"/>
        </w:rPr>
        <w:t>, 16%</w:t>
      </w:r>
      <w:r w:rsidR="00A06A45" w:rsidRPr="00754A1D">
        <w:rPr>
          <w:rFonts w:ascii="Times New Roman" w:hAnsi="Times New Roman" w:cs="Times New Roman"/>
          <w:sz w:val="24"/>
          <w:szCs w:val="24"/>
          <w:lang w:val="en-US"/>
        </w:rPr>
        <w:t xml:space="preserve"> (72.3 µg/insect)</w:t>
      </w:r>
      <w:r w:rsidR="005E65CE" w:rsidRPr="00754A1D">
        <w:rPr>
          <w:rFonts w:ascii="Times New Roman" w:hAnsi="Times New Roman" w:cs="Times New Roman"/>
          <w:sz w:val="24"/>
          <w:szCs w:val="24"/>
          <w:lang w:val="en-US"/>
        </w:rPr>
        <w:t>, 20%</w:t>
      </w:r>
      <w:r w:rsidR="00A06A45" w:rsidRPr="00754A1D">
        <w:rPr>
          <w:rFonts w:ascii="Times New Roman" w:hAnsi="Times New Roman" w:cs="Times New Roman"/>
          <w:sz w:val="24"/>
          <w:szCs w:val="24"/>
          <w:lang w:val="en-US"/>
        </w:rPr>
        <w:t xml:space="preserve"> (90.4 µg/insect)</w:t>
      </w:r>
      <w:r w:rsidR="00377CAB" w:rsidRPr="00754A1D">
        <w:rPr>
          <w:rFonts w:ascii="Times New Roman" w:hAnsi="Times New Roman" w:cs="Times New Roman"/>
          <w:sz w:val="24"/>
          <w:szCs w:val="24"/>
          <w:lang w:val="en-US"/>
        </w:rPr>
        <w:t xml:space="preserve"> and </w:t>
      </w:r>
      <w:r w:rsidR="005E65CE" w:rsidRPr="00754A1D">
        <w:rPr>
          <w:rFonts w:ascii="Times New Roman" w:hAnsi="Times New Roman" w:cs="Times New Roman"/>
          <w:sz w:val="24"/>
          <w:szCs w:val="24"/>
          <w:lang w:val="en-US"/>
        </w:rPr>
        <w:t>2</w:t>
      </w:r>
      <w:r w:rsidR="00377CAB" w:rsidRPr="00754A1D">
        <w:rPr>
          <w:rFonts w:ascii="Times New Roman" w:hAnsi="Times New Roman" w:cs="Times New Roman"/>
          <w:sz w:val="24"/>
          <w:szCs w:val="24"/>
          <w:lang w:val="en-US"/>
        </w:rPr>
        <w:t>2%</w:t>
      </w:r>
      <w:r w:rsidR="00A06A45" w:rsidRPr="00754A1D">
        <w:rPr>
          <w:rFonts w:ascii="Times New Roman" w:hAnsi="Times New Roman" w:cs="Times New Roman"/>
          <w:sz w:val="24"/>
          <w:szCs w:val="24"/>
          <w:lang w:val="en-US"/>
        </w:rPr>
        <w:t xml:space="preserve"> (99.4 µg/insect)</w:t>
      </w:r>
      <w:r w:rsidR="00377CAB" w:rsidRPr="00754A1D">
        <w:rPr>
          <w:rFonts w:ascii="Times New Roman" w:hAnsi="Times New Roman" w:cs="Times New Roman"/>
          <w:sz w:val="24"/>
          <w:szCs w:val="24"/>
          <w:lang w:val="en-US"/>
        </w:rPr>
        <w:t xml:space="preserve"> (v/v). </w:t>
      </w:r>
      <w:r w:rsidR="00E902B0" w:rsidRPr="00754A1D">
        <w:rPr>
          <w:rFonts w:ascii="Times New Roman" w:hAnsi="Times New Roman" w:cs="Times New Roman"/>
          <w:sz w:val="24"/>
          <w:szCs w:val="24"/>
          <w:lang w:val="en-US"/>
        </w:rPr>
        <w:t>L</w:t>
      </w:r>
      <w:r w:rsidR="00D63D14" w:rsidRPr="00754A1D">
        <w:rPr>
          <w:rFonts w:ascii="Times New Roman" w:hAnsi="Times New Roman" w:cs="Times New Roman"/>
          <w:sz w:val="24"/>
          <w:szCs w:val="24"/>
          <w:lang w:val="en-US"/>
        </w:rPr>
        <w:t>D</w:t>
      </w:r>
      <w:r w:rsidR="00E902B0" w:rsidRPr="00754A1D">
        <w:rPr>
          <w:rFonts w:ascii="Times New Roman" w:hAnsi="Times New Roman" w:cs="Times New Roman"/>
          <w:sz w:val="24"/>
          <w:szCs w:val="24"/>
          <w:vertAlign w:val="subscript"/>
          <w:lang w:val="en-US"/>
        </w:rPr>
        <w:t>50</w:t>
      </w:r>
      <w:r w:rsidR="00E902B0" w:rsidRPr="00754A1D">
        <w:rPr>
          <w:rFonts w:ascii="Times New Roman" w:hAnsi="Times New Roman" w:cs="Times New Roman"/>
          <w:sz w:val="24"/>
          <w:szCs w:val="24"/>
          <w:lang w:val="en-US"/>
        </w:rPr>
        <w:t xml:space="preserve"> and L</w:t>
      </w:r>
      <w:r w:rsidR="00D63D14" w:rsidRPr="00754A1D">
        <w:rPr>
          <w:rFonts w:ascii="Times New Roman" w:hAnsi="Times New Roman" w:cs="Times New Roman"/>
          <w:sz w:val="24"/>
          <w:szCs w:val="24"/>
          <w:lang w:val="en-US"/>
        </w:rPr>
        <w:t>D</w:t>
      </w:r>
      <w:r w:rsidR="00E902B0" w:rsidRPr="00754A1D">
        <w:rPr>
          <w:rFonts w:ascii="Times New Roman" w:hAnsi="Times New Roman" w:cs="Times New Roman"/>
          <w:sz w:val="24"/>
          <w:szCs w:val="24"/>
          <w:vertAlign w:val="subscript"/>
          <w:lang w:val="en-US"/>
        </w:rPr>
        <w:t>90</w:t>
      </w:r>
      <w:r w:rsidR="00E902B0" w:rsidRPr="00754A1D">
        <w:rPr>
          <w:rFonts w:ascii="Times New Roman" w:hAnsi="Times New Roman" w:cs="Times New Roman"/>
          <w:sz w:val="24"/>
          <w:szCs w:val="24"/>
          <w:lang w:val="en-US"/>
        </w:rPr>
        <w:t xml:space="preserve"> values were</w:t>
      </w:r>
      <w:r w:rsidR="002136CC" w:rsidRPr="00754A1D">
        <w:rPr>
          <w:rFonts w:ascii="Times New Roman" w:hAnsi="Times New Roman" w:cs="Times New Roman"/>
          <w:sz w:val="24"/>
          <w:szCs w:val="24"/>
          <w:lang w:val="en-US"/>
        </w:rPr>
        <w:t xml:space="preserve"> determined using seven to fourteen day</w:t>
      </w:r>
      <w:r w:rsidR="005E65CE" w:rsidRPr="00754A1D">
        <w:rPr>
          <w:rFonts w:ascii="Times New Roman" w:hAnsi="Times New Roman" w:cs="Times New Roman"/>
          <w:sz w:val="24"/>
          <w:szCs w:val="24"/>
          <w:lang w:val="en-US"/>
        </w:rPr>
        <w:t>s</w:t>
      </w:r>
      <w:r w:rsidR="002136CC" w:rsidRPr="00754A1D">
        <w:rPr>
          <w:rFonts w:ascii="Times New Roman" w:hAnsi="Times New Roman" w:cs="Times New Roman"/>
          <w:sz w:val="24"/>
          <w:szCs w:val="24"/>
          <w:lang w:val="en-US"/>
        </w:rPr>
        <w:t xml:space="preserve"> post-emergence adults</w:t>
      </w:r>
      <w:r w:rsidR="00035446" w:rsidRPr="00754A1D">
        <w:rPr>
          <w:rFonts w:ascii="Times New Roman" w:hAnsi="Times New Roman" w:cs="Times New Roman"/>
          <w:sz w:val="24"/>
          <w:szCs w:val="24"/>
          <w:lang w:val="en-US"/>
        </w:rPr>
        <w:t>.</w:t>
      </w:r>
      <w:r w:rsidR="002136CC" w:rsidRPr="00754A1D">
        <w:rPr>
          <w:rFonts w:ascii="Times New Roman" w:hAnsi="Times New Roman" w:cs="Times New Roman"/>
          <w:sz w:val="24"/>
          <w:szCs w:val="24"/>
          <w:lang w:val="en-US"/>
        </w:rPr>
        <w:t xml:space="preserve"> </w:t>
      </w:r>
      <w:r w:rsidR="00035446" w:rsidRPr="00754A1D">
        <w:rPr>
          <w:rFonts w:ascii="Times New Roman" w:hAnsi="Times New Roman" w:cs="Times New Roman"/>
          <w:sz w:val="24"/>
          <w:szCs w:val="24"/>
          <w:lang w:val="en-US"/>
        </w:rPr>
        <w:t xml:space="preserve">Aliquots of 0.5 </w:t>
      </w:r>
      <w:proofErr w:type="spellStart"/>
      <w:r w:rsidR="00035446" w:rsidRPr="00754A1D">
        <w:rPr>
          <w:rFonts w:ascii="Times New Roman" w:hAnsi="Times New Roman" w:cs="Times New Roman"/>
          <w:sz w:val="24"/>
          <w:szCs w:val="24"/>
          <w:lang w:val="en-US"/>
        </w:rPr>
        <w:t>μL</w:t>
      </w:r>
      <w:proofErr w:type="spellEnd"/>
      <w:r w:rsidR="00035446" w:rsidRPr="00754A1D">
        <w:rPr>
          <w:rFonts w:ascii="Times New Roman" w:hAnsi="Times New Roman" w:cs="Times New Roman"/>
          <w:sz w:val="24"/>
          <w:szCs w:val="24"/>
          <w:lang w:val="en-US"/>
        </w:rPr>
        <w:t xml:space="preserve"> of the dilutions were applied topically to the dorsal thorax of the insects</w:t>
      </w:r>
      <w:r w:rsidR="00E13B49" w:rsidRPr="00754A1D">
        <w:rPr>
          <w:rFonts w:ascii="Times New Roman" w:hAnsi="Times New Roman" w:cs="Times New Roman"/>
          <w:sz w:val="24"/>
          <w:szCs w:val="24"/>
          <w:lang w:val="en-US"/>
        </w:rPr>
        <w:t xml:space="preserve"> using</w:t>
      </w:r>
      <w:r w:rsidR="00754091" w:rsidRPr="00754A1D">
        <w:rPr>
          <w:rFonts w:ascii="Times New Roman" w:hAnsi="Times New Roman" w:cs="Times New Roman"/>
          <w:sz w:val="24"/>
          <w:szCs w:val="24"/>
          <w:lang w:val="en-US"/>
        </w:rPr>
        <w:t xml:space="preserve"> a 5 µl </w:t>
      </w:r>
      <w:r w:rsidR="00754091" w:rsidRPr="00754A1D">
        <w:rPr>
          <w:rFonts w:ascii="Times New Roman" w:hAnsi="Times New Roman" w:cs="Times New Roman"/>
          <w:sz w:val="24"/>
          <w:szCs w:val="24"/>
          <w:lang w:val="en-US"/>
        </w:rPr>
        <w:lastRenderedPageBreak/>
        <w:t xml:space="preserve">Hamilton® syringe (Model 75 RN SYR, Hamilton Company, Switzerland). </w:t>
      </w:r>
      <w:r w:rsidR="00035446" w:rsidRPr="00754A1D">
        <w:rPr>
          <w:rFonts w:ascii="Times New Roman" w:hAnsi="Times New Roman" w:cs="Times New Roman"/>
          <w:sz w:val="24"/>
          <w:szCs w:val="24"/>
          <w:lang w:val="en-US"/>
        </w:rPr>
        <w:t xml:space="preserve">Controls were determined using </w:t>
      </w:r>
      <w:r w:rsidR="00E902B0" w:rsidRPr="00754A1D">
        <w:rPr>
          <w:rFonts w:ascii="Times New Roman" w:hAnsi="Times New Roman" w:cs="Times New Roman"/>
          <w:sz w:val="24"/>
          <w:szCs w:val="24"/>
          <w:lang w:val="en-US"/>
        </w:rPr>
        <w:t xml:space="preserve">0.5 </w:t>
      </w:r>
      <w:proofErr w:type="spellStart"/>
      <w:r w:rsidR="00E902B0" w:rsidRPr="00754A1D">
        <w:rPr>
          <w:rFonts w:ascii="Times New Roman" w:hAnsi="Times New Roman" w:cs="Times New Roman"/>
          <w:sz w:val="24"/>
          <w:szCs w:val="24"/>
          <w:lang w:val="en-US"/>
        </w:rPr>
        <w:t>μL</w:t>
      </w:r>
      <w:proofErr w:type="spellEnd"/>
      <w:r w:rsidR="00E902B0" w:rsidRPr="00754A1D">
        <w:rPr>
          <w:rFonts w:ascii="Times New Roman" w:hAnsi="Times New Roman" w:cs="Times New Roman"/>
          <w:sz w:val="24"/>
          <w:szCs w:val="24"/>
          <w:lang w:val="en-US"/>
        </w:rPr>
        <w:t xml:space="preserve"> of acetone. </w:t>
      </w:r>
      <w:r w:rsidR="002136CC" w:rsidRPr="00754A1D">
        <w:rPr>
          <w:rFonts w:ascii="Times New Roman" w:hAnsi="Times New Roman" w:cs="Times New Roman"/>
          <w:sz w:val="24"/>
          <w:szCs w:val="24"/>
          <w:lang w:val="en-US"/>
        </w:rPr>
        <w:t xml:space="preserve">For each </w:t>
      </w:r>
      <w:r w:rsidR="00E902B0" w:rsidRPr="00754A1D">
        <w:rPr>
          <w:rFonts w:ascii="Times New Roman" w:hAnsi="Times New Roman" w:cs="Times New Roman"/>
          <w:sz w:val="24"/>
          <w:szCs w:val="24"/>
          <w:lang w:val="en-US"/>
        </w:rPr>
        <w:t>treatment</w:t>
      </w:r>
      <w:r w:rsidR="002136CC" w:rsidRPr="00754A1D">
        <w:rPr>
          <w:rFonts w:ascii="Times New Roman" w:hAnsi="Times New Roman" w:cs="Times New Roman"/>
          <w:sz w:val="24"/>
          <w:szCs w:val="24"/>
          <w:lang w:val="en-US"/>
        </w:rPr>
        <w:t xml:space="preserve">, </w:t>
      </w:r>
      <w:r w:rsidR="005E65CE" w:rsidRPr="00754A1D">
        <w:rPr>
          <w:rFonts w:ascii="Times New Roman" w:hAnsi="Times New Roman" w:cs="Times New Roman"/>
          <w:sz w:val="24"/>
          <w:szCs w:val="24"/>
          <w:lang w:val="en-US"/>
        </w:rPr>
        <w:t xml:space="preserve">six </w:t>
      </w:r>
      <w:r w:rsidR="000519B7" w:rsidRPr="00754A1D">
        <w:rPr>
          <w:rFonts w:ascii="Times New Roman" w:hAnsi="Times New Roman" w:cs="Times New Roman"/>
          <w:sz w:val="24"/>
          <w:szCs w:val="24"/>
          <w:lang w:val="en-US"/>
        </w:rPr>
        <w:t>replicates</w:t>
      </w:r>
      <w:r w:rsidR="005E65CE" w:rsidRPr="00754A1D">
        <w:rPr>
          <w:rFonts w:ascii="Times New Roman" w:hAnsi="Times New Roman" w:cs="Times New Roman"/>
          <w:sz w:val="24"/>
          <w:szCs w:val="24"/>
          <w:lang w:val="en-US"/>
        </w:rPr>
        <w:t xml:space="preserve"> were </w:t>
      </w:r>
      <w:r w:rsidR="000519B7" w:rsidRPr="00754A1D">
        <w:rPr>
          <w:rFonts w:ascii="Times New Roman" w:hAnsi="Times New Roman" w:cs="Times New Roman"/>
          <w:sz w:val="24"/>
          <w:szCs w:val="24"/>
          <w:lang w:val="en-US"/>
        </w:rPr>
        <w:t>performed</w:t>
      </w:r>
      <w:r w:rsidR="005E65CE" w:rsidRPr="00754A1D">
        <w:rPr>
          <w:rFonts w:ascii="Times New Roman" w:hAnsi="Times New Roman" w:cs="Times New Roman"/>
          <w:sz w:val="24"/>
          <w:szCs w:val="24"/>
          <w:lang w:val="en-US"/>
        </w:rPr>
        <w:t xml:space="preserve">. One </w:t>
      </w:r>
      <w:r w:rsidR="000519B7" w:rsidRPr="00754A1D">
        <w:rPr>
          <w:rFonts w:ascii="Times New Roman" w:hAnsi="Times New Roman" w:cs="Times New Roman"/>
          <w:sz w:val="24"/>
          <w:szCs w:val="24"/>
          <w:lang w:val="en-US"/>
        </w:rPr>
        <w:t>replicate</w:t>
      </w:r>
      <w:r w:rsidR="005E65CE" w:rsidRPr="00754A1D">
        <w:rPr>
          <w:rFonts w:ascii="Times New Roman" w:hAnsi="Times New Roman" w:cs="Times New Roman"/>
          <w:sz w:val="24"/>
          <w:szCs w:val="24"/>
          <w:lang w:val="en-US"/>
        </w:rPr>
        <w:t xml:space="preserve"> consist</w:t>
      </w:r>
      <w:r w:rsidR="00DF465A" w:rsidRPr="00754A1D">
        <w:rPr>
          <w:rFonts w:ascii="Times New Roman" w:hAnsi="Times New Roman" w:cs="Times New Roman"/>
          <w:sz w:val="24"/>
          <w:szCs w:val="24"/>
          <w:lang w:val="en-US"/>
        </w:rPr>
        <w:t>ed</w:t>
      </w:r>
      <w:r w:rsidR="005E65CE" w:rsidRPr="00754A1D">
        <w:rPr>
          <w:rFonts w:ascii="Times New Roman" w:hAnsi="Times New Roman" w:cs="Times New Roman"/>
          <w:sz w:val="24"/>
          <w:szCs w:val="24"/>
          <w:lang w:val="en-US"/>
        </w:rPr>
        <w:t xml:space="preserve"> of 20 </w:t>
      </w:r>
      <w:r w:rsidR="002136CC" w:rsidRPr="00754A1D">
        <w:rPr>
          <w:rFonts w:ascii="Times New Roman" w:hAnsi="Times New Roman" w:cs="Times New Roman"/>
          <w:sz w:val="24"/>
          <w:szCs w:val="24"/>
          <w:lang w:val="en-US"/>
        </w:rPr>
        <w:t>randomly</w:t>
      </w:r>
      <w:r w:rsidR="00E27F77" w:rsidRPr="00754A1D">
        <w:rPr>
          <w:rFonts w:ascii="Times New Roman" w:hAnsi="Times New Roman" w:cs="Times New Roman"/>
          <w:sz w:val="24"/>
          <w:szCs w:val="24"/>
          <w:lang w:val="en-US"/>
        </w:rPr>
        <w:t xml:space="preserve"> selected individuals</w:t>
      </w:r>
      <w:r w:rsidR="002136CC" w:rsidRPr="00754A1D">
        <w:rPr>
          <w:rFonts w:ascii="Times New Roman" w:hAnsi="Times New Roman" w:cs="Times New Roman"/>
          <w:sz w:val="24"/>
          <w:szCs w:val="24"/>
          <w:lang w:val="en-US"/>
        </w:rPr>
        <w:t xml:space="preserve"> </w:t>
      </w:r>
      <w:r w:rsidR="00DF465A" w:rsidRPr="00754A1D">
        <w:rPr>
          <w:rFonts w:ascii="Times New Roman" w:hAnsi="Times New Roman" w:cs="Times New Roman"/>
          <w:sz w:val="24"/>
          <w:szCs w:val="24"/>
          <w:lang w:val="en-US"/>
        </w:rPr>
        <w:t xml:space="preserve">treated individually and </w:t>
      </w:r>
      <w:r w:rsidR="00377CAB" w:rsidRPr="00754A1D">
        <w:rPr>
          <w:rFonts w:ascii="Times New Roman" w:hAnsi="Times New Roman" w:cs="Times New Roman"/>
          <w:sz w:val="24"/>
          <w:szCs w:val="24"/>
          <w:lang w:val="en-US"/>
        </w:rPr>
        <w:t xml:space="preserve">placed in </w:t>
      </w:r>
      <w:r w:rsidR="00697474" w:rsidRPr="00754A1D">
        <w:rPr>
          <w:rFonts w:ascii="Times New Roman" w:hAnsi="Times New Roman" w:cs="Times New Roman"/>
          <w:sz w:val="24"/>
          <w:szCs w:val="24"/>
          <w:lang w:val="en-US"/>
        </w:rPr>
        <w:t xml:space="preserve">glass </w:t>
      </w:r>
      <w:r w:rsidR="00377CAB" w:rsidRPr="00754A1D">
        <w:rPr>
          <w:rFonts w:ascii="Times New Roman" w:hAnsi="Times New Roman" w:cs="Times New Roman"/>
          <w:sz w:val="24"/>
          <w:szCs w:val="24"/>
          <w:lang w:val="en-US"/>
        </w:rPr>
        <w:t>Petri dishes (Ø 90 mm × 15 mm) with an ab</w:t>
      </w:r>
      <w:r w:rsidR="00E27F77" w:rsidRPr="00754A1D">
        <w:rPr>
          <w:rFonts w:ascii="Times New Roman" w:hAnsi="Times New Roman" w:cs="Times New Roman"/>
          <w:sz w:val="24"/>
          <w:szCs w:val="24"/>
          <w:lang w:val="en-US"/>
        </w:rPr>
        <w:t xml:space="preserve">sorbent paper and </w:t>
      </w:r>
      <w:r w:rsidR="00377CAB" w:rsidRPr="00754A1D">
        <w:rPr>
          <w:rFonts w:ascii="Times New Roman" w:hAnsi="Times New Roman" w:cs="Times New Roman"/>
          <w:sz w:val="24"/>
          <w:szCs w:val="24"/>
          <w:lang w:val="en-US"/>
        </w:rPr>
        <w:t xml:space="preserve">fed with </w:t>
      </w:r>
      <w:r w:rsidR="00907FAF" w:rsidRPr="00754A1D">
        <w:rPr>
          <w:rFonts w:ascii="Times New Roman" w:hAnsi="Times New Roman" w:cs="Times New Roman"/>
          <w:sz w:val="24"/>
          <w:szCs w:val="24"/>
          <w:lang w:val="en-US"/>
        </w:rPr>
        <w:t xml:space="preserve">about twenty grains of wheat </w:t>
      </w:r>
      <w:r w:rsidR="00377CAB" w:rsidRPr="00754A1D">
        <w:rPr>
          <w:rFonts w:ascii="Times New Roman" w:hAnsi="Times New Roman" w:cs="Times New Roman"/>
          <w:sz w:val="24"/>
          <w:szCs w:val="24"/>
          <w:lang w:val="en-US"/>
        </w:rPr>
        <w:t xml:space="preserve">and </w:t>
      </w:r>
      <w:r w:rsidR="00E27F77" w:rsidRPr="00754A1D">
        <w:rPr>
          <w:rFonts w:ascii="Times New Roman" w:hAnsi="Times New Roman" w:cs="Times New Roman"/>
          <w:sz w:val="24"/>
          <w:szCs w:val="24"/>
          <w:lang w:val="en-US"/>
        </w:rPr>
        <w:t>kept</w:t>
      </w:r>
      <w:r w:rsidR="00377CAB" w:rsidRPr="00754A1D">
        <w:rPr>
          <w:rFonts w:ascii="Times New Roman" w:hAnsi="Times New Roman" w:cs="Times New Roman"/>
          <w:sz w:val="24"/>
          <w:szCs w:val="24"/>
          <w:lang w:val="en-US"/>
        </w:rPr>
        <w:t xml:space="preserve"> in the dark. The number of dead insects in each Petri dish was counted </w:t>
      </w:r>
      <w:r w:rsidR="00907FAF" w:rsidRPr="00754A1D">
        <w:rPr>
          <w:rFonts w:ascii="Times New Roman" w:hAnsi="Times New Roman" w:cs="Times New Roman"/>
          <w:sz w:val="24"/>
          <w:szCs w:val="24"/>
          <w:lang w:val="en-US"/>
        </w:rPr>
        <w:t>24</w:t>
      </w:r>
      <w:r w:rsidR="00205AA1" w:rsidRPr="00754A1D">
        <w:rPr>
          <w:rFonts w:ascii="Times New Roman" w:hAnsi="Times New Roman" w:cs="Times New Roman"/>
          <w:sz w:val="24"/>
          <w:szCs w:val="24"/>
          <w:lang w:val="en-US"/>
        </w:rPr>
        <w:t xml:space="preserve"> </w:t>
      </w:r>
      <w:r w:rsidR="00907FAF" w:rsidRPr="00754A1D">
        <w:rPr>
          <w:rFonts w:ascii="Times New Roman" w:hAnsi="Times New Roman" w:cs="Times New Roman"/>
          <w:sz w:val="24"/>
          <w:szCs w:val="24"/>
          <w:lang w:val="en-US"/>
        </w:rPr>
        <w:t>h afte</w:t>
      </w:r>
      <w:r w:rsidR="00C231AA" w:rsidRPr="00754A1D">
        <w:rPr>
          <w:rFonts w:ascii="Times New Roman" w:hAnsi="Times New Roman" w:cs="Times New Roman"/>
          <w:sz w:val="24"/>
          <w:szCs w:val="24"/>
          <w:lang w:val="en-US"/>
        </w:rPr>
        <w:t xml:space="preserve">r exposure </w:t>
      </w:r>
      <w:r w:rsidR="000519B7" w:rsidRPr="00754A1D">
        <w:rPr>
          <w:rFonts w:ascii="Times New Roman" w:hAnsi="Times New Roman" w:cs="Times New Roman"/>
          <w:sz w:val="24"/>
          <w:szCs w:val="24"/>
          <w:lang w:val="en-US"/>
        </w:rPr>
        <w:t xml:space="preserve">of the insects </w:t>
      </w:r>
      <w:r w:rsidR="00C231AA" w:rsidRPr="00754A1D">
        <w:rPr>
          <w:rFonts w:ascii="Times New Roman" w:hAnsi="Times New Roman" w:cs="Times New Roman"/>
          <w:sz w:val="24"/>
          <w:szCs w:val="24"/>
          <w:lang w:val="en-US"/>
        </w:rPr>
        <w:t xml:space="preserve">to the </w:t>
      </w:r>
      <w:r w:rsidR="00C231AA" w:rsidRPr="00754A1D">
        <w:rPr>
          <w:rFonts w:ascii="Times New Roman" w:hAnsi="Times New Roman" w:cs="Times New Roman"/>
          <w:i/>
          <w:sz w:val="24"/>
          <w:szCs w:val="24"/>
          <w:lang w:val="en-US"/>
        </w:rPr>
        <w:t xml:space="preserve">M. </w:t>
      </w:r>
      <w:r w:rsidR="00F31E15" w:rsidRPr="00754A1D">
        <w:rPr>
          <w:rFonts w:ascii="Times New Roman" w:hAnsi="Times New Roman" w:cs="Times New Roman"/>
          <w:i/>
          <w:sz w:val="24"/>
          <w:szCs w:val="24"/>
          <w:lang w:val="en-US"/>
        </w:rPr>
        <w:t>arvensis</w:t>
      </w:r>
      <w:r w:rsidR="00C231AA" w:rsidRPr="00754A1D">
        <w:rPr>
          <w:rFonts w:ascii="Times New Roman" w:hAnsi="Times New Roman" w:cs="Times New Roman"/>
          <w:sz w:val="24"/>
          <w:szCs w:val="24"/>
          <w:lang w:val="en-US"/>
        </w:rPr>
        <w:t xml:space="preserve"> </w:t>
      </w:r>
      <w:r w:rsidR="0063058F" w:rsidRPr="00754A1D">
        <w:rPr>
          <w:rFonts w:ascii="Times New Roman" w:hAnsi="Times New Roman" w:cs="Times New Roman"/>
          <w:sz w:val="24"/>
          <w:szCs w:val="24"/>
          <w:lang w:val="en-US"/>
        </w:rPr>
        <w:t>EO</w:t>
      </w:r>
      <w:r w:rsidR="00907FAF" w:rsidRPr="00754A1D">
        <w:rPr>
          <w:rFonts w:ascii="Times New Roman" w:hAnsi="Times New Roman" w:cs="Times New Roman"/>
          <w:sz w:val="24"/>
          <w:szCs w:val="24"/>
          <w:lang w:val="en-US"/>
        </w:rPr>
        <w:t xml:space="preserve">. </w:t>
      </w:r>
      <w:r w:rsidR="00F8512D" w:rsidRPr="00754A1D">
        <w:rPr>
          <w:rFonts w:ascii="Times New Roman" w:hAnsi="Times New Roman" w:cs="Times New Roman"/>
          <w:sz w:val="24"/>
          <w:szCs w:val="24"/>
          <w:lang w:val="en-US"/>
        </w:rPr>
        <w:t xml:space="preserve">Insects were considered dead when no </w:t>
      </w:r>
      <w:r w:rsidR="000519B7" w:rsidRPr="00754A1D">
        <w:rPr>
          <w:rFonts w:ascii="Times New Roman" w:hAnsi="Times New Roman" w:cs="Times New Roman"/>
          <w:sz w:val="24"/>
          <w:szCs w:val="24"/>
          <w:lang w:val="en-US"/>
        </w:rPr>
        <w:t>reaction</w:t>
      </w:r>
      <w:r w:rsidR="00F8512D" w:rsidRPr="00754A1D">
        <w:rPr>
          <w:rFonts w:ascii="Times New Roman" w:hAnsi="Times New Roman" w:cs="Times New Roman"/>
          <w:sz w:val="24"/>
          <w:szCs w:val="24"/>
          <w:lang w:val="en-US"/>
        </w:rPr>
        <w:t xml:space="preserve"> was observed by exposing them to a 100-watt cold lamp in front of their eyes for five seconds</w:t>
      </w:r>
      <w:r w:rsidR="004B6F88" w:rsidRPr="00754A1D">
        <w:rPr>
          <w:rFonts w:ascii="Times New Roman" w:hAnsi="Times New Roman" w:cs="Times New Roman"/>
          <w:sz w:val="24"/>
          <w:szCs w:val="24"/>
          <w:lang w:val="en-US"/>
        </w:rPr>
        <w:t xml:space="preserve"> </w:t>
      </w:r>
      <w:r w:rsidR="004B6F88" w:rsidRPr="00754A1D">
        <w:rPr>
          <w:rFonts w:ascii="Times New Roman" w:hAnsi="Times New Roman" w:cs="Times New Roman"/>
          <w:sz w:val="24"/>
          <w:szCs w:val="24"/>
          <w:lang w:val="en-US"/>
        </w:rPr>
        <w:fldChar w:fldCharType="begin"/>
      </w:r>
      <w:r w:rsidR="000239F1" w:rsidRPr="00754A1D">
        <w:rPr>
          <w:rFonts w:ascii="Times New Roman" w:hAnsi="Times New Roman" w:cs="Times New Roman"/>
          <w:sz w:val="24"/>
          <w:szCs w:val="24"/>
          <w:lang w:val="en-US"/>
        </w:rPr>
        <w:instrText xml:space="preserve"> ADDIN ZOTERO_ITEM CSL_CITATION {"citationID":"HnMpaxWA","properties":{"formattedCitation":"(Demeter et al. 2021)","plainCitation":"(Demeter et al. 2021)","noteIndex":0},"citationItems":[{"id":2722,"uris":["http://zotero.org/users/local/QcSA6amT/items/PAWDXFPW"],"uri":["http://zotero.org/users/local/QcSA6amT/items/PAWDXFPW"],"itemData":{"id":2722,"type":"article-journal","abstract":"The granary weevil Sitophilus granarius is a stored product pest found worldwide. Environmental damages, human health issues and the emergence of resistance are driving scientists to seeks alternatives to synthetic insecticides for its control. With low mammal toxicity and low persistence, essential oils are more and more being considered a potential alternative. In this study, we compare the toxicity of 25 essential oils, representing a large array of chemical compositions, on adult granary weevils. Bioassays indicated that Allium sativum was the most toxic essential oil, with the lowest calculated lethal concentration 90 (LC90) both after 24 h and 7 days. Gaultheria procumbens, Mentha arvensis and Eucalyptus dives oils appeared to have a good potential in terms of toxicity/cost ratio for further development of a plant-derived biocide. Low influence of exposure time was observed for most of essential oils. The methodology developed here offers the possibility to test a large array of essential oils in the same experimental bioassay and in a standardized way. It is a first step to the development of new biocide for alternative management strategies of stored product pests.","container-title":"Foods","DOI":"10.3390/foods10020200","issue":"2","language":"en","note":"number: 2\npublisher: Multidisciplinary Digital Publishing Institute","page":"200","source":"www.mdpi.com","title":"Insecticidal Activity of 25 Essential Oils on the Stored Product Pest, Sitophilus granarius","volume":"10","author":[{"family":"Demeter","given":"Sébastien"},{"family":"Lebbe","given":"Olivier"},{"family":"Hecq","given":"Florence"},{"family":"Nicolis","given":"Stamatios C."},{"family":"Kenne Kemene","given":"Tierry"},{"family":"Martin","given":"Henri"},{"family":"Fauconnier","given":"Marie-Laure"},{"family":"Hance","given":"Thierry"}],"issued":{"date-parts":[["2021",2]]}}}],"schema":"https://github.com/citation-style-language/schema/raw/master/csl-citation.json"} </w:instrText>
      </w:r>
      <w:r w:rsidR="004B6F88" w:rsidRPr="00754A1D">
        <w:rPr>
          <w:rFonts w:ascii="Times New Roman" w:hAnsi="Times New Roman" w:cs="Times New Roman"/>
          <w:sz w:val="24"/>
          <w:szCs w:val="24"/>
          <w:lang w:val="en-US"/>
        </w:rPr>
        <w:fldChar w:fldCharType="separate"/>
      </w:r>
      <w:r w:rsidR="000239F1" w:rsidRPr="00754A1D">
        <w:rPr>
          <w:rFonts w:ascii="Times New Roman" w:hAnsi="Times New Roman" w:cs="Times New Roman"/>
          <w:sz w:val="24"/>
          <w:lang w:val="en-US"/>
        </w:rPr>
        <w:t>(Demeter et al. 2021)</w:t>
      </w:r>
      <w:r w:rsidR="004B6F88" w:rsidRPr="00754A1D">
        <w:rPr>
          <w:rFonts w:ascii="Times New Roman" w:hAnsi="Times New Roman" w:cs="Times New Roman"/>
          <w:sz w:val="24"/>
          <w:szCs w:val="24"/>
          <w:lang w:val="en-US"/>
        </w:rPr>
        <w:fldChar w:fldCharType="end"/>
      </w:r>
      <w:r w:rsidR="00DF465A" w:rsidRPr="00754A1D">
        <w:rPr>
          <w:rFonts w:ascii="Times New Roman" w:hAnsi="Times New Roman" w:cs="Times New Roman"/>
          <w:sz w:val="24"/>
          <w:szCs w:val="24"/>
          <w:lang w:val="en-US"/>
        </w:rPr>
        <w:t>. The number of dead insects was confirmed 48 hours after treatment</w:t>
      </w:r>
      <w:r w:rsidR="003204F1" w:rsidRPr="00754A1D">
        <w:rPr>
          <w:rFonts w:ascii="Times New Roman" w:hAnsi="Times New Roman" w:cs="Times New Roman"/>
          <w:sz w:val="24"/>
          <w:szCs w:val="24"/>
          <w:lang w:val="en-US"/>
        </w:rPr>
        <w:t xml:space="preserve">. </w:t>
      </w:r>
    </w:p>
    <w:p w14:paraId="115D441A" w14:textId="51BDF8BB" w:rsidR="003204F1" w:rsidRPr="00754A1D" w:rsidRDefault="000972F1" w:rsidP="003204F1">
      <w:pPr>
        <w:spacing w:line="480" w:lineRule="auto"/>
        <w:ind w:firstLine="708"/>
        <w:jc w:val="both"/>
        <w:rPr>
          <w:rFonts w:ascii="Times New Roman" w:hAnsi="Times New Roman" w:cs="Times New Roman"/>
          <w:sz w:val="24"/>
          <w:szCs w:val="24"/>
          <w:lang w:val="en-US"/>
        </w:rPr>
      </w:pPr>
      <w:r w:rsidRPr="00754A1D">
        <w:rPr>
          <w:rFonts w:ascii="Times New Roman" w:hAnsi="Times New Roman" w:cs="Times New Roman"/>
          <w:bCs/>
          <w:sz w:val="24"/>
          <w:szCs w:val="24"/>
          <w:lang w:val="en-US"/>
        </w:rPr>
        <w:t>A</w:t>
      </w:r>
      <w:r w:rsidR="003204F1" w:rsidRPr="00754A1D">
        <w:rPr>
          <w:rFonts w:ascii="Times New Roman" w:hAnsi="Times New Roman" w:cs="Times New Roman"/>
          <w:bCs/>
          <w:sz w:val="24"/>
          <w:szCs w:val="24"/>
          <w:lang w:val="en-US"/>
        </w:rPr>
        <w:t xml:space="preserve"> Hill’s function encountered in many molecular or cellular biology contexts </w:t>
      </w:r>
      <w:r w:rsidR="003204F1" w:rsidRPr="00754A1D">
        <w:rPr>
          <w:rFonts w:ascii="Times New Roman" w:hAnsi="Times New Roman" w:cs="Times New Roman"/>
          <w:bCs/>
          <w:sz w:val="24"/>
          <w:szCs w:val="24"/>
          <w:lang w:val="en-US"/>
        </w:rPr>
        <w:fldChar w:fldCharType="begin"/>
      </w:r>
      <w:r w:rsidR="003204F1" w:rsidRPr="00754A1D">
        <w:rPr>
          <w:rFonts w:ascii="Times New Roman" w:hAnsi="Times New Roman" w:cs="Times New Roman"/>
          <w:bCs/>
          <w:sz w:val="24"/>
          <w:szCs w:val="24"/>
          <w:lang w:val="en-US"/>
        </w:rPr>
        <w:instrText xml:space="preserve"> ADDIN ZOTERO_ITEM CSL_CITATION {"citationID":"LUqj2Z5c","properties":{"formattedCitation":"(Likhoshvai and Ratushny 2007)","plainCitation":"(Likhoshvai and Ratushny 2007)","noteIndex":0},"citationItems":[{"id":2634,"uris":["http://zotero.org/users/local/QcSA6amT/items/B7VPCTGD"],"uri":["http://zotero.org/users/local/QcSA6amT/items/B7VPCTGD"],"itemData":{"id":2634,"type":"article-journal","abstract":"Development of an in silico cell is an urgent task of systems biology. The core of this cell should consist of mathematical models of intracellular events, including enzymatic reactions and control of gene expression. For example, the minimal model of the E. coli cell should include description of about one thousand enzymatic reactions and regulation of expression of approximately the same number of genes. In many cases detailed mechanisms of molecular processes are not known. In this study, we propose a generalized Hill function method for modeling molecular events. The proposed approach is a method of kinetic data approximation in view of additional data on structure functional features of molecular genetic systems and actually does not demand knowledge of their detailed mechanisms. Generalized Hill function models of an enzymatic reaction catalyzed by the tryptophan-sensitive 3-deoxy-d-arabino-heptulosonate-7-phosphate synthase and the cydAB operon expression regulation are presented.","container-title":"Journal of Bioinformatics and Computational Biology","DOI":"10.1142/S0219720007002837","ISSN":"0219-7200","issue":"02b","journalAbbreviation":"J. Bioinform. Comput. Biol.","note":"publisher: Imperial College Press","page":"521-531","source":"worldscientific.com (Atypon)","title":"Generalized hill function method for modeling molecular processes","volume":"05","author":[{"family":"Likhoshvai","given":"Vitali"},{"family":"Ratushny","given":"Alexander"}],"issued":{"date-parts":[["2007",4,1]]}}}],"schema":"https://github.com/citation-style-language/schema/raw/master/csl-citation.json"} </w:instrText>
      </w:r>
      <w:r w:rsidR="003204F1" w:rsidRPr="00754A1D">
        <w:rPr>
          <w:rFonts w:ascii="Times New Roman" w:hAnsi="Times New Roman" w:cs="Times New Roman"/>
          <w:bCs/>
          <w:sz w:val="24"/>
          <w:szCs w:val="24"/>
          <w:lang w:val="en-US"/>
        </w:rPr>
        <w:fldChar w:fldCharType="separate"/>
      </w:r>
      <w:r w:rsidR="003204F1" w:rsidRPr="00754A1D">
        <w:rPr>
          <w:rFonts w:ascii="Times New Roman" w:hAnsi="Times New Roman" w:cs="Times New Roman"/>
          <w:sz w:val="24"/>
          <w:lang w:val="en-US"/>
        </w:rPr>
        <w:t>(Likhoshvai and Ratushny 2007)</w:t>
      </w:r>
      <w:r w:rsidR="003204F1" w:rsidRPr="00754A1D">
        <w:rPr>
          <w:rFonts w:ascii="Times New Roman" w:hAnsi="Times New Roman" w:cs="Times New Roman"/>
          <w:bCs/>
          <w:sz w:val="24"/>
          <w:szCs w:val="24"/>
          <w:lang w:val="en-US"/>
        </w:rPr>
        <w:fldChar w:fldCharType="end"/>
      </w:r>
      <w:r w:rsidRPr="00754A1D">
        <w:rPr>
          <w:rFonts w:ascii="Times New Roman" w:hAnsi="Times New Roman" w:cs="Times New Roman"/>
          <w:bCs/>
          <w:sz w:val="24"/>
          <w:szCs w:val="24"/>
          <w:lang w:val="en-US"/>
        </w:rPr>
        <w:t xml:space="preserve"> </w:t>
      </w:r>
      <w:r w:rsidR="00EA42F7" w:rsidRPr="00754A1D">
        <w:rPr>
          <w:rFonts w:ascii="Times New Roman" w:hAnsi="Times New Roman" w:cs="Times New Roman"/>
          <w:bCs/>
          <w:sz w:val="24"/>
          <w:szCs w:val="24"/>
          <w:lang w:val="en-US"/>
        </w:rPr>
        <w:t>allowed us to estimate the LD</w:t>
      </w:r>
      <w:r w:rsidR="00EA42F7" w:rsidRPr="00754A1D">
        <w:rPr>
          <w:rFonts w:ascii="Times New Roman" w:hAnsi="Times New Roman" w:cs="Times New Roman"/>
          <w:bCs/>
          <w:sz w:val="24"/>
          <w:szCs w:val="24"/>
          <w:vertAlign w:val="subscript"/>
          <w:lang w:val="en-US"/>
        </w:rPr>
        <w:t>50</w:t>
      </w:r>
      <w:r w:rsidR="00EA42F7" w:rsidRPr="00754A1D">
        <w:rPr>
          <w:rFonts w:ascii="Times New Roman" w:hAnsi="Times New Roman" w:cs="Times New Roman"/>
          <w:bCs/>
          <w:sz w:val="24"/>
          <w:szCs w:val="24"/>
          <w:lang w:val="en-US"/>
        </w:rPr>
        <w:t xml:space="preserve"> and </w:t>
      </w:r>
      <w:r w:rsidR="003204F1" w:rsidRPr="00754A1D">
        <w:rPr>
          <w:rFonts w:ascii="Times New Roman" w:hAnsi="Times New Roman" w:cs="Times New Roman"/>
          <w:bCs/>
          <w:sz w:val="24"/>
          <w:szCs w:val="24"/>
          <w:lang w:val="en-US"/>
        </w:rPr>
        <w:t xml:space="preserve">is written </w:t>
      </w:r>
    </w:p>
    <w:p w14:paraId="420A63ED" w14:textId="77777777" w:rsidR="003204F1" w:rsidRPr="00754A1D" w:rsidRDefault="003204F1" w:rsidP="003204F1">
      <w:pPr>
        <w:spacing w:after="0" w:line="480" w:lineRule="auto"/>
        <w:jc w:val="both"/>
        <w:rPr>
          <w:rFonts w:ascii="Times New Roman" w:hAnsi="Times New Roman" w:cs="Times New Roman"/>
          <w:bCs/>
          <w:sz w:val="24"/>
          <w:szCs w:val="24"/>
          <w:lang w:val="en-US"/>
        </w:rPr>
      </w:pPr>
    </w:p>
    <w:p w14:paraId="23A843B5" w14:textId="77777777" w:rsidR="003204F1" w:rsidRPr="00754A1D" w:rsidRDefault="003204F1" w:rsidP="003204F1">
      <w:pPr>
        <w:spacing w:after="0" w:line="480" w:lineRule="auto"/>
        <w:jc w:val="center"/>
        <w:rPr>
          <w:rFonts w:ascii="Times New Roman" w:hAnsi="Times New Roman" w:cs="Times New Roman"/>
          <w:sz w:val="24"/>
          <w:szCs w:val="24"/>
          <w:lang w:val="en-US"/>
        </w:rPr>
      </w:pPr>
      <m:oMathPara>
        <m:oMath>
          <m:r>
            <w:rPr>
              <w:rFonts w:ascii="Cambria Math" w:hAnsi="Cambria Math" w:cs="Times New Roman"/>
              <w:sz w:val="24"/>
              <w:szCs w:val="24"/>
              <w:lang w:val="en-US"/>
            </w:rPr>
            <m:t xml:space="preserve">M= </m:t>
          </m:r>
          <m:f>
            <m:fPr>
              <m:ctrlPr>
                <w:rPr>
                  <w:rFonts w:ascii="Cambria Math" w:hAnsi="Cambria Math" w:cs="Times New Roman"/>
                  <w:i/>
                  <w:sz w:val="24"/>
                  <w:szCs w:val="24"/>
                  <w:lang w:val="en-US"/>
                </w:rPr>
              </m:ctrlPr>
            </m:fPr>
            <m:num>
              <m:sSup>
                <m:sSupPr>
                  <m:ctrlPr>
                    <w:rPr>
                      <w:rFonts w:ascii="Cambria Math" w:hAnsi="Cambria Math" w:cs="Times New Roman"/>
                      <w:i/>
                      <w:sz w:val="24"/>
                      <w:szCs w:val="24"/>
                      <w:lang w:val="en-US"/>
                    </w:rPr>
                  </m:ctrlPr>
                </m:sSupPr>
                <m:e>
                  <m:r>
                    <w:rPr>
                      <w:rFonts w:ascii="Cambria Math" w:hAnsi="Cambria Math" w:cs="Times New Roman"/>
                      <w:sz w:val="24"/>
                      <w:szCs w:val="24"/>
                      <w:lang w:val="en-US"/>
                    </w:rPr>
                    <m:t>D</m:t>
                  </m:r>
                </m:e>
                <m:sup>
                  <m:r>
                    <w:rPr>
                      <w:rFonts w:ascii="Cambria Math" w:hAnsi="Cambria Math" w:cs="Times New Roman"/>
                      <w:sz w:val="24"/>
                      <w:szCs w:val="24"/>
                      <w:lang w:val="en-US"/>
                    </w:rPr>
                    <m:t>n</m:t>
                  </m:r>
                </m:sup>
              </m:sSup>
            </m:num>
            <m:den>
              <m:sSup>
                <m:sSupPr>
                  <m:ctrlPr>
                    <w:rPr>
                      <w:rFonts w:ascii="Cambria Math" w:hAnsi="Cambria Math" w:cs="Times New Roman"/>
                      <w:i/>
                      <w:sz w:val="24"/>
                      <w:szCs w:val="24"/>
                      <w:lang w:val="en-US"/>
                    </w:rPr>
                  </m:ctrlPr>
                </m:sSupPr>
                <m:e>
                  <m:r>
                    <w:rPr>
                      <w:rFonts w:ascii="Cambria Math" w:hAnsi="Cambria Math" w:cs="Times New Roman"/>
                      <w:sz w:val="24"/>
                      <w:szCs w:val="24"/>
                      <w:lang w:val="en-US"/>
                    </w:rPr>
                    <m:t>D</m:t>
                  </m:r>
                </m:e>
                <m:sup>
                  <m:r>
                    <w:rPr>
                      <w:rFonts w:ascii="Cambria Math" w:hAnsi="Cambria Math" w:cs="Times New Roman"/>
                      <w:sz w:val="24"/>
                      <w:szCs w:val="24"/>
                      <w:lang w:val="en-US"/>
                    </w:rPr>
                    <m:t>n</m:t>
                  </m:r>
                </m:sup>
              </m:sSup>
              <m:r>
                <w:rPr>
                  <w:rFonts w:ascii="Cambria Math" w:hAnsi="Cambria Math" w:cs="Times New Roman"/>
                  <w:sz w:val="24"/>
                  <w:szCs w:val="24"/>
                  <w:lang w:val="en-US"/>
                </w:rPr>
                <m:t xml:space="preserve"> +</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 xml:space="preserve"> K</m:t>
                  </m:r>
                </m:e>
                <m:sup>
                  <m:r>
                    <w:rPr>
                      <w:rFonts w:ascii="Cambria Math" w:hAnsi="Cambria Math" w:cs="Times New Roman"/>
                      <w:sz w:val="24"/>
                      <w:szCs w:val="24"/>
                      <w:lang w:val="en-US"/>
                    </w:rPr>
                    <m:t>n</m:t>
                  </m:r>
                </m:sup>
              </m:sSup>
            </m:den>
          </m:f>
          <m:r>
            <w:rPr>
              <w:rFonts w:ascii="Cambria Math" w:hAnsi="Cambria Math" w:cs="Times New Roman"/>
              <w:sz w:val="24"/>
              <w:szCs w:val="24"/>
              <w:lang w:val="en-US"/>
            </w:rPr>
            <m:t xml:space="preserve"> (1)</m:t>
          </m:r>
        </m:oMath>
      </m:oMathPara>
    </w:p>
    <w:p w14:paraId="093A2A9C" w14:textId="77777777" w:rsidR="003204F1" w:rsidRPr="00754A1D" w:rsidRDefault="003204F1" w:rsidP="003204F1">
      <w:pPr>
        <w:spacing w:after="0" w:line="480" w:lineRule="auto"/>
        <w:jc w:val="both"/>
        <w:rPr>
          <w:rFonts w:ascii="Times New Roman" w:hAnsi="Times New Roman" w:cs="Times New Roman"/>
          <w:sz w:val="24"/>
          <w:szCs w:val="24"/>
          <w:lang w:val="en-US"/>
        </w:rPr>
      </w:pPr>
    </w:p>
    <w:p w14:paraId="14DA2F82" w14:textId="1C007D36" w:rsidR="003204F1" w:rsidRPr="00754A1D" w:rsidRDefault="003204F1" w:rsidP="00993D6D">
      <w:pPr>
        <w:spacing w:after="0" w:line="480" w:lineRule="auto"/>
        <w:jc w:val="both"/>
        <w:rPr>
          <w:rFonts w:ascii="Arial" w:eastAsia="Times New Roman" w:hAnsi="Arial" w:cs="Arial"/>
          <w:lang w:val="en-US" w:eastAsia="fr-BE"/>
        </w:rPr>
      </w:pPr>
      <w:r w:rsidRPr="00754A1D">
        <w:rPr>
          <w:rFonts w:ascii="Times New Roman" w:hAnsi="Times New Roman" w:cs="Times New Roman"/>
          <w:sz w:val="24"/>
          <w:szCs w:val="24"/>
          <w:lang w:val="en-US"/>
        </w:rPr>
        <w:t xml:space="preserve">where </w:t>
      </w:r>
      <w:r w:rsidRPr="00754A1D">
        <w:rPr>
          <w:rFonts w:ascii="Times New Roman" w:hAnsi="Times New Roman" w:cs="Times New Roman"/>
          <w:i/>
          <w:sz w:val="24"/>
          <w:szCs w:val="24"/>
          <w:lang w:val="en-US"/>
        </w:rPr>
        <w:t>M</w:t>
      </w:r>
      <w:r w:rsidRPr="00754A1D">
        <w:rPr>
          <w:rFonts w:ascii="Times New Roman" w:hAnsi="Times New Roman" w:cs="Times New Roman"/>
          <w:sz w:val="24"/>
          <w:szCs w:val="24"/>
          <w:lang w:val="en-US"/>
        </w:rPr>
        <w:t xml:space="preserve"> is the proportion of mortality, </w:t>
      </w:r>
      <w:r w:rsidRPr="00754A1D">
        <w:rPr>
          <w:rFonts w:ascii="Cambria" w:hAnsi="Cambria" w:cs="Times New Roman"/>
          <w:i/>
          <w:sz w:val="24"/>
          <w:szCs w:val="24"/>
          <w:lang w:val="en-US"/>
        </w:rPr>
        <w:t>D</w:t>
      </w:r>
      <w:r w:rsidRPr="00754A1D">
        <w:rPr>
          <w:rFonts w:ascii="Times New Roman" w:hAnsi="Times New Roman" w:cs="Times New Roman"/>
          <w:sz w:val="24"/>
          <w:szCs w:val="24"/>
          <w:lang w:val="en-US"/>
        </w:rPr>
        <w:t xml:space="preserve"> is the EO dose, </w:t>
      </w:r>
      <w:r w:rsidRPr="00754A1D">
        <w:rPr>
          <w:rFonts w:ascii="Cambria" w:hAnsi="Cambria" w:cs="Times New Roman"/>
          <w:i/>
          <w:sz w:val="24"/>
          <w:szCs w:val="24"/>
          <w:lang w:val="en-US"/>
        </w:rPr>
        <w:t>K</w:t>
      </w:r>
      <w:r w:rsidRPr="00754A1D">
        <w:rPr>
          <w:rFonts w:ascii="Times New Roman" w:hAnsi="Times New Roman" w:cs="Times New Roman"/>
          <w:sz w:val="24"/>
          <w:szCs w:val="24"/>
          <w:lang w:val="en-US"/>
        </w:rPr>
        <w:t xml:space="preserve"> is a threshold dose above which the mortality is greater than 50% (corresponding to the LD</w:t>
      </w:r>
      <w:r w:rsidRPr="00754A1D">
        <w:rPr>
          <w:rFonts w:ascii="Times New Roman" w:hAnsi="Times New Roman" w:cs="Times New Roman"/>
          <w:sz w:val="24"/>
          <w:szCs w:val="24"/>
          <w:vertAlign w:val="subscript"/>
          <w:lang w:val="en-US"/>
        </w:rPr>
        <w:t>50</w:t>
      </w:r>
      <w:r w:rsidRPr="00754A1D">
        <w:rPr>
          <w:rFonts w:ascii="Times New Roman" w:hAnsi="Times New Roman" w:cs="Times New Roman"/>
          <w:sz w:val="24"/>
          <w:szCs w:val="24"/>
          <w:lang w:val="en-US"/>
        </w:rPr>
        <w:t xml:space="preserve">) and </w:t>
      </w:r>
      <w:r w:rsidRPr="00754A1D">
        <w:rPr>
          <w:rFonts w:ascii="Cambria" w:hAnsi="Cambria" w:cs="Times New Roman"/>
          <w:i/>
          <w:sz w:val="24"/>
          <w:szCs w:val="24"/>
          <w:lang w:val="en-US"/>
        </w:rPr>
        <w:t>n</w:t>
      </w:r>
      <w:r w:rsidRPr="00754A1D">
        <w:rPr>
          <w:rFonts w:ascii="Times New Roman" w:hAnsi="Times New Roman" w:cs="Times New Roman"/>
          <w:sz w:val="24"/>
          <w:szCs w:val="24"/>
          <w:lang w:val="en-US"/>
        </w:rPr>
        <w:t xml:space="preserve"> is a cooperativity exponent. A value of </w:t>
      </w:r>
      <w:r w:rsidRPr="00754A1D">
        <w:rPr>
          <w:rFonts w:ascii="Cambria" w:hAnsi="Cambria" w:cs="Times New Roman"/>
          <w:i/>
          <w:sz w:val="24"/>
          <w:szCs w:val="24"/>
          <w:lang w:val="en-US"/>
        </w:rPr>
        <w:t>n</w:t>
      </w:r>
      <w:r w:rsidRPr="00754A1D">
        <w:rPr>
          <w:rFonts w:ascii="Times New Roman" w:hAnsi="Times New Roman" w:cs="Times New Roman"/>
          <w:sz w:val="24"/>
          <w:szCs w:val="24"/>
          <w:lang w:val="en-US"/>
        </w:rPr>
        <w:t xml:space="preserve"> greater than 1 indicates the presence of cooperative processes between the dose level and the spread of mortality within the population. </w:t>
      </w:r>
      <w:r w:rsidRPr="00754A1D">
        <w:rPr>
          <w:rFonts w:ascii="Cambria" w:hAnsi="Cambria" w:cs="Times New Roman"/>
          <w:i/>
          <w:sz w:val="24"/>
          <w:szCs w:val="24"/>
          <w:lang w:val="en-US"/>
        </w:rPr>
        <w:t>n</w:t>
      </w:r>
      <w:r w:rsidRPr="00754A1D">
        <w:rPr>
          <w:rFonts w:ascii="Times New Roman" w:hAnsi="Times New Roman" w:cs="Times New Roman"/>
          <w:sz w:val="24"/>
          <w:szCs w:val="24"/>
          <w:lang w:val="en-US"/>
        </w:rPr>
        <w:t xml:space="preserve"> and </w:t>
      </w:r>
      <w:r w:rsidRPr="00754A1D">
        <w:rPr>
          <w:rFonts w:ascii="Cambria" w:hAnsi="Cambria" w:cs="Times New Roman"/>
          <w:i/>
          <w:sz w:val="24"/>
          <w:szCs w:val="24"/>
          <w:lang w:val="en-US"/>
        </w:rPr>
        <w:t>K</w:t>
      </w:r>
      <w:r w:rsidRPr="00754A1D">
        <w:rPr>
          <w:rFonts w:ascii="Times New Roman" w:hAnsi="Times New Roman" w:cs="Times New Roman"/>
          <w:sz w:val="24"/>
          <w:szCs w:val="24"/>
          <w:lang w:val="en-US"/>
        </w:rPr>
        <w:t xml:space="preserve"> </w:t>
      </w:r>
      <w:r w:rsidR="00EA42F7" w:rsidRPr="00754A1D">
        <w:rPr>
          <w:rFonts w:ascii="Times New Roman" w:hAnsi="Times New Roman" w:cs="Times New Roman"/>
          <w:sz w:val="24"/>
          <w:szCs w:val="24"/>
          <w:lang w:val="en-US"/>
        </w:rPr>
        <w:t>were</w:t>
      </w:r>
      <w:r w:rsidRPr="00754A1D">
        <w:rPr>
          <w:rFonts w:ascii="Times New Roman" w:hAnsi="Times New Roman" w:cs="Times New Roman"/>
          <w:sz w:val="24"/>
          <w:szCs w:val="24"/>
          <w:lang w:val="en-US"/>
        </w:rPr>
        <w:t xml:space="preserve"> evaluated by fitting eq. (1) with the data.</w:t>
      </w:r>
    </w:p>
    <w:p w14:paraId="7510239A" w14:textId="54BBCB39" w:rsidR="0067657B" w:rsidRPr="00754A1D" w:rsidRDefault="00C82A45" w:rsidP="00440DBB">
      <w:pPr>
        <w:tabs>
          <w:tab w:val="left" w:pos="6684"/>
        </w:tabs>
        <w:spacing w:before="240" w:line="480" w:lineRule="auto"/>
        <w:jc w:val="both"/>
        <w:rPr>
          <w:rFonts w:ascii="Times New Roman" w:hAnsi="Times New Roman" w:cs="Times New Roman"/>
          <w:b/>
          <w:sz w:val="24"/>
          <w:szCs w:val="24"/>
          <w:lang w:val="en-US"/>
        </w:rPr>
      </w:pPr>
      <w:r w:rsidRPr="00754A1D">
        <w:rPr>
          <w:rFonts w:ascii="Times New Roman" w:hAnsi="Times New Roman" w:cs="Times New Roman"/>
          <w:b/>
          <w:sz w:val="24"/>
          <w:szCs w:val="24"/>
          <w:lang w:val="en-US"/>
        </w:rPr>
        <w:t>Testing locomotion behavior</w:t>
      </w:r>
      <w:r w:rsidR="00440DBB" w:rsidRPr="00754A1D">
        <w:rPr>
          <w:rFonts w:ascii="Times New Roman" w:hAnsi="Times New Roman" w:cs="Times New Roman"/>
          <w:b/>
          <w:sz w:val="24"/>
          <w:szCs w:val="24"/>
          <w:lang w:val="en-US"/>
        </w:rPr>
        <w:tab/>
      </w:r>
    </w:p>
    <w:p w14:paraId="712E60CB" w14:textId="67A35B7B" w:rsidR="002A0063" w:rsidRPr="00754A1D" w:rsidRDefault="00555AA1" w:rsidP="00C91F9E">
      <w:pPr>
        <w:spacing w:after="0"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Adults of</w:t>
      </w:r>
      <w:r w:rsidRPr="00754A1D">
        <w:rPr>
          <w:rFonts w:ascii="Times New Roman" w:hAnsi="Times New Roman" w:cs="Times New Roman"/>
          <w:i/>
          <w:sz w:val="24"/>
          <w:szCs w:val="24"/>
          <w:lang w:val="en-US"/>
        </w:rPr>
        <w:t xml:space="preserve"> </w:t>
      </w:r>
      <w:r w:rsidR="003D7331" w:rsidRPr="00754A1D">
        <w:rPr>
          <w:rFonts w:ascii="Times New Roman" w:hAnsi="Times New Roman" w:cs="Times New Roman"/>
          <w:i/>
          <w:sz w:val="24"/>
          <w:szCs w:val="24"/>
          <w:lang w:val="en-US"/>
        </w:rPr>
        <w:t xml:space="preserve">S. </w:t>
      </w:r>
      <w:proofErr w:type="spellStart"/>
      <w:r w:rsidR="003D7331" w:rsidRPr="00754A1D">
        <w:rPr>
          <w:rFonts w:ascii="Times New Roman" w:hAnsi="Times New Roman" w:cs="Times New Roman"/>
          <w:i/>
          <w:sz w:val="24"/>
          <w:szCs w:val="24"/>
          <w:lang w:val="en-US"/>
        </w:rPr>
        <w:t>granarius</w:t>
      </w:r>
      <w:proofErr w:type="spellEnd"/>
      <w:r w:rsidR="003D7331" w:rsidRPr="00754A1D">
        <w:rPr>
          <w:rFonts w:ascii="Times New Roman" w:hAnsi="Times New Roman" w:cs="Times New Roman"/>
          <w:sz w:val="24"/>
          <w:szCs w:val="24"/>
          <w:lang w:val="en-US"/>
        </w:rPr>
        <w:t xml:space="preserve"> </w:t>
      </w:r>
      <w:r w:rsidR="00F8512D" w:rsidRPr="00754A1D">
        <w:rPr>
          <w:rFonts w:ascii="Times New Roman" w:hAnsi="Times New Roman" w:cs="Times New Roman"/>
          <w:sz w:val="24"/>
          <w:szCs w:val="24"/>
          <w:lang w:val="en-US"/>
        </w:rPr>
        <w:t xml:space="preserve">(seven to fourteen days post-emergence) were treated </w:t>
      </w:r>
      <w:r w:rsidR="003D7331" w:rsidRPr="00754A1D">
        <w:rPr>
          <w:rFonts w:ascii="Times New Roman" w:hAnsi="Times New Roman" w:cs="Times New Roman"/>
          <w:sz w:val="24"/>
          <w:szCs w:val="24"/>
          <w:lang w:val="en-US"/>
        </w:rPr>
        <w:t>with</w:t>
      </w:r>
      <w:r w:rsidR="00F8512D" w:rsidRPr="00754A1D">
        <w:rPr>
          <w:rFonts w:ascii="Times New Roman" w:hAnsi="Times New Roman" w:cs="Times New Roman"/>
          <w:sz w:val="24"/>
          <w:szCs w:val="24"/>
          <w:lang w:val="en-US"/>
        </w:rPr>
        <w:t xml:space="preserve"> the </w:t>
      </w:r>
      <w:r w:rsidR="003D7331" w:rsidRPr="00754A1D">
        <w:rPr>
          <w:rFonts w:ascii="Times New Roman" w:hAnsi="Times New Roman" w:cs="Times New Roman"/>
          <w:i/>
          <w:sz w:val="24"/>
          <w:szCs w:val="24"/>
          <w:lang w:val="en-US"/>
        </w:rPr>
        <w:t>M. arvensis</w:t>
      </w:r>
      <w:r w:rsidR="003D7331" w:rsidRPr="00754A1D">
        <w:rPr>
          <w:rFonts w:ascii="Times New Roman" w:hAnsi="Times New Roman" w:cs="Times New Roman"/>
          <w:sz w:val="24"/>
          <w:szCs w:val="24"/>
          <w:lang w:val="en-US"/>
        </w:rPr>
        <w:t xml:space="preserve"> EO </w:t>
      </w:r>
      <w:r w:rsidR="00F8512D" w:rsidRPr="00754A1D">
        <w:rPr>
          <w:rFonts w:ascii="Times New Roman" w:hAnsi="Times New Roman" w:cs="Times New Roman"/>
          <w:sz w:val="24"/>
          <w:szCs w:val="24"/>
          <w:lang w:val="en-US"/>
        </w:rPr>
        <w:t>L</w:t>
      </w:r>
      <w:r w:rsidR="002B19C6" w:rsidRPr="00754A1D">
        <w:rPr>
          <w:rFonts w:ascii="Times New Roman" w:hAnsi="Times New Roman" w:cs="Times New Roman"/>
          <w:sz w:val="24"/>
          <w:szCs w:val="24"/>
          <w:lang w:val="en-US"/>
        </w:rPr>
        <w:t>D</w:t>
      </w:r>
      <w:r w:rsidR="00F8512D" w:rsidRPr="00754A1D">
        <w:rPr>
          <w:rFonts w:ascii="Times New Roman" w:hAnsi="Times New Roman" w:cs="Times New Roman"/>
          <w:sz w:val="24"/>
          <w:szCs w:val="24"/>
          <w:vertAlign w:val="subscript"/>
          <w:lang w:val="en-US"/>
        </w:rPr>
        <w:t>50</w:t>
      </w:r>
      <w:r w:rsidR="00F8512D" w:rsidRPr="00754A1D">
        <w:rPr>
          <w:rFonts w:ascii="Times New Roman" w:hAnsi="Times New Roman" w:cs="Times New Roman"/>
          <w:sz w:val="24"/>
          <w:szCs w:val="24"/>
          <w:lang w:val="en-US"/>
        </w:rPr>
        <w:t xml:space="preserve"> </w:t>
      </w:r>
      <w:r w:rsidR="002B19C6" w:rsidRPr="00754A1D">
        <w:rPr>
          <w:rFonts w:ascii="Times New Roman" w:hAnsi="Times New Roman" w:cs="Times New Roman"/>
          <w:sz w:val="24"/>
          <w:szCs w:val="24"/>
          <w:lang w:val="en-US"/>
        </w:rPr>
        <w:t>(</w:t>
      </w:r>
      <w:r w:rsidR="002B19C6" w:rsidRPr="00754A1D">
        <w:rPr>
          <w:rFonts w:ascii="Times New Roman" w:hAnsi="Times New Roman" w:cs="Times New Roman"/>
          <w:bCs/>
          <w:sz w:val="24"/>
          <w:szCs w:val="24"/>
          <w:lang w:val="en-US"/>
        </w:rPr>
        <w:t>55.6 µg/insect</w:t>
      </w:r>
      <w:r w:rsidR="002B19C6" w:rsidRPr="00754A1D">
        <w:rPr>
          <w:rFonts w:ascii="Times New Roman" w:hAnsi="Times New Roman" w:cs="Times New Roman"/>
          <w:sz w:val="24"/>
          <w:szCs w:val="24"/>
          <w:lang w:val="en-US"/>
        </w:rPr>
        <w:t xml:space="preserve">) </w:t>
      </w:r>
      <w:r w:rsidR="00F8512D" w:rsidRPr="00754A1D">
        <w:rPr>
          <w:rFonts w:ascii="Times New Roman" w:hAnsi="Times New Roman" w:cs="Times New Roman"/>
          <w:sz w:val="24"/>
          <w:szCs w:val="24"/>
          <w:lang w:val="en-US"/>
        </w:rPr>
        <w:t>as describe</w:t>
      </w:r>
      <w:r w:rsidR="003D7331" w:rsidRPr="00754A1D">
        <w:rPr>
          <w:rFonts w:ascii="Times New Roman" w:hAnsi="Times New Roman" w:cs="Times New Roman"/>
          <w:sz w:val="24"/>
          <w:szCs w:val="24"/>
          <w:lang w:val="en-US"/>
        </w:rPr>
        <w:t>d</w:t>
      </w:r>
      <w:r w:rsidR="00F8512D" w:rsidRPr="00754A1D">
        <w:rPr>
          <w:rFonts w:ascii="Times New Roman" w:hAnsi="Times New Roman" w:cs="Times New Roman"/>
          <w:sz w:val="24"/>
          <w:szCs w:val="24"/>
          <w:lang w:val="en-US"/>
        </w:rPr>
        <w:t xml:space="preserve"> in</w:t>
      </w:r>
      <w:r w:rsidR="00B70FF7" w:rsidRPr="00754A1D">
        <w:rPr>
          <w:rFonts w:ascii="Times New Roman" w:hAnsi="Times New Roman" w:cs="Times New Roman"/>
          <w:sz w:val="24"/>
          <w:szCs w:val="24"/>
          <w:lang w:val="en-US"/>
        </w:rPr>
        <w:t xml:space="preserve"> the</w:t>
      </w:r>
      <w:r w:rsidR="00F8512D" w:rsidRPr="00754A1D">
        <w:rPr>
          <w:rFonts w:ascii="Times New Roman" w:hAnsi="Times New Roman" w:cs="Times New Roman"/>
          <w:sz w:val="24"/>
          <w:szCs w:val="24"/>
          <w:lang w:val="en-US"/>
        </w:rPr>
        <w:t xml:space="preserve"> </w:t>
      </w:r>
      <w:r w:rsidRPr="00754A1D">
        <w:rPr>
          <w:rFonts w:ascii="Times New Roman" w:hAnsi="Times New Roman" w:cs="Times New Roman"/>
          <w:sz w:val="24"/>
          <w:szCs w:val="24"/>
          <w:lang w:val="en-US"/>
        </w:rPr>
        <w:t xml:space="preserve">section </w:t>
      </w:r>
      <w:r w:rsidR="00F8512D" w:rsidRPr="00754A1D">
        <w:rPr>
          <w:rFonts w:ascii="Times New Roman" w:hAnsi="Times New Roman" w:cs="Times New Roman"/>
          <w:sz w:val="24"/>
          <w:szCs w:val="24"/>
          <w:lang w:val="en-US"/>
        </w:rPr>
        <w:t xml:space="preserve">“contact toxicity test”. </w:t>
      </w:r>
      <w:r w:rsidR="00A4332D" w:rsidRPr="00754A1D">
        <w:rPr>
          <w:rFonts w:ascii="Times New Roman" w:hAnsi="Times New Roman" w:cs="Times New Roman"/>
          <w:sz w:val="24"/>
          <w:szCs w:val="24"/>
          <w:lang w:val="en-US"/>
        </w:rPr>
        <w:t xml:space="preserve">To assess the impact of the treatment on </w:t>
      </w:r>
      <w:r w:rsidR="00B70FF7" w:rsidRPr="00754A1D">
        <w:rPr>
          <w:rFonts w:ascii="Times New Roman" w:hAnsi="Times New Roman" w:cs="Times New Roman"/>
          <w:sz w:val="24"/>
          <w:szCs w:val="24"/>
          <w:lang w:val="en-US"/>
        </w:rPr>
        <w:t>locomotor</w:t>
      </w:r>
      <w:r w:rsidR="00A4332D" w:rsidRPr="00754A1D">
        <w:rPr>
          <w:rFonts w:ascii="Times New Roman" w:hAnsi="Times New Roman" w:cs="Times New Roman"/>
          <w:sz w:val="24"/>
          <w:szCs w:val="24"/>
          <w:lang w:val="en-US"/>
        </w:rPr>
        <w:t xml:space="preserve"> behavior</w:t>
      </w:r>
      <w:r w:rsidR="003D7331" w:rsidRPr="00754A1D">
        <w:rPr>
          <w:rFonts w:ascii="Times New Roman" w:hAnsi="Times New Roman" w:cs="Times New Roman"/>
          <w:sz w:val="24"/>
          <w:szCs w:val="24"/>
          <w:lang w:val="en-US"/>
        </w:rPr>
        <w:t xml:space="preserve"> of </w:t>
      </w:r>
      <w:r w:rsidR="003D7331" w:rsidRPr="00754A1D">
        <w:rPr>
          <w:rFonts w:ascii="Times New Roman" w:hAnsi="Times New Roman" w:cs="Times New Roman"/>
          <w:i/>
          <w:sz w:val="24"/>
          <w:szCs w:val="24"/>
          <w:lang w:val="en-US"/>
        </w:rPr>
        <w:t xml:space="preserve">S. </w:t>
      </w:r>
      <w:proofErr w:type="spellStart"/>
      <w:r w:rsidR="003D7331" w:rsidRPr="00754A1D">
        <w:rPr>
          <w:rFonts w:ascii="Times New Roman" w:hAnsi="Times New Roman" w:cs="Times New Roman"/>
          <w:i/>
          <w:sz w:val="24"/>
          <w:szCs w:val="24"/>
          <w:lang w:val="en-US"/>
        </w:rPr>
        <w:t>granarius</w:t>
      </w:r>
      <w:proofErr w:type="spellEnd"/>
      <w:r w:rsidR="00A4332D" w:rsidRPr="00754A1D">
        <w:rPr>
          <w:rFonts w:ascii="Times New Roman" w:hAnsi="Times New Roman" w:cs="Times New Roman"/>
          <w:sz w:val="24"/>
          <w:szCs w:val="24"/>
          <w:lang w:val="en-US"/>
        </w:rPr>
        <w:t xml:space="preserve">, each treated </w:t>
      </w:r>
      <w:r w:rsidR="003D7331" w:rsidRPr="00754A1D">
        <w:rPr>
          <w:rFonts w:ascii="Times New Roman" w:hAnsi="Times New Roman" w:cs="Times New Roman"/>
          <w:sz w:val="24"/>
          <w:szCs w:val="24"/>
          <w:lang w:val="en-US"/>
        </w:rPr>
        <w:t xml:space="preserve">adult </w:t>
      </w:r>
      <w:r w:rsidR="00A4332D" w:rsidRPr="00754A1D">
        <w:rPr>
          <w:rFonts w:ascii="Times New Roman" w:hAnsi="Times New Roman" w:cs="Times New Roman"/>
          <w:sz w:val="24"/>
          <w:szCs w:val="24"/>
          <w:lang w:val="en-US"/>
        </w:rPr>
        <w:t xml:space="preserve">was individually </w:t>
      </w:r>
      <w:r w:rsidRPr="00754A1D">
        <w:rPr>
          <w:rFonts w:ascii="Times New Roman" w:hAnsi="Times New Roman" w:cs="Times New Roman"/>
          <w:sz w:val="24"/>
          <w:szCs w:val="24"/>
          <w:lang w:val="en-US"/>
        </w:rPr>
        <w:t xml:space="preserve">placed </w:t>
      </w:r>
      <w:r w:rsidR="00A4332D" w:rsidRPr="00754A1D">
        <w:rPr>
          <w:rFonts w:ascii="Times New Roman" w:hAnsi="Times New Roman" w:cs="Times New Roman"/>
          <w:sz w:val="24"/>
          <w:szCs w:val="24"/>
          <w:lang w:val="en-US"/>
        </w:rPr>
        <w:t>in a glass Petri dish (Ø 90 mm × 15 mm)</w:t>
      </w:r>
      <w:r w:rsidR="00B403A9" w:rsidRPr="00754A1D">
        <w:rPr>
          <w:rFonts w:ascii="Times New Roman" w:hAnsi="Times New Roman" w:cs="Times New Roman"/>
          <w:sz w:val="24"/>
          <w:szCs w:val="24"/>
          <w:lang w:val="en-US"/>
        </w:rPr>
        <w:t xml:space="preserve"> </w:t>
      </w:r>
      <w:r w:rsidR="00A4332D" w:rsidRPr="00754A1D">
        <w:rPr>
          <w:rFonts w:ascii="Times New Roman" w:hAnsi="Times New Roman" w:cs="Times New Roman"/>
          <w:sz w:val="24"/>
          <w:szCs w:val="24"/>
          <w:lang w:val="en-US"/>
        </w:rPr>
        <w:t>with an absorbent paper</w:t>
      </w:r>
      <w:r w:rsidR="00B403A9" w:rsidRPr="00754A1D">
        <w:rPr>
          <w:rFonts w:ascii="Times New Roman" w:hAnsi="Times New Roman" w:cs="Times New Roman"/>
          <w:sz w:val="24"/>
          <w:szCs w:val="24"/>
          <w:lang w:val="en-US"/>
        </w:rPr>
        <w:t xml:space="preserve">. </w:t>
      </w:r>
      <w:r w:rsidR="00BE3F06" w:rsidRPr="00754A1D">
        <w:rPr>
          <w:rFonts w:ascii="Times New Roman" w:hAnsi="Times New Roman" w:cs="Times New Roman"/>
          <w:sz w:val="24"/>
          <w:szCs w:val="24"/>
          <w:lang w:val="en-US"/>
        </w:rPr>
        <w:t xml:space="preserve">Four </w:t>
      </w:r>
      <w:r w:rsidR="0047445C" w:rsidRPr="00754A1D">
        <w:rPr>
          <w:rFonts w:ascii="Times New Roman" w:hAnsi="Times New Roman" w:cs="Times New Roman"/>
          <w:sz w:val="24"/>
          <w:szCs w:val="24"/>
          <w:lang w:val="en-US"/>
        </w:rPr>
        <w:t xml:space="preserve">Petri </w:t>
      </w:r>
      <w:r w:rsidR="0047445C" w:rsidRPr="00754A1D">
        <w:rPr>
          <w:rFonts w:ascii="Times New Roman" w:hAnsi="Times New Roman" w:cs="Times New Roman"/>
          <w:sz w:val="24"/>
          <w:szCs w:val="24"/>
          <w:lang w:val="en-US"/>
        </w:rPr>
        <w:lastRenderedPageBreak/>
        <w:t xml:space="preserve">dishes were placed </w:t>
      </w:r>
      <w:r w:rsidR="00B403A9" w:rsidRPr="00754A1D">
        <w:rPr>
          <w:rFonts w:ascii="Times New Roman" w:hAnsi="Times New Roman" w:cs="Times New Roman"/>
          <w:sz w:val="24"/>
          <w:szCs w:val="24"/>
          <w:lang w:val="en-US"/>
        </w:rPr>
        <w:t xml:space="preserve">underneath a Logitech® HD Pro C920 webcam video camera, which recorded </w:t>
      </w:r>
      <w:r w:rsidR="0047445C" w:rsidRPr="00754A1D">
        <w:rPr>
          <w:rFonts w:ascii="Times New Roman" w:hAnsi="Times New Roman" w:cs="Times New Roman"/>
          <w:i/>
          <w:sz w:val="24"/>
          <w:szCs w:val="24"/>
          <w:lang w:val="en-US"/>
        </w:rPr>
        <w:t>S. granarius</w:t>
      </w:r>
      <w:r w:rsidR="00B403A9" w:rsidRPr="00754A1D">
        <w:rPr>
          <w:rFonts w:ascii="Times New Roman" w:hAnsi="Times New Roman" w:cs="Times New Roman"/>
          <w:sz w:val="24"/>
          <w:szCs w:val="24"/>
          <w:lang w:val="en-US"/>
        </w:rPr>
        <w:t xml:space="preserve"> activity </w:t>
      </w:r>
      <w:r w:rsidR="00A4332D" w:rsidRPr="00754A1D">
        <w:rPr>
          <w:rFonts w:ascii="Times New Roman" w:hAnsi="Times New Roman" w:cs="Times New Roman"/>
          <w:sz w:val="24"/>
          <w:szCs w:val="24"/>
          <w:lang w:val="en-US"/>
        </w:rPr>
        <w:t>for 24 hours</w:t>
      </w:r>
      <w:r w:rsidR="00BE3F06" w:rsidRPr="00754A1D">
        <w:rPr>
          <w:rFonts w:ascii="Times New Roman" w:hAnsi="Times New Roman" w:cs="Times New Roman"/>
          <w:sz w:val="24"/>
          <w:szCs w:val="24"/>
          <w:lang w:val="en-US"/>
        </w:rPr>
        <w:t xml:space="preserve"> at one </w:t>
      </w:r>
      <w:r w:rsidRPr="00754A1D">
        <w:rPr>
          <w:rFonts w:ascii="Times New Roman" w:hAnsi="Times New Roman" w:cs="Times New Roman"/>
          <w:sz w:val="24"/>
          <w:szCs w:val="24"/>
          <w:lang w:val="en-US"/>
        </w:rPr>
        <w:t>frame</w:t>
      </w:r>
      <w:r w:rsidR="00BE3F06" w:rsidRPr="00754A1D">
        <w:rPr>
          <w:rFonts w:ascii="Times New Roman" w:hAnsi="Times New Roman" w:cs="Times New Roman"/>
          <w:sz w:val="24"/>
          <w:szCs w:val="24"/>
          <w:lang w:val="en-US"/>
        </w:rPr>
        <w:t xml:space="preserve"> per second</w:t>
      </w:r>
      <w:r w:rsidR="00A4332D" w:rsidRPr="00754A1D">
        <w:rPr>
          <w:rFonts w:ascii="Times New Roman" w:hAnsi="Times New Roman" w:cs="Times New Roman"/>
          <w:sz w:val="24"/>
          <w:szCs w:val="24"/>
          <w:lang w:val="en-US"/>
        </w:rPr>
        <w:t xml:space="preserve">. To avoid </w:t>
      </w:r>
      <w:r w:rsidR="003D7331" w:rsidRPr="00754A1D">
        <w:rPr>
          <w:rFonts w:ascii="Times New Roman" w:hAnsi="Times New Roman" w:cs="Times New Roman"/>
          <w:sz w:val="24"/>
          <w:szCs w:val="24"/>
          <w:lang w:val="en-US"/>
        </w:rPr>
        <w:t>any external</w:t>
      </w:r>
      <w:r w:rsidR="00A4332D" w:rsidRPr="00754A1D">
        <w:rPr>
          <w:rFonts w:ascii="Times New Roman" w:hAnsi="Times New Roman" w:cs="Times New Roman"/>
          <w:sz w:val="24"/>
          <w:szCs w:val="24"/>
          <w:lang w:val="en-US"/>
        </w:rPr>
        <w:t xml:space="preserve"> influenc</w:t>
      </w:r>
      <w:r w:rsidR="00BE3F06" w:rsidRPr="00754A1D">
        <w:rPr>
          <w:rFonts w:ascii="Times New Roman" w:hAnsi="Times New Roman" w:cs="Times New Roman"/>
          <w:sz w:val="24"/>
          <w:szCs w:val="24"/>
          <w:lang w:val="en-US"/>
        </w:rPr>
        <w:t>e</w:t>
      </w:r>
      <w:r w:rsidR="00A4332D" w:rsidRPr="00754A1D">
        <w:rPr>
          <w:rFonts w:ascii="Times New Roman" w:hAnsi="Times New Roman" w:cs="Times New Roman"/>
          <w:sz w:val="24"/>
          <w:szCs w:val="24"/>
          <w:lang w:val="en-US"/>
        </w:rPr>
        <w:t xml:space="preserve"> on the </w:t>
      </w:r>
      <w:r w:rsidRPr="00754A1D">
        <w:rPr>
          <w:rFonts w:ascii="Times New Roman" w:hAnsi="Times New Roman" w:cs="Times New Roman"/>
          <w:sz w:val="24"/>
          <w:szCs w:val="24"/>
          <w:lang w:val="en-US"/>
        </w:rPr>
        <w:t xml:space="preserve">insects’ </w:t>
      </w:r>
      <w:r w:rsidR="00A4332D" w:rsidRPr="00754A1D">
        <w:rPr>
          <w:rFonts w:ascii="Times New Roman" w:hAnsi="Times New Roman" w:cs="Times New Roman"/>
          <w:sz w:val="24"/>
          <w:szCs w:val="24"/>
          <w:lang w:val="en-US"/>
        </w:rPr>
        <w:t xml:space="preserve">behavior, </w:t>
      </w:r>
      <w:r w:rsidR="00BE3F06" w:rsidRPr="00754A1D">
        <w:rPr>
          <w:rFonts w:ascii="Times New Roman" w:hAnsi="Times New Roman" w:cs="Times New Roman"/>
          <w:sz w:val="24"/>
          <w:szCs w:val="24"/>
          <w:lang w:val="en-US"/>
        </w:rPr>
        <w:t xml:space="preserve">each Petri dish was surrounded by walls of </w:t>
      </w:r>
      <w:r w:rsidR="00440DBB" w:rsidRPr="00754A1D">
        <w:rPr>
          <w:rFonts w:ascii="Times New Roman" w:hAnsi="Times New Roman" w:cs="Times New Roman"/>
          <w:sz w:val="24"/>
          <w:szCs w:val="24"/>
          <w:lang w:val="en-US"/>
        </w:rPr>
        <w:t>2</w:t>
      </w:r>
      <w:r w:rsidR="00BE3F06" w:rsidRPr="00754A1D">
        <w:rPr>
          <w:rFonts w:ascii="Times New Roman" w:hAnsi="Times New Roman" w:cs="Times New Roman"/>
          <w:sz w:val="24"/>
          <w:szCs w:val="24"/>
          <w:lang w:val="en-US"/>
        </w:rPr>
        <w:t xml:space="preserve"> cm of height and the four Petri dishes were enclosed in a box illuminated by a red light. </w:t>
      </w:r>
      <w:r w:rsidR="00B70FF7" w:rsidRPr="00754A1D">
        <w:rPr>
          <w:rFonts w:ascii="Times New Roman" w:hAnsi="Times New Roman" w:cs="Times New Roman"/>
          <w:sz w:val="24"/>
          <w:szCs w:val="24"/>
          <w:lang w:val="en-US"/>
        </w:rPr>
        <w:t>A</w:t>
      </w:r>
      <w:r w:rsidR="00BE3F06" w:rsidRPr="00754A1D">
        <w:rPr>
          <w:rFonts w:ascii="Times New Roman" w:hAnsi="Times New Roman" w:cs="Times New Roman"/>
          <w:sz w:val="24"/>
          <w:szCs w:val="24"/>
          <w:lang w:val="en-US"/>
        </w:rPr>
        <w:t xml:space="preserve"> video recording consisted of three treated individuals and one untreated individual (control) placed at random. </w:t>
      </w:r>
      <w:r w:rsidR="00B70FF7" w:rsidRPr="00754A1D">
        <w:rPr>
          <w:rFonts w:ascii="Times New Roman" w:hAnsi="Times New Roman" w:cs="Times New Roman"/>
          <w:sz w:val="24"/>
          <w:szCs w:val="24"/>
          <w:lang w:val="en-US"/>
        </w:rPr>
        <w:t xml:space="preserve">A total of </w:t>
      </w:r>
      <w:r w:rsidR="009010E1" w:rsidRPr="00754A1D">
        <w:rPr>
          <w:rFonts w:ascii="Times New Roman" w:hAnsi="Times New Roman" w:cs="Times New Roman"/>
          <w:sz w:val="24"/>
          <w:szCs w:val="24"/>
          <w:lang w:val="en-US"/>
        </w:rPr>
        <w:t xml:space="preserve">54 </w:t>
      </w:r>
      <w:r w:rsidR="00B70FF7" w:rsidRPr="00754A1D">
        <w:rPr>
          <w:rFonts w:ascii="Times New Roman" w:hAnsi="Times New Roman" w:cs="Times New Roman"/>
          <w:sz w:val="24"/>
          <w:szCs w:val="24"/>
          <w:lang w:val="en-US"/>
        </w:rPr>
        <w:t>replicates</w:t>
      </w:r>
      <w:r w:rsidR="009010E1" w:rsidRPr="00754A1D">
        <w:rPr>
          <w:rFonts w:ascii="Times New Roman" w:hAnsi="Times New Roman" w:cs="Times New Roman"/>
          <w:sz w:val="24"/>
          <w:szCs w:val="24"/>
          <w:lang w:val="en-US"/>
        </w:rPr>
        <w:t xml:space="preserve"> were performed f</w:t>
      </w:r>
      <w:r w:rsidR="00CF4752" w:rsidRPr="00754A1D">
        <w:rPr>
          <w:rFonts w:ascii="Times New Roman" w:hAnsi="Times New Roman" w:cs="Times New Roman"/>
          <w:sz w:val="24"/>
          <w:szCs w:val="24"/>
          <w:lang w:val="en-US"/>
        </w:rPr>
        <w:t xml:space="preserve">or </w:t>
      </w:r>
      <w:r w:rsidR="009010E1" w:rsidRPr="00754A1D">
        <w:rPr>
          <w:rFonts w:ascii="Times New Roman" w:hAnsi="Times New Roman" w:cs="Times New Roman"/>
          <w:sz w:val="24"/>
          <w:szCs w:val="24"/>
          <w:lang w:val="en-US"/>
        </w:rPr>
        <w:t xml:space="preserve">treatment with </w:t>
      </w:r>
      <w:r w:rsidR="009010E1" w:rsidRPr="00754A1D">
        <w:rPr>
          <w:rFonts w:ascii="Times New Roman" w:hAnsi="Times New Roman" w:cs="Times New Roman"/>
          <w:i/>
          <w:sz w:val="24"/>
          <w:szCs w:val="24"/>
          <w:lang w:val="en-US"/>
        </w:rPr>
        <w:t xml:space="preserve">M. arvensis </w:t>
      </w:r>
      <w:r w:rsidR="009010E1" w:rsidRPr="00754A1D">
        <w:rPr>
          <w:rFonts w:ascii="Times New Roman" w:hAnsi="Times New Roman" w:cs="Times New Roman"/>
          <w:sz w:val="24"/>
          <w:szCs w:val="24"/>
          <w:lang w:val="en-US"/>
        </w:rPr>
        <w:t xml:space="preserve">EO </w:t>
      </w:r>
      <w:r w:rsidR="00CF4752" w:rsidRPr="00754A1D">
        <w:rPr>
          <w:rFonts w:ascii="Times New Roman" w:hAnsi="Times New Roman" w:cs="Times New Roman"/>
          <w:sz w:val="24"/>
          <w:szCs w:val="24"/>
          <w:lang w:val="en-US"/>
        </w:rPr>
        <w:t xml:space="preserve">and 18 </w:t>
      </w:r>
      <w:r w:rsidR="004F473A" w:rsidRPr="00754A1D">
        <w:rPr>
          <w:rFonts w:ascii="Times New Roman" w:hAnsi="Times New Roman" w:cs="Times New Roman"/>
          <w:sz w:val="24"/>
          <w:szCs w:val="24"/>
          <w:lang w:val="en-US"/>
        </w:rPr>
        <w:t>replicates</w:t>
      </w:r>
      <w:r w:rsidR="009010E1" w:rsidRPr="00754A1D">
        <w:rPr>
          <w:rFonts w:ascii="Times New Roman" w:hAnsi="Times New Roman" w:cs="Times New Roman"/>
          <w:sz w:val="24"/>
          <w:szCs w:val="24"/>
          <w:lang w:val="en-US"/>
        </w:rPr>
        <w:t xml:space="preserve"> for </w:t>
      </w:r>
      <w:r w:rsidR="00CF4752" w:rsidRPr="00754A1D">
        <w:rPr>
          <w:rFonts w:ascii="Times New Roman" w:hAnsi="Times New Roman" w:cs="Times New Roman"/>
          <w:sz w:val="24"/>
          <w:szCs w:val="24"/>
          <w:lang w:val="en-US"/>
        </w:rPr>
        <w:t xml:space="preserve">control. </w:t>
      </w:r>
      <w:r w:rsidR="003D7331" w:rsidRPr="00754A1D">
        <w:rPr>
          <w:rFonts w:ascii="Times New Roman" w:hAnsi="Times New Roman" w:cs="Times New Roman"/>
          <w:sz w:val="24"/>
          <w:szCs w:val="24"/>
          <w:lang w:val="en-US"/>
        </w:rPr>
        <w:t>The e</w:t>
      </w:r>
      <w:r w:rsidR="00A4332D" w:rsidRPr="00754A1D">
        <w:rPr>
          <w:rFonts w:ascii="Times New Roman" w:hAnsi="Times New Roman" w:cs="Times New Roman"/>
          <w:sz w:val="24"/>
          <w:szCs w:val="24"/>
          <w:lang w:val="en-US"/>
        </w:rPr>
        <w:t xml:space="preserve">xperiments were conducted at </w:t>
      </w:r>
      <w:r w:rsidR="003D7331" w:rsidRPr="00754A1D">
        <w:rPr>
          <w:rFonts w:ascii="Times New Roman" w:hAnsi="Times New Roman" w:cs="Times New Roman"/>
          <w:sz w:val="24"/>
          <w:szCs w:val="24"/>
          <w:lang w:val="en-US"/>
        </w:rPr>
        <w:t>room</w:t>
      </w:r>
      <w:r w:rsidR="00A4332D" w:rsidRPr="00754A1D">
        <w:rPr>
          <w:rFonts w:ascii="Times New Roman" w:hAnsi="Times New Roman" w:cs="Times New Roman"/>
          <w:sz w:val="24"/>
          <w:szCs w:val="24"/>
          <w:lang w:val="en-US"/>
        </w:rPr>
        <w:t xml:space="preserve"> temperature (24 ± 1 °C). </w:t>
      </w:r>
      <w:r w:rsidR="00C91F9E" w:rsidRPr="00754A1D">
        <w:rPr>
          <w:rFonts w:ascii="Times New Roman" w:hAnsi="Times New Roman" w:cs="Times New Roman"/>
          <w:sz w:val="24"/>
          <w:szCs w:val="24"/>
          <w:lang w:val="en-US"/>
        </w:rPr>
        <w:t>V</w:t>
      </w:r>
      <w:r w:rsidR="00A4332D" w:rsidRPr="00754A1D">
        <w:rPr>
          <w:rFonts w:ascii="Times New Roman" w:hAnsi="Times New Roman" w:cs="Times New Roman"/>
          <w:sz w:val="24"/>
          <w:szCs w:val="24"/>
          <w:lang w:val="en-US"/>
        </w:rPr>
        <w:t xml:space="preserve">ideo </w:t>
      </w:r>
      <w:r w:rsidR="00C91F9E" w:rsidRPr="00754A1D">
        <w:rPr>
          <w:rFonts w:ascii="Times New Roman" w:hAnsi="Times New Roman" w:cs="Times New Roman"/>
          <w:sz w:val="24"/>
          <w:szCs w:val="24"/>
          <w:lang w:val="en-US"/>
        </w:rPr>
        <w:t xml:space="preserve">tracking </w:t>
      </w:r>
      <w:r w:rsidR="00A4332D" w:rsidRPr="00754A1D">
        <w:rPr>
          <w:rFonts w:ascii="Times New Roman" w:hAnsi="Times New Roman" w:cs="Times New Roman"/>
          <w:sz w:val="24"/>
          <w:szCs w:val="24"/>
          <w:lang w:val="en-US"/>
        </w:rPr>
        <w:t xml:space="preserve">was conducted </w:t>
      </w:r>
      <w:r w:rsidR="009010E1" w:rsidRPr="00754A1D">
        <w:rPr>
          <w:rFonts w:ascii="Times New Roman" w:hAnsi="Times New Roman" w:cs="Times New Roman"/>
          <w:sz w:val="24"/>
          <w:szCs w:val="24"/>
          <w:lang w:val="en-US"/>
        </w:rPr>
        <w:t xml:space="preserve">with Python code using OpenCV4, which finds the contour of the individual and </w:t>
      </w:r>
      <w:r w:rsidRPr="00754A1D">
        <w:rPr>
          <w:rFonts w:ascii="Times New Roman" w:hAnsi="Times New Roman" w:cs="Times New Roman"/>
          <w:sz w:val="24"/>
          <w:szCs w:val="24"/>
          <w:lang w:val="en-US"/>
        </w:rPr>
        <w:t>evaluates</w:t>
      </w:r>
      <w:r w:rsidR="009010E1" w:rsidRPr="00754A1D">
        <w:rPr>
          <w:rFonts w:ascii="Times New Roman" w:hAnsi="Times New Roman" w:cs="Times New Roman"/>
          <w:sz w:val="24"/>
          <w:szCs w:val="24"/>
          <w:lang w:val="en-US"/>
        </w:rPr>
        <w:t xml:space="preserve"> its centroid coordinates </w:t>
      </w:r>
      <w:r w:rsidR="002D5D06" w:rsidRPr="00754A1D">
        <w:rPr>
          <w:rFonts w:ascii="Times New Roman" w:hAnsi="Times New Roman" w:cs="Times New Roman"/>
          <w:sz w:val="24"/>
          <w:szCs w:val="24"/>
          <w:lang w:val="en-US"/>
        </w:rPr>
        <w:t>(</w:t>
      </w:r>
      <w:proofErr w:type="spellStart"/>
      <w:r w:rsidR="002D5D06" w:rsidRPr="00754A1D">
        <w:rPr>
          <w:rFonts w:ascii="Cambria" w:hAnsi="Cambria" w:cs="Times New Roman"/>
          <w:i/>
          <w:sz w:val="24"/>
          <w:szCs w:val="24"/>
          <w:lang w:val="en-US"/>
        </w:rPr>
        <w:t>x</w:t>
      </w:r>
      <w:r w:rsidR="002D5D06" w:rsidRPr="00754A1D">
        <w:rPr>
          <w:rFonts w:ascii="Cambria" w:hAnsi="Cambria" w:cs="Times New Roman"/>
          <w:i/>
          <w:sz w:val="24"/>
          <w:szCs w:val="24"/>
          <w:vertAlign w:val="subscript"/>
          <w:lang w:val="en-US"/>
        </w:rPr>
        <w:t>t</w:t>
      </w:r>
      <w:proofErr w:type="spellEnd"/>
      <w:r w:rsidR="002D5D06" w:rsidRPr="00754A1D">
        <w:rPr>
          <w:rFonts w:ascii="Cambria" w:hAnsi="Cambria" w:cs="Times New Roman"/>
          <w:i/>
          <w:sz w:val="24"/>
          <w:szCs w:val="24"/>
          <w:lang w:val="en-US"/>
        </w:rPr>
        <w:t xml:space="preserve">, </w:t>
      </w:r>
      <w:proofErr w:type="spellStart"/>
      <w:r w:rsidR="002D5D06" w:rsidRPr="00754A1D">
        <w:rPr>
          <w:rFonts w:ascii="Cambria" w:hAnsi="Cambria" w:cs="Times New Roman"/>
          <w:i/>
          <w:sz w:val="24"/>
          <w:szCs w:val="24"/>
          <w:lang w:val="en-US"/>
        </w:rPr>
        <w:t>y</w:t>
      </w:r>
      <w:r w:rsidR="002D5D06" w:rsidRPr="00754A1D">
        <w:rPr>
          <w:rFonts w:ascii="Cambria" w:hAnsi="Cambria" w:cs="Times New Roman"/>
          <w:i/>
          <w:sz w:val="24"/>
          <w:szCs w:val="24"/>
          <w:vertAlign w:val="subscript"/>
          <w:lang w:val="en-US"/>
        </w:rPr>
        <w:t>t</w:t>
      </w:r>
      <w:proofErr w:type="spellEnd"/>
      <w:r w:rsidR="002D5D06" w:rsidRPr="00754A1D">
        <w:rPr>
          <w:rFonts w:ascii="Times New Roman" w:hAnsi="Times New Roman" w:cs="Times New Roman"/>
          <w:sz w:val="24"/>
          <w:szCs w:val="24"/>
          <w:lang w:val="en-US"/>
        </w:rPr>
        <w:t xml:space="preserve">) </w:t>
      </w:r>
      <w:r w:rsidR="009010E1" w:rsidRPr="00754A1D">
        <w:rPr>
          <w:rFonts w:ascii="Times New Roman" w:hAnsi="Times New Roman" w:cs="Times New Roman"/>
          <w:sz w:val="24"/>
          <w:szCs w:val="24"/>
          <w:lang w:val="en-US"/>
        </w:rPr>
        <w:t xml:space="preserve">at time </w:t>
      </w:r>
      <w:r w:rsidR="009010E1" w:rsidRPr="00754A1D">
        <w:rPr>
          <w:rFonts w:ascii="Cambria" w:hAnsi="Cambria" w:cs="Times New Roman"/>
          <w:i/>
          <w:sz w:val="24"/>
          <w:szCs w:val="24"/>
          <w:lang w:val="en-US"/>
        </w:rPr>
        <w:t>t</w:t>
      </w:r>
      <w:r w:rsidR="009010E1" w:rsidRPr="00754A1D">
        <w:rPr>
          <w:rFonts w:ascii="Times New Roman" w:hAnsi="Times New Roman" w:cs="Times New Roman"/>
          <w:sz w:val="24"/>
          <w:szCs w:val="24"/>
          <w:lang w:val="en-US"/>
        </w:rPr>
        <w:t xml:space="preserve">. The distance is then calculated using the formula </w:t>
      </w:r>
      <m:oMath>
        <m:r>
          <w:rPr>
            <w:rFonts w:ascii="Cambria Math" w:hAnsi="Cambria Math" w:cs="Times New Roman"/>
            <w:sz w:val="24"/>
            <w:szCs w:val="24"/>
            <w:lang w:val="en-US"/>
          </w:rPr>
          <m:t>d=</m:t>
        </m:r>
        <m:rad>
          <m:radPr>
            <m:degHide m:val="1"/>
            <m:ctrlPr>
              <w:rPr>
                <w:rFonts w:ascii="Cambria Math" w:hAnsi="Cambria Math" w:cs="Times New Roman"/>
                <w:i/>
                <w:sz w:val="24"/>
                <w:szCs w:val="24"/>
                <w:lang w:val="en-US"/>
              </w:rPr>
            </m:ctrlPr>
          </m:radPr>
          <m:deg/>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(x</m:t>
                </m:r>
              </m:e>
              <m:sub>
                <m:r>
                  <w:rPr>
                    <w:rFonts w:ascii="Cambria Math" w:hAnsi="Cambria Math" w:cs="Times New Roman"/>
                    <w:sz w:val="24"/>
                    <w:szCs w:val="24"/>
                    <w:lang w:val="en-US"/>
                  </w:rPr>
                  <m:t>t+1</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x</m:t>
                </m:r>
              </m:e>
              <m:sub>
                <m:r>
                  <w:rPr>
                    <w:rFonts w:ascii="Cambria Math" w:hAnsi="Cambria Math" w:cs="Times New Roman"/>
                    <w:sz w:val="24"/>
                    <w:szCs w:val="24"/>
                    <w:lang w:val="en-US"/>
                  </w:rPr>
                  <m:t>t</m:t>
                </m:r>
              </m:sub>
            </m:sSub>
            <m:r>
              <w:rPr>
                <w:rFonts w:ascii="Cambria Math" w:hAnsi="Cambria Math" w:cs="Times New Roman"/>
                <w:sz w:val="24"/>
                <w:szCs w:val="24"/>
                <w:lang w:val="en-US"/>
              </w:rPr>
              <m:t>)^2+</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(y</m:t>
                </m:r>
              </m:e>
              <m:sub>
                <m:r>
                  <w:rPr>
                    <w:rFonts w:ascii="Cambria Math" w:hAnsi="Cambria Math" w:cs="Times New Roman"/>
                    <w:sz w:val="24"/>
                    <w:szCs w:val="24"/>
                    <w:lang w:val="en-US"/>
                  </w:rPr>
                  <m:t>t+1</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y</m:t>
                </m:r>
              </m:e>
              <m:sub>
                <m:r>
                  <w:rPr>
                    <w:rFonts w:ascii="Cambria Math" w:hAnsi="Cambria Math" w:cs="Times New Roman"/>
                    <w:sz w:val="24"/>
                    <w:szCs w:val="24"/>
                    <w:lang w:val="en-US"/>
                  </w:rPr>
                  <m:t>t</m:t>
                </m:r>
              </m:sub>
            </m:sSub>
            <m:r>
              <w:rPr>
                <w:rFonts w:ascii="Cambria Math" w:hAnsi="Cambria Math" w:cs="Times New Roman"/>
                <w:sz w:val="24"/>
                <w:szCs w:val="24"/>
                <w:lang w:val="en-US"/>
              </w:rPr>
              <m:t>)^2</m:t>
            </m:r>
          </m:e>
        </m:rad>
      </m:oMath>
      <w:r w:rsidR="009010E1" w:rsidRPr="00754A1D">
        <w:rPr>
          <w:rFonts w:ascii="Times New Roman" w:hAnsi="Times New Roman" w:cs="Times New Roman"/>
          <w:sz w:val="24"/>
          <w:szCs w:val="24"/>
          <w:lang w:val="en-US"/>
        </w:rPr>
        <w:t xml:space="preserve"> </w:t>
      </w:r>
      <w:r w:rsidR="00C91F9E" w:rsidRPr="00754A1D">
        <w:rPr>
          <w:rFonts w:ascii="Times New Roman" w:hAnsi="Times New Roman" w:cs="Times New Roman"/>
          <w:sz w:val="24"/>
          <w:szCs w:val="24"/>
          <w:lang w:val="en-US"/>
        </w:rPr>
        <w:t xml:space="preserve">(code availability: </w:t>
      </w:r>
      <w:hyperlink r:id="rId10" w:history="1">
        <w:r w:rsidR="00C91F9E" w:rsidRPr="00754A1D">
          <w:rPr>
            <w:rStyle w:val="Lienhypertexte"/>
            <w:rFonts w:ascii="Times New Roman" w:hAnsi="Times New Roman" w:cs="Times New Roman"/>
            <w:color w:val="auto"/>
            <w:sz w:val="24"/>
            <w:szCs w:val="24"/>
            <w:lang w:val="en-US"/>
          </w:rPr>
          <w:t>https://gitlab.com/abaoula/codes-opencv</w:t>
        </w:r>
      </w:hyperlink>
      <w:r w:rsidR="00C91F9E" w:rsidRPr="00754A1D">
        <w:rPr>
          <w:rFonts w:ascii="Times New Roman" w:hAnsi="Times New Roman" w:cs="Times New Roman"/>
          <w:sz w:val="24"/>
          <w:szCs w:val="24"/>
          <w:lang w:val="en-US"/>
        </w:rPr>
        <w:t xml:space="preserve">). </w:t>
      </w:r>
      <w:r w:rsidR="004F473A" w:rsidRPr="00754A1D">
        <w:rPr>
          <w:rFonts w:ascii="Times New Roman" w:hAnsi="Times New Roman" w:cs="Times New Roman"/>
          <w:sz w:val="24"/>
          <w:szCs w:val="24"/>
          <w:lang w:val="en-US"/>
        </w:rPr>
        <w:t>T</w:t>
      </w:r>
      <w:r w:rsidR="003B36A5" w:rsidRPr="00754A1D">
        <w:rPr>
          <w:rFonts w:ascii="Times New Roman" w:hAnsi="Times New Roman" w:cs="Times New Roman"/>
          <w:sz w:val="24"/>
          <w:szCs w:val="24"/>
          <w:lang w:val="en-US"/>
        </w:rPr>
        <w:t xml:space="preserve">o compare the distribution of the distances and the space visited by treated and untreated individuals, we used a Mann-Whitney U test using SciPy library of Python3.8.1. The distributions were considered significantly different if </w:t>
      </w:r>
      <w:r w:rsidR="003B36A5" w:rsidRPr="00754A1D">
        <w:rPr>
          <w:rFonts w:ascii="Times New Roman" w:hAnsi="Times New Roman" w:cs="Times New Roman"/>
          <w:i/>
          <w:sz w:val="24"/>
          <w:szCs w:val="24"/>
          <w:lang w:val="en-US"/>
        </w:rPr>
        <w:t>p</w:t>
      </w:r>
      <w:r w:rsidR="003B36A5" w:rsidRPr="00754A1D">
        <w:rPr>
          <w:rFonts w:ascii="Times New Roman" w:hAnsi="Times New Roman" w:cs="Times New Roman"/>
          <w:sz w:val="24"/>
          <w:szCs w:val="24"/>
          <w:lang w:val="en-US"/>
        </w:rPr>
        <w:t xml:space="preserve"> </w:t>
      </w:r>
      <w:r w:rsidR="0074490C" w:rsidRPr="00754A1D">
        <w:rPr>
          <w:rFonts w:ascii="Times New Roman" w:hAnsi="Times New Roman" w:cs="Times New Roman"/>
          <w:sz w:val="24"/>
          <w:szCs w:val="24"/>
          <w:lang w:val="en-US"/>
        </w:rPr>
        <w:t>&lt;</w:t>
      </w:r>
      <w:r w:rsidR="003B36A5" w:rsidRPr="00754A1D">
        <w:rPr>
          <w:rFonts w:ascii="Times New Roman" w:hAnsi="Times New Roman" w:cs="Times New Roman"/>
          <w:sz w:val="24"/>
          <w:szCs w:val="24"/>
          <w:lang w:val="en-US"/>
        </w:rPr>
        <w:t xml:space="preserve"> 0.05. </w:t>
      </w:r>
      <w:r w:rsidR="00A4332D" w:rsidRPr="00754A1D">
        <w:rPr>
          <w:rFonts w:ascii="Times New Roman" w:hAnsi="Times New Roman" w:cs="Times New Roman"/>
          <w:sz w:val="24"/>
          <w:szCs w:val="24"/>
          <w:lang w:val="en-US"/>
        </w:rPr>
        <w:t xml:space="preserve"> </w:t>
      </w:r>
    </w:p>
    <w:p w14:paraId="1B44376C" w14:textId="77777777" w:rsidR="002A0063" w:rsidRPr="00754A1D" w:rsidRDefault="002A0063" w:rsidP="002A0063">
      <w:pPr>
        <w:spacing w:before="240" w:line="480" w:lineRule="auto"/>
        <w:jc w:val="both"/>
        <w:rPr>
          <w:rFonts w:ascii="Times New Roman" w:hAnsi="Times New Roman" w:cs="Times New Roman"/>
          <w:b/>
          <w:bCs/>
          <w:sz w:val="24"/>
          <w:szCs w:val="24"/>
          <w:lang w:val="en-US"/>
        </w:rPr>
      </w:pPr>
      <w:r w:rsidRPr="00754A1D">
        <w:rPr>
          <w:rFonts w:ascii="Times New Roman" w:hAnsi="Times New Roman" w:cs="Times New Roman"/>
          <w:b/>
          <w:bCs/>
          <w:i/>
          <w:sz w:val="24"/>
          <w:szCs w:val="24"/>
          <w:lang w:val="en-US"/>
        </w:rPr>
        <w:t>In vivo</w:t>
      </w:r>
      <w:r w:rsidRPr="00754A1D">
        <w:rPr>
          <w:rFonts w:ascii="Times New Roman" w:hAnsi="Times New Roman" w:cs="Times New Roman"/>
          <w:b/>
          <w:bCs/>
          <w:sz w:val="24"/>
          <w:szCs w:val="24"/>
          <w:lang w:val="en-US"/>
        </w:rPr>
        <w:t xml:space="preserve"> cuticular penetration of </w:t>
      </w:r>
      <w:r w:rsidRPr="00754A1D">
        <w:rPr>
          <w:rFonts w:ascii="Times New Roman" w:hAnsi="Times New Roman" w:cs="Times New Roman"/>
          <w:b/>
          <w:bCs/>
          <w:i/>
          <w:sz w:val="24"/>
          <w:szCs w:val="24"/>
          <w:lang w:val="en-US"/>
        </w:rPr>
        <w:t>M. arvensis</w:t>
      </w:r>
      <w:r w:rsidRPr="00754A1D">
        <w:rPr>
          <w:rFonts w:ascii="Times New Roman" w:hAnsi="Times New Roman" w:cs="Times New Roman"/>
          <w:b/>
          <w:bCs/>
          <w:sz w:val="24"/>
          <w:szCs w:val="24"/>
          <w:lang w:val="en-US"/>
        </w:rPr>
        <w:t xml:space="preserve"> EO</w:t>
      </w:r>
    </w:p>
    <w:p w14:paraId="16FB3E16" w14:textId="5AF552CA" w:rsidR="003711B7" w:rsidRPr="00754A1D" w:rsidRDefault="002A0063" w:rsidP="002A0063">
      <w:pPr>
        <w:tabs>
          <w:tab w:val="left" w:pos="3261"/>
        </w:tabs>
        <w:spacing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The penetration of </w:t>
      </w:r>
      <w:r w:rsidRPr="00754A1D">
        <w:rPr>
          <w:rFonts w:ascii="Times New Roman" w:hAnsi="Times New Roman" w:cs="Times New Roman"/>
          <w:bCs/>
          <w:i/>
          <w:sz w:val="24"/>
          <w:szCs w:val="24"/>
          <w:lang w:val="en-US"/>
        </w:rPr>
        <w:t>M. arvensis</w:t>
      </w:r>
      <w:r w:rsidRPr="00754A1D">
        <w:rPr>
          <w:rFonts w:ascii="Times New Roman" w:hAnsi="Times New Roman" w:cs="Times New Roman"/>
          <w:bCs/>
          <w:sz w:val="24"/>
          <w:szCs w:val="24"/>
          <w:lang w:val="en-US"/>
        </w:rPr>
        <w:t xml:space="preserve"> EO through the cuticle and the evolution of the internal quantity after topical application were monitored by GC-MS analyses. In practice, a group of 10 seven to fourteen days post-emergence adults were topically treated with the LC</w:t>
      </w:r>
      <w:r w:rsidRPr="00754A1D">
        <w:rPr>
          <w:rFonts w:ascii="Times New Roman" w:hAnsi="Times New Roman" w:cs="Times New Roman"/>
          <w:bCs/>
          <w:sz w:val="24"/>
          <w:szCs w:val="24"/>
          <w:vertAlign w:val="subscript"/>
          <w:lang w:val="en-US"/>
        </w:rPr>
        <w:t>50</w:t>
      </w:r>
      <w:r w:rsidRPr="00754A1D">
        <w:rPr>
          <w:rFonts w:ascii="Times New Roman" w:hAnsi="Times New Roman" w:cs="Times New Roman"/>
          <w:bCs/>
          <w:sz w:val="24"/>
          <w:szCs w:val="24"/>
          <w:lang w:val="en-US"/>
        </w:rPr>
        <w:t xml:space="preserve"> (as described in the section “contact toxicity test”). The insects were then left for four different incubation time</w:t>
      </w:r>
      <w:r w:rsidR="0004545A" w:rsidRPr="00754A1D">
        <w:rPr>
          <w:rFonts w:ascii="Times New Roman" w:hAnsi="Times New Roman" w:cs="Times New Roman"/>
          <w:bCs/>
          <w:sz w:val="24"/>
          <w:szCs w:val="24"/>
          <w:lang w:val="en-US"/>
        </w:rPr>
        <w:t>s</w:t>
      </w:r>
      <w:r w:rsidRPr="00754A1D">
        <w:rPr>
          <w:rFonts w:ascii="Times New Roman" w:hAnsi="Times New Roman" w:cs="Times New Roman"/>
          <w:bCs/>
          <w:sz w:val="24"/>
          <w:szCs w:val="24"/>
          <w:lang w:val="en-US"/>
        </w:rPr>
        <w:t>: 0h, 6h, 18h and 24h. Five replicates were performed for each incubation time. After incubation, the 10 insects from each treatment were collected in glass tubes of 20 m</w:t>
      </w:r>
      <w:r w:rsidR="00E0561C" w:rsidRPr="00754A1D">
        <w:rPr>
          <w:rFonts w:ascii="Times New Roman" w:hAnsi="Times New Roman" w:cs="Times New Roman"/>
          <w:bCs/>
          <w:sz w:val="24"/>
          <w:szCs w:val="24"/>
          <w:lang w:val="en-US"/>
        </w:rPr>
        <w:t>L</w:t>
      </w:r>
      <w:r w:rsidRPr="00754A1D">
        <w:rPr>
          <w:rFonts w:ascii="Times New Roman" w:hAnsi="Times New Roman" w:cs="Times New Roman"/>
          <w:bCs/>
          <w:sz w:val="24"/>
          <w:szCs w:val="24"/>
          <w:lang w:val="en-US"/>
        </w:rPr>
        <w:t xml:space="preserve"> and were rinsed 3 times consecutively by 1 m</w:t>
      </w:r>
      <w:r w:rsidR="0004545A" w:rsidRPr="00754A1D">
        <w:rPr>
          <w:rFonts w:ascii="Times New Roman" w:hAnsi="Times New Roman" w:cs="Times New Roman"/>
          <w:bCs/>
          <w:sz w:val="24"/>
          <w:szCs w:val="24"/>
          <w:lang w:val="en-US"/>
        </w:rPr>
        <w:t>L</w:t>
      </w:r>
      <w:r w:rsidRPr="00754A1D">
        <w:rPr>
          <w:rFonts w:ascii="Times New Roman" w:hAnsi="Times New Roman" w:cs="Times New Roman"/>
          <w:bCs/>
          <w:sz w:val="24"/>
          <w:szCs w:val="24"/>
          <w:lang w:val="en-US"/>
        </w:rPr>
        <w:t xml:space="preserve"> of ethanol (1</w:t>
      </w:r>
      <w:r w:rsidRPr="00754A1D">
        <w:rPr>
          <w:rFonts w:ascii="Times New Roman" w:hAnsi="Times New Roman" w:cs="Times New Roman"/>
          <w:bCs/>
          <w:sz w:val="24"/>
          <w:szCs w:val="24"/>
          <w:vertAlign w:val="superscript"/>
          <w:lang w:val="en-US"/>
        </w:rPr>
        <w:t>st</w:t>
      </w:r>
      <w:r w:rsidRPr="00754A1D">
        <w:rPr>
          <w:rFonts w:ascii="Times New Roman" w:hAnsi="Times New Roman" w:cs="Times New Roman"/>
          <w:bCs/>
          <w:sz w:val="24"/>
          <w:szCs w:val="24"/>
          <w:lang w:val="en-US"/>
        </w:rPr>
        <w:t xml:space="preserve"> fraction), 1 </w:t>
      </w:r>
      <w:r w:rsidR="0004545A" w:rsidRPr="00754A1D">
        <w:rPr>
          <w:rFonts w:ascii="Times New Roman" w:hAnsi="Times New Roman" w:cs="Times New Roman"/>
          <w:bCs/>
          <w:sz w:val="24"/>
          <w:szCs w:val="24"/>
          <w:lang w:val="en-US"/>
        </w:rPr>
        <w:t>mL</w:t>
      </w:r>
      <w:r w:rsidRPr="00754A1D">
        <w:rPr>
          <w:rFonts w:ascii="Times New Roman" w:hAnsi="Times New Roman" w:cs="Times New Roman"/>
          <w:bCs/>
          <w:sz w:val="24"/>
          <w:szCs w:val="24"/>
          <w:lang w:val="en-US"/>
        </w:rPr>
        <w:t xml:space="preserve"> of hexane (2</w:t>
      </w:r>
      <w:r w:rsidRPr="00754A1D">
        <w:rPr>
          <w:rFonts w:ascii="Times New Roman" w:hAnsi="Times New Roman" w:cs="Times New Roman"/>
          <w:bCs/>
          <w:sz w:val="24"/>
          <w:szCs w:val="24"/>
          <w:vertAlign w:val="superscript"/>
          <w:lang w:val="en-US"/>
        </w:rPr>
        <w:t>nd</w:t>
      </w:r>
      <w:r w:rsidRPr="00754A1D">
        <w:rPr>
          <w:rFonts w:ascii="Times New Roman" w:hAnsi="Times New Roman" w:cs="Times New Roman"/>
          <w:bCs/>
          <w:sz w:val="24"/>
          <w:szCs w:val="24"/>
          <w:lang w:val="en-US"/>
        </w:rPr>
        <w:t xml:space="preserve"> fraction) and 1 m</w:t>
      </w:r>
      <w:r w:rsidR="0004545A" w:rsidRPr="00754A1D">
        <w:rPr>
          <w:rFonts w:ascii="Times New Roman" w:hAnsi="Times New Roman" w:cs="Times New Roman"/>
          <w:bCs/>
          <w:sz w:val="24"/>
          <w:szCs w:val="24"/>
          <w:lang w:val="en-US"/>
        </w:rPr>
        <w:t>L</w:t>
      </w:r>
      <w:r w:rsidRPr="00754A1D">
        <w:rPr>
          <w:rFonts w:ascii="Times New Roman" w:hAnsi="Times New Roman" w:cs="Times New Roman"/>
          <w:bCs/>
          <w:sz w:val="24"/>
          <w:szCs w:val="24"/>
          <w:lang w:val="en-US"/>
        </w:rPr>
        <w:t xml:space="preserve"> of hexane (3</w:t>
      </w:r>
      <w:r w:rsidRPr="00754A1D">
        <w:rPr>
          <w:rFonts w:ascii="Times New Roman" w:hAnsi="Times New Roman" w:cs="Times New Roman"/>
          <w:bCs/>
          <w:sz w:val="24"/>
          <w:szCs w:val="24"/>
          <w:vertAlign w:val="superscript"/>
          <w:lang w:val="en-US"/>
        </w:rPr>
        <w:t>rd</w:t>
      </w:r>
      <w:r w:rsidRPr="00754A1D">
        <w:rPr>
          <w:rFonts w:ascii="Times New Roman" w:hAnsi="Times New Roman" w:cs="Times New Roman"/>
          <w:bCs/>
          <w:sz w:val="24"/>
          <w:szCs w:val="24"/>
          <w:lang w:val="en-US"/>
        </w:rPr>
        <w:t xml:space="preserve"> fraction) before being crushed and extracted by 1 m</w:t>
      </w:r>
      <w:r w:rsidR="0004545A" w:rsidRPr="00754A1D">
        <w:rPr>
          <w:rFonts w:ascii="Times New Roman" w:hAnsi="Times New Roman" w:cs="Times New Roman"/>
          <w:bCs/>
          <w:sz w:val="24"/>
          <w:szCs w:val="24"/>
          <w:lang w:val="en-US"/>
        </w:rPr>
        <w:t>L</w:t>
      </w:r>
      <w:r w:rsidRPr="00754A1D">
        <w:rPr>
          <w:rFonts w:ascii="Times New Roman" w:hAnsi="Times New Roman" w:cs="Times New Roman"/>
          <w:bCs/>
          <w:sz w:val="24"/>
          <w:szCs w:val="24"/>
          <w:lang w:val="en-US"/>
        </w:rPr>
        <w:t xml:space="preserve"> of hexane (4</w:t>
      </w:r>
      <w:r w:rsidRPr="00754A1D">
        <w:rPr>
          <w:rFonts w:ascii="Times New Roman" w:hAnsi="Times New Roman" w:cs="Times New Roman"/>
          <w:bCs/>
          <w:sz w:val="24"/>
          <w:szCs w:val="24"/>
          <w:vertAlign w:val="superscript"/>
          <w:lang w:val="en-US"/>
        </w:rPr>
        <w:t>th</w:t>
      </w:r>
      <w:r w:rsidRPr="00754A1D">
        <w:rPr>
          <w:rFonts w:ascii="Times New Roman" w:hAnsi="Times New Roman" w:cs="Times New Roman"/>
          <w:bCs/>
          <w:sz w:val="24"/>
          <w:szCs w:val="24"/>
          <w:lang w:val="en-US"/>
        </w:rPr>
        <w:t xml:space="preserve"> fraction). Phenyl octane was used as an internal standard and added to each fraction. All four fractions were analyzed by GC-MS and quantification was performed using menthol standard calibration </w:t>
      </w:r>
      <w:r w:rsidRPr="00754A1D">
        <w:rPr>
          <w:rFonts w:ascii="Times New Roman" w:hAnsi="Times New Roman" w:cs="Times New Roman"/>
          <w:bCs/>
          <w:sz w:val="24"/>
          <w:szCs w:val="24"/>
          <w:lang w:val="en-US"/>
        </w:rPr>
        <w:lastRenderedPageBreak/>
        <w:t xml:space="preserve">curves. </w:t>
      </w:r>
      <w:r w:rsidRPr="00754A1D">
        <w:rPr>
          <w:rFonts w:ascii="Times New Roman" w:hAnsi="Times New Roman" w:cs="Times New Roman"/>
          <w:sz w:val="24"/>
          <w:szCs w:val="24"/>
          <w:lang w:val="en-US"/>
        </w:rPr>
        <w:t xml:space="preserve">The GC-MS used was an Agilent GC </w:t>
      </w:r>
      <w:proofErr w:type="spellStart"/>
      <w:r w:rsidRPr="00754A1D">
        <w:rPr>
          <w:rFonts w:ascii="Times New Roman" w:hAnsi="Times New Roman" w:cs="Times New Roman"/>
          <w:sz w:val="24"/>
          <w:szCs w:val="24"/>
          <w:lang w:val="en-US"/>
        </w:rPr>
        <w:t>sytem</w:t>
      </w:r>
      <w:proofErr w:type="spellEnd"/>
      <w:r w:rsidRPr="00754A1D">
        <w:rPr>
          <w:rFonts w:ascii="Times New Roman" w:hAnsi="Times New Roman" w:cs="Times New Roman"/>
          <w:sz w:val="24"/>
          <w:szCs w:val="24"/>
          <w:lang w:val="en-US"/>
        </w:rPr>
        <w:t xml:space="preserve"> 7890B </w:t>
      </w:r>
      <w:r w:rsidR="0004545A" w:rsidRPr="00754A1D">
        <w:rPr>
          <w:rFonts w:ascii="Times New Roman" w:hAnsi="Times New Roman" w:cs="Times New Roman"/>
          <w:sz w:val="24"/>
          <w:szCs w:val="24"/>
          <w:lang w:val="en-US"/>
        </w:rPr>
        <w:t xml:space="preserve">(Agilent, Santa Clara, CA, USA) </w:t>
      </w:r>
      <w:r w:rsidRPr="00754A1D">
        <w:rPr>
          <w:rFonts w:ascii="Times New Roman" w:hAnsi="Times New Roman" w:cs="Times New Roman"/>
          <w:sz w:val="24"/>
          <w:szCs w:val="24"/>
          <w:lang w:val="en-US"/>
        </w:rPr>
        <w:t xml:space="preserve">in </w:t>
      </w:r>
      <w:proofErr w:type="spellStart"/>
      <w:r w:rsidRPr="00754A1D">
        <w:rPr>
          <w:rFonts w:ascii="Times New Roman" w:hAnsi="Times New Roman" w:cs="Times New Roman"/>
          <w:sz w:val="24"/>
          <w:szCs w:val="24"/>
          <w:lang w:val="en-US"/>
        </w:rPr>
        <w:t>splitless</w:t>
      </w:r>
      <w:proofErr w:type="spellEnd"/>
      <w:r w:rsidRPr="00754A1D">
        <w:rPr>
          <w:rFonts w:ascii="Times New Roman" w:hAnsi="Times New Roman" w:cs="Times New Roman"/>
          <w:sz w:val="24"/>
          <w:szCs w:val="24"/>
          <w:lang w:val="en-US"/>
        </w:rPr>
        <w:t xml:space="preserve"> injection mode </w:t>
      </w:r>
      <w:r w:rsidR="0004545A" w:rsidRPr="00754A1D">
        <w:rPr>
          <w:rFonts w:ascii="Times New Roman" w:hAnsi="Times New Roman" w:cs="Times New Roman"/>
          <w:sz w:val="24"/>
          <w:szCs w:val="24"/>
          <w:lang w:val="en-US"/>
        </w:rPr>
        <w:t xml:space="preserve">(with an injection volume of 1.0 µl) </w:t>
      </w:r>
      <w:r w:rsidRPr="00754A1D">
        <w:rPr>
          <w:rFonts w:ascii="Times New Roman" w:hAnsi="Times New Roman" w:cs="Times New Roman"/>
          <w:sz w:val="24"/>
          <w:szCs w:val="24"/>
          <w:lang w:val="en-US"/>
        </w:rPr>
        <w:t>coupled with an Agilent MSD 5977B detector</w:t>
      </w:r>
      <w:r w:rsidR="0004545A" w:rsidRPr="00754A1D">
        <w:rPr>
          <w:rFonts w:ascii="Times New Roman" w:hAnsi="Times New Roman" w:cs="Times New Roman"/>
          <w:sz w:val="24"/>
          <w:szCs w:val="24"/>
          <w:lang w:val="en-US"/>
        </w:rPr>
        <w:t xml:space="preserve"> (Agilent, Santa Clara, CA, USA)</w:t>
      </w:r>
      <w:r w:rsidRPr="00754A1D">
        <w:rPr>
          <w:rFonts w:ascii="Times New Roman" w:hAnsi="Times New Roman" w:cs="Times New Roman"/>
          <w:sz w:val="24"/>
          <w:szCs w:val="24"/>
          <w:lang w:val="en-US"/>
        </w:rPr>
        <w:t xml:space="preserve">, with a VF-WAX column </w:t>
      </w:r>
      <w:r w:rsidR="0004545A" w:rsidRPr="00754A1D">
        <w:rPr>
          <w:rFonts w:ascii="Times New Roman" w:hAnsi="Times New Roman" w:cs="Times New Roman"/>
          <w:sz w:val="24"/>
          <w:szCs w:val="24"/>
          <w:lang w:val="en-US"/>
        </w:rPr>
        <w:t xml:space="preserve">(Agilent, Santa Clara, CA, USA) </w:t>
      </w:r>
      <w:r w:rsidRPr="00754A1D">
        <w:rPr>
          <w:rFonts w:ascii="Times New Roman" w:hAnsi="Times New Roman" w:cs="Times New Roman"/>
          <w:sz w:val="24"/>
          <w:szCs w:val="24"/>
          <w:lang w:val="en-US"/>
        </w:rPr>
        <w:t>of 30 meters, 0.25mm of diameter and 0.5µm of film thickness. The initial temperature of 50°C was maintained for 1 minute before a first progressive heating of 5°C per minute up to 155°C directly followed by a second one of 8°C per minute up to 250°C. Once the peak temperature of 250°C was reached, it was maintained for 5 minutes. The temperature of the injector and the interface was 250°C while that of the source was 260°C. The gas vector was helium at a pressure of 9,8 psi and the total ion chromatogram was recorded by using an electron-impact source at 70 eV of ion kinetic energy. Identification of the compound was made by comparison to National Institute of Standards and Technology (NIST) spectral library.</w:t>
      </w:r>
      <w:r w:rsidR="00FD407F" w:rsidRPr="00754A1D">
        <w:rPr>
          <w:rFonts w:ascii="Times New Roman" w:hAnsi="Times New Roman" w:cs="Times New Roman"/>
          <w:sz w:val="24"/>
          <w:szCs w:val="24"/>
          <w:lang w:val="en-US"/>
        </w:rPr>
        <w:t xml:space="preserve"> To confirm identification, a mixture of homologue n-alkanes (C7-C30) was injected in GC-MS following the same chromatographic conditions to calculate the retention index (RI). In addition, the identification of the main compounds was confirmed by co-injection of pure references (Sigma, Darmstadt, Germany) in order to compare retention times and MS spectrum data. Finally, the results are expressed in µg of </w:t>
      </w:r>
      <w:r w:rsidR="00FD407F" w:rsidRPr="00754A1D">
        <w:rPr>
          <w:rFonts w:ascii="Times New Roman" w:hAnsi="Times New Roman" w:cs="Times New Roman"/>
          <w:i/>
          <w:sz w:val="24"/>
          <w:szCs w:val="24"/>
          <w:lang w:val="en-US"/>
        </w:rPr>
        <w:t>M. arvensis</w:t>
      </w:r>
      <w:r w:rsidR="00FD407F" w:rsidRPr="00754A1D">
        <w:rPr>
          <w:rFonts w:ascii="Times New Roman" w:hAnsi="Times New Roman" w:cs="Times New Roman"/>
          <w:sz w:val="24"/>
          <w:szCs w:val="24"/>
          <w:lang w:val="en-US"/>
        </w:rPr>
        <w:t xml:space="preserve"> EO per insect.</w:t>
      </w:r>
    </w:p>
    <w:p w14:paraId="50D94195" w14:textId="77777777" w:rsidR="00C704FB" w:rsidRPr="00754A1D" w:rsidRDefault="0084655C" w:rsidP="003B36A5">
      <w:pPr>
        <w:spacing w:before="240" w:line="480" w:lineRule="auto"/>
        <w:jc w:val="both"/>
        <w:rPr>
          <w:rFonts w:ascii="Times New Roman" w:hAnsi="Times New Roman" w:cs="Times New Roman"/>
          <w:b/>
          <w:sz w:val="24"/>
          <w:szCs w:val="24"/>
          <w:lang w:val="en-US"/>
        </w:rPr>
      </w:pPr>
      <w:r w:rsidRPr="00754A1D">
        <w:rPr>
          <w:rFonts w:ascii="Times New Roman" w:hAnsi="Times New Roman" w:cs="Times New Roman"/>
          <w:b/>
          <w:sz w:val="24"/>
          <w:szCs w:val="24"/>
          <w:lang w:val="en-US"/>
        </w:rPr>
        <w:t>P</w:t>
      </w:r>
      <w:r w:rsidR="0067657B" w:rsidRPr="00754A1D">
        <w:rPr>
          <w:rFonts w:ascii="Times New Roman" w:hAnsi="Times New Roman" w:cs="Times New Roman"/>
          <w:b/>
          <w:sz w:val="24"/>
          <w:szCs w:val="24"/>
          <w:lang w:val="en-US"/>
        </w:rPr>
        <w:t>roteomic analyses</w:t>
      </w:r>
    </w:p>
    <w:p w14:paraId="6CC44B13" w14:textId="0EFBD4FA" w:rsidR="0067657B" w:rsidRPr="00754A1D" w:rsidRDefault="00C704FB" w:rsidP="00C704FB">
      <w:pPr>
        <w:spacing w:line="480" w:lineRule="auto"/>
        <w:jc w:val="both"/>
        <w:rPr>
          <w:rFonts w:ascii="Times New Roman" w:hAnsi="Times New Roman" w:cs="Times New Roman"/>
          <w:b/>
          <w:i/>
          <w:sz w:val="24"/>
          <w:szCs w:val="24"/>
          <w:lang w:val="en-US"/>
        </w:rPr>
      </w:pPr>
      <w:r w:rsidRPr="00754A1D">
        <w:rPr>
          <w:rFonts w:ascii="Times New Roman" w:hAnsi="Times New Roman" w:cs="Times New Roman"/>
          <w:b/>
          <w:i/>
          <w:sz w:val="24"/>
          <w:szCs w:val="24"/>
          <w:lang w:val="en-US"/>
        </w:rPr>
        <w:t>T</w:t>
      </w:r>
      <w:r w:rsidR="0084655C" w:rsidRPr="00754A1D">
        <w:rPr>
          <w:rFonts w:ascii="Times New Roman" w:hAnsi="Times New Roman" w:cs="Times New Roman"/>
          <w:b/>
          <w:i/>
          <w:sz w:val="24"/>
          <w:szCs w:val="24"/>
          <w:lang w:val="en-US"/>
        </w:rPr>
        <w:t xml:space="preserve">reatment and preparation of protein extracts </w:t>
      </w:r>
      <w:r w:rsidR="0067657B" w:rsidRPr="00754A1D">
        <w:rPr>
          <w:rFonts w:ascii="Times New Roman" w:hAnsi="Times New Roman" w:cs="Times New Roman"/>
          <w:b/>
          <w:i/>
          <w:sz w:val="24"/>
          <w:szCs w:val="24"/>
          <w:lang w:val="en-US"/>
        </w:rPr>
        <w:t xml:space="preserve"> </w:t>
      </w:r>
    </w:p>
    <w:p w14:paraId="6A9F4A71" w14:textId="73B48BC6" w:rsidR="0084655C" w:rsidRPr="00754A1D" w:rsidRDefault="0084655C" w:rsidP="0084655C">
      <w:pPr>
        <w:spacing w:after="0"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For proteomic analyzes, the treatment procedure was </w:t>
      </w:r>
      <w:r w:rsidR="008243E0" w:rsidRPr="00754A1D">
        <w:rPr>
          <w:rFonts w:ascii="Times New Roman" w:hAnsi="Times New Roman" w:cs="Times New Roman"/>
          <w:sz w:val="24"/>
          <w:szCs w:val="24"/>
          <w:lang w:val="en-US"/>
        </w:rPr>
        <w:t>essentially</w:t>
      </w:r>
      <w:r w:rsidRPr="00754A1D">
        <w:rPr>
          <w:rFonts w:ascii="Times New Roman" w:hAnsi="Times New Roman" w:cs="Times New Roman"/>
          <w:sz w:val="24"/>
          <w:szCs w:val="24"/>
          <w:lang w:val="en-US"/>
        </w:rPr>
        <w:t xml:space="preserve"> the same as for the contact toxicity test: t</w:t>
      </w:r>
      <w:r w:rsidR="00671198" w:rsidRPr="00754A1D">
        <w:rPr>
          <w:rFonts w:ascii="Times New Roman" w:hAnsi="Times New Roman" w:cs="Times New Roman"/>
          <w:sz w:val="24"/>
          <w:szCs w:val="24"/>
          <w:lang w:val="en-US"/>
        </w:rPr>
        <w:t xml:space="preserve">he 50% lethal </w:t>
      </w:r>
      <w:r w:rsidR="00D63D14" w:rsidRPr="00754A1D">
        <w:rPr>
          <w:rFonts w:ascii="Times New Roman" w:hAnsi="Times New Roman" w:cs="Times New Roman"/>
          <w:sz w:val="24"/>
          <w:szCs w:val="24"/>
          <w:lang w:val="en-US"/>
        </w:rPr>
        <w:t>dose</w:t>
      </w:r>
      <w:r w:rsidR="00671198" w:rsidRPr="00754A1D">
        <w:rPr>
          <w:rFonts w:ascii="Times New Roman" w:hAnsi="Times New Roman" w:cs="Times New Roman"/>
          <w:sz w:val="24"/>
          <w:szCs w:val="24"/>
          <w:lang w:val="en-US"/>
        </w:rPr>
        <w:t xml:space="preserve"> of </w:t>
      </w:r>
      <w:r w:rsidR="00F31E15" w:rsidRPr="00754A1D">
        <w:rPr>
          <w:rFonts w:ascii="Times New Roman" w:hAnsi="Times New Roman" w:cs="Times New Roman"/>
          <w:i/>
          <w:sz w:val="24"/>
          <w:szCs w:val="24"/>
          <w:lang w:val="en-US"/>
        </w:rPr>
        <w:t>M. arvensis</w:t>
      </w:r>
      <w:r w:rsidR="00F31E15" w:rsidRPr="00754A1D">
        <w:rPr>
          <w:rFonts w:ascii="Times New Roman" w:hAnsi="Times New Roman" w:cs="Times New Roman"/>
          <w:sz w:val="24"/>
          <w:szCs w:val="24"/>
          <w:lang w:val="en-US"/>
        </w:rPr>
        <w:t xml:space="preserve"> </w:t>
      </w:r>
      <w:r w:rsidR="0063058F" w:rsidRPr="00754A1D">
        <w:rPr>
          <w:rFonts w:ascii="Times New Roman" w:hAnsi="Times New Roman" w:cs="Times New Roman"/>
          <w:sz w:val="24"/>
          <w:szCs w:val="24"/>
          <w:lang w:val="en-US"/>
        </w:rPr>
        <w:t>EO</w:t>
      </w:r>
      <w:r w:rsidR="00671198" w:rsidRPr="00754A1D">
        <w:rPr>
          <w:rFonts w:ascii="Times New Roman" w:hAnsi="Times New Roman" w:cs="Times New Roman"/>
          <w:sz w:val="24"/>
          <w:szCs w:val="24"/>
          <w:lang w:val="en-US"/>
        </w:rPr>
        <w:t xml:space="preserve"> </w:t>
      </w:r>
      <w:r w:rsidR="0065541B" w:rsidRPr="00754A1D">
        <w:rPr>
          <w:rFonts w:ascii="Times New Roman" w:hAnsi="Times New Roman" w:cs="Times New Roman"/>
          <w:sz w:val="24"/>
          <w:szCs w:val="24"/>
          <w:lang w:val="en-US"/>
        </w:rPr>
        <w:t>(</w:t>
      </w:r>
      <w:r w:rsidR="00F31E15" w:rsidRPr="00754A1D">
        <w:rPr>
          <w:rFonts w:ascii="Times New Roman" w:hAnsi="Times New Roman" w:cs="Times New Roman"/>
          <w:sz w:val="24"/>
          <w:szCs w:val="24"/>
          <w:lang w:val="en-US"/>
        </w:rPr>
        <w:t>L</w:t>
      </w:r>
      <w:r w:rsidR="00D63D14" w:rsidRPr="00754A1D">
        <w:rPr>
          <w:rFonts w:ascii="Times New Roman" w:hAnsi="Times New Roman" w:cs="Times New Roman"/>
          <w:sz w:val="24"/>
          <w:szCs w:val="24"/>
          <w:lang w:val="en-US"/>
        </w:rPr>
        <w:t>D</w:t>
      </w:r>
      <w:r w:rsidR="00F31E15" w:rsidRPr="00754A1D">
        <w:rPr>
          <w:rFonts w:ascii="Times New Roman" w:hAnsi="Times New Roman" w:cs="Times New Roman"/>
          <w:sz w:val="24"/>
          <w:szCs w:val="24"/>
          <w:vertAlign w:val="subscript"/>
          <w:lang w:val="en-US"/>
        </w:rPr>
        <w:t>50</w:t>
      </w:r>
      <w:r w:rsidR="00F31E15" w:rsidRPr="00754A1D">
        <w:rPr>
          <w:rFonts w:ascii="Times New Roman" w:hAnsi="Times New Roman" w:cs="Times New Roman"/>
          <w:sz w:val="24"/>
          <w:szCs w:val="24"/>
          <w:lang w:val="en-US"/>
        </w:rPr>
        <w:t xml:space="preserve"> = </w:t>
      </w:r>
      <w:r w:rsidR="002B19C6" w:rsidRPr="00754A1D">
        <w:rPr>
          <w:rFonts w:ascii="Times New Roman" w:hAnsi="Times New Roman" w:cs="Times New Roman"/>
          <w:bCs/>
          <w:sz w:val="24"/>
          <w:szCs w:val="24"/>
          <w:lang w:val="en-US"/>
        </w:rPr>
        <w:t>55.6 µg/insect</w:t>
      </w:r>
      <w:r w:rsidR="0065541B" w:rsidRPr="00754A1D">
        <w:rPr>
          <w:rFonts w:ascii="Times New Roman" w:hAnsi="Times New Roman" w:cs="Times New Roman"/>
          <w:sz w:val="24"/>
          <w:szCs w:val="24"/>
          <w:lang w:val="en-US"/>
        </w:rPr>
        <w:t xml:space="preserve">) </w:t>
      </w:r>
      <w:r w:rsidR="00671198" w:rsidRPr="00754A1D">
        <w:rPr>
          <w:rFonts w:ascii="Times New Roman" w:hAnsi="Times New Roman" w:cs="Times New Roman"/>
          <w:sz w:val="24"/>
          <w:szCs w:val="24"/>
          <w:lang w:val="en-US"/>
        </w:rPr>
        <w:t xml:space="preserve">was applied </w:t>
      </w:r>
      <w:r w:rsidR="00907FAF" w:rsidRPr="00754A1D">
        <w:rPr>
          <w:rFonts w:ascii="Times New Roman" w:hAnsi="Times New Roman" w:cs="Times New Roman"/>
          <w:sz w:val="24"/>
          <w:szCs w:val="24"/>
          <w:lang w:val="en-US"/>
        </w:rPr>
        <w:t xml:space="preserve">topically </w:t>
      </w:r>
      <w:r w:rsidR="00A63496" w:rsidRPr="00754A1D">
        <w:rPr>
          <w:rFonts w:ascii="Times New Roman" w:hAnsi="Times New Roman" w:cs="Times New Roman"/>
          <w:sz w:val="24"/>
          <w:szCs w:val="24"/>
          <w:lang w:val="en-US"/>
        </w:rPr>
        <w:t>to seven to fourteen days post-emergence adults</w:t>
      </w:r>
      <w:r w:rsidRPr="00754A1D">
        <w:rPr>
          <w:rFonts w:ascii="Times New Roman" w:hAnsi="Times New Roman" w:cs="Times New Roman"/>
          <w:sz w:val="24"/>
          <w:szCs w:val="24"/>
          <w:lang w:val="en-US"/>
        </w:rPr>
        <w:t xml:space="preserve"> and i</w:t>
      </w:r>
      <w:r w:rsidR="00671198" w:rsidRPr="00754A1D">
        <w:rPr>
          <w:rFonts w:ascii="Times New Roman" w:hAnsi="Times New Roman" w:cs="Times New Roman"/>
          <w:sz w:val="24"/>
          <w:szCs w:val="24"/>
          <w:lang w:val="en-US"/>
        </w:rPr>
        <w:t xml:space="preserve">ndividuals </w:t>
      </w:r>
      <w:r w:rsidR="00DA13E7" w:rsidRPr="00754A1D">
        <w:rPr>
          <w:rFonts w:ascii="Times New Roman" w:hAnsi="Times New Roman" w:cs="Times New Roman"/>
          <w:sz w:val="24"/>
          <w:szCs w:val="24"/>
          <w:lang w:val="en-US"/>
        </w:rPr>
        <w:t xml:space="preserve">treated </w:t>
      </w:r>
      <w:r w:rsidR="008243E0" w:rsidRPr="00754A1D">
        <w:rPr>
          <w:rFonts w:ascii="Times New Roman" w:hAnsi="Times New Roman" w:cs="Times New Roman"/>
          <w:sz w:val="24"/>
          <w:szCs w:val="24"/>
          <w:lang w:val="en-US"/>
        </w:rPr>
        <w:t xml:space="preserve">only </w:t>
      </w:r>
      <w:r w:rsidR="00DA13E7" w:rsidRPr="00754A1D">
        <w:rPr>
          <w:rFonts w:ascii="Times New Roman" w:hAnsi="Times New Roman" w:cs="Times New Roman"/>
          <w:sz w:val="24"/>
          <w:szCs w:val="24"/>
          <w:lang w:val="en-US"/>
        </w:rPr>
        <w:t xml:space="preserve">with acetone </w:t>
      </w:r>
      <w:r w:rsidR="00671198" w:rsidRPr="00754A1D">
        <w:rPr>
          <w:rFonts w:ascii="Times New Roman" w:hAnsi="Times New Roman" w:cs="Times New Roman"/>
          <w:sz w:val="24"/>
          <w:szCs w:val="24"/>
          <w:lang w:val="en-US"/>
        </w:rPr>
        <w:t xml:space="preserve">were used as </w:t>
      </w:r>
      <w:r w:rsidR="00DA13E7" w:rsidRPr="00754A1D">
        <w:rPr>
          <w:rFonts w:ascii="Times New Roman" w:hAnsi="Times New Roman" w:cs="Times New Roman"/>
          <w:sz w:val="24"/>
          <w:szCs w:val="24"/>
          <w:lang w:val="en-US"/>
        </w:rPr>
        <w:t xml:space="preserve">a </w:t>
      </w:r>
      <w:r w:rsidR="00671198" w:rsidRPr="00754A1D">
        <w:rPr>
          <w:rFonts w:ascii="Times New Roman" w:hAnsi="Times New Roman" w:cs="Times New Roman"/>
          <w:sz w:val="24"/>
          <w:szCs w:val="24"/>
          <w:lang w:val="en-US"/>
        </w:rPr>
        <w:t xml:space="preserve">control. </w:t>
      </w:r>
      <w:r w:rsidR="00DA13E7" w:rsidRPr="00754A1D">
        <w:rPr>
          <w:rFonts w:ascii="Times New Roman" w:hAnsi="Times New Roman" w:cs="Times New Roman"/>
          <w:sz w:val="24"/>
          <w:szCs w:val="24"/>
          <w:lang w:val="en-US"/>
        </w:rPr>
        <w:t>T</w:t>
      </w:r>
      <w:r w:rsidR="00671198" w:rsidRPr="00754A1D">
        <w:rPr>
          <w:rFonts w:ascii="Times New Roman" w:hAnsi="Times New Roman" w:cs="Times New Roman"/>
          <w:sz w:val="24"/>
          <w:szCs w:val="24"/>
          <w:lang w:val="en-US"/>
        </w:rPr>
        <w:t xml:space="preserve">reatments were </w:t>
      </w:r>
      <w:r w:rsidR="008243E0" w:rsidRPr="00754A1D">
        <w:rPr>
          <w:rFonts w:ascii="Times New Roman" w:hAnsi="Times New Roman" w:cs="Times New Roman"/>
          <w:sz w:val="24"/>
          <w:szCs w:val="24"/>
          <w:lang w:val="en-US"/>
        </w:rPr>
        <w:t>carried out</w:t>
      </w:r>
      <w:r w:rsidR="00671198" w:rsidRPr="00754A1D">
        <w:rPr>
          <w:rFonts w:ascii="Times New Roman" w:hAnsi="Times New Roman" w:cs="Times New Roman"/>
          <w:sz w:val="24"/>
          <w:szCs w:val="24"/>
          <w:lang w:val="en-US"/>
        </w:rPr>
        <w:t xml:space="preserve"> independently three times</w:t>
      </w:r>
      <w:r w:rsidR="006E3E9E" w:rsidRPr="00754A1D">
        <w:rPr>
          <w:rFonts w:ascii="Times New Roman" w:hAnsi="Times New Roman" w:cs="Times New Roman"/>
          <w:sz w:val="24"/>
          <w:szCs w:val="24"/>
          <w:lang w:val="en-US"/>
        </w:rPr>
        <w:t xml:space="preserve"> (for a total of 80 individuals per </w:t>
      </w:r>
      <w:r w:rsidR="006E5477" w:rsidRPr="00754A1D">
        <w:rPr>
          <w:rFonts w:ascii="Times New Roman" w:hAnsi="Times New Roman" w:cs="Times New Roman"/>
          <w:sz w:val="24"/>
          <w:szCs w:val="24"/>
          <w:lang w:val="en-US"/>
        </w:rPr>
        <w:t>replicate</w:t>
      </w:r>
      <w:r w:rsidR="006E3E9E" w:rsidRPr="00754A1D">
        <w:rPr>
          <w:rFonts w:ascii="Times New Roman" w:hAnsi="Times New Roman" w:cs="Times New Roman"/>
          <w:sz w:val="24"/>
          <w:szCs w:val="24"/>
          <w:lang w:val="en-US"/>
        </w:rPr>
        <w:t>)</w:t>
      </w:r>
      <w:r w:rsidR="00671198" w:rsidRPr="00754A1D">
        <w:rPr>
          <w:rFonts w:ascii="Times New Roman" w:hAnsi="Times New Roman" w:cs="Times New Roman"/>
          <w:sz w:val="24"/>
          <w:szCs w:val="24"/>
          <w:lang w:val="en-US"/>
        </w:rPr>
        <w:t xml:space="preserve">. </w:t>
      </w:r>
      <w:r w:rsidR="00A63496" w:rsidRPr="00754A1D">
        <w:rPr>
          <w:rFonts w:ascii="Times New Roman" w:hAnsi="Times New Roman" w:cs="Times New Roman"/>
          <w:sz w:val="24"/>
          <w:szCs w:val="24"/>
          <w:lang w:val="en-US"/>
        </w:rPr>
        <w:t xml:space="preserve">24 h after treatment, fifteen </w:t>
      </w:r>
      <w:r w:rsidR="00784488" w:rsidRPr="00754A1D">
        <w:rPr>
          <w:rFonts w:ascii="Times New Roman" w:hAnsi="Times New Roman" w:cs="Times New Roman"/>
          <w:sz w:val="24"/>
          <w:szCs w:val="24"/>
          <w:lang w:val="en-US"/>
        </w:rPr>
        <w:t>living</w:t>
      </w:r>
      <w:r w:rsidR="00A63496" w:rsidRPr="00754A1D">
        <w:rPr>
          <w:rFonts w:ascii="Times New Roman" w:hAnsi="Times New Roman" w:cs="Times New Roman"/>
          <w:sz w:val="24"/>
          <w:szCs w:val="24"/>
          <w:lang w:val="en-US"/>
        </w:rPr>
        <w:t xml:space="preserve"> insects were collected for each sample</w:t>
      </w:r>
      <w:r w:rsidR="006E5477" w:rsidRPr="00754A1D">
        <w:rPr>
          <w:rFonts w:ascii="Times New Roman" w:hAnsi="Times New Roman" w:cs="Times New Roman"/>
          <w:sz w:val="24"/>
          <w:szCs w:val="24"/>
          <w:lang w:val="en-US"/>
        </w:rPr>
        <w:t xml:space="preserve"> and</w:t>
      </w:r>
      <w:r w:rsidR="00841197" w:rsidRPr="00754A1D">
        <w:rPr>
          <w:rFonts w:ascii="Times New Roman" w:hAnsi="Times New Roman" w:cs="Times New Roman"/>
          <w:sz w:val="24"/>
          <w:szCs w:val="24"/>
          <w:lang w:val="en-US"/>
        </w:rPr>
        <w:t xml:space="preserve"> then </w:t>
      </w:r>
      <w:r w:rsidR="00A63496" w:rsidRPr="00754A1D">
        <w:rPr>
          <w:rFonts w:ascii="Times New Roman" w:hAnsi="Times New Roman" w:cs="Times New Roman"/>
          <w:sz w:val="24"/>
          <w:szCs w:val="24"/>
          <w:lang w:val="en-US"/>
        </w:rPr>
        <w:t>immediately frozen in liquid hydrogen and stored at -80° C</w:t>
      </w:r>
      <w:r w:rsidRPr="00754A1D">
        <w:rPr>
          <w:rFonts w:ascii="Times New Roman" w:hAnsi="Times New Roman" w:cs="Times New Roman"/>
          <w:sz w:val="24"/>
          <w:szCs w:val="24"/>
          <w:lang w:val="en-US"/>
        </w:rPr>
        <w:t>.</w:t>
      </w:r>
    </w:p>
    <w:p w14:paraId="4A0FEB5E" w14:textId="07D4397F" w:rsidR="00B07312" w:rsidRPr="00754A1D" w:rsidRDefault="00784488" w:rsidP="0084655C">
      <w:pPr>
        <w:spacing w:line="480" w:lineRule="auto"/>
        <w:ind w:firstLine="708"/>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lastRenderedPageBreak/>
        <w:t>P</w:t>
      </w:r>
      <w:r w:rsidR="00B07312" w:rsidRPr="00754A1D">
        <w:rPr>
          <w:rFonts w:ascii="Times New Roman" w:hAnsi="Times New Roman" w:cs="Times New Roman"/>
          <w:sz w:val="24"/>
          <w:szCs w:val="24"/>
          <w:lang w:val="en-US"/>
        </w:rPr>
        <w:t xml:space="preserve">roteins from the collected insects were extracted with the </w:t>
      </w:r>
      <w:proofErr w:type="spellStart"/>
      <w:r w:rsidR="00B07312" w:rsidRPr="00754A1D">
        <w:rPr>
          <w:rFonts w:ascii="Times New Roman" w:hAnsi="Times New Roman" w:cs="Times New Roman"/>
          <w:sz w:val="24"/>
          <w:szCs w:val="24"/>
          <w:lang w:val="en-US"/>
        </w:rPr>
        <w:t>Precellys</w:t>
      </w:r>
      <w:r w:rsidR="00B07312" w:rsidRPr="00754A1D">
        <w:rPr>
          <w:rFonts w:ascii="Times New Roman" w:hAnsi="Times New Roman" w:cs="Times New Roman"/>
          <w:sz w:val="24"/>
          <w:szCs w:val="24"/>
          <w:vertAlign w:val="superscript"/>
          <w:lang w:val="en-US"/>
        </w:rPr>
        <w:t>TM</w:t>
      </w:r>
      <w:proofErr w:type="spellEnd"/>
      <w:r w:rsidR="00B07312" w:rsidRPr="00754A1D">
        <w:rPr>
          <w:rFonts w:ascii="Times New Roman" w:hAnsi="Times New Roman" w:cs="Times New Roman"/>
          <w:sz w:val="24"/>
          <w:szCs w:val="24"/>
          <w:lang w:val="en-US"/>
        </w:rPr>
        <w:t xml:space="preserve"> 24 homogenizer (</w:t>
      </w:r>
      <w:proofErr w:type="spellStart"/>
      <w:r w:rsidR="00B07312" w:rsidRPr="00754A1D">
        <w:rPr>
          <w:rFonts w:ascii="Times New Roman" w:hAnsi="Times New Roman" w:cs="Times New Roman"/>
          <w:sz w:val="24"/>
          <w:szCs w:val="24"/>
          <w:lang w:val="en-US"/>
        </w:rPr>
        <w:t>Bertin</w:t>
      </w:r>
      <w:proofErr w:type="spellEnd"/>
      <w:r w:rsidR="00B07312" w:rsidRPr="00754A1D">
        <w:rPr>
          <w:rFonts w:ascii="Times New Roman" w:hAnsi="Times New Roman" w:cs="Times New Roman"/>
          <w:sz w:val="24"/>
          <w:szCs w:val="24"/>
          <w:lang w:val="en-US"/>
        </w:rPr>
        <w:t xml:space="preserve"> Instruments, Rockville, USA) using 2 mL cap Eppendorf tube with 500 </w:t>
      </w:r>
      <w:r w:rsidR="00C667D5" w:rsidRPr="00754A1D">
        <w:rPr>
          <w:rFonts w:ascii="Times New Roman" w:hAnsi="Times New Roman" w:cs="Times New Roman"/>
          <w:sz w:val="24"/>
          <w:szCs w:val="24"/>
          <w:lang w:val="en-US"/>
        </w:rPr>
        <w:t>µ</w:t>
      </w:r>
      <w:r w:rsidR="00B07312" w:rsidRPr="00754A1D">
        <w:rPr>
          <w:rFonts w:ascii="Times New Roman" w:hAnsi="Times New Roman" w:cs="Times New Roman"/>
          <w:sz w:val="24"/>
          <w:szCs w:val="24"/>
          <w:lang w:val="en-US"/>
        </w:rPr>
        <w:t xml:space="preserve">L of homogenization buffer (8 M Urea, 100 mM TEAB (Triethylammonium bicarbonate), pH 8.5 (HCl), 2 mM EDTA, 10 mM dithiothreitol (DTT), protease inhibitor mix (1 mM </w:t>
      </w:r>
      <w:proofErr w:type="spellStart"/>
      <w:r w:rsidR="00B07312" w:rsidRPr="00754A1D">
        <w:rPr>
          <w:rFonts w:ascii="Times New Roman" w:hAnsi="Times New Roman" w:cs="Times New Roman"/>
          <w:sz w:val="24"/>
          <w:szCs w:val="24"/>
          <w:shd w:val="clear" w:color="auto" w:fill="FFFFFF"/>
          <w:lang w:val="en-US"/>
        </w:rPr>
        <w:t>phenylmethylsulfonyl</w:t>
      </w:r>
      <w:proofErr w:type="spellEnd"/>
      <w:r w:rsidR="00B07312" w:rsidRPr="00754A1D">
        <w:rPr>
          <w:rFonts w:ascii="Times New Roman" w:hAnsi="Times New Roman" w:cs="Times New Roman"/>
          <w:sz w:val="24"/>
          <w:szCs w:val="24"/>
          <w:shd w:val="clear" w:color="auto" w:fill="FFFFFF"/>
          <w:lang w:val="en-US"/>
        </w:rPr>
        <w:t xml:space="preserve"> fluoride</w:t>
      </w:r>
      <w:r w:rsidR="00B07312" w:rsidRPr="00754A1D">
        <w:rPr>
          <w:rFonts w:ascii="Times New Roman" w:hAnsi="Times New Roman" w:cs="Times New Roman"/>
          <w:sz w:val="24"/>
          <w:szCs w:val="24"/>
          <w:lang w:val="en-US"/>
        </w:rPr>
        <w:t xml:space="preserve"> (PMSF)), 2 </w:t>
      </w:r>
      <w:r w:rsidR="00B07312" w:rsidRPr="00754A1D">
        <w:rPr>
          <w:rFonts w:ascii="Times New Roman" w:hAnsi="Times New Roman" w:cs="Times New Roman"/>
          <w:sz w:val="24"/>
          <w:szCs w:val="24"/>
        </w:rPr>
        <w:t>μ</w:t>
      </w:r>
      <w:r w:rsidR="00B07312" w:rsidRPr="00754A1D">
        <w:rPr>
          <w:rFonts w:ascii="Times New Roman" w:hAnsi="Times New Roman" w:cs="Times New Roman"/>
          <w:sz w:val="24"/>
          <w:szCs w:val="24"/>
          <w:lang w:val="en-US"/>
        </w:rPr>
        <w:t xml:space="preserve">g/mL each of leupeptin, aprotinin, antipain, </w:t>
      </w:r>
      <w:proofErr w:type="spellStart"/>
      <w:r w:rsidR="00B07312" w:rsidRPr="00754A1D">
        <w:rPr>
          <w:rFonts w:ascii="Times New Roman" w:hAnsi="Times New Roman" w:cs="Times New Roman"/>
          <w:sz w:val="24"/>
          <w:szCs w:val="24"/>
          <w:lang w:val="en-US"/>
        </w:rPr>
        <w:t>pepstatin</w:t>
      </w:r>
      <w:proofErr w:type="spellEnd"/>
      <w:r w:rsidR="00B07312" w:rsidRPr="00754A1D">
        <w:rPr>
          <w:rFonts w:ascii="Times New Roman" w:hAnsi="Times New Roman" w:cs="Times New Roman"/>
          <w:sz w:val="24"/>
          <w:szCs w:val="24"/>
          <w:lang w:val="en-US"/>
        </w:rPr>
        <w:t xml:space="preserve">, and chymostatin, 0.6% w/v polyvinylpolypyrrolidone). </w:t>
      </w:r>
      <w:r w:rsidR="006E5477" w:rsidRPr="00754A1D">
        <w:rPr>
          <w:rFonts w:ascii="Times New Roman" w:hAnsi="Times New Roman" w:cs="Times New Roman"/>
          <w:sz w:val="24"/>
          <w:szCs w:val="24"/>
          <w:lang w:val="en-US"/>
        </w:rPr>
        <w:t xml:space="preserve">The insects were ground </w:t>
      </w:r>
      <w:r w:rsidR="00B07312" w:rsidRPr="00754A1D">
        <w:rPr>
          <w:rFonts w:ascii="Times New Roman" w:hAnsi="Times New Roman" w:cs="Times New Roman"/>
          <w:sz w:val="24"/>
          <w:szCs w:val="24"/>
          <w:lang w:val="en-US"/>
        </w:rPr>
        <w:t>three times at 500 Hz during 20 seconds using 15 ceramic beads of Zirconium oxide having an external diameter of 2.8 mm (</w:t>
      </w:r>
      <w:proofErr w:type="spellStart"/>
      <w:r w:rsidR="00B07312" w:rsidRPr="00754A1D">
        <w:rPr>
          <w:rFonts w:ascii="Times New Roman" w:hAnsi="Times New Roman" w:cs="Times New Roman"/>
          <w:sz w:val="24"/>
          <w:szCs w:val="24"/>
          <w:lang w:val="en-US"/>
        </w:rPr>
        <w:t>Bertin</w:t>
      </w:r>
      <w:proofErr w:type="spellEnd"/>
      <w:r w:rsidR="00B07312" w:rsidRPr="00754A1D">
        <w:rPr>
          <w:rFonts w:ascii="Times New Roman" w:hAnsi="Times New Roman" w:cs="Times New Roman"/>
          <w:sz w:val="24"/>
          <w:szCs w:val="24"/>
          <w:lang w:val="en-US"/>
        </w:rPr>
        <w:t xml:space="preserve"> Instruments). The homogenate was centrifuged for 5 min at 9000 rpm at 4°C and the supernatant was then centrifuged again at 54,000 rpm (TLAA55, Optima-Beckman, Indianapolis, USA) for 30 min at 4 °C to separate </w:t>
      </w:r>
      <w:r w:rsidR="006E5477" w:rsidRPr="00754A1D">
        <w:rPr>
          <w:rFonts w:ascii="Times New Roman" w:hAnsi="Times New Roman" w:cs="Times New Roman"/>
          <w:sz w:val="24"/>
          <w:szCs w:val="24"/>
          <w:lang w:val="en-US"/>
        </w:rPr>
        <w:t xml:space="preserve">the </w:t>
      </w:r>
      <w:r w:rsidR="00B07312" w:rsidRPr="00754A1D">
        <w:rPr>
          <w:rFonts w:ascii="Times New Roman" w:hAnsi="Times New Roman" w:cs="Times New Roman"/>
          <w:sz w:val="24"/>
          <w:szCs w:val="24"/>
          <w:lang w:val="en-US"/>
        </w:rPr>
        <w:t>soluble and membrane fraction</w:t>
      </w:r>
      <w:r w:rsidR="006E5477" w:rsidRPr="00754A1D">
        <w:rPr>
          <w:rFonts w:ascii="Times New Roman" w:hAnsi="Times New Roman" w:cs="Times New Roman"/>
          <w:sz w:val="24"/>
          <w:szCs w:val="24"/>
          <w:lang w:val="en-US"/>
        </w:rPr>
        <w:t>s</w:t>
      </w:r>
      <w:r w:rsidR="00B07312" w:rsidRPr="00754A1D">
        <w:rPr>
          <w:rFonts w:ascii="Times New Roman" w:hAnsi="Times New Roman" w:cs="Times New Roman"/>
          <w:sz w:val="24"/>
          <w:szCs w:val="24"/>
          <w:lang w:val="en-US"/>
        </w:rPr>
        <w:t xml:space="preserve">. </w:t>
      </w:r>
      <w:r w:rsidR="006E5477" w:rsidRPr="00754A1D">
        <w:rPr>
          <w:rFonts w:ascii="Times New Roman" w:hAnsi="Times New Roman" w:cs="Times New Roman"/>
          <w:sz w:val="24"/>
          <w:szCs w:val="24"/>
          <w:lang w:val="en-US"/>
        </w:rPr>
        <w:t>The p</w:t>
      </w:r>
      <w:r w:rsidR="00B07312" w:rsidRPr="00754A1D">
        <w:rPr>
          <w:rFonts w:ascii="Times New Roman" w:hAnsi="Times New Roman" w:cs="Times New Roman"/>
          <w:sz w:val="24"/>
          <w:szCs w:val="24"/>
          <w:lang w:val="en-US"/>
        </w:rPr>
        <w:t xml:space="preserve">rotein concentration was determined according to Bradford method (1976) using the Bio-Rad Protein Assay kit with bovine gamma globulin as standard. </w:t>
      </w:r>
      <w:r w:rsidR="00B07312" w:rsidRPr="00754A1D">
        <w:rPr>
          <w:rFonts w:ascii="Times New Roman" w:hAnsi="Times New Roman" w:cs="Times New Roman"/>
          <w:sz w:val="24"/>
          <w:szCs w:val="24"/>
          <w:lang w:val="en-GB"/>
        </w:rPr>
        <w:t xml:space="preserve">20 µg of each sample were transferred to 0.5 mL polypropylene Protein </w:t>
      </w:r>
      <w:proofErr w:type="spellStart"/>
      <w:r w:rsidR="00B07312" w:rsidRPr="00754A1D">
        <w:rPr>
          <w:rFonts w:ascii="Times New Roman" w:hAnsi="Times New Roman" w:cs="Times New Roman"/>
          <w:sz w:val="24"/>
          <w:szCs w:val="24"/>
          <w:lang w:val="en-GB"/>
        </w:rPr>
        <w:t>LoBind</w:t>
      </w:r>
      <w:proofErr w:type="spellEnd"/>
      <w:r w:rsidR="00B07312" w:rsidRPr="00754A1D">
        <w:rPr>
          <w:rFonts w:ascii="Times New Roman" w:hAnsi="Times New Roman" w:cs="Times New Roman"/>
          <w:sz w:val="24"/>
          <w:szCs w:val="24"/>
          <w:lang w:val="en-GB"/>
        </w:rPr>
        <w:t xml:space="preserve"> Eppendorf Tubes and precipitated with chloroform-methanol method </w:t>
      </w:r>
      <w:r w:rsidR="00B07312" w:rsidRPr="00754A1D">
        <w:rPr>
          <w:rFonts w:ascii="Times New Roman" w:hAnsi="Times New Roman" w:cs="Times New Roman"/>
          <w:sz w:val="24"/>
          <w:szCs w:val="24"/>
          <w:lang w:val="en-GB"/>
        </w:rPr>
        <w:fldChar w:fldCharType="begin"/>
      </w:r>
      <w:r w:rsidR="00B07312" w:rsidRPr="00754A1D">
        <w:rPr>
          <w:rFonts w:ascii="Times New Roman" w:hAnsi="Times New Roman" w:cs="Times New Roman"/>
          <w:sz w:val="24"/>
          <w:szCs w:val="24"/>
          <w:lang w:val="en-GB"/>
        </w:rPr>
        <w:instrText xml:space="preserve"> ADDIN ZOTERO_ITEM CSL_CITATION {"citationID":"8SSj8yH4","properties":{"formattedCitation":"(Wessel and Fl\\uc0\\u252{}gge 1984)","plainCitation":"(Wessel and Flügge 1984)","noteIndex":0},"citationItems":[{"id":638,"uris":["http://zotero.org/users/local/QcSA6amT/items/U5SY2RH7"],"uri":["http://zotero.org/users/local/QcSA6amT/items/U5SY2RH7"],"itemData":{"id":638,"type":"article-journal","abstract":"A rapid method based on a defined methanol-chloroform-water mixture for the quantitative precipitation of soluble as well as hydrophobic proteins from dilute solutions (e.g., column chromatography effluents) has been developed. The effectiveness of this method is not affected by the presence of detergents, lipids, salt, buffers, and β-mercaptoethanol.","container-title":"Analytical Biochemistry","DOI":"10.1016/0003-2697(84)90782-6","ISSN":"0003-2697","issue":"1","journalAbbreviation":"Analytical Biochemistry","page":"141-143","source":"ScienceDirect","title":"A method for the quantitative recovery of protein in dilute solution in the presence of detergents and lipids","volume":"138","author":[{"family":"Wessel","given":"D."},{"family":"Flügge","given":"U. I."}],"issued":{"date-parts":[["1984",4,1]]}}}],"schema":"https://github.com/citation-style-language/schema/raw/master/csl-citation.json"} </w:instrText>
      </w:r>
      <w:r w:rsidR="00B07312" w:rsidRPr="00754A1D">
        <w:rPr>
          <w:rFonts w:ascii="Times New Roman" w:hAnsi="Times New Roman" w:cs="Times New Roman"/>
          <w:sz w:val="24"/>
          <w:szCs w:val="24"/>
          <w:lang w:val="en-GB"/>
        </w:rPr>
        <w:fldChar w:fldCharType="separate"/>
      </w:r>
      <w:r w:rsidR="00B07312" w:rsidRPr="00754A1D">
        <w:rPr>
          <w:rFonts w:ascii="Times New Roman" w:hAnsi="Times New Roman" w:cs="Times New Roman"/>
          <w:sz w:val="24"/>
          <w:szCs w:val="24"/>
          <w:lang w:val="en-US"/>
        </w:rPr>
        <w:t>(Wessel and Flügge 1984)</w:t>
      </w:r>
      <w:r w:rsidR="00B07312" w:rsidRPr="00754A1D">
        <w:rPr>
          <w:rFonts w:ascii="Times New Roman" w:hAnsi="Times New Roman" w:cs="Times New Roman"/>
          <w:sz w:val="24"/>
          <w:szCs w:val="24"/>
          <w:lang w:val="en-GB"/>
        </w:rPr>
        <w:fldChar w:fldCharType="end"/>
      </w:r>
      <w:r w:rsidR="00B07312" w:rsidRPr="00754A1D">
        <w:rPr>
          <w:rFonts w:ascii="Times New Roman" w:hAnsi="Times New Roman" w:cs="Times New Roman"/>
          <w:sz w:val="24"/>
          <w:szCs w:val="24"/>
          <w:lang w:val="en-GB"/>
        </w:rPr>
        <w:t xml:space="preserve">. 20µl of 100 mM TEAB, pH 8.5 (triethylammonium bicarbonate) containing 0.5% </w:t>
      </w:r>
      <w:proofErr w:type="spellStart"/>
      <w:r w:rsidR="00B07312" w:rsidRPr="00754A1D">
        <w:rPr>
          <w:rFonts w:ascii="Times New Roman" w:hAnsi="Times New Roman" w:cs="Times New Roman"/>
          <w:sz w:val="24"/>
          <w:szCs w:val="24"/>
          <w:lang w:val="en-GB"/>
        </w:rPr>
        <w:t>RapiGest</w:t>
      </w:r>
      <w:proofErr w:type="spellEnd"/>
      <w:r w:rsidR="00B07312" w:rsidRPr="00754A1D">
        <w:rPr>
          <w:rFonts w:ascii="Times New Roman" w:hAnsi="Times New Roman" w:cs="Times New Roman"/>
          <w:sz w:val="24"/>
          <w:szCs w:val="24"/>
          <w:lang w:val="en-GB"/>
        </w:rPr>
        <w:t xml:space="preserve"> surfactant (Waters, Milford, USA) were added to solubilize the proteins. </w:t>
      </w:r>
      <w:r w:rsidR="006E5477" w:rsidRPr="00754A1D">
        <w:rPr>
          <w:rFonts w:ascii="Times New Roman" w:hAnsi="Times New Roman" w:cs="Times New Roman"/>
          <w:sz w:val="24"/>
          <w:szCs w:val="24"/>
          <w:lang w:val="en-GB"/>
        </w:rPr>
        <w:t>The p</w:t>
      </w:r>
      <w:r w:rsidR="00B07312" w:rsidRPr="00754A1D">
        <w:rPr>
          <w:rFonts w:ascii="Times New Roman" w:hAnsi="Times New Roman" w:cs="Times New Roman"/>
          <w:sz w:val="24"/>
          <w:szCs w:val="24"/>
          <w:lang w:val="en-GB"/>
        </w:rPr>
        <w:t xml:space="preserve">roteins were then reduced </w:t>
      </w:r>
      <w:r w:rsidR="006E5477" w:rsidRPr="00754A1D">
        <w:rPr>
          <w:rFonts w:ascii="Times New Roman" w:hAnsi="Times New Roman" w:cs="Times New Roman"/>
          <w:sz w:val="24"/>
          <w:szCs w:val="24"/>
          <w:lang w:val="en-GB"/>
        </w:rPr>
        <w:t>with</w:t>
      </w:r>
      <w:r w:rsidR="00B07312" w:rsidRPr="00754A1D">
        <w:rPr>
          <w:rFonts w:ascii="Times New Roman" w:hAnsi="Times New Roman" w:cs="Times New Roman"/>
          <w:sz w:val="24"/>
          <w:szCs w:val="24"/>
          <w:lang w:val="en-GB"/>
        </w:rPr>
        <w:t xml:space="preserve"> 5mM DTT (dithiothreitol) and alkylated </w:t>
      </w:r>
      <w:r w:rsidR="006E5477" w:rsidRPr="00754A1D">
        <w:rPr>
          <w:rFonts w:ascii="Times New Roman" w:hAnsi="Times New Roman" w:cs="Times New Roman"/>
          <w:sz w:val="24"/>
          <w:szCs w:val="24"/>
          <w:lang w:val="en-GB"/>
        </w:rPr>
        <w:t>with</w:t>
      </w:r>
      <w:r w:rsidR="00B07312" w:rsidRPr="00754A1D">
        <w:rPr>
          <w:rFonts w:ascii="Times New Roman" w:hAnsi="Times New Roman" w:cs="Times New Roman"/>
          <w:sz w:val="24"/>
          <w:szCs w:val="24"/>
          <w:lang w:val="en-GB"/>
        </w:rPr>
        <w:t xml:space="preserve"> 15 mM iodoacetamide. Samples were </w:t>
      </w:r>
      <w:r w:rsidR="006E5477" w:rsidRPr="00754A1D">
        <w:rPr>
          <w:rFonts w:ascii="Times New Roman" w:hAnsi="Times New Roman" w:cs="Times New Roman"/>
          <w:sz w:val="24"/>
          <w:szCs w:val="24"/>
          <w:lang w:val="en-GB"/>
        </w:rPr>
        <w:t xml:space="preserve">diluted </w:t>
      </w:r>
      <w:r w:rsidR="00B07312" w:rsidRPr="00754A1D">
        <w:rPr>
          <w:rFonts w:ascii="Times New Roman" w:hAnsi="Times New Roman" w:cs="Times New Roman"/>
          <w:sz w:val="24"/>
          <w:szCs w:val="24"/>
          <w:lang w:val="en-GB"/>
        </w:rPr>
        <w:t xml:space="preserve">five times with 20µl of 100 mM TEAB, pH 8.5. Proteolysis was performed with 0.5 µg of trypsin and </w:t>
      </w:r>
      <w:r w:rsidR="006E5477" w:rsidRPr="00754A1D">
        <w:rPr>
          <w:rFonts w:ascii="Times New Roman" w:hAnsi="Times New Roman" w:cs="Times New Roman"/>
          <w:sz w:val="24"/>
          <w:szCs w:val="24"/>
          <w:lang w:val="en-GB"/>
        </w:rPr>
        <w:t>was continued</w:t>
      </w:r>
      <w:r w:rsidR="00B07312" w:rsidRPr="00754A1D">
        <w:rPr>
          <w:rFonts w:ascii="Times New Roman" w:hAnsi="Times New Roman" w:cs="Times New Roman"/>
          <w:sz w:val="24"/>
          <w:szCs w:val="24"/>
          <w:lang w:val="en-GB"/>
        </w:rPr>
        <w:t xml:space="preserve"> overnight at 37°C. Each sample was dried under vacuum with </w:t>
      </w:r>
      <w:r w:rsidR="006E5477" w:rsidRPr="00754A1D">
        <w:rPr>
          <w:rFonts w:ascii="Times New Roman" w:hAnsi="Times New Roman" w:cs="Times New Roman"/>
          <w:sz w:val="24"/>
          <w:szCs w:val="24"/>
          <w:lang w:val="en-GB"/>
        </w:rPr>
        <w:t xml:space="preserve">the </w:t>
      </w:r>
      <w:r w:rsidR="00B07312" w:rsidRPr="00754A1D">
        <w:rPr>
          <w:rFonts w:ascii="Times New Roman" w:hAnsi="Times New Roman" w:cs="Times New Roman"/>
          <w:sz w:val="24"/>
          <w:szCs w:val="24"/>
          <w:lang w:val="en-GB"/>
        </w:rPr>
        <w:t>Savant Speed Vac Concentrator (Savant Instruments Inc., Farmingdale, NY, USA) and stored at -80°C.</w:t>
      </w:r>
    </w:p>
    <w:p w14:paraId="218748FA" w14:textId="77777777" w:rsidR="009250C8" w:rsidRPr="00754A1D" w:rsidRDefault="009250C8" w:rsidP="00692A07">
      <w:pPr>
        <w:spacing w:before="240" w:line="480" w:lineRule="auto"/>
        <w:jc w:val="both"/>
        <w:rPr>
          <w:rFonts w:ascii="Times New Roman" w:hAnsi="Times New Roman" w:cs="Times New Roman"/>
          <w:b/>
          <w:i/>
          <w:sz w:val="24"/>
          <w:szCs w:val="24"/>
          <w:lang w:val="en-GB"/>
        </w:rPr>
      </w:pPr>
      <w:r w:rsidRPr="00754A1D">
        <w:rPr>
          <w:rFonts w:ascii="Times New Roman" w:hAnsi="Times New Roman" w:cs="Times New Roman"/>
          <w:b/>
          <w:i/>
          <w:sz w:val="24"/>
          <w:szCs w:val="24"/>
          <w:lang w:val="en-GB"/>
        </w:rPr>
        <w:t xml:space="preserve">Peptide separation using </w:t>
      </w:r>
      <w:proofErr w:type="spellStart"/>
      <w:r w:rsidRPr="00754A1D">
        <w:rPr>
          <w:rFonts w:ascii="Times New Roman" w:hAnsi="Times New Roman" w:cs="Times New Roman"/>
          <w:b/>
          <w:i/>
          <w:sz w:val="24"/>
          <w:szCs w:val="24"/>
          <w:lang w:val="en-GB"/>
        </w:rPr>
        <w:t>nanoUPLC</w:t>
      </w:r>
      <w:proofErr w:type="spellEnd"/>
    </w:p>
    <w:p w14:paraId="7DC657BE" w14:textId="42838E9D" w:rsidR="00953CC9" w:rsidRPr="00754A1D" w:rsidRDefault="006E5477" w:rsidP="00953CC9">
      <w:pPr>
        <w:spacing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Prior to</w:t>
      </w:r>
      <w:r w:rsidR="00953CC9" w:rsidRPr="00754A1D">
        <w:rPr>
          <w:rFonts w:ascii="Times New Roman" w:hAnsi="Times New Roman" w:cs="Times New Roman"/>
          <w:sz w:val="24"/>
          <w:szCs w:val="24"/>
          <w:lang w:val="en-US"/>
        </w:rPr>
        <w:t xml:space="preserve"> peptide separation, the samples were dissolved in 20 µl of 0.1 % (v/v) formic acid and 2% (v/v) acetonitrile (ACN). </w:t>
      </w:r>
      <w:r w:rsidRPr="00754A1D">
        <w:rPr>
          <w:rFonts w:ascii="Times New Roman" w:hAnsi="Times New Roman" w:cs="Times New Roman"/>
          <w:sz w:val="24"/>
          <w:szCs w:val="24"/>
          <w:lang w:val="en-US"/>
        </w:rPr>
        <w:t>The p</w:t>
      </w:r>
      <w:r w:rsidR="00953CC9" w:rsidRPr="00754A1D">
        <w:rPr>
          <w:rFonts w:ascii="Times New Roman" w:hAnsi="Times New Roman" w:cs="Times New Roman"/>
          <w:sz w:val="24"/>
          <w:szCs w:val="24"/>
          <w:lang w:val="en-US"/>
        </w:rPr>
        <w:t xml:space="preserve">eptide mixture was separated by reverse phase chromatography on a </w:t>
      </w:r>
      <w:proofErr w:type="spellStart"/>
      <w:r w:rsidR="00953CC9" w:rsidRPr="00754A1D">
        <w:rPr>
          <w:rFonts w:ascii="Times New Roman" w:hAnsi="Times New Roman" w:cs="Times New Roman"/>
          <w:sz w:val="24"/>
          <w:szCs w:val="24"/>
          <w:lang w:val="en-US"/>
        </w:rPr>
        <w:t>NanoACQUITY</w:t>
      </w:r>
      <w:proofErr w:type="spellEnd"/>
      <w:r w:rsidR="00953CC9" w:rsidRPr="00754A1D">
        <w:rPr>
          <w:rFonts w:ascii="Times New Roman" w:hAnsi="Times New Roman" w:cs="Times New Roman"/>
          <w:sz w:val="24"/>
          <w:szCs w:val="24"/>
          <w:lang w:val="en-US"/>
        </w:rPr>
        <w:t xml:space="preserve"> UPLC M-Class system (Waters) working with the </w:t>
      </w:r>
      <w:proofErr w:type="spellStart"/>
      <w:r w:rsidR="00953CC9" w:rsidRPr="00754A1D">
        <w:rPr>
          <w:rFonts w:ascii="Times New Roman" w:hAnsi="Times New Roman" w:cs="Times New Roman"/>
          <w:sz w:val="24"/>
          <w:szCs w:val="24"/>
          <w:lang w:val="en-US"/>
        </w:rPr>
        <w:t>MassLynx</w:t>
      </w:r>
      <w:proofErr w:type="spellEnd"/>
      <w:r w:rsidR="00953CC9" w:rsidRPr="00754A1D">
        <w:rPr>
          <w:rFonts w:ascii="Times New Roman" w:hAnsi="Times New Roman" w:cs="Times New Roman"/>
          <w:sz w:val="24"/>
          <w:szCs w:val="24"/>
          <w:lang w:val="en-US"/>
        </w:rPr>
        <w:t xml:space="preserve"> V4.1 software (Waters). 200 ng of digested proteins were injected on a trap C18, </w:t>
      </w:r>
      <w:r w:rsidR="00953CC9" w:rsidRPr="00754A1D">
        <w:rPr>
          <w:rFonts w:ascii="Times New Roman" w:hAnsi="Times New Roman" w:cs="Times New Roman"/>
          <w:sz w:val="24"/>
          <w:szCs w:val="24"/>
          <w:lang w:val="en-US"/>
        </w:rPr>
        <w:lastRenderedPageBreak/>
        <w:t xml:space="preserve">100Å 5 µm, 180 µm x 20 mm column (Waters) and desalted </w:t>
      </w:r>
      <w:r w:rsidRPr="00754A1D">
        <w:rPr>
          <w:rFonts w:ascii="Times New Roman" w:hAnsi="Times New Roman" w:cs="Times New Roman"/>
          <w:sz w:val="24"/>
          <w:szCs w:val="24"/>
          <w:lang w:val="en-US"/>
        </w:rPr>
        <w:t>under</w:t>
      </w:r>
      <w:r w:rsidR="00953CC9" w:rsidRPr="00754A1D">
        <w:rPr>
          <w:rFonts w:ascii="Times New Roman" w:hAnsi="Times New Roman" w:cs="Times New Roman"/>
          <w:sz w:val="24"/>
          <w:szCs w:val="24"/>
          <w:lang w:val="en-US"/>
        </w:rPr>
        <w:t xml:space="preserve"> isocratic conditions with a flow rate of 15 µL/min using a 99% formic acid and 1% (v/v) ACN buffer for 3 min. </w:t>
      </w:r>
      <w:r w:rsidRPr="00754A1D">
        <w:rPr>
          <w:rFonts w:ascii="Times New Roman" w:hAnsi="Times New Roman" w:cs="Times New Roman"/>
          <w:sz w:val="24"/>
          <w:szCs w:val="24"/>
          <w:lang w:val="en-US"/>
        </w:rPr>
        <w:t>The p</w:t>
      </w:r>
      <w:r w:rsidR="00953CC9" w:rsidRPr="00754A1D">
        <w:rPr>
          <w:rFonts w:ascii="Times New Roman" w:hAnsi="Times New Roman" w:cs="Times New Roman"/>
          <w:sz w:val="24"/>
          <w:szCs w:val="24"/>
          <w:lang w:val="en-US"/>
        </w:rPr>
        <w:t xml:space="preserve">eptide mixture was subjected to reverse phase chromatography on a C18, 100Å 1.8 µm, 75 µm × 150 mm column (Waters) </w:t>
      </w:r>
      <w:proofErr w:type="spellStart"/>
      <w:r w:rsidR="00953CC9" w:rsidRPr="00754A1D">
        <w:rPr>
          <w:rFonts w:ascii="Times New Roman" w:hAnsi="Times New Roman" w:cs="Times New Roman"/>
          <w:sz w:val="24"/>
          <w:szCs w:val="24"/>
          <w:lang w:val="en-US"/>
        </w:rPr>
        <w:t>PepMap</w:t>
      </w:r>
      <w:proofErr w:type="spellEnd"/>
      <w:r w:rsidR="00953CC9" w:rsidRPr="00754A1D">
        <w:rPr>
          <w:rFonts w:ascii="Times New Roman" w:hAnsi="Times New Roman" w:cs="Times New Roman"/>
          <w:sz w:val="24"/>
          <w:szCs w:val="24"/>
          <w:lang w:val="en-US"/>
        </w:rPr>
        <w:t xml:space="preserve"> for 120 min at 35°C with a flow rate of 300 </w:t>
      </w:r>
      <w:proofErr w:type="spellStart"/>
      <w:r w:rsidR="00953CC9" w:rsidRPr="00754A1D">
        <w:rPr>
          <w:rFonts w:ascii="Times New Roman" w:hAnsi="Times New Roman" w:cs="Times New Roman"/>
          <w:sz w:val="24"/>
          <w:szCs w:val="24"/>
          <w:lang w:val="en-US"/>
        </w:rPr>
        <w:t>nL</w:t>
      </w:r>
      <w:proofErr w:type="spellEnd"/>
      <w:r w:rsidR="00953CC9" w:rsidRPr="00754A1D">
        <w:rPr>
          <w:rFonts w:ascii="Times New Roman" w:hAnsi="Times New Roman" w:cs="Times New Roman"/>
          <w:sz w:val="24"/>
          <w:szCs w:val="24"/>
          <w:lang w:val="en-US"/>
        </w:rPr>
        <w:t xml:space="preserve">/min using a </w:t>
      </w:r>
      <w:r w:rsidR="00732492" w:rsidRPr="00754A1D">
        <w:rPr>
          <w:rFonts w:ascii="Times New Roman" w:hAnsi="Times New Roman" w:cs="Times New Roman"/>
          <w:sz w:val="24"/>
          <w:szCs w:val="24"/>
          <w:lang w:val="en-US"/>
        </w:rPr>
        <w:t>two-part</w:t>
      </w:r>
      <w:r w:rsidR="00953CC9" w:rsidRPr="00754A1D">
        <w:rPr>
          <w:rFonts w:ascii="Times New Roman" w:hAnsi="Times New Roman" w:cs="Times New Roman"/>
          <w:sz w:val="24"/>
          <w:szCs w:val="24"/>
          <w:lang w:val="en-US"/>
        </w:rPr>
        <w:t xml:space="preserve"> linear gradient from 1% (v/v) ACN, 0.1 % formic acid to 35 % (v/v) ACN, 0.1 % formic acid and from 35% (v/v) ACN, 0.1 % formic acid to 85 % (v/v) ACN, 0.1 % formic acid. The column was re-equilibrated at initial conditions after </w:t>
      </w:r>
      <w:r w:rsidRPr="00754A1D">
        <w:rPr>
          <w:rFonts w:ascii="Times New Roman" w:hAnsi="Times New Roman" w:cs="Times New Roman"/>
          <w:sz w:val="24"/>
          <w:szCs w:val="24"/>
          <w:lang w:val="en-US"/>
        </w:rPr>
        <w:t>a</w:t>
      </w:r>
      <w:r w:rsidR="00953CC9" w:rsidRPr="00754A1D">
        <w:rPr>
          <w:rFonts w:ascii="Times New Roman" w:hAnsi="Times New Roman" w:cs="Times New Roman"/>
          <w:sz w:val="24"/>
          <w:szCs w:val="24"/>
          <w:lang w:val="en-US"/>
        </w:rPr>
        <w:t xml:space="preserve"> 10 min </w:t>
      </w:r>
      <w:r w:rsidRPr="00754A1D">
        <w:rPr>
          <w:rFonts w:ascii="Times New Roman" w:hAnsi="Times New Roman" w:cs="Times New Roman"/>
          <w:sz w:val="24"/>
          <w:szCs w:val="24"/>
          <w:lang w:val="en-US"/>
        </w:rPr>
        <w:t xml:space="preserve">wash </w:t>
      </w:r>
      <w:r w:rsidR="00953CC9" w:rsidRPr="00754A1D">
        <w:rPr>
          <w:rFonts w:ascii="Times New Roman" w:hAnsi="Times New Roman" w:cs="Times New Roman"/>
          <w:sz w:val="24"/>
          <w:szCs w:val="24"/>
          <w:lang w:val="en-US"/>
        </w:rPr>
        <w:t xml:space="preserve">at 85% (v/v) ACN, 0.1 % formic acid at a flow rate of 300 </w:t>
      </w:r>
      <w:proofErr w:type="spellStart"/>
      <w:r w:rsidR="00953CC9" w:rsidRPr="00754A1D">
        <w:rPr>
          <w:rFonts w:ascii="Times New Roman" w:hAnsi="Times New Roman" w:cs="Times New Roman"/>
          <w:sz w:val="24"/>
          <w:szCs w:val="24"/>
          <w:lang w:val="en-US"/>
        </w:rPr>
        <w:t>nL</w:t>
      </w:r>
      <w:proofErr w:type="spellEnd"/>
      <w:r w:rsidR="00953CC9" w:rsidRPr="00754A1D">
        <w:rPr>
          <w:rFonts w:ascii="Times New Roman" w:hAnsi="Times New Roman" w:cs="Times New Roman"/>
          <w:sz w:val="24"/>
          <w:szCs w:val="24"/>
          <w:lang w:val="en-US"/>
        </w:rPr>
        <w:t xml:space="preserve">/min. For online LC-MS analysis, the </w:t>
      </w:r>
      <w:proofErr w:type="spellStart"/>
      <w:r w:rsidR="00953CC9" w:rsidRPr="00754A1D">
        <w:rPr>
          <w:rFonts w:ascii="Times New Roman" w:hAnsi="Times New Roman" w:cs="Times New Roman"/>
          <w:sz w:val="24"/>
          <w:szCs w:val="24"/>
          <w:lang w:val="en-US"/>
        </w:rPr>
        <w:t>nano</w:t>
      </w:r>
      <w:proofErr w:type="spellEnd"/>
      <w:r w:rsidR="00953CC9" w:rsidRPr="00754A1D">
        <w:rPr>
          <w:rFonts w:ascii="Times New Roman" w:hAnsi="Times New Roman" w:cs="Times New Roman"/>
          <w:sz w:val="24"/>
          <w:szCs w:val="24"/>
          <w:lang w:val="en-US"/>
        </w:rPr>
        <w:t xml:space="preserve"> UPLC was coupled to the mass spectrometer through a </w:t>
      </w:r>
      <w:proofErr w:type="spellStart"/>
      <w:r w:rsidR="00953CC9" w:rsidRPr="00754A1D">
        <w:rPr>
          <w:rFonts w:ascii="Times New Roman" w:hAnsi="Times New Roman" w:cs="Times New Roman"/>
          <w:sz w:val="24"/>
          <w:szCs w:val="24"/>
          <w:lang w:val="en-US"/>
        </w:rPr>
        <w:t>nano</w:t>
      </w:r>
      <w:proofErr w:type="spellEnd"/>
      <w:r w:rsidR="00953CC9" w:rsidRPr="00754A1D">
        <w:rPr>
          <w:rFonts w:ascii="Times New Roman" w:hAnsi="Times New Roman" w:cs="Times New Roman"/>
          <w:sz w:val="24"/>
          <w:szCs w:val="24"/>
          <w:lang w:val="en-US"/>
        </w:rPr>
        <w:t>-electrospray ionization (</w:t>
      </w:r>
      <w:proofErr w:type="spellStart"/>
      <w:r w:rsidR="00953CC9" w:rsidRPr="00754A1D">
        <w:rPr>
          <w:rFonts w:ascii="Times New Roman" w:hAnsi="Times New Roman" w:cs="Times New Roman"/>
          <w:sz w:val="24"/>
          <w:szCs w:val="24"/>
          <w:lang w:val="en-US"/>
        </w:rPr>
        <w:t>nano</w:t>
      </w:r>
      <w:proofErr w:type="spellEnd"/>
      <w:r w:rsidR="00953CC9" w:rsidRPr="00754A1D">
        <w:rPr>
          <w:rFonts w:ascii="Times New Roman" w:hAnsi="Times New Roman" w:cs="Times New Roman"/>
          <w:sz w:val="24"/>
          <w:szCs w:val="24"/>
          <w:lang w:val="en-US"/>
        </w:rPr>
        <w:t xml:space="preserve"> ESI) source emitter. </w:t>
      </w:r>
    </w:p>
    <w:p w14:paraId="63BB2012" w14:textId="77777777" w:rsidR="009250C8" w:rsidRPr="00754A1D" w:rsidRDefault="009250C8" w:rsidP="00DA6D20">
      <w:pPr>
        <w:spacing w:before="240" w:line="480" w:lineRule="auto"/>
        <w:jc w:val="both"/>
        <w:rPr>
          <w:rFonts w:ascii="Times New Roman" w:hAnsi="Times New Roman" w:cs="Times New Roman"/>
          <w:b/>
          <w:i/>
          <w:sz w:val="24"/>
          <w:szCs w:val="24"/>
          <w:lang w:val="en-GB"/>
        </w:rPr>
      </w:pPr>
      <w:r w:rsidRPr="00754A1D">
        <w:rPr>
          <w:rFonts w:ascii="Times New Roman" w:hAnsi="Times New Roman" w:cs="Times New Roman"/>
          <w:b/>
          <w:i/>
          <w:sz w:val="24"/>
          <w:szCs w:val="24"/>
          <w:lang w:val="en-GB"/>
        </w:rPr>
        <w:t>LC-IMS (Ion Mobility Separation)-QTOF-MS Analysis (HDMS</w:t>
      </w:r>
      <w:r w:rsidRPr="00754A1D">
        <w:rPr>
          <w:rFonts w:ascii="Times New Roman" w:hAnsi="Times New Roman" w:cs="Times New Roman"/>
          <w:b/>
          <w:i/>
          <w:sz w:val="24"/>
          <w:szCs w:val="24"/>
          <w:vertAlign w:val="superscript"/>
          <w:lang w:val="en-GB"/>
        </w:rPr>
        <w:t>E</w:t>
      </w:r>
      <w:r w:rsidRPr="00754A1D">
        <w:rPr>
          <w:rFonts w:ascii="Times New Roman" w:hAnsi="Times New Roman" w:cs="Times New Roman"/>
          <w:b/>
          <w:i/>
          <w:sz w:val="24"/>
          <w:szCs w:val="24"/>
          <w:lang w:val="en-GB"/>
        </w:rPr>
        <w:t>)</w:t>
      </w:r>
    </w:p>
    <w:p w14:paraId="793C7007" w14:textId="57DE838E" w:rsidR="00F73466" w:rsidRPr="00754A1D" w:rsidRDefault="00732492" w:rsidP="00F73466">
      <w:pPr>
        <w:autoSpaceDE w:val="0"/>
        <w:autoSpaceDN w:val="0"/>
        <w:adjustRightInd w:val="0"/>
        <w:spacing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The </w:t>
      </w:r>
      <w:r w:rsidR="00F73466" w:rsidRPr="00754A1D">
        <w:rPr>
          <w:rFonts w:ascii="Times New Roman" w:hAnsi="Times New Roman" w:cs="Times New Roman"/>
          <w:sz w:val="24"/>
          <w:szCs w:val="24"/>
          <w:lang w:val="en-US"/>
        </w:rPr>
        <w:t>IMS-HDMS</w:t>
      </w:r>
      <w:r w:rsidR="00F73466" w:rsidRPr="00754A1D">
        <w:rPr>
          <w:rFonts w:ascii="Times New Roman" w:hAnsi="Times New Roman" w:cs="Times New Roman"/>
          <w:sz w:val="24"/>
          <w:szCs w:val="24"/>
          <w:vertAlign w:val="superscript"/>
          <w:lang w:val="en-US"/>
        </w:rPr>
        <w:t>E</w:t>
      </w:r>
      <w:r w:rsidR="00F73466" w:rsidRPr="00754A1D">
        <w:rPr>
          <w:rFonts w:ascii="Times New Roman" w:hAnsi="Times New Roman" w:cs="Times New Roman"/>
          <w:sz w:val="24"/>
          <w:szCs w:val="24"/>
          <w:lang w:val="en-US"/>
        </w:rPr>
        <w:t xml:space="preserve"> (Ion Mobility Separation-High Definition Enhanced Mass Spectrometry) analyses were performed on an SYNAPT G2-Si high definition mass spectrometer (Waters) equipped with a </w:t>
      </w:r>
      <w:proofErr w:type="spellStart"/>
      <w:r w:rsidR="00F73466" w:rsidRPr="00754A1D">
        <w:rPr>
          <w:rFonts w:ascii="Times New Roman" w:hAnsi="Times New Roman" w:cs="Times New Roman"/>
          <w:sz w:val="24"/>
          <w:szCs w:val="24"/>
          <w:lang w:val="en-US"/>
        </w:rPr>
        <w:t>NanoLockSpray</w:t>
      </w:r>
      <w:proofErr w:type="spellEnd"/>
      <w:r w:rsidR="00F73466" w:rsidRPr="00754A1D">
        <w:rPr>
          <w:rFonts w:ascii="Times New Roman" w:hAnsi="Times New Roman" w:cs="Times New Roman"/>
          <w:sz w:val="24"/>
          <w:szCs w:val="24"/>
          <w:lang w:val="en-US"/>
        </w:rPr>
        <w:t xml:space="preserve"> dual electrospray ion source (Waters). Precut fused silica </w:t>
      </w:r>
      <w:proofErr w:type="spellStart"/>
      <w:r w:rsidR="00F73466" w:rsidRPr="00754A1D">
        <w:rPr>
          <w:rFonts w:ascii="Times New Roman" w:hAnsi="Times New Roman" w:cs="Times New Roman"/>
          <w:sz w:val="24"/>
          <w:szCs w:val="24"/>
          <w:lang w:val="en-US"/>
        </w:rPr>
        <w:t>PicoTip</w:t>
      </w:r>
      <w:r w:rsidR="00F73466" w:rsidRPr="00754A1D">
        <w:rPr>
          <w:rFonts w:ascii="Times New Roman" w:hAnsi="Times New Roman" w:cs="Times New Roman"/>
          <w:sz w:val="24"/>
          <w:szCs w:val="24"/>
          <w:vertAlign w:val="superscript"/>
          <w:lang w:val="en-US"/>
        </w:rPr>
        <w:t>R</w:t>
      </w:r>
      <w:proofErr w:type="spellEnd"/>
      <w:r w:rsidR="00F73466" w:rsidRPr="00754A1D">
        <w:rPr>
          <w:rFonts w:ascii="Times New Roman" w:hAnsi="Times New Roman" w:cs="Times New Roman"/>
          <w:sz w:val="24"/>
          <w:szCs w:val="24"/>
          <w:lang w:val="en-US"/>
        </w:rPr>
        <w:t xml:space="preserve"> Emitters for </w:t>
      </w:r>
      <w:proofErr w:type="spellStart"/>
      <w:r w:rsidR="00F73466" w:rsidRPr="00754A1D">
        <w:rPr>
          <w:rFonts w:ascii="Times New Roman" w:hAnsi="Times New Roman" w:cs="Times New Roman"/>
          <w:sz w:val="24"/>
          <w:szCs w:val="24"/>
          <w:lang w:val="en-US"/>
        </w:rPr>
        <w:t>nanoelectrospray</w:t>
      </w:r>
      <w:proofErr w:type="spellEnd"/>
      <w:r w:rsidR="00F73466" w:rsidRPr="00754A1D">
        <w:rPr>
          <w:rFonts w:ascii="Times New Roman" w:hAnsi="Times New Roman" w:cs="Times New Roman"/>
          <w:sz w:val="24"/>
          <w:szCs w:val="24"/>
          <w:lang w:val="en-US"/>
        </w:rPr>
        <w:t xml:space="preserve">, outer diameters: 360 µm; inner diameter: 20 µm; 10 µm tip; 2.5” length (Waters) were used to spray samples and Precut fused silica </w:t>
      </w:r>
      <w:proofErr w:type="spellStart"/>
      <w:r w:rsidR="00C667D5" w:rsidRPr="00754A1D">
        <w:rPr>
          <w:rFonts w:ascii="Times New Roman" w:hAnsi="Times New Roman" w:cs="Times New Roman"/>
          <w:sz w:val="24"/>
          <w:szCs w:val="24"/>
          <w:lang w:val="en-US"/>
        </w:rPr>
        <w:t>P</w:t>
      </w:r>
      <w:r w:rsidR="00F73466" w:rsidRPr="00754A1D">
        <w:rPr>
          <w:rFonts w:ascii="Times New Roman" w:hAnsi="Times New Roman" w:cs="Times New Roman"/>
          <w:sz w:val="24"/>
          <w:szCs w:val="24"/>
          <w:lang w:val="en-US"/>
        </w:rPr>
        <w:t>icoTip</w:t>
      </w:r>
      <w:r w:rsidR="00F73466" w:rsidRPr="00754A1D">
        <w:rPr>
          <w:rFonts w:ascii="Times New Roman" w:hAnsi="Times New Roman" w:cs="Times New Roman"/>
          <w:sz w:val="24"/>
          <w:szCs w:val="24"/>
          <w:vertAlign w:val="superscript"/>
          <w:lang w:val="en-US"/>
        </w:rPr>
        <w:t>R</w:t>
      </w:r>
      <w:proofErr w:type="spellEnd"/>
      <w:r w:rsidR="00F73466" w:rsidRPr="00754A1D">
        <w:rPr>
          <w:rFonts w:ascii="Times New Roman" w:hAnsi="Times New Roman" w:cs="Times New Roman"/>
          <w:sz w:val="24"/>
          <w:szCs w:val="24"/>
          <w:lang w:val="en-US"/>
        </w:rPr>
        <w:t xml:space="preserve"> Emitters for </w:t>
      </w:r>
      <w:proofErr w:type="spellStart"/>
      <w:r w:rsidR="00F73466" w:rsidRPr="00754A1D">
        <w:rPr>
          <w:rFonts w:ascii="Times New Roman" w:hAnsi="Times New Roman" w:cs="Times New Roman"/>
          <w:sz w:val="24"/>
          <w:szCs w:val="24"/>
          <w:lang w:val="en-US"/>
        </w:rPr>
        <w:t>nano</w:t>
      </w:r>
      <w:proofErr w:type="spellEnd"/>
      <w:r w:rsidR="00C667D5" w:rsidRPr="00754A1D">
        <w:rPr>
          <w:rFonts w:ascii="Times New Roman" w:hAnsi="Times New Roman" w:cs="Times New Roman"/>
          <w:sz w:val="24"/>
          <w:szCs w:val="24"/>
          <w:lang w:val="en-US"/>
        </w:rPr>
        <w:t>-</w:t>
      </w:r>
      <w:r w:rsidR="00F73466" w:rsidRPr="00754A1D">
        <w:rPr>
          <w:rFonts w:ascii="Times New Roman" w:hAnsi="Times New Roman" w:cs="Times New Roman"/>
          <w:sz w:val="24"/>
          <w:szCs w:val="24"/>
          <w:lang w:val="en-US"/>
        </w:rPr>
        <w:t xml:space="preserve">electrospray, outer diameters: 360 µm; inner diameter: 20 µm; 2.5” length (Waters) were used to spray the lock mass solution. The eluent was sprayed at a spray voltage of 2.4 kV with a sampling cone voltage of 25 V and a source offset of 30 V. The source temperature was set </w:t>
      </w:r>
      <w:r w:rsidR="00E97C01" w:rsidRPr="00754A1D">
        <w:rPr>
          <w:rFonts w:ascii="Times New Roman" w:hAnsi="Times New Roman" w:cs="Times New Roman"/>
          <w:sz w:val="24"/>
          <w:szCs w:val="24"/>
          <w:lang w:val="en-US"/>
        </w:rPr>
        <w:t>at</w:t>
      </w:r>
      <w:r w:rsidR="00F73466" w:rsidRPr="00754A1D">
        <w:rPr>
          <w:rFonts w:ascii="Times New Roman" w:hAnsi="Times New Roman" w:cs="Times New Roman"/>
          <w:sz w:val="24"/>
          <w:szCs w:val="24"/>
          <w:lang w:val="en-US"/>
        </w:rPr>
        <w:t xml:space="preserve"> 80°C. </w:t>
      </w:r>
      <w:r w:rsidR="00E97C01" w:rsidRPr="00754A1D">
        <w:rPr>
          <w:rFonts w:ascii="Times New Roman" w:hAnsi="Times New Roman" w:cs="Times New Roman"/>
          <w:sz w:val="24"/>
          <w:szCs w:val="24"/>
          <w:lang w:val="en-US"/>
        </w:rPr>
        <w:t xml:space="preserve">The </w:t>
      </w:r>
      <w:r w:rsidR="00F73466" w:rsidRPr="00754A1D">
        <w:rPr>
          <w:rFonts w:ascii="Times New Roman" w:hAnsi="Times New Roman" w:cs="Times New Roman"/>
          <w:sz w:val="24"/>
          <w:szCs w:val="24"/>
          <w:lang w:val="en-US"/>
        </w:rPr>
        <w:t>HDMS</w:t>
      </w:r>
      <w:r w:rsidR="00F73466" w:rsidRPr="00754A1D">
        <w:rPr>
          <w:rFonts w:ascii="Times New Roman" w:hAnsi="Times New Roman" w:cs="Times New Roman"/>
          <w:sz w:val="24"/>
          <w:szCs w:val="24"/>
          <w:vertAlign w:val="superscript"/>
          <w:lang w:val="en-US"/>
        </w:rPr>
        <w:t>E</w:t>
      </w:r>
      <w:r w:rsidR="00F73466" w:rsidRPr="00754A1D">
        <w:rPr>
          <w:rFonts w:ascii="Times New Roman" w:hAnsi="Times New Roman" w:cs="Times New Roman"/>
          <w:sz w:val="24"/>
          <w:szCs w:val="24"/>
          <w:lang w:val="en-US"/>
        </w:rPr>
        <w:t xml:space="preserve"> method in resolution mode was used to collect data from 15 min after injection to 106 min. This method acquires MS</w:t>
      </w:r>
      <w:r w:rsidR="00F73466" w:rsidRPr="00754A1D">
        <w:rPr>
          <w:rFonts w:ascii="Times New Roman" w:hAnsi="Times New Roman" w:cs="Times New Roman"/>
          <w:sz w:val="24"/>
          <w:szCs w:val="24"/>
          <w:vertAlign w:val="superscript"/>
          <w:lang w:val="en-US"/>
        </w:rPr>
        <w:t>E</w:t>
      </w:r>
      <w:r w:rsidR="00F73466" w:rsidRPr="00754A1D">
        <w:rPr>
          <w:rFonts w:ascii="Times New Roman" w:hAnsi="Times New Roman" w:cs="Times New Roman"/>
          <w:sz w:val="24"/>
          <w:szCs w:val="24"/>
          <w:lang w:val="en-US"/>
        </w:rPr>
        <w:t xml:space="preserve"> in positive and resolution mode over the m/z range from 50 to 2000 with a scan time of 1 sec</w:t>
      </w:r>
      <w:r w:rsidR="00E97C01" w:rsidRPr="00754A1D">
        <w:rPr>
          <w:rFonts w:ascii="Times New Roman" w:hAnsi="Times New Roman" w:cs="Times New Roman"/>
          <w:sz w:val="24"/>
          <w:szCs w:val="24"/>
          <w:lang w:val="en-US"/>
        </w:rPr>
        <w:t xml:space="preserve"> </w:t>
      </w:r>
      <w:r w:rsidR="00F73466" w:rsidRPr="00754A1D">
        <w:rPr>
          <w:rFonts w:ascii="Times New Roman" w:hAnsi="Times New Roman" w:cs="Times New Roman"/>
          <w:sz w:val="24"/>
          <w:szCs w:val="24"/>
          <w:lang w:val="en-US"/>
        </w:rPr>
        <w:t>with a collision energy ramp starting from ion mobility bin 20 (20 eV) to 110 (45 eV). The collision energy in the transfer cell for low-energy MS mode was set to 4 eV. For the post-acquisition lock mass correction of the data in the MS method, the doubly charged monoisotopic ion of [Glu</w:t>
      </w:r>
      <w:r w:rsidR="00F73466" w:rsidRPr="00754A1D">
        <w:rPr>
          <w:rFonts w:ascii="Times New Roman" w:hAnsi="Times New Roman" w:cs="Times New Roman"/>
          <w:sz w:val="24"/>
          <w:szCs w:val="24"/>
          <w:vertAlign w:val="superscript"/>
          <w:lang w:val="en-US"/>
        </w:rPr>
        <w:t>1</w:t>
      </w:r>
      <w:r w:rsidR="00F73466" w:rsidRPr="00754A1D">
        <w:rPr>
          <w:rFonts w:ascii="Times New Roman" w:hAnsi="Times New Roman" w:cs="Times New Roman"/>
          <w:sz w:val="24"/>
          <w:szCs w:val="24"/>
          <w:lang w:val="en-US"/>
        </w:rPr>
        <w:t xml:space="preserve">]-fibrinopeptide B </w:t>
      </w:r>
      <w:r w:rsidR="00F73466" w:rsidRPr="00754A1D">
        <w:rPr>
          <w:rFonts w:ascii="Times New Roman" w:hAnsi="Times New Roman" w:cs="Times New Roman"/>
          <w:sz w:val="24"/>
          <w:szCs w:val="24"/>
          <w:lang w:val="en-US"/>
        </w:rPr>
        <w:lastRenderedPageBreak/>
        <w:t xml:space="preserve">was used at 100 </w:t>
      </w:r>
      <w:proofErr w:type="spellStart"/>
      <w:r w:rsidR="00F73466" w:rsidRPr="00754A1D">
        <w:rPr>
          <w:rFonts w:ascii="Times New Roman" w:hAnsi="Times New Roman" w:cs="Times New Roman"/>
          <w:sz w:val="24"/>
          <w:szCs w:val="24"/>
          <w:lang w:val="en-US"/>
        </w:rPr>
        <w:t>fmol</w:t>
      </w:r>
      <w:proofErr w:type="spellEnd"/>
      <w:r w:rsidR="00F73466" w:rsidRPr="00754A1D">
        <w:rPr>
          <w:rFonts w:ascii="Times New Roman" w:hAnsi="Times New Roman" w:cs="Times New Roman"/>
          <w:sz w:val="24"/>
          <w:szCs w:val="24"/>
          <w:lang w:val="en-US"/>
        </w:rPr>
        <w:t xml:space="preserve">/µl using the reference sprayer of the </w:t>
      </w:r>
      <w:proofErr w:type="spellStart"/>
      <w:r w:rsidR="00F73466" w:rsidRPr="00754A1D">
        <w:rPr>
          <w:rFonts w:ascii="Times New Roman" w:hAnsi="Times New Roman" w:cs="Times New Roman"/>
          <w:sz w:val="24"/>
          <w:szCs w:val="24"/>
          <w:lang w:val="en-US"/>
        </w:rPr>
        <w:t>nano</w:t>
      </w:r>
      <w:proofErr w:type="spellEnd"/>
      <w:r w:rsidR="00C667D5" w:rsidRPr="00754A1D">
        <w:rPr>
          <w:rFonts w:ascii="Times New Roman" w:hAnsi="Times New Roman" w:cs="Times New Roman"/>
          <w:sz w:val="24"/>
          <w:szCs w:val="24"/>
          <w:lang w:val="en-US"/>
        </w:rPr>
        <w:t>-</w:t>
      </w:r>
      <w:r w:rsidR="00F73466" w:rsidRPr="00754A1D">
        <w:rPr>
          <w:rFonts w:ascii="Times New Roman" w:hAnsi="Times New Roman" w:cs="Times New Roman"/>
          <w:sz w:val="24"/>
          <w:szCs w:val="24"/>
          <w:lang w:val="en-US"/>
        </w:rPr>
        <w:t>ESI source with a frequency of 30 s at 0.5 µl/min into the mass spectrometer.</w:t>
      </w:r>
    </w:p>
    <w:p w14:paraId="69F6BF8A" w14:textId="4E13F14A" w:rsidR="009250C8" w:rsidRPr="00754A1D" w:rsidRDefault="00E67806" w:rsidP="00DA6D20">
      <w:pPr>
        <w:spacing w:before="240" w:line="480" w:lineRule="auto"/>
        <w:jc w:val="both"/>
        <w:rPr>
          <w:rFonts w:ascii="Times New Roman" w:hAnsi="Times New Roman" w:cs="Times New Roman"/>
          <w:b/>
          <w:i/>
          <w:sz w:val="24"/>
          <w:szCs w:val="24"/>
          <w:lang w:val="en-US"/>
        </w:rPr>
      </w:pPr>
      <w:r w:rsidRPr="00754A1D">
        <w:rPr>
          <w:rFonts w:ascii="Times New Roman" w:hAnsi="Times New Roman" w:cs="Times New Roman"/>
          <w:b/>
          <w:i/>
          <w:sz w:val="24"/>
          <w:szCs w:val="24"/>
          <w:lang w:val="en-US"/>
        </w:rPr>
        <w:t xml:space="preserve">Database search and protein quantification </w:t>
      </w:r>
    </w:p>
    <w:p w14:paraId="65558845" w14:textId="7EDC20FE" w:rsidR="00EB7810" w:rsidRPr="00754A1D" w:rsidRDefault="00E97C01" w:rsidP="00EB7810">
      <w:pPr>
        <w:spacing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The </w:t>
      </w:r>
      <w:r w:rsidR="009250C8" w:rsidRPr="00754A1D">
        <w:rPr>
          <w:rFonts w:ascii="Times New Roman" w:hAnsi="Times New Roman" w:cs="Times New Roman"/>
          <w:sz w:val="24"/>
          <w:szCs w:val="24"/>
          <w:lang w:val="en-US"/>
        </w:rPr>
        <w:t>HDMS</w:t>
      </w:r>
      <w:r w:rsidR="009250C8" w:rsidRPr="00754A1D">
        <w:rPr>
          <w:rFonts w:ascii="Times New Roman" w:hAnsi="Times New Roman" w:cs="Times New Roman"/>
          <w:sz w:val="24"/>
          <w:szCs w:val="24"/>
          <w:vertAlign w:val="superscript"/>
          <w:lang w:val="en-US"/>
        </w:rPr>
        <w:t>E</w:t>
      </w:r>
      <w:r w:rsidR="009250C8" w:rsidRPr="00754A1D">
        <w:rPr>
          <w:rFonts w:ascii="Times New Roman" w:hAnsi="Times New Roman" w:cs="Times New Roman"/>
          <w:sz w:val="24"/>
          <w:szCs w:val="24"/>
          <w:lang w:val="en-US"/>
        </w:rPr>
        <w:t xml:space="preserve"> data were processed with </w:t>
      </w:r>
      <w:r w:rsidR="006A1D22" w:rsidRPr="00754A1D">
        <w:rPr>
          <w:rFonts w:ascii="Times New Roman" w:hAnsi="Times New Roman" w:cs="Times New Roman"/>
          <w:sz w:val="24"/>
          <w:szCs w:val="24"/>
          <w:lang w:val="en-US"/>
        </w:rPr>
        <w:t xml:space="preserve">the </w:t>
      </w:r>
      <w:proofErr w:type="spellStart"/>
      <w:r w:rsidR="009250C8" w:rsidRPr="00754A1D">
        <w:rPr>
          <w:rFonts w:ascii="Times New Roman" w:hAnsi="Times New Roman" w:cs="Times New Roman"/>
          <w:sz w:val="24"/>
          <w:szCs w:val="24"/>
          <w:lang w:val="en-US"/>
        </w:rPr>
        <w:t>Progenesis</w:t>
      </w:r>
      <w:proofErr w:type="spellEnd"/>
      <w:r w:rsidR="009250C8" w:rsidRPr="00754A1D">
        <w:rPr>
          <w:rFonts w:ascii="Times New Roman" w:hAnsi="Times New Roman" w:cs="Times New Roman"/>
          <w:sz w:val="24"/>
          <w:szCs w:val="24"/>
          <w:lang w:val="en-US"/>
        </w:rPr>
        <w:t xml:space="preserve"> QI software </w:t>
      </w:r>
      <w:r w:rsidR="00E67806" w:rsidRPr="00754A1D">
        <w:rPr>
          <w:rFonts w:ascii="Times New Roman" w:hAnsi="Times New Roman" w:cs="Times New Roman"/>
          <w:sz w:val="24"/>
          <w:szCs w:val="24"/>
          <w:lang w:val="en-US"/>
        </w:rPr>
        <w:t>(Nonlinear Dynamics, Waters)</w:t>
      </w:r>
      <w:r w:rsidR="00226705" w:rsidRPr="00754A1D">
        <w:rPr>
          <w:rFonts w:ascii="Times New Roman" w:hAnsi="Times New Roman" w:cs="Times New Roman"/>
          <w:sz w:val="24"/>
          <w:szCs w:val="24"/>
          <w:lang w:val="en-US"/>
        </w:rPr>
        <w:t xml:space="preserve"> using the</w:t>
      </w:r>
      <w:r w:rsidR="00E67806" w:rsidRPr="00754A1D">
        <w:rPr>
          <w:rFonts w:ascii="Times New Roman" w:hAnsi="Times New Roman" w:cs="Times New Roman"/>
          <w:sz w:val="24"/>
          <w:szCs w:val="24"/>
          <w:lang w:val="en-US"/>
        </w:rPr>
        <w:t xml:space="preserve"> </w:t>
      </w:r>
      <w:r w:rsidR="00226705" w:rsidRPr="00754A1D">
        <w:rPr>
          <w:rFonts w:ascii="Times New Roman" w:hAnsi="Times New Roman" w:cs="Times New Roman"/>
          <w:sz w:val="24"/>
          <w:szCs w:val="24"/>
          <w:lang w:val="en-US"/>
        </w:rPr>
        <w:t xml:space="preserve">proteome of </w:t>
      </w:r>
      <w:proofErr w:type="spellStart"/>
      <w:r w:rsidR="00226705" w:rsidRPr="00754A1D">
        <w:rPr>
          <w:rFonts w:ascii="Times New Roman" w:hAnsi="Times New Roman" w:cs="Times New Roman"/>
          <w:i/>
          <w:sz w:val="24"/>
          <w:szCs w:val="24"/>
          <w:lang w:val="en-US"/>
        </w:rPr>
        <w:t>Dendroctonus</w:t>
      </w:r>
      <w:proofErr w:type="spellEnd"/>
      <w:r w:rsidR="00226705" w:rsidRPr="00754A1D">
        <w:rPr>
          <w:rFonts w:ascii="Times New Roman" w:hAnsi="Times New Roman" w:cs="Times New Roman"/>
          <w:i/>
          <w:sz w:val="24"/>
          <w:szCs w:val="24"/>
          <w:lang w:val="en-US"/>
        </w:rPr>
        <w:t xml:space="preserve"> </w:t>
      </w:r>
      <w:proofErr w:type="spellStart"/>
      <w:r w:rsidR="00226705" w:rsidRPr="00754A1D">
        <w:rPr>
          <w:rFonts w:ascii="Times New Roman" w:hAnsi="Times New Roman" w:cs="Times New Roman"/>
          <w:i/>
          <w:sz w:val="24"/>
          <w:szCs w:val="24"/>
          <w:lang w:val="en-US"/>
        </w:rPr>
        <w:t>ponderosae</w:t>
      </w:r>
      <w:proofErr w:type="spellEnd"/>
      <w:r w:rsidR="00226705" w:rsidRPr="00754A1D">
        <w:rPr>
          <w:rFonts w:ascii="Times New Roman" w:hAnsi="Times New Roman" w:cs="Times New Roman"/>
          <w:sz w:val="24"/>
          <w:szCs w:val="24"/>
          <w:lang w:val="en-US"/>
        </w:rPr>
        <w:t xml:space="preserve">, </w:t>
      </w:r>
      <w:r w:rsidR="00F6502B" w:rsidRPr="00754A1D">
        <w:rPr>
          <w:rFonts w:ascii="Times New Roman" w:hAnsi="Times New Roman" w:cs="Times New Roman"/>
          <w:sz w:val="24"/>
          <w:szCs w:val="24"/>
          <w:lang w:val="en-US"/>
        </w:rPr>
        <w:t xml:space="preserve">the closest insect species </w:t>
      </w:r>
      <w:r w:rsidR="006A1D22" w:rsidRPr="00754A1D">
        <w:rPr>
          <w:rFonts w:ascii="Times New Roman" w:hAnsi="Times New Roman" w:cs="Times New Roman"/>
          <w:sz w:val="24"/>
          <w:szCs w:val="24"/>
          <w:lang w:val="en-US"/>
        </w:rPr>
        <w:t xml:space="preserve">to </w:t>
      </w:r>
      <w:r w:rsidR="006A1D22" w:rsidRPr="00754A1D">
        <w:rPr>
          <w:rFonts w:ascii="Times New Roman" w:hAnsi="Times New Roman" w:cs="Times New Roman"/>
          <w:i/>
          <w:sz w:val="24"/>
          <w:szCs w:val="24"/>
          <w:lang w:val="en-US"/>
        </w:rPr>
        <w:t xml:space="preserve">S. </w:t>
      </w:r>
      <w:proofErr w:type="spellStart"/>
      <w:r w:rsidR="006A1D22" w:rsidRPr="00754A1D">
        <w:rPr>
          <w:rFonts w:ascii="Times New Roman" w:hAnsi="Times New Roman" w:cs="Times New Roman"/>
          <w:i/>
          <w:sz w:val="24"/>
          <w:szCs w:val="24"/>
          <w:lang w:val="en-US"/>
        </w:rPr>
        <w:t>granarius</w:t>
      </w:r>
      <w:proofErr w:type="spellEnd"/>
      <w:r w:rsidR="006A1D22" w:rsidRPr="00754A1D">
        <w:rPr>
          <w:rFonts w:ascii="Times New Roman" w:hAnsi="Times New Roman" w:cs="Times New Roman"/>
          <w:sz w:val="24"/>
          <w:szCs w:val="24"/>
          <w:lang w:val="en-US"/>
        </w:rPr>
        <w:t xml:space="preserve"> </w:t>
      </w:r>
      <w:r w:rsidR="00F6502B" w:rsidRPr="00754A1D">
        <w:rPr>
          <w:rFonts w:ascii="Times New Roman" w:hAnsi="Times New Roman" w:cs="Times New Roman"/>
          <w:sz w:val="24"/>
          <w:szCs w:val="24"/>
          <w:lang w:val="en-US"/>
        </w:rPr>
        <w:t>with a</w:t>
      </w:r>
      <w:r w:rsidR="006A1D22" w:rsidRPr="00754A1D">
        <w:rPr>
          <w:rFonts w:ascii="Times New Roman" w:hAnsi="Times New Roman" w:cs="Times New Roman"/>
          <w:sz w:val="24"/>
          <w:szCs w:val="24"/>
          <w:lang w:val="en-US"/>
        </w:rPr>
        <w:t xml:space="preserve"> </w:t>
      </w:r>
      <w:r w:rsidR="000D63D9" w:rsidRPr="00754A1D">
        <w:rPr>
          <w:rFonts w:ascii="Times New Roman" w:hAnsi="Times New Roman" w:cs="Times New Roman"/>
          <w:sz w:val="24"/>
          <w:szCs w:val="24"/>
          <w:lang w:val="en-US"/>
        </w:rPr>
        <w:t xml:space="preserve">fully </w:t>
      </w:r>
      <w:r w:rsidR="00F6502B" w:rsidRPr="00754A1D">
        <w:rPr>
          <w:rFonts w:ascii="Times New Roman" w:hAnsi="Times New Roman" w:cs="Times New Roman"/>
          <w:sz w:val="24"/>
          <w:szCs w:val="24"/>
          <w:lang w:val="en-US"/>
        </w:rPr>
        <w:t>sequenced and</w:t>
      </w:r>
      <w:r w:rsidR="006A1D22" w:rsidRPr="00754A1D">
        <w:rPr>
          <w:rFonts w:ascii="Times New Roman" w:hAnsi="Times New Roman" w:cs="Times New Roman"/>
          <w:sz w:val="24"/>
          <w:szCs w:val="24"/>
          <w:lang w:val="en-US"/>
        </w:rPr>
        <w:t xml:space="preserve"> annotated </w:t>
      </w:r>
      <w:r w:rsidR="00F6502B" w:rsidRPr="00754A1D">
        <w:rPr>
          <w:rFonts w:ascii="Times New Roman" w:hAnsi="Times New Roman" w:cs="Times New Roman"/>
          <w:sz w:val="24"/>
          <w:szCs w:val="24"/>
          <w:lang w:val="en-US"/>
        </w:rPr>
        <w:t xml:space="preserve">genome </w:t>
      </w:r>
      <w:r w:rsidR="006A1D22" w:rsidRPr="00754A1D">
        <w:rPr>
          <w:rFonts w:ascii="Times New Roman" w:hAnsi="Times New Roman" w:cs="Times New Roman"/>
          <w:sz w:val="24"/>
          <w:szCs w:val="24"/>
          <w:lang w:val="en-US"/>
        </w:rPr>
        <w:fldChar w:fldCharType="begin"/>
      </w:r>
      <w:r w:rsidR="006A1D22" w:rsidRPr="00754A1D">
        <w:rPr>
          <w:rFonts w:ascii="Times New Roman" w:hAnsi="Times New Roman" w:cs="Times New Roman"/>
          <w:sz w:val="24"/>
          <w:szCs w:val="24"/>
          <w:lang w:val="en-US"/>
        </w:rPr>
        <w:instrText xml:space="preserve"> ADDIN ZOTERO_ITEM CSL_CITATION {"citationID":"VjXUoulb","properties":{"formattedCitation":"(Keeling et al. 2013)","plainCitation":"(Keeling et al. 2013)","noteIndex":0},"citationItems":[{"id":2342,"uris":["http://zotero.org/users/local/QcSA6amT/items/U96VHMRC"],"uri":["http://zotero.org/users/local/QcSA6amT/items/U96VHMRC"],"itemData":{"id":2342,"type":"article-journal","abstract":"The mountain pine beetle, Dendroctonus ponderosae Hopkins, is the most serious insect pest of western North American pine forests. A recent outbreak destroyed more than 15 million hectares of pine forests, with major environmental effects on forest health, and economic effects on the forest industry. The outbreak has in part been driven by climate change, and will contribute to increased carbon emissions through decaying forests.","container-title":"Genome Biology","DOI":"10.1186/gb-2013-14-3-r27","ISSN":"1474-760X","issue":"3","journalAbbreviation":"Genome Biol","language":"en","page":"R27","source":"Springer Link","title":"Draft genome of the mountain pine beetle, Dendroctonus ponderosae Hopkins, a major forest pest","volume":"14","author":[{"family":"Keeling","given":"Christopher I."},{"family":"Yuen","given":"Macaire MS"},{"family":"Liao","given":"Nancy Y."},{"family":"Roderick Docking","given":"T."},{"family":"Chan","given":"Simon K."},{"family":"Taylor","given":"Greg A."},{"family":"Palmquist","given":"Diana L."},{"family":"Jackman","given":"Shaun D."},{"family":"Nguyen","given":"Anh"},{"family":"Li","given":"Maria"},{"family":"Henderson","given":"Hannah"},{"family":"Janes","given":"Jasmine K."},{"family":"Zhao","given":"Yongjun"},{"family":"Pandoh","given":"Pawan"},{"family":"Moore","given":"Richard"},{"family":"Sperling","given":"Felix AH"},{"family":"W Huber","given":"Dezene P."},{"family":"Birol","given":"Inanc"},{"family":"Jones","given":"Steven JM"},{"family":"Bohlmann","given":"Joerg"}],"issued":{"date-parts":[["2013",3,27]]}}}],"schema":"https://github.com/citation-style-language/schema/raw/master/csl-citation.json"} </w:instrText>
      </w:r>
      <w:r w:rsidR="006A1D22" w:rsidRPr="00754A1D">
        <w:rPr>
          <w:rFonts w:ascii="Times New Roman" w:hAnsi="Times New Roman" w:cs="Times New Roman"/>
          <w:sz w:val="24"/>
          <w:szCs w:val="24"/>
          <w:lang w:val="en-US"/>
        </w:rPr>
        <w:fldChar w:fldCharType="separate"/>
      </w:r>
      <w:r w:rsidR="006A1D22" w:rsidRPr="00754A1D">
        <w:rPr>
          <w:rFonts w:ascii="Times New Roman" w:hAnsi="Times New Roman" w:cs="Times New Roman"/>
          <w:sz w:val="24"/>
          <w:lang w:val="en-US"/>
        </w:rPr>
        <w:t>(Keeling et al. 2013)</w:t>
      </w:r>
      <w:r w:rsidR="006A1D22" w:rsidRPr="00754A1D">
        <w:rPr>
          <w:rFonts w:ascii="Times New Roman" w:hAnsi="Times New Roman" w:cs="Times New Roman"/>
          <w:sz w:val="24"/>
          <w:szCs w:val="24"/>
          <w:lang w:val="en-US"/>
        </w:rPr>
        <w:fldChar w:fldCharType="end"/>
      </w:r>
      <w:r w:rsidR="006A1D22" w:rsidRPr="00754A1D">
        <w:rPr>
          <w:rFonts w:ascii="Times New Roman" w:hAnsi="Times New Roman" w:cs="Times New Roman"/>
          <w:sz w:val="24"/>
          <w:szCs w:val="24"/>
          <w:lang w:val="en-US"/>
        </w:rPr>
        <w:t>.</w:t>
      </w:r>
      <w:r w:rsidR="00FE7D01" w:rsidRPr="00754A1D">
        <w:rPr>
          <w:rFonts w:ascii="Times New Roman" w:hAnsi="Times New Roman" w:cs="Times New Roman"/>
          <w:sz w:val="24"/>
          <w:szCs w:val="24"/>
          <w:lang w:val="en-US"/>
        </w:rPr>
        <w:t xml:space="preserve"> </w:t>
      </w:r>
      <w:r w:rsidR="0044726D" w:rsidRPr="00754A1D">
        <w:rPr>
          <w:rFonts w:ascii="Times New Roman" w:hAnsi="Times New Roman" w:cs="Times New Roman"/>
          <w:sz w:val="24"/>
          <w:szCs w:val="24"/>
          <w:lang w:val="en-US"/>
        </w:rPr>
        <w:t>T</w:t>
      </w:r>
      <w:r w:rsidR="00FE7D01" w:rsidRPr="00754A1D">
        <w:rPr>
          <w:rFonts w:ascii="Times New Roman" w:hAnsi="Times New Roman" w:cs="Times New Roman"/>
          <w:sz w:val="24"/>
          <w:szCs w:val="24"/>
          <w:lang w:val="en-US"/>
        </w:rPr>
        <w:t xml:space="preserve">his database </w:t>
      </w:r>
      <w:r w:rsidR="0044726D" w:rsidRPr="00754A1D">
        <w:rPr>
          <w:rFonts w:ascii="Times New Roman" w:hAnsi="Times New Roman" w:cs="Times New Roman"/>
          <w:sz w:val="24"/>
          <w:szCs w:val="24"/>
          <w:lang w:val="en-US"/>
        </w:rPr>
        <w:t>was</w:t>
      </w:r>
      <w:r w:rsidR="00FE7D01" w:rsidRPr="00754A1D">
        <w:rPr>
          <w:rFonts w:ascii="Times New Roman" w:hAnsi="Times New Roman" w:cs="Times New Roman"/>
          <w:sz w:val="24"/>
          <w:szCs w:val="24"/>
          <w:lang w:val="en-US"/>
        </w:rPr>
        <w:t xml:space="preserve"> supplemented by the protein sequences </w:t>
      </w:r>
      <w:r w:rsidR="006A1D22" w:rsidRPr="00754A1D">
        <w:rPr>
          <w:rFonts w:ascii="Times New Roman" w:hAnsi="Times New Roman" w:cs="Times New Roman"/>
          <w:sz w:val="24"/>
          <w:szCs w:val="24"/>
          <w:lang w:val="en-US"/>
        </w:rPr>
        <w:t>corresponding to</w:t>
      </w:r>
      <w:r w:rsidR="00FE7D01" w:rsidRPr="00754A1D">
        <w:rPr>
          <w:rFonts w:ascii="Times New Roman" w:hAnsi="Times New Roman" w:cs="Times New Roman"/>
          <w:sz w:val="24"/>
          <w:szCs w:val="24"/>
          <w:lang w:val="en-US"/>
        </w:rPr>
        <w:t xml:space="preserve"> </w:t>
      </w:r>
      <w:proofErr w:type="spellStart"/>
      <w:r w:rsidR="00FE7D01" w:rsidRPr="00754A1D">
        <w:rPr>
          <w:rFonts w:ascii="Times New Roman" w:hAnsi="Times New Roman" w:cs="Times New Roman"/>
          <w:i/>
          <w:sz w:val="24"/>
          <w:szCs w:val="24"/>
          <w:lang w:val="en-US"/>
        </w:rPr>
        <w:t>Sodalis</w:t>
      </w:r>
      <w:proofErr w:type="spellEnd"/>
      <w:r w:rsidR="006A1D22" w:rsidRPr="00754A1D">
        <w:rPr>
          <w:rFonts w:ascii="Times New Roman" w:hAnsi="Times New Roman" w:cs="Times New Roman"/>
          <w:i/>
          <w:sz w:val="24"/>
          <w:szCs w:val="24"/>
          <w:lang w:val="en-US"/>
        </w:rPr>
        <w:t xml:space="preserve"> </w:t>
      </w:r>
      <w:proofErr w:type="spellStart"/>
      <w:r w:rsidR="00FE7D01" w:rsidRPr="00754A1D">
        <w:rPr>
          <w:rFonts w:ascii="Times New Roman" w:hAnsi="Times New Roman" w:cs="Times New Roman"/>
          <w:i/>
          <w:sz w:val="24"/>
          <w:szCs w:val="24"/>
          <w:lang w:val="en-US"/>
        </w:rPr>
        <w:t>pierantonius</w:t>
      </w:r>
      <w:proofErr w:type="spellEnd"/>
      <w:r w:rsidR="006A1D22" w:rsidRPr="00754A1D">
        <w:rPr>
          <w:rFonts w:ascii="Times New Roman" w:hAnsi="Times New Roman" w:cs="Times New Roman"/>
          <w:sz w:val="24"/>
          <w:szCs w:val="24"/>
          <w:lang w:val="en-US"/>
        </w:rPr>
        <w:t xml:space="preserve">, </w:t>
      </w:r>
      <w:r w:rsidR="000E4AA6" w:rsidRPr="00754A1D">
        <w:rPr>
          <w:rFonts w:ascii="Times New Roman" w:hAnsi="Times New Roman" w:cs="Times New Roman"/>
          <w:sz w:val="24"/>
          <w:szCs w:val="24"/>
          <w:lang w:val="en-US"/>
        </w:rPr>
        <w:t>the</w:t>
      </w:r>
      <w:r w:rsidR="006A1D22" w:rsidRPr="00754A1D">
        <w:rPr>
          <w:rFonts w:ascii="Times New Roman" w:hAnsi="Times New Roman" w:cs="Times New Roman"/>
          <w:sz w:val="24"/>
          <w:szCs w:val="24"/>
          <w:lang w:val="en-US"/>
        </w:rPr>
        <w:t xml:space="preserve"> obligate </w:t>
      </w:r>
      <w:r w:rsidR="00EB7810" w:rsidRPr="00754A1D">
        <w:rPr>
          <w:rFonts w:ascii="Times New Roman" w:hAnsi="Times New Roman" w:cs="Times New Roman"/>
          <w:sz w:val="24"/>
          <w:szCs w:val="24"/>
          <w:lang w:val="en-US"/>
        </w:rPr>
        <w:t>bacterial</w:t>
      </w:r>
      <w:r w:rsidR="00E67806" w:rsidRPr="00754A1D">
        <w:rPr>
          <w:rFonts w:ascii="Times New Roman" w:hAnsi="Times New Roman" w:cs="Times New Roman"/>
          <w:sz w:val="24"/>
          <w:szCs w:val="24"/>
          <w:lang w:val="en-US"/>
        </w:rPr>
        <w:t xml:space="preserve"> </w:t>
      </w:r>
      <w:r w:rsidR="006A1D22" w:rsidRPr="00754A1D">
        <w:rPr>
          <w:rFonts w:ascii="Times New Roman" w:hAnsi="Times New Roman" w:cs="Times New Roman"/>
          <w:sz w:val="24"/>
          <w:szCs w:val="24"/>
          <w:lang w:val="en-US"/>
        </w:rPr>
        <w:t xml:space="preserve">symbiont </w:t>
      </w:r>
      <w:r w:rsidR="000E4AA6" w:rsidRPr="00754A1D">
        <w:rPr>
          <w:rFonts w:ascii="Times New Roman" w:hAnsi="Times New Roman" w:cs="Times New Roman"/>
          <w:sz w:val="24"/>
          <w:szCs w:val="24"/>
          <w:lang w:val="en-US"/>
        </w:rPr>
        <w:t>associated with</w:t>
      </w:r>
      <w:r w:rsidR="006A1D22" w:rsidRPr="00754A1D">
        <w:rPr>
          <w:rFonts w:ascii="Times New Roman" w:hAnsi="Times New Roman" w:cs="Times New Roman"/>
          <w:sz w:val="24"/>
          <w:szCs w:val="24"/>
          <w:lang w:val="en-US"/>
        </w:rPr>
        <w:t xml:space="preserve"> all </w:t>
      </w:r>
      <w:r w:rsidR="006A1D22" w:rsidRPr="00754A1D">
        <w:rPr>
          <w:rFonts w:ascii="Times New Roman" w:hAnsi="Times New Roman" w:cs="Times New Roman"/>
          <w:i/>
          <w:sz w:val="24"/>
          <w:szCs w:val="24"/>
          <w:lang w:val="en-US"/>
        </w:rPr>
        <w:t>Sitophilus</w:t>
      </w:r>
      <w:r w:rsidR="006A1D22" w:rsidRPr="00754A1D">
        <w:rPr>
          <w:rFonts w:ascii="Times New Roman" w:hAnsi="Times New Roman" w:cs="Times New Roman"/>
          <w:sz w:val="24"/>
          <w:szCs w:val="24"/>
          <w:lang w:val="en-US"/>
        </w:rPr>
        <w:t xml:space="preserve"> species</w:t>
      </w:r>
      <w:r w:rsidR="00F6502B" w:rsidRPr="00754A1D">
        <w:rPr>
          <w:rFonts w:ascii="Times New Roman" w:hAnsi="Times New Roman" w:cs="Times New Roman"/>
          <w:sz w:val="24"/>
          <w:szCs w:val="24"/>
          <w:lang w:val="en-US"/>
        </w:rPr>
        <w:t xml:space="preserve"> </w:t>
      </w:r>
      <w:r w:rsidRPr="00754A1D">
        <w:rPr>
          <w:rFonts w:ascii="Times New Roman" w:hAnsi="Times New Roman" w:cs="Times New Roman"/>
          <w:sz w:val="24"/>
          <w:szCs w:val="24"/>
          <w:lang w:val="en-US"/>
        </w:rPr>
        <w:t>that</w:t>
      </w:r>
      <w:r w:rsidR="00F6502B" w:rsidRPr="00754A1D">
        <w:rPr>
          <w:rFonts w:ascii="Times New Roman" w:hAnsi="Times New Roman" w:cs="Times New Roman"/>
          <w:sz w:val="24"/>
          <w:szCs w:val="24"/>
          <w:lang w:val="en-US"/>
        </w:rPr>
        <w:t xml:space="preserve"> </w:t>
      </w:r>
      <w:r w:rsidR="006A1D22" w:rsidRPr="00754A1D">
        <w:rPr>
          <w:rFonts w:ascii="Times New Roman" w:hAnsi="Times New Roman" w:cs="Times New Roman"/>
          <w:sz w:val="24"/>
          <w:szCs w:val="24"/>
          <w:lang w:val="en-US"/>
        </w:rPr>
        <w:t xml:space="preserve">plays a </w:t>
      </w:r>
      <w:r w:rsidR="0044726D" w:rsidRPr="00754A1D">
        <w:rPr>
          <w:rFonts w:ascii="Times New Roman" w:hAnsi="Times New Roman" w:cs="Times New Roman"/>
          <w:sz w:val="24"/>
          <w:szCs w:val="24"/>
          <w:lang w:val="en-US"/>
        </w:rPr>
        <w:t>key</w:t>
      </w:r>
      <w:r w:rsidR="006A1D22" w:rsidRPr="00754A1D">
        <w:rPr>
          <w:rFonts w:ascii="Times New Roman" w:hAnsi="Times New Roman" w:cs="Times New Roman"/>
          <w:sz w:val="24"/>
          <w:szCs w:val="24"/>
          <w:lang w:val="en-US"/>
        </w:rPr>
        <w:t xml:space="preserve"> role in the metabolism of </w:t>
      </w:r>
      <w:r w:rsidR="0044726D" w:rsidRPr="00754A1D">
        <w:rPr>
          <w:rFonts w:ascii="Times New Roman" w:hAnsi="Times New Roman" w:cs="Times New Roman"/>
          <w:sz w:val="24"/>
          <w:szCs w:val="24"/>
          <w:lang w:val="en-US"/>
        </w:rPr>
        <w:t xml:space="preserve">several </w:t>
      </w:r>
      <w:r w:rsidR="006A1D22" w:rsidRPr="00754A1D">
        <w:rPr>
          <w:rFonts w:ascii="Times New Roman" w:hAnsi="Times New Roman" w:cs="Times New Roman"/>
          <w:sz w:val="24"/>
          <w:szCs w:val="24"/>
          <w:lang w:val="en-US"/>
        </w:rPr>
        <w:t xml:space="preserve">amino acids and vitamins </w:t>
      </w:r>
      <w:r w:rsidR="006A1D22" w:rsidRPr="00754A1D">
        <w:rPr>
          <w:rFonts w:ascii="Times New Roman" w:hAnsi="Times New Roman" w:cs="Times New Roman"/>
          <w:sz w:val="24"/>
          <w:szCs w:val="24"/>
          <w:lang w:val="en-US"/>
        </w:rPr>
        <w:fldChar w:fldCharType="begin"/>
      </w:r>
      <w:r w:rsidR="006A1D22" w:rsidRPr="00754A1D">
        <w:rPr>
          <w:rFonts w:ascii="Times New Roman" w:hAnsi="Times New Roman" w:cs="Times New Roman"/>
          <w:sz w:val="24"/>
          <w:szCs w:val="24"/>
          <w:lang w:val="en-US"/>
        </w:rPr>
        <w:instrText xml:space="preserve"> ADDIN ZOTERO_ITEM CSL_CITATION {"citationID":"QJiFlN1k","properties":{"formattedCitation":"(Vigneron et al. 2014)","plainCitation":"(Vigneron et al. 2014)","noteIndex":0},"citationItems":[{"id":295,"uris":["http://zotero.org/users/local/QcSA6amT/items/26S6T3LL"],"uri":["http://zotero.org/users/local/QcSA6amT/items/26S6T3LL"],"itemData":{"id":295,"type":"article-journal","abstract":"Summary\nSymbiotic associations are widespread in nature and represent a driving force in evolution. They are known to impact fitness, and thereby shape the host phenotype [1, 2, 3, 4]. Insects subsisting on nutritionally poor substrates have evolved mutualistic relationships with intracellular symbiotic bacteria (endosymbionts) that supply them with metabolic components lacking in their diet [5, 6, 7, 8, 9, 10]. In many species, endosymbionts are hosted within specialized host cells, called the bacteriocytes, and transmitted vertically across host generations [11]. How hosts balance the costs and benefits of having endosymbionts, and whether and how they adjust symbiont load to their physiological needs, remains largely unexplored. By investigating the cereal weevil Sitophilus association with the Sodalis pierantonius endosymbiont [8, 12], we discover that endosymbiont populations intensively multiply in young adults, before being rapidly eliminated within few days. We show that young adults strongly depend on endosymbionts and that endosymbiont proliferation after metamorphosis matches a drastic host physiological need for the tyrosine (Tyr) and phenylalanine (Phe) amino acids to rapidly build their protective exoskeleton. Tyr and Phe are precursors of the dihydroxyphenylalanine (DOPA) molecule that is an essential component for the cuticle synthesis. Once the cuticle is achieved, DOPA reaches high amounts in insects, which triggers endosymbiont elimination. This elimination relies on apoptosis and autophagy activation, allowing digestion and recycling of the endosymbiont material. Thus, the weevil-endosymbiont association reveals an adaptive interplay between metabolic and cellular functions that minimizes the cost of symbiosis and speeds up the exoskeleton formation during a critical phase when emerging adults are especially vulnerable.","container-title":"Current Biology","DOI":"10.1016/j.cub.2014.07.065","ISSN":"0960-9822","issue":"19","journalAbbreviation":"Current Biology","page":"2267-2273","source":"ScienceDirect","title":"Insects Recycle Endosymbionts when the Benefit Is Over","volume":"24","author":[{"family":"Vigneron","given":"Aurélien"},{"family":"Masson","given":"Florent"},{"family":"Vallier","given":"Agnès"},{"family":"Balmand","given":"Séverine"},{"family":"Rey","given":"Marjolaine"},{"family":"Vincent-Monégat","given":"Carole"},{"family":"Aksoy","given":"Emre"},{"family":"Aubailly-Giraud","given":"Etienne"},{"family":"Zaidman-Rémy","given":"Anna"},{"family":"Heddi","given":"Abdelaziz"}],"issued":{"date-parts":[["2014",10,6]]}}}],"schema":"https://github.com/citation-style-language/schema/raw/master/csl-citation.json"} </w:instrText>
      </w:r>
      <w:r w:rsidR="006A1D22" w:rsidRPr="00754A1D">
        <w:rPr>
          <w:rFonts w:ascii="Times New Roman" w:hAnsi="Times New Roman" w:cs="Times New Roman"/>
          <w:sz w:val="24"/>
          <w:szCs w:val="24"/>
          <w:lang w:val="en-US"/>
        </w:rPr>
        <w:fldChar w:fldCharType="separate"/>
      </w:r>
      <w:r w:rsidR="006A1D22" w:rsidRPr="00754A1D">
        <w:rPr>
          <w:rFonts w:ascii="Times New Roman" w:hAnsi="Times New Roman" w:cs="Times New Roman"/>
          <w:sz w:val="24"/>
          <w:lang w:val="en-US"/>
        </w:rPr>
        <w:t>(Vigneron et al. 2014)</w:t>
      </w:r>
      <w:r w:rsidR="006A1D22" w:rsidRPr="00754A1D">
        <w:rPr>
          <w:rFonts w:ascii="Times New Roman" w:hAnsi="Times New Roman" w:cs="Times New Roman"/>
          <w:sz w:val="24"/>
          <w:szCs w:val="24"/>
          <w:lang w:val="en-US"/>
        </w:rPr>
        <w:fldChar w:fldCharType="end"/>
      </w:r>
      <w:r w:rsidR="006A1D22" w:rsidRPr="00754A1D">
        <w:rPr>
          <w:rFonts w:ascii="Times New Roman" w:hAnsi="Times New Roman" w:cs="Times New Roman"/>
          <w:sz w:val="24"/>
          <w:szCs w:val="24"/>
          <w:lang w:val="en-US"/>
        </w:rPr>
        <w:t xml:space="preserve">. </w:t>
      </w:r>
      <w:r w:rsidR="00F6502B" w:rsidRPr="00754A1D">
        <w:rPr>
          <w:rFonts w:ascii="Times New Roman" w:hAnsi="Times New Roman" w:cs="Times New Roman"/>
          <w:sz w:val="24"/>
          <w:szCs w:val="24"/>
          <w:lang w:val="en-US"/>
        </w:rPr>
        <w:t>A</w:t>
      </w:r>
      <w:r w:rsidR="0044726D" w:rsidRPr="00754A1D">
        <w:rPr>
          <w:rFonts w:ascii="Times New Roman" w:hAnsi="Times New Roman" w:cs="Times New Roman"/>
          <w:sz w:val="24"/>
          <w:szCs w:val="24"/>
          <w:lang w:val="en-US"/>
        </w:rPr>
        <w:t xml:space="preserve"> final database </w:t>
      </w:r>
      <w:r w:rsidR="006A1D22" w:rsidRPr="00754A1D">
        <w:rPr>
          <w:rFonts w:ascii="Times New Roman" w:hAnsi="Times New Roman" w:cs="Times New Roman"/>
          <w:sz w:val="24"/>
          <w:szCs w:val="24"/>
          <w:lang w:val="en-US"/>
        </w:rPr>
        <w:t xml:space="preserve">based on </w:t>
      </w:r>
      <w:r w:rsidR="0044726D" w:rsidRPr="00754A1D">
        <w:rPr>
          <w:rFonts w:ascii="Times New Roman" w:hAnsi="Times New Roman" w:cs="Times New Roman"/>
          <w:sz w:val="24"/>
          <w:szCs w:val="24"/>
          <w:lang w:val="en-US"/>
        </w:rPr>
        <w:t xml:space="preserve">a total of </w:t>
      </w:r>
      <w:r w:rsidR="009250C8" w:rsidRPr="00754A1D">
        <w:rPr>
          <w:rFonts w:ascii="Times New Roman" w:hAnsi="Times New Roman" w:cs="Times New Roman"/>
          <w:sz w:val="24"/>
          <w:szCs w:val="24"/>
          <w:lang w:val="en-US"/>
        </w:rPr>
        <w:t>25986 entries</w:t>
      </w:r>
      <w:r w:rsidR="00F6502B" w:rsidRPr="00754A1D">
        <w:rPr>
          <w:rFonts w:ascii="Times New Roman" w:hAnsi="Times New Roman" w:cs="Times New Roman"/>
          <w:sz w:val="24"/>
          <w:szCs w:val="24"/>
          <w:lang w:val="en-US"/>
        </w:rPr>
        <w:t xml:space="preserve"> was obtained</w:t>
      </w:r>
      <w:r w:rsidR="009250C8" w:rsidRPr="00754A1D">
        <w:rPr>
          <w:rFonts w:ascii="Times New Roman" w:hAnsi="Times New Roman" w:cs="Times New Roman"/>
          <w:sz w:val="24"/>
          <w:szCs w:val="24"/>
          <w:lang w:val="en-US"/>
        </w:rPr>
        <w:t xml:space="preserve">. </w:t>
      </w:r>
      <w:r w:rsidR="00F6502B" w:rsidRPr="00754A1D">
        <w:rPr>
          <w:rFonts w:ascii="Times New Roman" w:hAnsi="Times New Roman" w:cs="Times New Roman"/>
          <w:sz w:val="24"/>
          <w:szCs w:val="24"/>
          <w:lang w:val="en-US"/>
        </w:rPr>
        <w:t xml:space="preserve">The following search parameters were selected: </w:t>
      </w:r>
      <w:proofErr w:type="spellStart"/>
      <w:r w:rsidR="00EB7810" w:rsidRPr="00754A1D">
        <w:rPr>
          <w:rFonts w:ascii="Times New Roman" w:hAnsi="Times New Roman" w:cs="Times New Roman"/>
          <w:sz w:val="24"/>
          <w:szCs w:val="24"/>
          <w:lang w:val="en-US"/>
        </w:rPr>
        <w:t>carbamidomethylation</w:t>
      </w:r>
      <w:proofErr w:type="spellEnd"/>
      <w:r w:rsidR="00EB7810" w:rsidRPr="00754A1D">
        <w:rPr>
          <w:rFonts w:ascii="Times New Roman" w:hAnsi="Times New Roman" w:cs="Times New Roman"/>
          <w:sz w:val="24"/>
          <w:szCs w:val="24"/>
          <w:lang w:val="en-US"/>
        </w:rPr>
        <w:t xml:space="preserve"> as the fixed cysteine modification, oxidation as the variable Methionine modification, trypsin as the digestion enzyme were selected and one miss cleavage allowed.</w:t>
      </w:r>
    </w:p>
    <w:p w14:paraId="0C7472D6" w14:textId="4A34C424" w:rsidR="009250C8" w:rsidRPr="00754A1D" w:rsidRDefault="009250C8" w:rsidP="00EB7810">
      <w:pPr>
        <w:spacing w:line="480" w:lineRule="auto"/>
        <w:jc w:val="both"/>
        <w:rPr>
          <w:rFonts w:ascii="Times New Roman" w:hAnsi="Times New Roman" w:cs="Times New Roman"/>
          <w:b/>
          <w:i/>
          <w:sz w:val="24"/>
          <w:szCs w:val="24"/>
          <w:lang w:val="en-US"/>
        </w:rPr>
      </w:pPr>
      <w:r w:rsidRPr="00754A1D">
        <w:rPr>
          <w:rFonts w:ascii="Times New Roman" w:hAnsi="Times New Roman" w:cs="Times New Roman"/>
          <w:b/>
          <w:i/>
          <w:sz w:val="24"/>
          <w:szCs w:val="24"/>
          <w:lang w:val="en-US"/>
        </w:rPr>
        <w:t>Statistical analysis</w:t>
      </w:r>
    </w:p>
    <w:p w14:paraId="19EBFD1B" w14:textId="66B700EC" w:rsidR="003711B7" w:rsidRPr="00754A1D" w:rsidRDefault="00EB7810" w:rsidP="00C12479">
      <w:pPr>
        <w:spacing w:after="0" w:line="480" w:lineRule="auto"/>
        <w:jc w:val="both"/>
        <w:rPr>
          <w:rFonts w:ascii="Times New Roman" w:hAnsi="Times New Roman" w:cs="Times New Roman"/>
          <w:sz w:val="24"/>
          <w:szCs w:val="24"/>
          <w:lang w:val="en-US"/>
        </w:rPr>
      </w:pPr>
      <w:r w:rsidRPr="00754A1D">
        <w:rPr>
          <w:rFonts w:ascii="Times New Roman" w:hAnsi="Times New Roman" w:cs="Times New Roman"/>
          <w:bCs/>
          <w:sz w:val="24"/>
          <w:szCs w:val="24"/>
          <w:lang w:val="en-US"/>
        </w:rPr>
        <w:t xml:space="preserve">Three biological replicates and two technical replicates were used for each sample. Non-conflicting method was used as </w:t>
      </w:r>
      <w:r w:rsidR="00E97C01" w:rsidRPr="00754A1D">
        <w:rPr>
          <w:rFonts w:ascii="Times New Roman" w:hAnsi="Times New Roman" w:cs="Times New Roman"/>
          <w:bCs/>
          <w:sz w:val="24"/>
          <w:szCs w:val="24"/>
          <w:lang w:val="en-US"/>
        </w:rPr>
        <w:t xml:space="preserve">a </w:t>
      </w:r>
      <w:r w:rsidRPr="00754A1D">
        <w:rPr>
          <w:rFonts w:ascii="Times New Roman" w:hAnsi="Times New Roman" w:cs="Times New Roman"/>
          <w:bCs/>
          <w:sz w:val="24"/>
          <w:szCs w:val="24"/>
          <w:lang w:val="en-US"/>
        </w:rPr>
        <w:t xml:space="preserve">relative quantification method. To identify statistically significant differentially expressed proteins, combined criteria of a minimum of three or greater unique peptides, a </w:t>
      </w:r>
      <w:r w:rsidR="0015450F" w:rsidRPr="00754A1D">
        <w:rPr>
          <w:rFonts w:ascii="Times New Roman" w:hAnsi="Times New Roman" w:cs="Times New Roman"/>
          <w:bCs/>
          <w:sz w:val="24"/>
          <w:szCs w:val="24"/>
          <w:lang w:val="en-US"/>
        </w:rPr>
        <w:t>1.2</w:t>
      </w:r>
      <w:r w:rsidRPr="00754A1D">
        <w:rPr>
          <w:rFonts w:ascii="Times New Roman" w:hAnsi="Times New Roman" w:cs="Times New Roman"/>
          <w:bCs/>
          <w:sz w:val="24"/>
          <w:szCs w:val="24"/>
          <w:lang w:val="en-US"/>
        </w:rPr>
        <w:t xml:space="preserve">-fold change ratio or greater and an </w:t>
      </w:r>
      <w:proofErr w:type="spellStart"/>
      <w:r w:rsidRPr="00754A1D">
        <w:rPr>
          <w:rFonts w:ascii="Times New Roman" w:hAnsi="Times New Roman" w:cs="Times New Roman"/>
          <w:bCs/>
          <w:sz w:val="24"/>
          <w:szCs w:val="24"/>
          <w:lang w:val="en-US"/>
        </w:rPr>
        <w:t>Anova</w:t>
      </w:r>
      <w:proofErr w:type="spellEnd"/>
      <w:r w:rsidRPr="00754A1D">
        <w:rPr>
          <w:rFonts w:ascii="Times New Roman" w:hAnsi="Times New Roman" w:cs="Times New Roman"/>
          <w:bCs/>
          <w:sz w:val="24"/>
          <w:szCs w:val="24"/>
          <w:lang w:val="en-US"/>
        </w:rPr>
        <w:t xml:space="preserve"> </w:t>
      </w:r>
      <w:r w:rsidRPr="00754A1D">
        <w:rPr>
          <w:rFonts w:ascii="Times New Roman" w:hAnsi="Times New Roman" w:cs="Times New Roman"/>
          <w:bCs/>
          <w:i/>
          <w:sz w:val="24"/>
          <w:szCs w:val="24"/>
          <w:lang w:val="en-US"/>
        </w:rPr>
        <w:t>p</w:t>
      </w:r>
      <w:r w:rsidRPr="00754A1D">
        <w:rPr>
          <w:rFonts w:ascii="Times New Roman" w:hAnsi="Times New Roman" w:cs="Times New Roman"/>
          <w:bCs/>
          <w:sz w:val="24"/>
          <w:szCs w:val="24"/>
          <w:lang w:val="en-US"/>
        </w:rPr>
        <w:t xml:space="preserve">-value </w:t>
      </w:r>
      <w:r w:rsidR="0074490C" w:rsidRPr="00754A1D">
        <w:rPr>
          <w:rFonts w:ascii="Times New Roman" w:hAnsi="Times New Roman" w:cs="Times New Roman"/>
          <w:sz w:val="24"/>
          <w:szCs w:val="24"/>
          <w:lang w:val="en-US"/>
        </w:rPr>
        <w:t>&lt;</w:t>
      </w:r>
      <w:r w:rsidRPr="00754A1D">
        <w:rPr>
          <w:rFonts w:ascii="Times New Roman" w:hAnsi="Times New Roman" w:cs="Times New Roman"/>
          <w:bCs/>
          <w:sz w:val="24"/>
          <w:szCs w:val="24"/>
          <w:lang w:val="en-US"/>
        </w:rPr>
        <w:t xml:space="preserve"> 0.05 were adopted. </w:t>
      </w:r>
    </w:p>
    <w:p w14:paraId="08AAE230" w14:textId="77777777" w:rsidR="002A0063" w:rsidRPr="00754A1D" w:rsidRDefault="002A0063" w:rsidP="0090129B">
      <w:pPr>
        <w:spacing w:line="480" w:lineRule="auto"/>
        <w:jc w:val="both"/>
        <w:rPr>
          <w:rFonts w:ascii="Times New Roman" w:hAnsi="Times New Roman" w:cs="Times New Roman"/>
          <w:bCs/>
          <w:sz w:val="24"/>
          <w:szCs w:val="24"/>
          <w:lang w:val="en-US"/>
        </w:rPr>
      </w:pPr>
    </w:p>
    <w:p w14:paraId="5B9FAAEC" w14:textId="17E75BB8" w:rsidR="00603112" w:rsidRPr="00754A1D" w:rsidRDefault="00C231AA" w:rsidP="009364F5">
      <w:pPr>
        <w:spacing w:line="480" w:lineRule="auto"/>
        <w:jc w:val="both"/>
        <w:rPr>
          <w:rFonts w:ascii="Times New Roman" w:hAnsi="Times New Roman" w:cs="Times New Roman"/>
          <w:b/>
          <w:bCs/>
          <w:sz w:val="28"/>
          <w:szCs w:val="28"/>
          <w:lang w:val="en-US"/>
        </w:rPr>
      </w:pPr>
      <w:r w:rsidRPr="00754A1D">
        <w:rPr>
          <w:rFonts w:ascii="Times New Roman" w:hAnsi="Times New Roman" w:cs="Times New Roman"/>
          <w:b/>
          <w:bCs/>
          <w:sz w:val="28"/>
          <w:szCs w:val="28"/>
          <w:lang w:val="en-US"/>
        </w:rPr>
        <w:t>Results</w:t>
      </w:r>
      <w:r w:rsidR="00B042E5" w:rsidRPr="00754A1D">
        <w:rPr>
          <w:rFonts w:ascii="Times New Roman" w:hAnsi="Times New Roman" w:cs="Times New Roman"/>
          <w:b/>
          <w:bCs/>
          <w:sz w:val="28"/>
          <w:szCs w:val="28"/>
          <w:lang w:val="en-US"/>
        </w:rPr>
        <w:t xml:space="preserve"> </w:t>
      </w:r>
    </w:p>
    <w:p w14:paraId="3DFA29B9" w14:textId="2C8416DF" w:rsidR="00C231AA" w:rsidRPr="00754A1D" w:rsidRDefault="00C231AA" w:rsidP="00CB1BE8">
      <w:pPr>
        <w:spacing w:line="480" w:lineRule="auto"/>
        <w:jc w:val="both"/>
        <w:rPr>
          <w:rFonts w:ascii="Times New Roman" w:hAnsi="Times New Roman" w:cs="Times New Roman"/>
          <w:b/>
          <w:sz w:val="24"/>
          <w:szCs w:val="24"/>
          <w:lang w:val="en-GB"/>
        </w:rPr>
      </w:pPr>
      <w:r w:rsidRPr="00754A1D">
        <w:rPr>
          <w:rFonts w:ascii="Times New Roman" w:hAnsi="Times New Roman" w:cs="Times New Roman"/>
          <w:b/>
          <w:sz w:val="24"/>
          <w:szCs w:val="24"/>
          <w:lang w:val="en-GB"/>
        </w:rPr>
        <w:t xml:space="preserve">Contact toxicity of </w:t>
      </w:r>
      <w:r w:rsidRPr="00754A1D">
        <w:rPr>
          <w:rFonts w:ascii="Times New Roman" w:hAnsi="Times New Roman" w:cs="Times New Roman"/>
          <w:b/>
          <w:i/>
          <w:sz w:val="24"/>
          <w:szCs w:val="24"/>
          <w:lang w:val="en-GB"/>
        </w:rPr>
        <w:t xml:space="preserve">M. </w:t>
      </w:r>
      <w:r w:rsidR="00F31E15" w:rsidRPr="00754A1D">
        <w:rPr>
          <w:rFonts w:ascii="Times New Roman" w:hAnsi="Times New Roman" w:cs="Times New Roman"/>
          <w:b/>
          <w:i/>
          <w:sz w:val="24"/>
          <w:szCs w:val="24"/>
          <w:lang w:val="en-GB"/>
        </w:rPr>
        <w:t>arvensis</w:t>
      </w:r>
      <w:r w:rsidRPr="00754A1D">
        <w:rPr>
          <w:rFonts w:ascii="Times New Roman" w:hAnsi="Times New Roman" w:cs="Times New Roman"/>
          <w:b/>
          <w:sz w:val="24"/>
          <w:szCs w:val="24"/>
          <w:lang w:val="en-GB"/>
        </w:rPr>
        <w:t xml:space="preserve"> </w:t>
      </w:r>
      <w:r w:rsidR="0084655C" w:rsidRPr="00754A1D">
        <w:rPr>
          <w:rFonts w:ascii="Times New Roman" w:hAnsi="Times New Roman" w:cs="Times New Roman"/>
          <w:b/>
          <w:sz w:val="24"/>
          <w:szCs w:val="24"/>
          <w:lang w:val="en-GB"/>
        </w:rPr>
        <w:t xml:space="preserve">EO and effects on locomotor </w:t>
      </w:r>
      <w:r w:rsidR="00D77576" w:rsidRPr="00754A1D">
        <w:rPr>
          <w:rFonts w:ascii="Times New Roman" w:hAnsi="Times New Roman" w:cs="Times New Roman"/>
          <w:b/>
          <w:sz w:val="24"/>
          <w:szCs w:val="24"/>
          <w:lang w:val="en-GB"/>
        </w:rPr>
        <w:t>behavior</w:t>
      </w:r>
    </w:p>
    <w:p w14:paraId="0B66A3DA" w14:textId="115F11CF" w:rsidR="00133FC4" w:rsidRPr="00754A1D" w:rsidRDefault="000972F1" w:rsidP="000972F1">
      <w:pPr>
        <w:spacing w:line="480" w:lineRule="auto"/>
        <w:jc w:val="both"/>
        <w:rPr>
          <w:rFonts w:ascii="Times New Roman" w:hAnsi="Times New Roman" w:cs="Times New Roman"/>
          <w:bCs/>
          <w:sz w:val="24"/>
          <w:szCs w:val="24"/>
          <w:lang w:val="en-US"/>
        </w:rPr>
      </w:pPr>
      <w:bookmarkStart w:id="0" w:name="_Hlk65856688"/>
      <w:r w:rsidRPr="00754A1D">
        <w:rPr>
          <w:rFonts w:ascii="Times New Roman" w:hAnsi="Times New Roman" w:cs="Times New Roman"/>
          <w:bCs/>
          <w:sz w:val="24"/>
          <w:szCs w:val="24"/>
          <w:lang w:val="en-US"/>
        </w:rPr>
        <w:t xml:space="preserve">The dose-response curve of the toxicity assay against </w:t>
      </w:r>
      <w:r w:rsidRPr="00754A1D">
        <w:rPr>
          <w:rFonts w:ascii="Times New Roman" w:hAnsi="Times New Roman" w:cs="Times New Roman"/>
          <w:bCs/>
          <w:i/>
          <w:sz w:val="24"/>
          <w:szCs w:val="24"/>
          <w:lang w:val="en-US"/>
        </w:rPr>
        <w:t xml:space="preserve">S. </w:t>
      </w:r>
      <w:proofErr w:type="spellStart"/>
      <w:r w:rsidRPr="00754A1D">
        <w:rPr>
          <w:rFonts w:ascii="Times New Roman" w:hAnsi="Times New Roman" w:cs="Times New Roman"/>
          <w:bCs/>
          <w:i/>
          <w:sz w:val="24"/>
          <w:szCs w:val="24"/>
          <w:lang w:val="en-US"/>
        </w:rPr>
        <w:t>granarius</w:t>
      </w:r>
      <w:proofErr w:type="spellEnd"/>
      <w:r w:rsidRPr="00754A1D">
        <w:rPr>
          <w:rFonts w:ascii="Times New Roman" w:hAnsi="Times New Roman" w:cs="Times New Roman"/>
          <w:bCs/>
          <w:sz w:val="24"/>
          <w:szCs w:val="24"/>
          <w:lang w:val="en-US"/>
        </w:rPr>
        <w:t xml:space="preserve"> showed a non-linear dependence of mortality as a function of the dose (Figure 1). </w:t>
      </w:r>
      <w:bookmarkEnd w:id="0"/>
      <w:r w:rsidR="00635DBB" w:rsidRPr="00754A1D">
        <w:rPr>
          <w:rFonts w:ascii="Times New Roman" w:hAnsi="Times New Roman" w:cs="Times New Roman"/>
          <w:bCs/>
          <w:sz w:val="24"/>
          <w:szCs w:val="24"/>
          <w:lang w:val="en-US"/>
        </w:rPr>
        <w:t>The LD</w:t>
      </w:r>
      <w:r w:rsidR="00635DBB" w:rsidRPr="00754A1D">
        <w:rPr>
          <w:rFonts w:ascii="Times New Roman" w:hAnsi="Times New Roman" w:cs="Times New Roman"/>
          <w:bCs/>
          <w:sz w:val="24"/>
          <w:szCs w:val="24"/>
          <w:vertAlign w:val="subscript"/>
          <w:lang w:val="en-US"/>
        </w:rPr>
        <w:t>50</w:t>
      </w:r>
      <w:r w:rsidR="00635DBB" w:rsidRPr="00754A1D">
        <w:rPr>
          <w:rFonts w:ascii="Times New Roman" w:hAnsi="Times New Roman" w:cs="Times New Roman"/>
          <w:bCs/>
          <w:sz w:val="24"/>
          <w:szCs w:val="24"/>
          <w:lang w:val="en-US"/>
        </w:rPr>
        <w:t xml:space="preserve"> and LD</w:t>
      </w:r>
      <w:r w:rsidR="00635DBB" w:rsidRPr="00754A1D">
        <w:rPr>
          <w:rFonts w:ascii="Times New Roman" w:hAnsi="Times New Roman" w:cs="Times New Roman"/>
          <w:bCs/>
          <w:sz w:val="24"/>
          <w:szCs w:val="24"/>
          <w:vertAlign w:val="subscript"/>
          <w:lang w:val="en-US"/>
        </w:rPr>
        <w:t>90</w:t>
      </w:r>
      <w:r w:rsidR="00635DBB" w:rsidRPr="00754A1D">
        <w:rPr>
          <w:rFonts w:ascii="Times New Roman" w:hAnsi="Times New Roman" w:cs="Times New Roman"/>
          <w:bCs/>
          <w:sz w:val="24"/>
          <w:szCs w:val="24"/>
          <w:lang w:val="en-US"/>
        </w:rPr>
        <w:t xml:space="preserve"> </w:t>
      </w:r>
      <w:r w:rsidR="00FB6A92" w:rsidRPr="00754A1D">
        <w:rPr>
          <w:rFonts w:ascii="Times New Roman" w:hAnsi="Times New Roman" w:cs="Times New Roman"/>
          <w:bCs/>
          <w:sz w:val="24"/>
          <w:szCs w:val="24"/>
          <w:lang w:val="en-US"/>
        </w:rPr>
        <w:t xml:space="preserve">of </w:t>
      </w:r>
      <w:r w:rsidR="00FB6A92" w:rsidRPr="00754A1D">
        <w:rPr>
          <w:rFonts w:ascii="Times New Roman" w:hAnsi="Times New Roman" w:cs="Times New Roman"/>
          <w:bCs/>
          <w:i/>
          <w:sz w:val="24"/>
          <w:szCs w:val="24"/>
          <w:lang w:val="en-US"/>
        </w:rPr>
        <w:t>M. arvensis</w:t>
      </w:r>
      <w:r w:rsidR="00FB6A92" w:rsidRPr="00754A1D">
        <w:rPr>
          <w:rFonts w:ascii="Times New Roman" w:hAnsi="Times New Roman" w:cs="Times New Roman"/>
          <w:bCs/>
          <w:sz w:val="24"/>
          <w:szCs w:val="24"/>
          <w:lang w:val="en-US"/>
        </w:rPr>
        <w:t xml:space="preserve"> </w:t>
      </w:r>
      <w:r w:rsidR="00133FC4" w:rsidRPr="00754A1D">
        <w:rPr>
          <w:rFonts w:ascii="Times New Roman" w:hAnsi="Times New Roman" w:cs="Times New Roman"/>
          <w:bCs/>
          <w:sz w:val="24"/>
          <w:szCs w:val="24"/>
          <w:lang w:val="en-US"/>
        </w:rPr>
        <w:t xml:space="preserve">for </w:t>
      </w:r>
      <w:r w:rsidR="00133FC4" w:rsidRPr="00754A1D">
        <w:rPr>
          <w:rFonts w:ascii="Times New Roman" w:hAnsi="Times New Roman" w:cs="Times New Roman"/>
          <w:bCs/>
          <w:i/>
          <w:sz w:val="24"/>
          <w:szCs w:val="24"/>
          <w:lang w:val="en-US"/>
        </w:rPr>
        <w:t xml:space="preserve">S. </w:t>
      </w:r>
      <w:proofErr w:type="spellStart"/>
      <w:r w:rsidR="00133FC4" w:rsidRPr="00754A1D">
        <w:rPr>
          <w:rFonts w:ascii="Times New Roman" w:hAnsi="Times New Roman" w:cs="Times New Roman"/>
          <w:bCs/>
          <w:i/>
          <w:sz w:val="24"/>
          <w:szCs w:val="24"/>
          <w:lang w:val="en-US"/>
        </w:rPr>
        <w:t>granarius</w:t>
      </w:r>
      <w:proofErr w:type="spellEnd"/>
      <w:r w:rsidR="00133FC4" w:rsidRPr="00754A1D">
        <w:rPr>
          <w:rFonts w:ascii="Times New Roman" w:hAnsi="Times New Roman" w:cs="Times New Roman"/>
          <w:bCs/>
          <w:sz w:val="24"/>
          <w:szCs w:val="24"/>
          <w:lang w:val="en-US"/>
        </w:rPr>
        <w:t xml:space="preserve"> adults 24 h post-treatment was </w:t>
      </w:r>
      <w:r w:rsidR="00635DBB" w:rsidRPr="00754A1D">
        <w:rPr>
          <w:rFonts w:ascii="Times New Roman" w:hAnsi="Times New Roman" w:cs="Times New Roman"/>
          <w:bCs/>
          <w:sz w:val="24"/>
          <w:szCs w:val="24"/>
          <w:lang w:val="en-US"/>
        </w:rPr>
        <w:t>55.6 µg/insect and 79.5 µg/insect, respectively</w:t>
      </w:r>
      <w:r w:rsidRPr="00754A1D">
        <w:rPr>
          <w:rFonts w:ascii="Times New Roman" w:hAnsi="Times New Roman" w:cs="Times New Roman"/>
          <w:bCs/>
          <w:sz w:val="24"/>
          <w:szCs w:val="24"/>
          <w:lang w:val="en-US"/>
        </w:rPr>
        <w:t>.</w:t>
      </w:r>
      <w:r w:rsidR="00D4083B" w:rsidRPr="00754A1D">
        <w:rPr>
          <w:rFonts w:ascii="Times New Roman" w:hAnsi="Times New Roman" w:cs="Times New Roman"/>
          <w:bCs/>
          <w:sz w:val="24"/>
          <w:szCs w:val="24"/>
          <w:lang w:val="en-US"/>
        </w:rPr>
        <w:t xml:space="preserve"> </w:t>
      </w:r>
    </w:p>
    <w:p w14:paraId="266F3F2A" w14:textId="6C78F9CD" w:rsidR="00FB4BA5" w:rsidRPr="00754A1D" w:rsidRDefault="00224A0B" w:rsidP="00FB4BA5">
      <w:pPr>
        <w:spacing w:after="0" w:line="480" w:lineRule="auto"/>
        <w:ind w:firstLine="708"/>
        <w:jc w:val="both"/>
        <w:rPr>
          <w:rFonts w:ascii="Times New Roman" w:hAnsi="Times New Roman" w:cs="Times New Roman"/>
          <w:sz w:val="24"/>
          <w:szCs w:val="24"/>
          <w:lang w:val="en-US"/>
        </w:rPr>
      </w:pPr>
      <w:r w:rsidRPr="00754A1D">
        <w:rPr>
          <w:rFonts w:ascii="Times New Roman" w:hAnsi="Times New Roman" w:cs="Times New Roman"/>
          <w:bCs/>
          <w:sz w:val="24"/>
          <w:szCs w:val="24"/>
          <w:lang w:val="en-US"/>
        </w:rPr>
        <w:lastRenderedPageBreak/>
        <w:t xml:space="preserve">For locomotion </w:t>
      </w:r>
      <w:r w:rsidR="00C07A37" w:rsidRPr="00754A1D">
        <w:rPr>
          <w:rFonts w:ascii="Times New Roman" w:hAnsi="Times New Roman" w:cs="Times New Roman"/>
          <w:bCs/>
          <w:sz w:val="24"/>
          <w:szCs w:val="24"/>
          <w:lang w:val="en-US"/>
        </w:rPr>
        <w:t>behavior</w:t>
      </w:r>
      <w:r w:rsidRPr="00754A1D">
        <w:rPr>
          <w:rFonts w:ascii="Times New Roman" w:hAnsi="Times New Roman" w:cs="Times New Roman"/>
          <w:bCs/>
          <w:sz w:val="24"/>
          <w:szCs w:val="24"/>
          <w:lang w:val="en-US"/>
        </w:rPr>
        <w:t xml:space="preserve"> tests, 24 of the 54 insects that were treated with </w:t>
      </w:r>
      <w:r w:rsidRPr="00754A1D">
        <w:rPr>
          <w:rFonts w:ascii="Times New Roman" w:hAnsi="Times New Roman" w:cs="Times New Roman"/>
          <w:bCs/>
          <w:i/>
          <w:sz w:val="24"/>
          <w:szCs w:val="24"/>
          <w:lang w:val="en-US"/>
        </w:rPr>
        <w:t>M. arvensis</w:t>
      </w:r>
      <w:r w:rsidRPr="00754A1D">
        <w:rPr>
          <w:rFonts w:ascii="Times New Roman" w:hAnsi="Times New Roman" w:cs="Times New Roman"/>
          <w:bCs/>
          <w:sz w:val="24"/>
          <w:szCs w:val="24"/>
          <w:lang w:val="en-US"/>
        </w:rPr>
        <w:t xml:space="preserve"> EO died</w:t>
      </w:r>
      <w:r w:rsidR="002A325D" w:rsidRPr="00754A1D">
        <w:rPr>
          <w:rFonts w:ascii="Times New Roman" w:hAnsi="Times New Roman" w:cs="Times New Roman"/>
          <w:bCs/>
          <w:sz w:val="24"/>
          <w:szCs w:val="24"/>
          <w:lang w:val="en-US"/>
        </w:rPr>
        <w:t xml:space="preserve">. </w:t>
      </w:r>
      <w:r w:rsidR="00276C8C" w:rsidRPr="00754A1D">
        <w:rPr>
          <w:rFonts w:ascii="Times New Roman" w:hAnsi="Times New Roman" w:cs="Times New Roman"/>
          <w:bCs/>
          <w:sz w:val="24"/>
          <w:szCs w:val="24"/>
          <w:lang w:val="en-US"/>
        </w:rPr>
        <w:t xml:space="preserve">Figure </w:t>
      </w:r>
      <w:r w:rsidR="00C07A37" w:rsidRPr="00754A1D">
        <w:rPr>
          <w:rFonts w:ascii="Times New Roman" w:hAnsi="Times New Roman" w:cs="Times New Roman"/>
          <w:bCs/>
          <w:sz w:val="24"/>
          <w:szCs w:val="24"/>
          <w:lang w:val="en-US"/>
        </w:rPr>
        <w:t>2</w:t>
      </w:r>
      <w:r w:rsidR="00276C8C" w:rsidRPr="00754A1D">
        <w:rPr>
          <w:rFonts w:ascii="Times New Roman" w:hAnsi="Times New Roman" w:cs="Times New Roman"/>
          <w:bCs/>
          <w:sz w:val="24"/>
          <w:szCs w:val="24"/>
          <w:lang w:val="en-US"/>
        </w:rPr>
        <w:t xml:space="preserve"> shows the </w:t>
      </w:r>
      <w:r w:rsidR="00EB0CB0" w:rsidRPr="00754A1D">
        <w:rPr>
          <w:rFonts w:ascii="Times New Roman" w:hAnsi="Times New Roman" w:cs="Times New Roman"/>
          <w:bCs/>
          <w:sz w:val="24"/>
          <w:szCs w:val="24"/>
          <w:lang w:val="en-US"/>
        </w:rPr>
        <w:t>mean</w:t>
      </w:r>
      <w:r w:rsidR="00276C8C" w:rsidRPr="00754A1D">
        <w:rPr>
          <w:rFonts w:ascii="Times New Roman" w:hAnsi="Times New Roman" w:cs="Times New Roman"/>
          <w:bCs/>
          <w:sz w:val="24"/>
          <w:szCs w:val="24"/>
          <w:lang w:val="en-US"/>
        </w:rPr>
        <w:t xml:space="preserve"> cumulative of the distance travelled </w:t>
      </w:r>
      <w:r w:rsidR="00EB0CB0" w:rsidRPr="00754A1D">
        <w:rPr>
          <w:rFonts w:ascii="Times New Roman" w:hAnsi="Times New Roman" w:cs="Times New Roman"/>
          <w:bCs/>
          <w:sz w:val="24"/>
          <w:szCs w:val="24"/>
          <w:lang w:val="en-US"/>
        </w:rPr>
        <w:t>over</w:t>
      </w:r>
      <w:r w:rsidR="00276C8C" w:rsidRPr="00754A1D">
        <w:rPr>
          <w:rFonts w:ascii="Times New Roman" w:hAnsi="Times New Roman" w:cs="Times New Roman"/>
          <w:bCs/>
          <w:sz w:val="24"/>
          <w:szCs w:val="24"/>
          <w:lang w:val="en-US"/>
        </w:rPr>
        <w:t xml:space="preserve"> 24 hours by untreated (a), treated but </w:t>
      </w:r>
      <w:r w:rsidR="00EB0CB0" w:rsidRPr="00754A1D">
        <w:rPr>
          <w:rFonts w:ascii="Times New Roman" w:hAnsi="Times New Roman" w:cs="Times New Roman"/>
          <w:bCs/>
          <w:sz w:val="24"/>
          <w:szCs w:val="24"/>
          <w:lang w:val="en-US"/>
        </w:rPr>
        <w:t>surviving</w:t>
      </w:r>
      <w:r w:rsidR="00276C8C" w:rsidRPr="00754A1D">
        <w:rPr>
          <w:rFonts w:ascii="Times New Roman" w:hAnsi="Times New Roman" w:cs="Times New Roman"/>
          <w:bCs/>
          <w:sz w:val="24"/>
          <w:szCs w:val="24"/>
          <w:lang w:val="en-US"/>
        </w:rPr>
        <w:t xml:space="preserve"> (b) and treated and dead (c) individuals. </w:t>
      </w:r>
      <w:r w:rsidR="00C07A37" w:rsidRPr="00754A1D">
        <w:rPr>
          <w:rFonts w:ascii="Times New Roman" w:hAnsi="Times New Roman" w:cs="Times New Roman"/>
          <w:bCs/>
          <w:sz w:val="24"/>
          <w:szCs w:val="24"/>
          <w:lang w:val="en-US"/>
        </w:rPr>
        <w:t>Untreated individuals had a constant speed for 24 hours, while treated individuals that survived the treatment were first knocked out (</w:t>
      </w:r>
      <w:r w:rsidR="00B34A4C" w:rsidRPr="00754A1D">
        <w:rPr>
          <w:rFonts w:ascii="Times New Roman" w:hAnsi="Times New Roman" w:cs="Times New Roman"/>
          <w:bCs/>
          <w:sz w:val="24"/>
          <w:szCs w:val="24"/>
          <w:lang w:val="en-US"/>
        </w:rPr>
        <w:t>Movie</w:t>
      </w:r>
      <w:r w:rsidR="00C07A37" w:rsidRPr="00754A1D">
        <w:rPr>
          <w:rFonts w:ascii="Times New Roman" w:hAnsi="Times New Roman" w:cs="Times New Roman"/>
          <w:bCs/>
          <w:sz w:val="24"/>
          <w:szCs w:val="24"/>
          <w:lang w:val="en-US"/>
        </w:rPr>
        <w:t xml:space="preserve"> S1), then travelled a negligible distance for the first 4 hours, and then travelled at a more or less constant but lower speed than untreated individuals. For individuals considered dead after the 24 treatments, the overall distance travelled was negligible</w:t>
      </w:r>
      <w:r w:rsidR="00536035" w:rsidRPr="00754A1D">
        <w:rPr>
          <w:rFonts w:ascii="Times New Roman" w:hAnsi="Times New Roman" w:cs="Times New Roman"/>
          <w:bCs/>
          <w:sz w:val="24"/>
          <w:szCs w:val="24"/>
          <w:lang w:val="en-US"/>
        </w:rPr>
        <w:t xml:space="preserve">: some individuals died quickly while others continued to move before they die. </w:t>
      </w:r>
      <w:r w:rsidR="005E0FF4" w:rsidRPr="00754A1D">
        <w:rPr>
          <w:rFonts w:ascii="Times New Roman" w:hAnsi="Times New Roman" w:cs="Times New Roman"/>
          <w:sz w:val="24"/>
          <w:szCs w:val="24"/>
          <w:lang w:val="en-US"/>
        </w:rPr>
        <w:t xml:space="preserve">The mean speeds between </w:t>
      </w:r>
      <w:r w:rsidR="00801952" w:rsidRPr="00754A1D">
        <w:rPr>
          <w:rFonts w:ascii="Times New Roman" w:hAnsi="Times New Roman" w:cs="Times New Roman"/>
          <w:sz w:val="24"/>
          <w:szCs w:val="24"/>
          <w:lang w:val="en-US"/>
        </w:rPr>
        <w:t>un</w:t>
      </w:r>
      <w:r w:rsidR="005E0FF4" w:rsidRPr="00754A1D">
        <w:rPr>
          <w:rFonts w:ascii="Times New Roman" w:hAnsi="Times New Roman" w:cs="Times New Roman"/>
          <w:sz w:val="24"/>
          <w:szCs w:val="24"/>
          <w:lang w:val="en-US"/>
        </w:rPr>
        <w:t xml:space="preserve">treated and treated individuals </w:t>
      </w:r>
      <w:r w:rsidR="00EB0CB0" w:rsidRPr="00754A1D">
        <w:rPr>
          <w:rFonts w:ascii="Times New Roman" w:hAnsi="Times New Roman" w:cs="Times New Roman"/>
          <w:sz w:val="24"/>
          <w:szCs w:val="24"/>
          <w:lang w:val="en-US"/>
        </w:rPr>
        <w:t>and</w:t>
      </w:r>
      <w:r w:rsidR="005E0FF4" w:rsidRPr="00754A1D">
        <w:rPr>
          <w:rFonts w:ascii="Times New Roman" w:hAnsi="Times New Roman" w:cs="Times New Roman"/>
          <w:sz w:val="24"/>
          <w:szCs w:val="24"/>
          <w:lang w:val="en-US"/>
        </w:rPr>
        <w:t xml:space="preserve"> their standard deviations are </w:t>
      </w:r>
      <w:r w:rsidR="00EB0CB0" w:rsidRPr="00754A1D">
        <w:rPr>
          <w:rFonts w:ascii="Times New Roman" w:hAnsi="Times New Roman" w:cs="Times New Roman"/>
          <w:sz w:val="24"/>
          <w:szCs w:val="24"/>
          <w:lang w:val="en-US"/>
        </w:rPr>
        <w:t>shown</w:t>
      </w:r>
      <w:r w:rsidR="005E0FF4" w:rsidRPr="00754A1D">
        <w:rPr>
          <w:rFonts w:ascii="Times New Roman" w:hAnsi="Times New Roman" w:cs="Times New Roman"/>
          <w:sz w:val="24"/>
          <w:szCs w:val="24"/>
          <w:lang w:val="en-US"/>
        </w:rPr>
        <w:t xml:space="preserve"> in Figure</w:t>
      </w:r>
      <w:r w:rsidR="00325E15" w:rsidRPr="00754A1D">
        <w:rPr>
          <w:rFonts w:ascii="Times New Roman" w:hAnsi="Times New Roman" w:cs="Times New Roman"/>
          <w:sz w:val="24"/>
          <w:szCs w:val="24"/>
          <w:lang w:val="en-US"/>
        </w:rPr>
        <w:t xml:space="preserve"> </w:t>
      </w:r>
      <w:r w:rsidR="007D34AC" w:rsidRPr="00754A1D">
        <w:rPr>
          <w:rFonts w:ascii="Times New Roman" w:hAnsi="Times New Roman" w:cs="Times New Roman"/>
          <w:sz w:val="24"/>
          <w:szCs w:val="24"/>
          <w:lang w:val="en-US"/>
        </w:rPr>
        <w:t>3</w:t>
      </w:r>
      <w:r w:rsidR="00325E15" w:rsidRPr="00754A1D">
        <w:rPr>
          <w:rFonts w:ascii="Times New Roman" w:hAnsi="Times New Roman" w:cs="Times New Roman"/>
          <w:sz w:val="24"/>
          <w:szCs w:val="24"/>
          <w:lang w:val="en-US"/>
        </w:rPr>
        <w:t xml:space="preserve"> (a)</w:t>
      </w:r>
      <w:r w:rsidR="005E0FF4" w:rsidRPr="00754A1D">
        <w:rPr>
          <w:rFonts w:ascii="Times New Roman" w:hAnsi="Times New Roman" w:cs="Times New Roman"/>
          <w:sz w:val="24"/>
          <w:szCs w:val="24"/>
          <w:lang w:val="en-US"/>
        </w:rPr>
        <w:t>. A distribution comparison using a Mann-Whitney U test reveals that the distributions (</w:t>
      </w:r>
      <w:r w:rsidR="0046524D" w:rsidRPr="00754A1D">
        <w:rPr>
          <w:rFonts w:ascii="Times New Roman" w:hAnsi="Times New Roman" w:cs="Times New Roman"/>
          <w:sz w:val="24"/>
          <w:szCs w:val="24"/>
          <w:lang w:val="en-US"/>
        </w:rPr>
        <w:t xml:space="preserve">Figure </w:t>
      </w:r>
      <w:r w:rsidR="00B8679E" w:rsidRPr="00754A1D">
        <w:rPr>
          <w:rFonts w:ascii="Times New Roman" w:hAnsi="Times New Roman" w:cs="Times New Roman"/>
          <w:sz w:val="24"/>
          <w:szCs w:val="24"/>
          <w:lang w:val="en-US"/>
        </w:rPr>
        <w:t>S1</w:t>
      </w:r>
      <w:r w:rsidR="00536035" w:rsidRPr="00754A1D">
        <w:rPr>
          <w:rFonts w:ascii="Times New Roman" w:hAnsi="Times New Roman" w:cs="Times New Roman"/>
          <w:sz w:val="24"/>
          <w:szCs w:val="24"/>
          <w:lang w:val="en-US"/>
        </w:rPr>
        <w:t xml:space="preserve"> (a)</w:t>
      </w:r>
      <w:r w:rsidR="005E0FF4" w:rsidRPr="00754A1D">
        <w:rPr>
          <w:rFonts w:ascii="Times New Roman" w:hAnsi="Times New Roman" w:cs="Times New Roman"/>
          <w:sz w:val="24"/>
          <w:szCs w:val="24"/>
          <w:lang w:val="en-US"/>
        </w:rPr>
        <w:t xml:space="preserve">) are different (U = 41, p &lt; 0.001). </w:t>
      </w:r>
      <w:r w:rsidR="00EB0CB0" w:rsidRPr="00754A1D">
        <w:rPr>
          <w:rFonts w:ascii="Times New Roman" w:hAnsi="Times New Roman" w:cs="Times New Roman"/>
          <w:sz w:val="24"/>
          <w:szCs w:val="24"/>
          <w:lang w:val="en-US"/>
        </w:rPr>
        <w:t>Similarly</w:t>
      </w:r>
      <w:r w:rsidR="005E0FF4" w:rsidRPr="00754A1D">
        <w:rPr>
          <w:rFonts w:ascii="Times New Roman" w:hAnsi="Times New Roman" w:cs="Times New Roman"/>
          <w:sz w:val="24"/>
          <w:szCs w:val="24"/>
          <w:lang w:val="en-US"/>
        </w:rPr>
        <w:t xml:space="preserve">, the </w:t>
      </w:r>
      <w:r w:rsidR="00EB0CB0" w:rsidRPr="00754A1D">
        <w:rPr>
          <w:rFonts w:ascii="Times New Roman" w:hAnsi="Times New Roman" w:cs="Times New Roman"/>
          <w:sz w:val="24"/>
          <w:szCs w:val="24"/>
          <w:lang w:val="en-US"/>
        </w:rPr>
        <w:t>mean</w:t>
      </w:r>
      <w:r w:rsidR="005E0FF4" w:rsidRPr="00754A1D">
        <w:rPr>
          <w:rFonts w:ascii="Times New Roman" w:hAnsi="Times New Roman" w:cs="Times New Roman"/>
          <w:sz w:val="24"/>
          <w:szCs w:val="24"/>
          <w:lang w:val="en-US"/>
        </w:rPr>
        <w:t xml:space="preserve"> proportions of space visited (Figure </w:t>
      </w:r>
      <w:r w:rsidR="007D34AC" w:rsidRPr="00754A1D">
        <w:rPr>
          <w:rFonts w:ascii="Times New Roman" w:hAnsi="Times New Roman" w:cs="Times New Roman"/>
          <w:sz w:val="24"/>
          <w:szCs w:val="24"/>
          <w:lang w:val="en-US"/>
        </w:rPr>
        <w:t>3</w:t>
      </w:r>
      <w:r w:rsidR="00325E15" w:rsidRPr="00754A1D">
        <w:rPr>
          <w:rFonts w:ascii="Times New Roman" w:hAnsi="Times New Roman" w:cs="Times New Roman"/>
          <w:sz w:val="24"/>
          <w:szCs w:val="24"/>
          <w:lang w:val="en-US"/>
        </w:rPr>
        <w:t xml:space="preserve"> (b)</w:t>
      </w:r>
      <w:r w:rsidR="005E0FF4" w:rsidRPr="00754A1D">
        <w:rPr>
          <w:rFonts w:ascii="Times New Roman" w:hAnsi="Times New Roman" w:cs="Times New Roman"/>
          <w:sz w:val="24"/>
          <w:szCs w:val="24"/>
          <w:lang w:val="en-US"/>
        </w:rPr>
        <w:t xml:space="preserve">) by untreated and treated individuals shows that </w:t>
      </w:r>
      <w:r w:rsidR="00A75D12" w:rsidRPr="00754A1D">
        <w:rPr>
          <w:rFonts w:ascii="Times New Roman" w:hAnsi="Times New Roman" w:cs="Times New Roman"/>
          <w:sz w:val="24"/>
          <w:szCs w:val="24"/>
          <w:lang w:val="en-US"/>
        </w:rPr>
        <w:t>un</w:t>
      </w:r>
      <w:r w:rsidR="005E0FF4" w:rsidRPr="00754A1D">
        <w:rPr>
          <w:rFonts w:ascii="Times New Roman" w:hAnsi="Times New Roman" w:cs="Times New Roman"/>
          <w:sz w:val="24"/>
          <w:szCs w:val="24"/>
          <w:lang w:val="en-US"/>
        </w:rPr>
        <w:t xml:space="preserve">treated individuals </w:t>
      </w:r>
      <w:r w:rsidR="00A75D12" w:rsidRPr="00754A1D">
        <w:rPr>
          <w:rFonts w:ascii="Times New Roman" w:hAnsi="Times New Roman" w:cs="Times New Roman"/>
          <w:sz w:val="24"/>
          <w:szCs w:val="24"/>
          <w:lang w:val="en-US"/>
        </w:rPr>
        <w:t>cover</w:t>
      </w:r>
      <w:r w:rsidR="00536035" w:rsidRPr="00754A1D">
        <w:rPr>
          <w:rFonts w:ascii="Times New Roman" w:hAnsi="Times New Roman" w:cs="Times New Roman"/>
          <w:sz w:val="24"/>
          <w:szCs w:val="24"/>
          <w:lang w:val="en-US"/>
        </w:rPr>
        <w:t>ed</w:t>
      </w:r>
      <w:r w:rsidR="005E0FF4" w:rsidRPr="00754A1D">
        <w:rPr>
          <w:rFonts w:ascii="Times New Roman" w:hAnsi="Times New Roman" w:cs="Times New Roman"/>
          <w:sz w:val="24"/>
          <w:szCs w:val="24"/>
          <w:lang w:val="en-US"/>
        </w:rPr>
        <w:t xml:space="preserve"> three to four times more space than treated individuals.</w:t>
      </w:r>
      <w:r w:rsidR="00A75D12" w:rsidRPr="00754A1D">
        <w:rPr>
          <w:rFonts w:ascii="Times New Roman" w:hAnsi="Times New Roman" w:cs="Times New Roman"/>
          <w:sz w:val="24"/>
          <w:szCs w:val="24"/>
          <w:lang w:val="en-US"/>
        </w:rPr>
        <w:t xml:space="preserve"> </w:t>
      </w:r>
      <w:r w:rsidR="00EB0CB0" w:rsidRPr="00754A1D">
        <w:rPr>
          <w:rFonts w:ascii="Times New Roman" w:hAnsi="Times New Roman" w:cs="Times New Roman"/>
          <w:sz w:val="24"/>
          <w:szCs w:val="24"/>
          <w:lang w:val="en-US"/>
        </w:rPr>
        <w:t>A</w:t>
      </w:r>
      <w:r w:rsidR="00A75D12" w:rsidRPr="00754A1D">
        <w:rPr>
          <w:rFonts w:ascii="Times New Roman" w:hAnsi="Times New Roman" w:cs="Times New Roman"/>
          <w:sz w:val="24"/>
          <w:szCs w:val="24"/>
          <w:lang w:val="en-US"/>
        </w:rPr>
        <w:t>gain</w:t>
      </w:r>
      <w:r w:rsidR="005E0FF4" w:rsidRPr="00754A1D">
        <w:rPr>
          <w:rFonts w:ascii="Times New Roman" w:hAnsi="Times New Roman" w:cs="Times New Roman"/>
          <w:sz w:val="24"/>
          <w:szCs w:val="24"/>
          <w:lang w:val="en-US"/>
        </w:rPr>
        <w:t>, a comparison between the two distributions (</w:t>
      </w:r>
      <w:r w:rsidR="0046524D" w:rsidRPr="00754A1D">
        <w:rPr>
          <w:rFonts w:ascii="Times New Roman" w:hAnsi="Times New Roman" w:cs="Times New Roman"/>
          <w:sz w:val="24"/>
          <w:szCs w:val="24"/>
          <w:lang w:val="en-US"/>
        </w:rPr>
        <w:t xml:space="preserve">Figure </w:t>
      </w:r>
      <w:r w:rsidR="006B33D9" w:rsidRPr="00754A1D">
        <w:rPr>
          <w:rFonts w:ascii="Times New Roman" w:hAnsi="Times New Roman" w:cs="Times New Roman"/>
          <w:sz w:val="24"/>
          <w:szCs w:val="24"/>
          <w:lang w:val="en-US"/>
        </w:rPr>
        <w:t>S1</w:t>
      </w:r>
      <w:r w:rsidR="00A72067" w:rsidRPr="00754A1D">
        <w:rPr>
          <w:rFonts w:ascii="Times New Roman" w:hAnsi="Times New Roman" w:cs="Times New Roman"/>
          <w:sz w:val="24"/>
          <w:szCs w:val="24"/>
          <w:lang w:val="en-US"/>
        </w:rPr>
        <w:t xml:space="preserve"> (b)</w:t>
      </w:r>
      <w:r w:rsidR="005E0FF4" w:rsidRPr="00754A1D">
        <w:rPr>
          <w:rFonts w:ascii="Times New Roman" w:hAnsi="Times New Roman" w:cs="Times New Roman"/>
          <w:sz w:val="24"/>
          <w:szCs w:val="24"/>
          <w:lang w:val="en-US"/>
        </w:rPr>
        <w:t>) with a Mann-Whitney U test shows a strong significative difference (U = 19, p &lt; 0.001).</w:t>
      </w:r>
      <w:r w:rsidR="0046524D" w:rsidRPr="00754A1D">
        <w:rPr>
          <w:rFonts w:ascii="Times New Roman" w:hAnsi="Times New Roman" w:cs="Times New Roman"/>
          <w:sz w:val="24"/>
          <w:szCs w:val="24"/>
          <w:lang w:val="en-US"/>
        </w:rPr>
        <w:t xml:space="preserve"> </w:t>
      </w:r>
      <w:r w:rsidR="00EB0CB0" w:rsidRPr="00754A1D">
        <w:rPr>
          <w:rFonts w:ascii="Times New Roman" w:hAnsi="Times New Roman" w:cs="Times New Roman"/>
          <w:sz w:val="24"/>
          <w:szCs w:val="24"/>
          <w:lang w:val="en-US"/>
        </w:rPr>
        <w:t>A closer look</w:t>
      </w:r>
      <w:r w:rsidR="003D49B5" w:rsidRPr="00754A1D">
        <w:rPr>
          <w:rFonts w:ascii="Times New Roman" w:hAnsi="Times New Roman" w:cs="Times New Roman"/>
          <w:sz w:val="24"/>
          <w:szCs w:val="24"/>
          <w:lang w:val="en-US"/>
        </w:rPr>
        <w:t xml:space="preserve"> at</w:t>
      </w:r>
      <w:r w:rsidR="0046524D" w:rsidRPr="00754A1D">
        <w:rPr>
          <w:rFonts w:ascii="Times New Roman" w:hAnsi="Times New Roman" w:cs="Times New Roman"/>
          <w:sz w:val="24"/>
          <w:szCs w:val="24"/>
          <w:lang w:val="en-US"/>
        </w:rPr>
        <w:t xml:space="preserve"> the distribution </w:t>
      </w:r>
      <w:r w:rsidR="00EB0CB0" w:rsidRPr="00754A1D">
        <w:rPr>
          <w:rFonts w:ascii="Times New Roman" w:hAnsi="Times New Roman" w:cs="Times New Roman"/>
          <w:sz w:val="24"/>
          <w:szCs w:val="24"/>
          <w:lang w:val="en-US"/>
        </w:rPr>
        <w:t>presented</w:t>
      </w:r>
      <w:r w:rsidR="0046524D" w:rsidRPr="00754A1D">
        <w:rPr>
          <w:rFonts w:ascii="Times New Roman" w:hAnsi="Times New Roman" w:cs="Times New Roman"/>
          <w:sz w:val="24"/>
          <w:szCs w:val="24"/>
          <w:lang w:val="en-US"/>
        </w:rPr>
        <w:t xml:space="preserve"> in Figure </w:t>
      </w:r>
      <w:r w:rsidR="006B33D9" w:rsidRPr="00754A1D">
        <w:rPr>
          <w:rFonts w:ascii="Times New Roman" w:hAnsi="Times New Roman" w:cs="Times New Roman"/>
          <w:sz w:val="24"/>
          <w:szCs w:val="24"/>
          <w:lang w:val="en-US"/>
        </w:rPr>
        <w:t>S1</w:t>
      </w:r>
      <w:r w:rsidR="00A77F49" w:rsidRPr="00754A1D">
        <w:rPr>
          <w:rFonts w:ascii="Times New Roman" w:hAnsi="Times New Roman" w:cs="Times New Roman"/>
          <w:sz w:val="24"/>
          <w:szCs w:val="24"/>
          <w:lang w:val="en-US"/>
        </w:rPr>
        <w:t xml:space="preserve"> (</w:t>
      </w:r>
      <w:r w:rsidR="0046524D" w:rsidRPr="00754A1D">
        <w:rPr>
          <w:rFonts w:ascii="Times New Roman" w:hAnsi="Times New Roman" w:cs="Times New Roman"/>
          <w:sz w:val="24"/>
          <w:szCs w:val="24"/>
          <w:lang w:val="en-US"/>
        </w:rPr>
        <w:t>a</w:t>
      </w:r>
      <w:r w:rsidR="00A77F49" w:rsidRPr="00754A1D">
        <w:rPr>
          <w:rFonts w:ascii="Times New Roman" w:hAnsi="Times New Roman" w:cs="Times New Roman"/>
          <w:sz w:val="24"/>
          <w:szCs w:val="24"/>
          <w:lang w:val="en-US"/>
        </w:rPr>
        <w:t>)</w:t>
      </w:r>
      <w:r w:rsidR="00EB0CB0" w:rsidRPr="00754A1D">
        <w:rPr>
          <w:rFonts w:ascii="Times New Roman" w:hAnsi="Times New Roman" w:cs="Times New Roman"/>
          <w:sz w:val="24"/>
          <w:szCs w:val="24"/>
          <w:lang w:val="en-US"/>
        </w:rPr>
        <w:t xml:space="preserve"> reveals </w:t>
      </w:r>
      <w:r w:rsidR="0046524D" w:rsidRPr="00754A1D">
        <w:rPr>
          <w:rFonts w:ascii="Times New Roman" w:hAnsi="Times New Roman" w:cs="Times New Roman"/>
          <w:sz w:val="24"/>
          <w:szCs w:val="24"/>
          <w:lang w:val="en-US"/>
        </w:rPr>
        <w:t xml:space="preserve">a bimodality, expressing the fact that the mean speeds over 24h of </w:t>
      </w:r>
      <w:r w:rsidR="00EB0CB0" w:rsidRPr="00754A1D">
        <w:rPr>
          <w:rFonts w:ascii="Times New Roman" w:hAnsi="Times New Roman" w:cs="Times New Roman"/>
          <w:sz w:val="24"/>
          <w:szCs w:val="24"/>
          <w:lang w:val="en-US"/>
        </w:rPr>
        <w:t xml:space="preserve">the surviving </w:t>
      </w:r>
      <w:r w:rsidR="0046524D" w:rsidRPr="00754A1D">
        <w:rPr>
          <w:rFonts w:ascii="Times New Roman" w:hAnsi="Times New Roman" w:cs="Times New Roman"/>
          <w:sz w:val="24"/>
          <w:szCs w:val="24"/>
          <w:lang w:val="en-US"/>
        </w:rPr>
        <w:t xml:space="preserve">treated individuals are either very low or close to </w:t>
      </w:r>
      <w:r w:rsidR="00EB0CB0" w:rsidRPr="00754A1D">
        <w:rPr>
          <w:rFonts w:ascii="Times New Roman" w:hAnsi="Times New Roman" w:cs="Times New Roman"/>
          <w:sz w:val="24"/>
          <w:szCs w:val="24"/>
          <w:lang w:val="en-US"/>
        </w:rPr>
        <w:t>those</w:t>
      </w:r>
      <w:r w:rsidR="0046524D" w:rsidRPr="00754A1D">
        <w:rPr>
          <w:rFonts w:ascii="Times New Roman" w:hAnsi="Times New Roman" w:cs="Times New Roman"/>
          <w:sz w:val="24"/>
          <w:szCs w:val="24"/>
          <w:lang w:val="en-US"/>
        </w:rPr>
        <w:t xml:space="preserve"> of </w:t>
      </w:r>
      <w:r w:rsidR="003D49B5" w:rsidRPr="00754A1D">
        <w:rPr>
          <w:rFonts w:ascii="Times New Roman" w:hAnsi="Times New Roman" w:cs="Times New Roman"/>
          <w:sz w:val="24"/>
          <w:szCs w:val="24"/>
          <w:lang w:val="en-US"/>
        </w:rPr>
        <w:t xml:space="preserve">the </w:t>
      </w:r>
      <w:r w:rsidR="0046524D" w:rsidRPr="00754A1D">
        <w:rPr>
          <w:rFonts w:ascii="Times New Roman" w:hAnsi="Times New Roman" w:cs="Times New Roman"/>
          <w:sz w:val="24"/>
          <w:szCs w:val="24"/>
          <w:lang w:val="en-US"/>
        </w:rPr>
        <w:t xml:space="preserve">untreated individuals. </w:t>
      </w:r>
      <w:r w:rsidR="00EB0CB0" w:rsidRPr="00754A1D">
        <w:rPr>
          <w:rFonts w:ascii="Times New Roman" w:hAnsi="Times New Roman" w:cs="Times New Roman"/>
          <w:sz w:val="24"/>
          <w:szCs w:val="24"/>
          <w:lang w:val="en-US"/>
        </w:rPr>
        <w:t>However, t</w:t>
      </w:r>
      <w:r w:rsidR="0046524D" w:rsidRPr="00754A1D">
        <w:rPr>
          <w:rFonts w:ascii="Times New Roman" w:hAnsi="Times New Roman" w:cs="Times New Roman"/>
          <w:sz w:val="24"/>
          <w:szCs w:val="24"/>
          <w:lang w:val="en-US"/>
        </w:rPr>
        <w:t xml:space="preserve">his bimodality is not observed in the distribution of the proportion of </w:t>
      </w:r>
      <w:r w:rsidR="00773D14" w:rsidRPr="00754A1D">
        <w:rPr>
          <w:rFonts w:ascii="Times New Roman" w:hAnsi="Times New Roman" w:cs="Times New Roman"/>
          <w:sz w:val="24"/>
          <w:szCs w:val="24"/>
          <w:lang w:val="en-US"/>
        </w:rPr>
        <w:t xml:space="preserve">spaces </w:t>
      </w:r>
      <w:r w:rsidR="0046524D" w:rsidRPr="00754A1D">
        <w:rPr>
          <w:rFonts w:ascii="Times New Roman" w:hAnsi="Times New Roman" w:cs="Times New Roman"/>
          <w:sz w:val="24"/>
          <w:szCs w:val="24"/>
          <w:lang w:val="en-US"/>
        </w:rPr>
        <w:t>visited</w:t>
      </w:r>
      <w:r w:rsidR="00A77F49" w:rsidRPr="00754A1D">
        <w:rPr>
          <w:rFonts w:ascii="Times New Roman" w:hAnsi="Times New Roman" w:cs="Times New Roman"/>
          <w:sz w:val="24"/>
          <w:szCs w:val="24"/>
          <w:lang w:val="en-US"/>
        </w:rPr>
        <w:t xml:space="preserve"> (Figure </w:t>
      </w:r>
      <w:r w:rsidR="006B33D9" w:rsidRPr="00754A1D">
        <w:rPr>
          <w:rFonts w:ascii="Times New Roman" w:hAnsi="Times New Roman" w:cs="Times New Roman"/>
          <w:sz w:val="24"/>
          <w:szCs w:val="24"/>
          <w:lang w:val="en-US"/>
        </w:rPr>
        <w:t>S1</w:t>
      </w:r>
      <w:r w:rsidR="00A77F49" w:rsidRPr="00754A1D">
        <w:rPr>
          <w:rFonts w:ascii="Times New Roman" w:hAnsi="Times New Roman" w:cs="Times New Roman"/>
          <w:sz w:val="24"/>
          <w:szCs w:val="24"/>
          <w:lang w:val="en-US"/>
        </w:rPr>
        <w:t xml:space="preserve"> (b))</w:t>
      </w:r>
      <w:r w:rsidR="0046524D" w:rsidRPr="00754A1D">
        <w:rPr>
          <w:rFonts w:ascii="Times New Roman" w:hAnsi="Times New Roman" w:cs="Times New Roman"/>
          <w:sz w:val="24"/>
          <w:szCs w:val="24"/>
          <w:lang w:val="en-US"/>
        </w:rPr>
        <w:t xml:space="preserve">, </w:t>
      </w:r>
      <w:r w:rsidR="00773D14" w:rsidRPr="00754A1D">
        <w:rPr>
          <w:rFonts w:ascii="Times New Roman" w:hAnsi="Times New Roman" w:cs="Times New Roman"/>
          <w:sz w:val="24"/>
          <w:szCs w:val="24"/>
          <w:lang w:val="en-US"/>
        </w:rPr>
        <w:t xml:space="preserve">which </w:t>
      </w:r>
      <w:r w:rsidR="0046524D" w:rsidRPr="00754A1D">
        <w:rPr>
          <w:rFonts w:ascii="Times New Roman" w:hAnsi="Times New Roman" w:cs="Times New Roman"/>
          <w:sz w:val="24"/>
          <w:szCs w:val="24"/>
          <w:lang w:val="en-US"/>
        </w:rPr>
        <w:t>suggest</w:t>
      </w:r>
      <w:r w:rsidR="00773D14" w:rsidRPr="00754A1D">
        <w:rPr>
          <w:rFonts w:ascii="Times New Roman" w:hAnsi="Times New Roman" w:cs="Times New Roman"/>
          <w:sz w:val="24"/>
          <w:szCs w:val="24"/>
          <w:lang w:val="en-US"/>
        </w:rPr>
        <w:t>s</w:t>
      </w:r>
      <w:r w:rsidR="0046524D" w:rsidRPr="00754A1D">
        <w:rPr>
          <w:rFonts w:ascii="Times New Roman" w:hAnsi="Times New Roman" w:cs="Times New Roman"/>
          <w:sz w:val="24"/>
          <w:szCs w:val="24"/>
          <w:lang w:val="en-US"/>
        </w:rPr>
        <w:t xml:space="preserve"> that the locomotion of individuals is restricted </w:t>
      </w:r>
      <w:r w:rsidR="00536035" w:rsidRPr="00754A1D">
        <w:rPr>
          <w:rFonts w:ascii="Times New Roman" w:hAnsi="Times New Roman" w:cs="Times New Roman"/>
          <w:sz w:val="24"/>
          <w:szCs w:val="24"/>
          <w:lang w:val="en-US"/>
        </w:rPr>
        <w:t>in</w:t>
      </w:r>
      <w:r w:rsidR="0046524D" w:rsidRPr="00754A1D">
        <w:rPr>
          <w:rFonts w:ascii="Times New Roman" w:hAnsi="Times New Roman" w:cs="Times New Roman"/>
          <w:sz w:val="24"/>
          <w:szCs w:val="24"/>
          <w:lang w:val="en-US"/>
        </w:rPr>
        <w:t xml:space="preserve"> space. </w:t>
      </w:r>
    </w:p>
    <w:p w14:paraId="5A07A704" w14:textId="1A4ACF14" w:rsidR="00313B35" w:rsidRPr="00754A1D" w:rsidRDefault="005E0FF4" w:rsidP="00313B35">
      <w:pPr>
        <w:spacing w:line="480" w:lineRule="auto"/>
        <w:ind w:firstLine="708"/>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Finally, </w:t>
      </w:r>
      <w:r w:rsidR="007D34AC" w:rsidRPr="00754A1D">
        <w:rPr>
          <w:rFonts w:ascii="Times New Roman" w:hAnsi="Times New Roman" w:cs="Times New Roman"/>
          <w:bCs/>
          <w:sz w:val="24"/>
          <w:szCs w:val="24"/>
          <w:lang w:val="en-US"/>
        </w:rPr>
        <w:t>F</w:t>
      </w:r>
      <w:r w:rsidRPr="00754A1D">
        <w:rPr>
          <w:rFonts w:ascii="Times New Roman" w:hAnsi="Times New Roman" w:cs="Times New Roman"/>
          <w:bCs/>
          <w:sz w:val="24"/>
          <w:szCs w:val="24"/>
          <w:lang w:val="en-US"/>
        </w:rPr>
        <w:t xml:space="preserve">igure </w:t>
      </w:r>
      <w:r w:rsidR="00970495" w:rsidRPr="00754A1D">
        <w:rPr>
          <w:rFonts w:ascii="Times New Roman" w:hAnsi="Times New Roman" w:cs="Times New Roman"/>
          <w:bCs/>
          <w:sz w:val="24"/>
          <w:szCs w:val="24"/>
          <w:lang w:val="en-US"/>
        </w:rPr>
        <w:t>4</w:t>
      </w:r>
      <w:r w:rsidRPr="00754A1D">
        <w:rPr>
          <w:rFonts w:ascii="Times New Roman" w:hAnsi="Times New Roman" w:cs="Times New Roman"/>
          <w:bCs/>
          <w:sz w:val="24"/>
          <w:szCs w:val="24"/>
          <w:lang w:val="en-US"/>
        </w:rPr>
        <w:t xml:space="preserve"> </w:t>
      </w:r>
      <w:r w:rsidR="002A0063" w:rsidRPr="00754A1D">
        <w:rPr>
          <w:rFonts w:ascii="Times New Roman" w:hAnsi="Times New Roman" w:cs="Times New Roman"/>
          <w:bCs/>
          <w:sz w:val="24"/>
          <w:szCs w:val="24"/>
          <w:lang w:val="en-US"/>
        </w:rPr>
        <w:t>presents</w:t>
      </w:r>
      <w:r w:rsidRPr="00754A1D">
        <w:rPr>
          <w:rFonts w:ascii="Times New Roman" w:hAnsi="Times New Roman" w:cs="Times New Roman"/>
          <w:bCs/>
          <w:sz w:val="24"/>
          <w:szCs w:val="24"/>
          <w:lang w:val="en-US"/>
        </w:rPr>
        <w:t xml:space="preserve"> </w:t>
      </w:r>
      <w:r w:rsidR="002A0063" w:rsidRPr="00754A1D">
        <w:rPr>
          <w:rFonts w:ascii="Times New Roman" w:hAnsi="Times New Roman" w:cs="Times New Roman"/>
          <w:bCs/>
          <w:sz w:val="24"/>
          <w:szCs w:val="24"/>
          <w:lang w:val="en-US"/>
        </w:rPr>
        <w:t>on overview</w:t>
      </w:r>
      <w:r w:rsidRPr="00754A1D">
        <w:rPr>
          <w:rFonts w:ascii="Times New Roman" w:hAnsi="Times New Roman" w:cs="Times New Roman"/>
          <w:bCs/>
          <w:sz w:val="24"/>
          <w:szCs w:val="24"/>
          <w:lang w:val="en-US"/>
        </w:rPr>
        <w:t xml:space="preserve"> of the spatial behavior of </w:t>
      </w:r>
      <w:r w:rsidR="008D4A93" w:rsidRPr="00754A1D">
        <w:rPr>
          <w:rFonts w:ascii="Times New Roman" w:hAnsi="Times New Roman" w:cs="Times New Roman"/>
          <w:bCs/>
          <w:sz w:val="24"/>
          <w:szCs w:val="24"/>
          <w:lang w:val="en-US"/>
        </w:rPr>
        <w:t xml:space="preserve">untreated individuals </w:t>
      </w:r>
      <w:r w:rsidRPr="00754A1D">
        <w:rPr>
          <w:rFonts w:ascii="Times New Roman" w:hAnsi="Times New Roman" w:cs="Times New Roman"/>
          <w:bCs/>
          <w:sz w:val="24"/>
          <w:szCs w:val="24"/>
          <w:lang w:val="en-US"/>
        </w:rPr>
        <w:t xml:space="preserve">(a), treated </w:t>
      </w:r>
      <w:r w:rsidR="00FB4BA5" w:rsidRPr="00754A1D">
        <w:rPr>
          <w:rFonts w:ascii="Times New Roman" w:hAnsi="Times New Roman" w:cs="Times New Roman"/>
          <w:bCs/>
          <w:sz w:val="24"/>
          <w:szCs w:val="24"/>
          <w:lang w:val="en-US"/>
        </w:rPr>
        <w:t>individuals</w:t>
      </w:r>
      <w:r w:rsidR="008D4A93" w:rsidRPr="00754A1D">
        <w:rPr>
          <w:rFonts w:ascii="Times New Roman" w:hAnsi="Times New Roman" w:cs="Times New Roman"/>
          <w:bCs/>
          <w:sz w:val="24"/>
          <w:szCs w:val="24"/>
          <w:lang w:val="en-US"/>
        </w:rPr>
        <w:t xml:space="preserve"> that </w:t>
      </w:r>
      <w:r w:rsidRPr="00754A1D">
        <w:rPr>
          <w:rFonts w:ascii="Times New Roman" w:hAnsi="Times New Roman" w:cs="Times New Roman"/>
          <w:bCs/>
          <w:sz w:val="24"/>
          <w:szCs w:val="24"/>
          <w:lang w:val="en-US"/>
        </w:rPr>
        <w:t>survived (b) and treated</w:t>
      </w:r>
      <w:r w:rsidR="008D4A93" w:rsidRPr="00754A1D">
        <w:rPr>
          <w:rFonts w:ascii="Times New Roman" w:hAnsi="Times New Roman" w:cs="Times New Roman"/>
          <w:bCs/>
          <w:sz w:val="24"/>
          <w:szCs w:val="24"/>
          <w:lang w:val="en-US"/>
        </w:rPr>
        <w:t xml:space="preserve"> </w:t>
      </w:r>
      <w:r w:rsidR="00FB4BA5" w:rsidRPr="00754A1D">
        <w:rPr>
          <w:rFonts w:ascii="Times New Roman" w:hAnsi="Times New Roman" w:cs="Times New Roman"/>
          <w:bCs/>
          <w:sz w:val="24"/>
          <w:szCs w:val="24"/>
          <w:lang w:val="en-US"/>
        </w:rPr>
        <w:t>individuals</w:t>
      </w:r>
      <w:r w:rsidRPr="00754A1D">
        <w:rPr>
          <w:rFonts w:ascii="Times New Roman" w:hAnsi="Times New Roman" w:cs="Times New Roman"/>
          <w:bCs/>
          <w:sz w:val="24"/>
          <w:szCs w:val="24"/>
          <w:lang w:val="en-US"/>
        </w:rPr>
        <w:t xml:space="preserve"> </w:t>
      </w:r>
      <w:r w:rsidR="008D4A93" w:rsidRPr="00754A1D">
        <w:rPr>
          <w:rFonts w:ascii="Times New Roman" w:hAnsi="Times New Roman" w:cs="Times New Roman"/>
          <w:bCs/>
          <w:sz w:val="24"/>
          <w:szCs w:val="24"/>
          <w:lang w:val="en-US"/>
        </w:rPr>
        <w:t>that died</w:t>
      </w:r>
      <w:r w:rsidRPr="00754A1D">
        <w:rPr>
          <w:rFonts w:ascii="Times New Roman" w:hAnsi="Times New Roman" w:cs="Times New Roman"/>
          <w:bCs/>
          <w:sz w:val="24"/>
          <w:szCs w:val="24"/>
          <w:lang w:val="en-US"/>
        </w:rPr>
        <w:t xml:space="preserve"> (c). The three panels display an overlay of the positions </w:t>
      </w:r>
      <w:r w:rsidR="008D4A93" w:rsidRPr="00754A1D">
        <w:rPr>
          <w:rFonts w:ascii="Times New Roman" w:hAnsi="Times New Roman" w:cs="Times New Roman"/>
          <w:bCs/>
          <w:sz w:val="24"/>
          <w:szCs w:val="24"/>
          <w:lang w:val="en-US"/>
        </w:rPr>
        <w:t>for</w:t>
      </w:r>
      <w:r w:rsidRPr="00754A1D">
        <w:rPr>
          <w:rFonts w:ascii="Times New Roman" w:hAnsi="Times New Roman" w:cs="Times New Roman"/>
          <w:bCs/>
          <w:sz w:val="24"/>
          <w:szCs w:val="24"/>
          <w:lang w:val="en-US"/>
        </w:rPr>
        <w:t xml:space="preserve"> all experiments. It is interesting to note that </w:t>
      </w:r>
      <w:r w:rsidR="002F134A" w:rsidRPr="00754A1D">
        <w:rPr>
          <w:rFonts w:ascii="Times New Roman" w:hAnsi="Times New Roman" w:cs="Times New Roman"/>
          <w:bCs/>
          <w:sz w:val="24"/>
          <w:szCs w:val="24"/>
          <w:lang w:val="en-US"/>
        </w:rPr>
        <w:t>un</w:t>
      </w:r>
      <w:r w:rsidRPr="00754A1D">
        <w:rPr>
          <w:rFonts w:ascii="Times New Roman" w:hAnsi="Times New Roman" w:cs="Times New Roman"/>
          <w:bCs/>
          <w:sz w:val="24"/>
          <w:szCs w:val="24"/>
          <w:lang w:val="en-US"/>
        </w:rPr>
        <w:t>treated individuals move</w:t>
      </w:r>
      <w:r w:rsidR="00FB4BA5" w:rsidRPr="00754A1D">
        <w:rPr>
          <w:rFonts w:ascii="Times New Roman" w:hAnsi="Times New Roman" w:cs="Times New Roman"/>
          <w:bCs/>
          <w:sz w:val="24"/>
          <w:szCs w:val="24"/>
          <w:lang w:val="en-US"/>
        </w:rPr>
        <w:t>d</w:t>
      </w:r>
      <w:r w:rsidRPr="00754A1D">
        <w:rPr>
          <w:rFonts w:ascii="Times New Roman" w:hAnsi="Times New Roman" w:cs="Times New Roman"/>
          <w:bCs/>
          <w:sz w:val="24"/>
          <w:szCs w:val="24"/>
          <w:lang w:val="en-US"/>
        </w:rPr>
        <w:t xml:space="preserve"> </w:t>
      </w:r>
      <w:r w:rsidR="00FB4BA5" w:rsidRPr="00754A1D">
        <w:rPr>
          <w:rFonts w:ascii="Times New Roman" w:hAnsi="Times New Roman" w:cs="Times New Roman"/>
          <w:bCs/>
          <w:sz w:val="24"/>
          <w:szCs w:val="24"/>
          <w:lang w:val="en-US"/>
        </w:rPr>
        <w:t>rapidly towards</w:t>
      </w:r>
      <w:r w:rsidRPr="00754A1D">
        <w:rPr>
          <w:rFonts w:ascii="Times New Roman" w:hAnsi="Times New Roman" w:cs="Times New Roman"/>
          <w:bCs/>
          <w:sz w:val="24"/>
          <w:szCs w:val="24"/>
          <w:lang w:val="en-US"/>
        </w:rPr>
        <w:t xml:space="preserve"> the borders of the Petri® dish</w:t>
      </w:r>
      <w:r w:rsidR="00FB4BA5" w:rsidRPr="00754A1D">
        <w:rPr>
          <w:rFonts w:ascii="Times New Roman" w:hAnsi="Times New Roman" w:cs="Times New Roman"/>
          <w:bCs/>
          <w:sz w:val="24"/>
          <w:szCs w:val="24"/>
          <w:lang w:val="en-US"/>
        </w:rPr>
        <w:t>. Once they reached the border, they exhibited</w:t>
      </w:r>
      <w:r w:rsidRPr="00754A1D">
        <w:rPr>
          <w:rFonts w:ascii="Times New Roman" w:hAnsi="Times New Roman" w:cs="Times New Roman"/>
          <w:bCs/>
          <w:sz w:val="24"/>
          <w:szCs w:val="24"/>
          <w:lang w:val="en-US"/>
        </w:rPr>
        <w:t xml:space="preserve"> a strong thigmotactic behavior </w:t>
      </w:r>
      <w:r w:rsidR="00FB4BA5" w:rsidRPr="00754A1D">
        <w:rPr>
          <w:rFonts w:ascii="Times New Roman" w:hAnsi="Times New Roman" w:cs="Times New Roman"/>
          <w:bCs/>
          <w:sz w:val="24"/>
          <w:szCs w:val="24"/>
          <w:lang w:val="en-US"/>
        </w:rPr>
        <w:t xml:space="preserve">by following the border and rarely returning to the center. </w:t>
      </w:r>
      <w:r w:rsidR="00313B35" w:rsidRPr="00754A1D">
        <w:rPr>
          <w:rFonts w:ascii="Times New Roman" w:hAnsi="Times New Roman" w:cs="Times New Roman"/>
          <w:bCs/>
          <w:sz w:val="24"/>
          <w:szCs w:val="24"/>
          <w:lang w:val="en-US"/>
        </w:rPr>
        <w:t xml:space="preserve">On the other hand, treated individuals that survived moved less and rarely reached </w:t>
      </w:r>
      <w:r w:rsidR="00313B35" w:rsidRPr="00754A1D">
        <w:rPr>
          <w:rFonts w:ascii="Times New Roman" w:hAnsi="Times New Roman" w:cs="Times New Roman"/>
          <w:bCs/>
          <w:sz w:val="24"/>
          <w:szCs w:val="24"/>
          <w:lang w:val="en-US"/>
        </w:rPr>
        <w:lastRenderedPageBreak/>
        <w:t>the limit of the Petri dish, while treated individuals that did not ultimately survive appear to have remained in place for the duration of the experiment.</w:t>
      </w:r>
    </w:p>
    <w:p w14:paraId="53FB3750" w14:textId="77777777" w:rsidR="001711E9" w:rsidRPr="00754A1D" w:rsidRDefault="001711E9" w:rsidP="001711E9">
      <w:pPr>
        <w:spacing w:line="480" w:lineRule="auto"/>
        <w:jc w:val="both"/>
        <w:rPr>
          <w:rFonts w:ascii="Times New Roman" w:hAnsi="Times New Roman" w:cs="Times New Roman"/>
          <w:b/>
          <w:bCs/>
          <w:sz w:val="24"/>
          <w:szCs w:val="24"/>
          <w:lang w:val="en-US"/>
        </w:rPr>
      </w:pPr>
      <w:r w:rsidRPr="00754A1D">
        <w:rPr>
          <w:rFonts w:ascii="Times New Roman" w:hAnsi="Times New Roman" w:cs="Times New Roman"/>
          <w:b/>
          <w:bCs/>
          <w:i/>
          <w:sz w:val="24"/>
          <w:szCs w:val="24"/>
          <w:lang w:val="en-US"/>
        </w:rPr>
        <w:t>In vivo</w:t>
      </w:r>
      <w:r w:rsidRPr="00754A1D">
        <w:rPr>
          <w:rFonts w:ascii="Times New Roman" w:hAnsi="Times New Roman" w:cs="Times New Roman"/>
          <w:b/>
          <w:bCs/>
          <w:sz w:val="24"/>
          <w:szCs w:val="24"/>
          <w:lang w:val="en-US"/>
        </w:rPr>
        <w:t xml:space="preserve"> cuticular penetration of </w:t>
      </w:r>
      <w:r w:rsidRPr="00754A1D">
        <w:rPr>
          <w:rFonts w:ascii="Times New Roman" w:hAnsi="Times New Roman" w:cs="Times New Roman"/>
          <w:b/>
          <w:bCs/>
          <w:i/>
          <w:sz w:val="24"/>
          <w:szCs w:val="24"/>
          <w:lang w:val="en-US"/>
        </w:rPr>
        <w:t>M. arvensis</w:t>
      </w:r>
      <w:r w:rsidRPr="00754A1D">
        <w:rPr>
          <w:rFonts w:ascii="Times New Roman" w:hAnsi="Times New Roman" w:cs="Times New Roman"/>
          <w:b/>
          <w:bCs/>
          <w:sz w:val="24"/>
          <w:szCs w:val="24"/>
          <w:lang w:val="en-US"/>
        </w:rPr>
        <w:t xml:space="preserve"> EO</w:t>
      </w:r>
    </w:p>
    <w:p w14:paraId="35D75810" w14:textId="3DC80592" w:rsidR="000E1E02" w:rsidRPr="00754A1D" w:rsidRDefault="005028C1" w:rsidP="00D80390">
      <w:pPr>
        <w:spacing w:after="0"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To examine the penetration of </w:t>
      </w:r>
      <w:r w:rsidRPr="00754A1D">
        <w:rPr>
          <w:rFonts w:ascii="Times New Roman" w:hAnsi="Times New Roman" w:cs="Times New Roman"/>
          <w:bCs/>
          <w:i/>
          <w:sz w:val="24"/>
          <w:szCs w:val="24"/>
          <w:lang w:val="en-US"/>
        </w:rPr>
        <w:t>M. arvensis</w:t>
      </w:r>
      <w:r w:rsidRPr="00754A1D">
        <w:rPr>
          <w:rFonts w:ascii="Times New Roman" w:hAnsi="Times New Roman" w:cs="Times New Roman"/>
          <w:bCs/>
          <w:sz w:val="24"/>
          <w:szCs w:val="24"/>
          <w:lang w:val="en-US"/>
        </w:rPr>
        <w:t xml:space="preserve"> EO</w:t>
      </w:r>
      <w:r w:rsidR="007066EC" w:rsidRPr="00754A1D">
        <w:rPr>
          <w:rFonts w:ascii="Times New Roman" w:hAnsi="Times New Roman" w:cs="Times New Roman"/>
          <w:bCs/>
          <w:sz w:val="24"/>
          <w:szCs w:val="24"/>
          <w:lang w:val="en-US"/>
        </w:rPr>
        <w:t xml:space="preserve"> through the cuticle of </w:t>
      </w:r>
      <w:r w:rsidR="007066EC" w:rsidRPr="00754A1D">
        <w:rPr>
          <w:rFonts w:ascii="Times New Roman" w:hAnsi="Times New Roman" w:cs="Times New Roman"/>
          <w:bCs/>
          <w:i/>
          <w:sz w:val="24"/>
          <w:szCs w:val="24"/>
          <w:lang w:val="en-US"/>
        </w:rPr>
        <w:t xml:space="preserve">S. </w:t>
      </w:r>
      <w:proofErr w:type="spellStart"/>
      <w:r w:rsidR="007066EC" w:rsidRPr="00754A1D">
        <w:rPr>
          <w:rFonts w:ascii="Times New Roman" w:hAnsi="Times New Roman" w:cs="Times New Roman"/>
          <w:bCs/>
          <w:i/>
          <w:sz w:val="24"/>
          <w:szCs w:val="24"/>
          <w:lang w:val="en-US"/>
        </w:rPr>
        <w:t>granarius</w:t>
      </w:r>
      <w:proofErr w:type="spellEnd"/>
      <w:r w:rsidR="007066EC" w:rsidRPr="00754A1D">
        <w:rPr>
          <w:rFonts w:ascii="Times New Roman" w:hAnsi="Times New Roman" w:cs="Times New Roman"/>
          <w:bCs/>
          <w:sz w:val="24"/>
          <w:szCs w:val="24"/>
          <w:lang w:val="en-US"/>
        </w:rPr>
        <w:t xml:space="preserve"> and the evolution of its amount in the 24 hours following the treatment, the internal amounts of the EO after topical application were examined via GC-MS analysis. We found that t</w:t>
      </w:r>
      <w:r w:rsidR="000E1E02" w:rsidRPr="00754A1D">
        <w:rPr>
          <w:rFonts w:ascii="Times New Roman" w:hAnsi="Times New Roman" w:cs="Times New Roman"/>
          <w:bCs/>
          <w:sz w:val="24"/>
          <w:szCs w:val="24"/>
          <w:lang w:val="en-US"/>
        </w:rPr>
        <w:t>he amount in the insects treated with LC</w:t>
      </w:r>
      <w:r w:rsidR="000E1E02" w:rsidRPr="00754A1D">
        <w:rPr>
          <w:rFonts w:ascii="Times New Roman" w:hAnsi="Times New Roman" w:cs="Times New Roman"/>
          <w:bCs/>
          <w:sz w:val="24"/>
          <w:szCs w:val="24"/>
          <w:vertAlign w:val="subscript"/>
          <w:lang w:val="en-US"/>
        </w:rPr>
        <w:t xml:space="preserve">50 </w:t>
      </w:r>
      <w:r w:rsidR="000E1E02" w:rsidRPr="00754A1D">
        <w:rPr>
          <w:rFonts w:ascii="Times New Roman" w:hAnsi="Times New Roman" w:cs="Times New Roman"/>
          <w:bCs/>
          <w:sz w:val="24"/>
          <w:szCs w:val="24"/>
          <w:lang w:val="en-US"/>
        </w:rPr>
        <w:t xml:space="preserve">evolved over time: at about 2 µg/insect at the beginning of the experiment, it </w:t>
      </w:r>
      <w:r w:rsidR="007066EC" w:rsidRPr="00754A1D">
        <w:rPr>
          <w:rFonts w:ascii="Times New Roman" w:hAnsi="Times New Roman" w:cs="Times New Roman"/>
          <w:bCs/>
          <w:sz w:val="24"/>
          <w:szCs w:val="24"/>
          <w:lang w:val="en-US"/>
        </w:rPr>
        <w:t>dropped</w:t>
      </w:r>
      <w:r w:rsidR="000E1E02" w:rsidRPr="00754A1D">
        <w:rPr>
          <w:rFonts w:ascii="Times New Roman" w:hAnsi="Times New Roman" w:cs="Times New Roman"/>
          <w:bCs/>
          <w:sz w:val="24"/>
          <w:szCs w:val="24"/>
          <w:lang w:val="en-US"/>
        </w:rPr>
        <w:t xml:space="preserve"> to about 0.5 µg 24 hours after exposure</w:t>
      </w:r>
      <w:r w:rsidR="007066EC" w:rsidRPr="00754A1D">
        <w:rPr>
          <w:rFonts w:ascii="Times New Roman" w:hAnsi="Times New Roman" w:cs="Times New Roman"/>
          <w:bCs/>
          <w:sz w:val="24"/>
          <w:szCs w:val="24"/>
          <w:lang w:val="en-US"/>
        </w:rPr>
        <w:t xml:space="preserve"> (Figure S</w:t>
      </w:r>
      <w:r w:rsidR="00970495" w:rsidRPr="00754A1D">
        <w:rPr>
          <w:rFonts w:ascii="Times New Roman" w:hAnsi="Times New Roman" w:cs="Times New Roman"/>
          <w:bCs/>
          <w:sz w:val="24"/>
          <w:szCs w:val="24"/>
          <w:lang w:val="en-US"/>
        </w:rPr>
        <w:t>2</w:t>
      </w:r>
      <w:r w:rsidR="007066EC" w:rsidRPr="00754A1D">
        <w:rPr>
          <w:rFonts w:ascii="Times New Roman" w:hAnsi="Times New Roman" w:cs="Times New Roman"/>
          <w:bCs/>
          <w:sz w:val="24"/>
          <w:szCs w:val="24"/>
          <w:lang w:val="en-US"/>
        </w:rPr>
        <w:t>)</w:t>
      </w:r>
      <w:r w:rsidR="000E1E02" w:rsidRPr="00754A1D">
        <w:rPr>
          <w:rFonts w:ascii="Times New Roman" w:hAnsi="Times New Roman" w:cs="Times New Roman"/>
          <w:bCs/>
          <w:sz w:val="24"/>
          <w:szCs w:val="24"/>
          <w:lang w:val="en-US"/>
        </w:rPr>
        <w:t>.</w:t>
      </w:r>
    </w:p>
    <w:p w14:paraId="1B2A186F" w14:textId="4286F746" w:rsidR="00C231AA" w:rsidRPr="00754A1D" w:rsidRDefault="00124D4A" w:rsidP="0015241F">
      <w:pPr>
        <w:spacing w:before="240" w:line="480" w:lineRule="auto"/>
        <w:jc w:val="both"/>
        <w:rPr>
          <w:rFonts w:ascii="Times New Roman" w:hAnsi="Times New Roman" w:cs="Times New Roman"/>
          <w:b/>
          <w:sz w:val="24"/>
          <w:szCs w:val="24"/>
          <w:lang w:val="en-GB"/>
        </w:rPr>
      </w:pPr>
      <w:r w:rsidRPr="00754A1D">
        <w:rPr>
          <w:rFonts w:ascii="Times New Roman" w:hAnsi="Times New Roman" w:cs="Times New Roman"/>
          <w:b/>
          <w:sz w:val="24"/>
          <w:szCs w:val="24"/>
          <w:lang w:val="en-GB"/>
        </w:rPr>
        <w:t xml:space="preserve">Identification of differentially expressed proteins </w:t>
      </w:r>
    </w:p>
    <w:p w14:paraId="29FE315E" w14:textId="2434456E" w:rsidR="00681E56" w:rsidRPr="00754A1D" w:rsidRDefault="008E2E09" w:rsidP="00603112">
      <w:pPr>
        <w:spacing w:after="0" w:line="480" w:lineRule="auto"/>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We used a label-free </w:t>
      </w:r>
      <w:r w:rsidR="005A1B5D" w:rsidRPr="00754A1D">
        <w:rPr>
          <w:rFonts w:ascii="Times New Roman" w:hAnsi="Times New Roman" w:cs="Times New Roman"/>
          <w:sz w:val="24"/>
          <w:szCs w:val="24"/>
          <w:lang w:val="en-US"/>
        </w:rPr>
        <w:t xml:space="preserve">quantitative proteomics approach to decipher the mechanisms behind the insecticidal activity of </w:t>
      </w:r>
      <w:r w:rsidR="005A1B5D" w:rsidRPr="00754A1D">
        <w:rPr>
          <w:rFonts w:ascii="Times New Roman" w:hAnsi="Times New Roman" w:cs="Times New Roman"/>
          <w:i/>
          <w:sz w:val="24"/>
          <w:szCs w:val="24"/>
          <w:lang w:val="en-US"/>
        </w:rPr>
        <w:t>M. arvensis</w:t>
      </w:r>
      <w:r w:rsidR="005A1B5D" w:rsidRPr="00754A1D">
        <w:rPr>
          <w:rFonts w:ascii="Times New Roman" w:hAnsi="Times New Roman" w:cs="Times New Roman"/>
          <w:sz w:val="24"/>
          <w:szCs w:val="24"/>
          <w:lang w:val="en-US"/>
        </w:rPr>
        <w:t xml:space="preserve"> EO. </w:t>
      </w:r>
      <w:r w:rsidR="00545784" w:rsidRPr="00754A1D">
        <w:rPr>
          <w:rFonts w:ascii="Times New Roman" w:hAnsi="Times New Roman" w:cs="Times New Roman"/>
          <w:sz w:val="24"/>
          <w:szCs w:val="24"/>
          <w:lang w:val="en-US"/>
        </w:rPr>
        <w:t>In total, 7</w:t>
      </w:r>
      <w:r w:rsidR="00557ED2" w:rsidRPr="00754A1D">
        <w:rPr>
          <w:rFonts w:ascii="Times New Roman" w:hAnsi="Times New Roman" w:cs="Times New Roman"/>
          <w:sz w:val="24"/>
          <w:szCs w:val="24"/>
          <w:lang w:val="en-US"/>
        </w:rPr>
        <w:t>4</w:t>
      </w:r>
      <w:r w:rsidR="00545784" w:rsidRPr="00754A1D">
        <w:rPr>
          <w:rFonts w:ascii="Times New Roman" w:hAnsi="Times New Roman" w:cs="Times New Roman"/>
          <w:sz w:val="24"/>
          <w:szCs w:val="24"/>
          <w:lang w:val="en-US"/>
        </w:rPr>
        <w:t xml:space="preserve">9 proteins were identified (Table S2). </w:t>
      </w:r>
      <w:bookmarkStart w:id="1" w:name="_Hlk66375711"/>
      <w:r w:rsidR="00712E70" w:rsidRPr="00754A1D">
        <w:rPr>
          <w:rFonts w:ascii="Times New Roman" w:hAnsi="Times New Roman" w:cs="Times New Roman"/>
          <w:sz w:val="24"/>
          <w:szCs w:val="24"/>
          <w:lang w:val="en-US"/>
        </w:rPr>
        <w:t>All the sequences of the identified peptide fragments can be found in Table S3</w:t>
      </w:r>
      <w:r w:rsidR="008D3553" w:rsidRPr="00754A1D">
        <w:rPr>
          <w:rFonts w:ascii="Times New Roman" w:hAnsi="Times New Roman" w:cs="Times New Roman"/>
          <w:sz w:val="24"/>
          <w:szCs w:val="24"/>
          <w:lang w:val="en-US"/>
        </w:rPr>
        <w:t xml:space="preserve">. </w:t>
      </w:r>
      <w:bookmarkEnd w:id="1"/>
      <w:r w:rsidR="0015450F" w:rsidRPr="00754A1D">
        <w:rPr>
          <w:rFonts w:ascii="Times New Roman" w:hAnsi="Times New Roman" w:cs="Times New Roman"/>
          <w:sz w:val="24"/>
          <w:szCs w:val="24"/>
          <w:lang w:val="en-US"/>
        </w:rPr>
        <w:t>Filtered with</w:t>
      </w:r>
      <w:r w:rsidR="00505F16" w:rsidRPr="00754A1D">
        <w:rPr>
          <w:rFonts w:ascii="Times New Roman" w:hAnsi="Times New Roman" w:cs="Times New Roman"/>
          <w:bCs/>
          <w:sz w:val="24"/>
          <w:szCs w:val="24"/>
          <w:lang w:val="en-US"/>
        </w:rPr>
        <w:t xml:space="preserve"> a </w:t>
      </w:r>
      <w:r w:rsidR="00A37437" w:rsidRPr="00754A1D">
        <w:rPr>
          <w:rFonts w:ascii="Times New Roman" w:hAnsi="Times New Roman" w:cs="Times New Roman"/>
          <w:bCs/>
          <w:sz w:val="24"/>
          <w:szCs w:val="24"/>
          <w:lang w:val="en-US"/>
        </w:rPr>
        <w:t xml:space="preserve">cut-off of </w:t>
      </w:r>
      <w:r w:rsidR="00505F16" w:rsidRPr="00754A1D">
        <w:rPr>
          <w:rFonts w:ascii="Times New Roman" w:hAnsi="Times New Roman" w:cs="Times New Roman"/>
          <w:bCs/>
          <w:sz w:val="24"/>
          <w:szCs w:val="24"/>
          <w:lang w:val="en-US"/>
        </w:rPr>
        <w:t>1.2-fold change ratio</w:t>
      </w:r>
      <w:r w:rsidR="005A1B5D" w:rsidRPr="00754A1D">
        <w:rPr>
          <w:rFonts w:ascii="Times New Roman" w:hAnsi="Times New Roman" w:cs="Times New Roman"/>
          <w:bCs/>
          <w:sz w:val="24"/>
          <w:szCs w:val="24"/>
          <w:lang w:val="en-US"/>
        </w:rPr>
        <w:t>, identification based on a minimum of three unique peptides,</w:t>
      </w:r>
      <w:r w:rsidR="00505F16" w:rsidRPr="00754A1D">
        <w:rPr>
          <w:rFonts w:ascii="Times New Roman" w:hAnsi="Times New Roman" w:cs="Times New Roman"/>
          <w:bCs/>
          <w:sz w:val="24"/>
          <w:szCs w:val="24"/>
          <w:lang w:val="en-US"/>
        </w:rPr>
        <w:t xml:space="preserve"> and </w:t>
      </w:r>
      <w:r w:rsidR="00505F16" w:rsidRPr="00754A1D">
        <w:rPr>
          <w:rFonts w:ascii="Times New Roman" w:hAnsi="Times New Roman" w:cs="Times New Roman"/>
          <w:bCs/>
          <w:i/>
          <w:sz w:val="24"/>
          <w:szCs w:val="24"/>
          <w:lang w:val="en-US"/>
        </w:rPr>
        <w:t>p</w:t>
      </w:r>
      <w:r w:rsidR="00505F16" w:rsidRPr="00754A1D">
        <w:rPr>
          <w:rFonts w:ascii="Times New Roman" w:hAnsi="Times New Roman" w:cs="Times New Roman"/>
          <w:bCs/>
          <w:sz w:val="24"/>
          <w:szCs w:val="24"/>
          <w:lang w:val="en-US"/>
        </w:rPr>
        <w:t xml:space="preserve">-value </w:t>
      </w:r>
      <w:r w:rsidR="0074490C" w:rsidRPr="00754A1D">
        <w:rPr>
          <w:rFonts w:ascii="Times New Roman" w:hAnsi="Times New Roman" w:cs="Times New Roman"/>
          <w:sz w:val="24"/>
          <w:szCs w:val="24"/>
          <w:lang w:val="en-US"/>
        </w:rPr>
        <w:t>&lt;</w:t>
      </w:r>
      <w:r w:rsidR="00505F16" w:rsidRPr="00754A1D">
        <w:rPr>
          <w:rFonts w:ascii="Times New Roman" w:hAnsi="Times New Roman" w:cs="Times New Roman"/>
          <w:bCs/>
          <w:sz w:val="24"/>
          <w:szCs w:val="24"/>
          <w:lang w:val="en-US"/>
        </w:rPr>
        <w:t xml:space="preserve"> 0.05</w:t>
      </w:r>
      <w:r w:rsidR="005A1B5D" w:rsidRPr="00754A1D">
        <w:rPr>
          <w:rFonts w:ascii="Times New Roman" w:hAnsi="Times New Roman" w:cs="Times New Roman"/>
          <w:bCs/>
          <w:sz w:val="24"/>
          <w:szCs w:val="24"/>
          <w:lang w:val="en-US"/>
        </w:rPr>
        <w:t>,</w:t>
      </w:r>
      <w:r w:rsidR="00A37437" w:rsidRPr="00754A1D">
        <w:rPr>
          <w:rFonts w:ascii="Times New Roman" w:hAnsi="Times New Roman" w:cs="Times New Roman"/>
          <w:bCs/>
          <w:sz w:val="24"/>
          <w:szCs w:val="24"/>
          <w:lang w:val="en-US"/>
        </w:rPr>
        <w:t xml:space="preserve"> </w:t>
      </w:r>
      <w:r w:rsidR="00D70FC9" w:rsidRPr="00754A1D">
        <w:rPr>
          <w:rFonts w:ascii="Times New Roman" w:hAnsi="Times New Roman" w:cs="Times New Roman"/>
          <w:bCs/>
          <w:sz w:val="24"/>
          <w:szCs w:val="24"/>
          <w:lang w:val="en-US"/>
        </w:rPr>
        <w:t>55</w:t>
      </w:r>
      <w:r w:rsidR="00A37437" w:rsidRPr="00754A1D">
        <w:rPr>
          <w:rFonts w:ascii="Times New Roman" w:hAnsi="Times New Roman" w:cs="Times New Roman"/>
          <w:sz w:val="24"/>
          <w:szCs w:val="24"/>
          <w:lang w:val="en-US"/>
        </w:rPr>
        <w:t xml:space="preserve"> </w:t>
      </w:r>
      <w:r w:rsidR="0015450F" w:rsidRPr="00754A1D">
        <w:rPr>
          <w:rFonts w:ascii="Times New Roman" w:hAnsi="Times New Roman" w:cs="Times New Roman"/>
          <w:sz w:val="24"/>
          <w:szCs w:val="24"/>
          <w:lang w:val="en-US"/>
        </w:rPr>
        <w:t>proteins were found to be differentially expressed</w:t>
      </w:r>
      <w:r w:rsidR="00FE3ED5" w:rsidRPr="00754A1D">
        <w:rPr>
          <w:rFonts w:ascii="Times New Roman" w:hAnsi="Times New Roman" w:cs="Times New Roman"/>
          <w:sz w:val="24"/>
          <w:szCs w:val="24"/>
          <w:lang w:val="en-US"/>
        </w:rPr>
        <w:t xml:space="preserve"> 24h</w:t>
      </w:r>
      <w:r w:rsidR="0015450F" w:rsidRPr="00754A1D">
        <w:rPr>
          <w:rFonts w:ascii="Times New Roman" w:hAnsi="Times New Roman" w:cs="Times New Roman"/>
          <w:sz w:val="24"/>
          <w:szCs w:val="24"/>
          <w:lang w:val="en-US"/>
        </w:rPr>
        <w:t xml:space="preserve"> after exposure to </w:t>
      </w:r>
      <w:r w:rsidR="0015450F" w:rsidRPr="00754A1D">
        <w:rPr>
          <w:rFonts w:ascii="Times New Roman" w:hAnsi="Times New Roman" w:cs="Times New Roman"/>
          <w:i/>
          <w:sz w:val="24"/>
          <w:szCs w:val="24"/>
          <w:lang w:val="en-US"/>
        </w:rPr>
        <w:t xml:space="preserve">M. arvensis </w:t>
      </w:r>
      <w:r w:rsidR="0015450F" w:rsidRPr="00754A1D">
        <w:rPr>
          <w:rFonts w:ascii="Times New Roman" w:hAnsi="Times New Roman" w:cs="Times New Roman"/>
          <w:sz w:val="24"/>
          <w:szCs w:val="24"/>
          <w:lang w:val="en-US"/>
        </w:rPr>
        <w:t xml:space="preserve">EO in </w:t>
      </w:r>
      <w:r w:rsidR="0015450F" w:rsidRPr="00754A1D">
        <w:rPr>
          <w:rFonts w:ascii="Times New Roman" w:hAnsi="Times New Roman" w:cs="Times New Roman"/>
          <w:i/>
          <w:sz w:val="24"/>
          <w:szCs w:val="24"/>
          <w:lang w:val="en-US"/>
        </w:rPr>
        <w:t xml:space="preserve">S. </w:t>
      </w:r>
      <w:proofErr w:type="spellStart"/>
      <w:r w:rsidR="00D77576" w:rsidRPr="00754A1D">
        <w:rPr>
          <w:rFonts w:ascii="Times New Roman" w:hAnsi="Times New Roman" w:cs="Times New Roman"/>
          <w:i/>
          <w:sz w:val="24"/>
          <w:szCs w:val="24"/>
          <w:lang w:val="en-US"/>
        </w:rPr>
        <w:t>granarius</w:t>
      </w:r>
      <w:proofErr w:type="spellEnd"/>
      <w:r w:rsidR="00A37437" w:rsidRPr="00754A1D">
        <w:rPr>
          <w:rFonts w:ascii="Times New Roman" w:hAnsi="Times New Roman" w:cs="Times New Roman"/>
          <w:sz w:val="24"/>
          <w:szCs w:val="24"/>
          <w:lang w:val="en-US"/>
        </w:rPr>
        <w:t xml:space="preserve"> (</w:t>
      </w:r>
      <w:r w:rsidR="00C6216D" w:rsidRPr="00754A1D">
        <w:rPr>
          <w:rFonts w:ascii="Times New Roman" w:hAnsi="Times New Roman" w:cs="Times New Roman"/>
          <w:sz w:val="24"/>
          <w:szCs w:val="24"/>
          <w:lang w:val="en-US"/>
        </w:rPr>
        <w:t>Table S</w:t>
      </w:r>
      <w:r w:rsidR="007E47A0" w:rsidRPr="00754A1D">
        <w:rPr>
          <w:rFonts w:ascii="Times New Roman" w:hAnsi="Times New Roman" w:cs="Times New Roman"/>
          <w:sz w:val="24"/>
          <w:szCs w:val="24"/>
          <w:lang w:val="en-US"/>
        </w:rPr>
        <w:t>4</w:t>
      </w:r>
      <w:r w:rsidR="00A37437" w:rsidRPr="00754A1D">
        <w:rPr>
          <w:rFonts w:ascii="Times New Roman" w:hAnsi="Times New Roman" w:cs="Times New Roman"/>
          <w:sz w:val="24"/>
          <w:szCs w:val="24"/>
          <w:lang w:val="en-US"/>
        </w:rPr>
        <w:t>)</w:t>
      </w:r>
      <w:r w:rsidR="00D77576" w:rsidRPr="00754A1D">
        <w:rPr>
          <w:rFonts w:ascii="Times New Roman" w:hAnsi="Times New Roman" w:cs="Times New Roman"/>
          <w:sz w:val="24"/>
          <w:szCs w:val="24"/>
          <w:lang w:val="en-US"/>
        </w:rPr>
        <w:t xml:space="preserve">. </w:t>
      </w:r>
      <w:r w:rsidR="00600C51" w:rsidRPr="00754A1D">
        <w:rPr>
          <w:rFonts w:ascii="Times New Roman" w:hAnsi="Times New Roman" w:cs="Times New Roman"/>
          <w:sz w:val="24"/>
          <w:szCs w:val="24"/>
          <w:lang w:val="en-US"/>
        </w:rPr>
        <w:t>Of</w:t>
      </w:r>
      <w:r w:rsidR="00D77576" w:rsidRPr="00754A1D">
        <w:rPr>
          <w:rFonts w:ascii="Times New Roman" w:hAnsi="Times New Roman" w:cs="Times New Roman"/>
          <w:sz w:val="24"/>
          <w:szCs w:val="24"/>
          <w:lang w:val="en-US"/>
        </w:rPr>
        <w:t xml:space="preserve"> these DEPs, </w:t>
      </w:r>
      <w:r w:rsidR="00D70FC9" w:rsidRPr="00754A1D">
        <w:rPr>
          <w:rFonts w:ascii="Times New Roman" w:hAnsi="Times New Roman" w:cs="Times New Roman"/>
          <w:sz w:val="24"/>
          <w:szCs w:val="24"/>
          <w:lang w:val="en-US"/>
        </w:rPr>
        <w:t>54</w:t>
      </w:r>
      <w:r w:rsidR="00D77576" w:rsidRPr="00754A1D">
        <w:rPr>
          <w:rFonts w:ascii="Times New Roman" w:hAnsi="Times New Roman" w:cs="Times New Roman"/>
          <w:sz w:val="24"/>
          <w:szCs w:val="24"/>
          <w:lang w:val="en-US"/>
        </w:rPr>
        <w:t xml:space="preserve"> were upregulated while only </w:t>
      </w:r>
      <w:r w:rsidR="00C6216D" w:rsidRPr="00754A1D">
        <w:rPr>
          <w:rFonts w:ascii="Times New Roman" w:hAnsi="Times New Roman" w:cs="Times New Roman"/>
          <w:sz w:val="24"/>
          <w:szCs w:val="24"/>
          <w:lang w:val="en-US"/>
        </w:rPr>
        <w:t>one</w:t>
      </w:r>
      <w:r w:rsidR="00D77576" w:rsidRPr="00754A1D">
        <w:rPr>
          <w:rFonts w:ascii="Times New Roman" w:hAnsi="Times New Roman" w:cs="Times New Roman"/>
          <w:sz w:val="24"/>
          <w:szCs w:val="24"/>
          <w:lang w:val="en-US"/>
        </w:rPr>
        <w:t xml:space="preserve"> </w:t>
      </w:r>
      <w:r w:rsidR="00C6216D" w:rsidRPr="00754A1D">
        <w:rPr>
          <w:rFonts w:ascii="Times New Roman" w:hAnsi="Times New Roman" w:cs="Times New Roman"/>
          <w:sz w:val="24"/>
          <w:szCs w:val="24"/>
          <w:lang w:val="en-US"/>
        </w:rPr>
        <w:t>protein was</w:t>
      </w:r>
      <w:r w:rsidR="00D77576" w:rsidRPr="00754A1D">
        <w:rPr>
          <w:rFonts w:ascii="Times New Roman" w:hAnsi="Times New Roman" w:cs="Times New Roman"/>
          <w:sz w:val="24"/>
          <w:szCs w:val="24"/>
          <w:lang w:val="en-US"/>
        </w:rPr>
        <w:t xml:space="preserve"> downregulated </w:t>
      </w:r>
      <w:r w:rsidR="005A1B5D" w:rsidRPr="00754A1D">
        <w:rPr>
          <w:rFonts w:ascii="Times New Roman" w:hAnsi="Times New Roman" w:cs="Times New Roman"/>
          <w:sz w:val="24"/>
          <w:szCs w:val="24"/>
          <w:lang w:val="en-US"/>
        </w:rPr>
        <w:t xml:space="preserve">(Figure </w:t>
      </w:r>
      <w:r w:rsidR="00970495" w:rsidRPr="00754A1D">
        <w:rPr>
          <w:rFonts w:ascii="Times New Roman" w:hAnsi="Times New Roman" w:cs="Times New Roman"/>
          <w:sz w:val="24"/>
          <w:szCs w:val="24"/>
          <w:lang w:val="en-US"/>
        </w:rPr>
        <w:t>S3</w:t>
      </w:r>
      <w:r w:rsidR="005A1B5D" w:rsidRPr="00754A1D">
        <w:rPr>
          <w:rFonts w:ascii="Times New Roman" w:hAnsi="Times New Roman" w:cs="Times New Roman"/>
          <w:sz w:val="24"/>
          <w:szCs w:val="24"/>
          <w:lang w:val="en-US"/>
        </w:rPr>
        <w:t>)</w:t>
      </w:r>
      <w:r w:rsidR="00D77576" w:rsidRPr="00754A1D">
        <w:rPr>
          <w:rFonts w:ascii="Times New Roman" w:hAnsi="Times New Roman" w:cs="Times New Roman"/>
          <w:sz w:val="24"/>
          <w:szCs w:val="24"/>
          <w:lang w:val="en-US"/>
        </w:rPr>
        <w:t xml:space="preserve">. </w:t>
      </w:r>
      <w:r w:rsidR="00600C51" w:rsidRPr="00754A1D">
        <w:rPr>
          <w:rFonts w:ascii="Times New Roman" w:hAnsi="Times New Roman" w:cs="Times New Roman"/>
          <w:sz w:val="24"/>
          <w:szCs w:val="24"/>
          <w:lang w:val="en-US"/>
        </w:rPr>
        <w:t>The f</w:t>
      </w:r>
      <w:r w:rsidR="00CA3A83" w:rsidRPr="00754A1D">
        <w:rPr>
          <w:rFonts w:ascii="Times New Roman" w:hAnsi="Times New Roman" w:cs="Times New Roman"/>
          <w:sz w:val="24"/>
          <w:szCs w:val="24"/>
          <w:lang w:val="en-US"/>
        </w:rPr>
        <w:t xml:space="preserve">unctional classification of DEPs </w:t>
      </w:r>
      <w:r w:rsidR="00600C51" w:rsidRPr="00754A1D">
        <w:rPr>
          <w:rFonts w:ascii="Times New Roman" w:hAnsi="Times New Roman" w:cs="Times New Roman"/>
          <w:sz w:val="24"/>
          <w:szCs w:val="24"/>
          <w:lang w:val="en-US"/>
        </w:rPr>
        <w:t>produced by COG</w:t>
      </w:r>
      <w:r w:rsidR="00AA3931" w:rsidRPr="00754A1D">
        <w:rPr>
          <w:rFonts w:ascii="Times New Roman" w:hAnsi="Times New Roman" w:cs="Times New Roman"/>
          <w:sz w:val="24"/>
          <w:szCs w:val="24"/>
          <w:lang w:val="en-US"/>
        </w:rPr>
        <w:t xml:space="preserve"> (</w:t>
      </w:r>
      <w:r w:rsidR="00AA3931" w:rsidRPr="00754A1D">
        <w:rPr>
          <w:rFonts w:ascii="Times New Roman" w:eastAsia="Times New Roman" w:hAnsi="Times New Roman" w:cs="Times New Roman"/>
          <w:sz w:val="24"/>
          <w:szCs w:val="24"/>
          <w:lang w:val="en-US" w:eastAsia="fr-BE"/>
        </w:rPr>
        <w:t>Clusters of Orthologous Groups of proteins</w:t>
      </w:r>
      <w:r w:rsidR="00AA3931" w:rsidRPr="00754A1D">
        <w:rPr>
          <w:rFonts w:ascii="Times New Roman" w:hAnsi="Times New Roman" w:cs="Times New Roman"/>
          <w:sz w:val="24"/>
          <w:szCs w:val="24"/>
          <w:lang w:val="en-US"/>
        </w:rPr>
        <w:t>)</w:t>
      </w:r>
      <w:r w:rsidR="00600C51" w:rsidRPr="00754A1D">
        <w:rPr>
          <w:rFonts w:ascii="Times New Roman" w:hAnsi="Times New Roman" w:cs="Times New Roman"/>
          <w:sz w:val="24"/>
          <w:szCs w:val="24"/>
          <w:lang w:val="en-US"/>
        </w:rPr>
        <w:t xml:space="preserve"> </w:t>
      </w:r>
      <w:r w:rsidR="00600C51" w:rsidRPr="00754A1D">
        <w:rPr>
          <w:rFonts w:ascii="Times New Roman" w:hAnsi="Times New Roman" w:cs="Times New Roman"/>
          <w:sz w:val="24"/>
          <w:szCs w:val="24"/>
          <w:lang w:val="en-US"/>
        </w:rPr>
        <w:fldChar w:fldCharType="begin"/>
      </w:r>
      <w:r w:rsidR="00600C51" w:rsidRPr="00754A1D">
        <w:rPr>
          <w:rFonts w:ascii="Times New Roman" w:hAnsi="Times New Roman" w:cs="Times New Roman"/>
          <w:sz w:val="24"/>
          <w:szCs w:val="24"/>
          <w:lang w:val="en-US"/>
        </w:rPr>
        <w:instrText xml:space="preserve"> ADDIN ZOTERO_ITEM CSL_CITATION {"citationID":"B6WdJZNb","properties":{"formattedCitation":"(Tatusov et al. 2001)","plainCitation":"(Tatusov et al. 2001)","noteIndex":0},"citationItems":[{"id":2620,"uris":["http://zotero.org/users/local/QcSA6amT/items/R6XUCAAJ"],"uri":["http://zotero.org/users/local/QcSA6amT/items/R6XUCAAJ"],"itemData":{"id":2620,"type":"article-journal","abstract":"Abstract.  The database of Clusters of Orthologous Groups of proteins (COGs), which represents an attempt on a phylogenetic classification of the proteins encod","container-title":"Nucleic Acids Research","DOI":"10.1093/nar/29.1.22","ISSN":"0305-1048","issue":"1","journalAbbreviation":"Nucleic Acids Res","language":"en","note":"publisher: Oxford Academic","page":"22-28","source":"academic.oup.com","title":"The COG database: new developments in phylogenetic classification of proteins from complete genomes","title-short":"The COG database","volume":"29","author":[{"family":"Tatusov","given":"Roman L."},{"family":"Natale","given":"Darren A."},{"family":"Garkavtsev","given":"Igor V."},{"family":"Tatusova","given":"Tatiana A."},{"family":"Shankavaram","given":"Uma T."},{"family":"Rao","given":"Bachoti S."},{"family":"Kiryutin","given":"Boris"},{"family":"Galperin","given":"Michael Y."},{"family":"Fedorova","given":"Natalie D."},{"family":"Koonin","given":"Eugene V."}],"issued":{"date-parts":[["2001",1,1]]}}}],"schema":"https://github.com/citation-style-language/schema/raw/master/csl-citation.json"} </w:instrText>
      </w:r>
      <w:r w:rsidR="00600C51" w:rsidRPr="00754A1D">
        <w:rPr>
          <w:rFonts w:ascii="Times New Roman" w:hAnsi="Times New Roman" w:cs="Times New Roman"/>
          <w:sz w:val="24"/>
          <w:szCs w:val="24"/>
          <w:lang w:val="en-US"/>
        </w:rPr>
        <w:fldChar w:fldCharType="separate"/>
      </w:r>
      <w:r w:rsidR="00600C51" w:rsidRPr="00754A1D">
        <w:rPr>
          <w:rFonts w:ascii="Times New Roman" w:hAnsi="Times New Roman" w:cs="Times New Roman"/>
          <w:sz w:val="24"/>
          <w:lang w:val="en-US"/>
        </w:rPr>
        <w:t>(Tatusov et al. 2001)</w:t>
      </w:r>
      <w:r w:rsidR="00600C51" w:rsidRPr="00754A1D">
        <w:rPr>
          <w:rFonts w:ascii="Times New Roman" w:hAnsi="Times New Roman" w:cs="Times New Roman"/>
          <w:sz w:val="24"/>
          <w:szCs w:val="24"/>
          <w:lang w:val="en-US"/>
        </w:rPr>
        <w:fldChar w:fldCharType="end"/>
      </w:r>
      <w:r w:rsidR="00600C51" w:rsidRPr="00754A1D">
        <w:rPr>
          <w:rFonts w:ascii="Times New Roman" w:hAnsi="Times New Roman" w:cs="Times New Roman"/>
          <w:sz w:val="24"/>
          <w:szCs w:val="24"/>
          <w:lang w:val="en-US"/>
        </w:rPr>
        <w:t xml:space="preserve"> </w:t>
      </w:r>
      <w:r w:rsidR="00CA3A83" w:rsidRPr="00754A1D">
        <w:rPr>
          <w:rFonts w:ascii="Times New Roman" w:hAnsi="Times New Roman" w:cs="Times New Roman"/>
          <w:sz w:val="24"/>
          <w:szCs w:val="24"/>
          <w:lang w:val="en-US"/>
        </w:rPr>
        <w:t xml:space="preserve">showed that they </w:t>
      </w:r>
      <w:r w:rsidR="00600C51" w:rsidRPr="00754A1D">
        <w:rPr>
          <w:rFonts w:ascii="Times New Roman" w:hAnsi="Times New Roman" w:cs="Times New Roman"/>
          <w:sz w:val="24"/>
          <w:szCs w:val="24"/>
          <w:lang w:val="en-US"/>
        </w:rPr>
        <w:t>are involved</w:t>
      </w:r>
      <w:r w:rsidR="00CA3A83" w:rsidRPr="00754A1D">
        <w:rPr>
          <w:rFonts w:ascii="Times New Roman" w:hAnsi="Times New Roman" w:cs="Times New Roman"/>
          <w:sz w:val="24"/>
          <w:szCs w:val="24"/>
          <w:lang w:val="en-US"/>
        </w:rPr>
        <w:t xml:space="preserve"> in various types of biological processes</w:t>
      </w:r>
      <w:r w:rsidR="00665285" w:rsidRPr="00754A1D">
        <w:rPr>
          <w:rFonts w:ascii="Times New Roman" w:hAnsi="Times New Roman" w:cs="Times New Roman"/>
          <w:sz w:val="24"/>
          <w:szCs w:val="24"/>
          <w:lang w:val="en-US"/>
        </w:rPr>
        <w:t>:</w:t>
      </w:r>
      <w:r w:rsidR="00A55218" w:rsidRPr="00754A1D">
        <w:rPr>
          <w:rFonts w:ascii="Times New Roman" w:hAnsi="Times New Roman" w:cs="Times New Roman"/>
          <w:sz w:val="24"/>
          <w:szCs w:val="24"/>
          <w:lang w:val="en-US"/>
        </w:rPr>
        <w:t xml:space="preserve"> </w:t>
      </w:r>
      <w:r w:rsidR="00665285" w:rsidRPr="00754A1D">
        <w:rPr>
          <w:rFonts w:ascii="Times New Roman" w:hAnsi="Times New Roman" w:cs="Times New Roman"/>
          <w:sz w:val="24"/>
          <w:szCs w:val="24"/>
          <w:lang w:val="en-US"/>
        </w:rPr>
        <w:t>m</w:t>
      </w:r>
      <w:r w:rsidR="00CD0C75" w:rsidRPr="00754A1D">
        <w:rPr>
          <w:rFonts w:ascii="Times New Roman" w:hAnsi="Times New Roman" w:cs="Times New Roman"/>
          <w:sz w:val="24"/>
          <w:szCs w:val="24"/>
          <w:lang w:val="en-US"/>
        </w:rPr>
        <w:t>ost</w:t>
      </w:r>
      <w:r w:rsidR="00A55218" w:rsidRPr="00754A1D">
        <w:rPr>
          <w:rFonts w:ascii="Times New Roman" w:hAnsi="Times New Roman" w:cs="Times New Roman"/>
          <w:sz w:val="24"/>
          <w:szCs w:val="24"/>
          <w:lang w:val="en-US"/>
        </w:rPr>
        <w:t xml:space="preserve"> DEPs are involved in </w:t>
      </w:r>
      <w:r w:rsidR="00CD0C75" w:rsidRPr="00754A1D">
        <w:rPr>
          <w:rFonts w:ascii="Times New Roman" w:hAnsi="Times New Roman" w:cs="Times New Roman"/>
          <w:sz w:val="24"/>
          <w:szCs w:val="24"/>
          <w:lang w:val="en-US"/>
        </w:rPr>
        <w:t xml:space="preserve">the </w:t>
      </w:r>
      <w:r w:rsidR="005A1B5D" w:rsidRPr="00754A1D">
        <w:rPr>
          <w:rFonts w:ascii="Times New Roman" w:hAnsi="Times New Roman" w:cs="Times New Roman"/>
          <w:sz w:val="24"/>
          <w:szCs w:val="24"/>
          <w:lang w:val="en-US"/>
        </w:rPr>
        <w:t>cytoskeleton</w:t>
      </w:r>
      <w:r w:rsidR="00CD0C75" w:rsidRPr="00754A1D">
        <w:rPr>
          <w:rFonts w:ascii="Times New Roman" w:hAnsi="Times New Roman" w:cs="Times New Roman"/>
          <w:sz w:val="24"/>
          <w:szCs w:val="24"/>
          <w:lang w:val="en-US"/>
        </w:rPr>
        <w:t xml:space="preserve"> network</w:t>
      </w:r>
      <w:r w:rsidR="002B60BD" w:rsidRPr="00754A1D">
        <w:rPr>
          <w:rFonts w:ascii="Times New Roman" w:hAnsi="Times New Roman" w:cs="Times New Roman"/>
          <w:sz w:val="24"/>
          <w:szCs w:val="24"/>
          <w:lang w:val="en-US"/>
        </w:rPr>
        <w:t>, sign</w:t>
      </w:r>
      <w:r w:rsidR="005A1B5D" w:rsidRPr="00754A1D">
        <w:rPr>
          <w:rFonts w:ascii="Times New Roman" w:hAnsi="Times New Roman" w:cs="Times New Roman"/>
          <w:sz w:val="24"/>
          <w:szCs w:val="24"/>
          <w:lang w:val="en-US"/>
        </w:rPr>
        <w:t>a</w:t>
      </w:r>
      <w:r w:rsidR="002B60BD" w:rsidRPr="00754A1D">
        <w:rPr>
          <w:rFonts w:ascii="Times New Roman" w:hAnsi="Times New Roman" w:cs="Times New Roman"/>
          <w:sz w:val="24"/>
          <w:szCs w:val="24"/>
          <w:lang w:val="en-US"/>
        </w:rPr>
        <w:t xml:space="preserve">l transduction </w:t>
      </w:r>
      <w:r w:rsidR="005A1B5D" w:rsidRPr="00754A1D">
        <w:rPr>
          <w:rFonts w:ascii="Times New Roman" w:hAnsi="Times New Roman" w:cs="Times New Roman"/>
          <w:sz w:val="24"/>
          <w:szCs w:val="24"/>
          <w:lang w:val="en-US"/>
        </w:rPr>
        <w:t>mechanisms</w:t>
      </w:r>
      <w:r w:rsidR="002B60BD" w:rsidRPr="00754A1D">
        <w:rPr>
          <w:rFonts w:ascii="Times New Roman" w:hAnsi="Times New Roman" w:cs="Times New Roman"/>
          <w:sz w:val="24"/>
          <w:szCs w:val="24"/>
          <w:lang w:val="en-US"/>
        </w:rPr>
        <w:t xml:space="preserve">, protein turnover, energy production and RNA processing and </w:t>
      </w:r>
      <w:r w:rsidR="005F360C" w:rsidRPr="00754A1D">
        <w:rPr>
          <w:rFonts w:ascii="Times New Roman" w:hAnsi="Times New Roman" w:cs="Times New Roman"/>
          <w:sz w:val="24"/>
          <w:szCs w:val="24"/>
          <w:lang w:val="en-US"/>
        </w:rPr>
        <w:t>modification</w:t>
      </w:r>
      <w:r w:rsidR="002B60BD" w:rsidRPr="00754A1D">
        <w:rPr>
          <w:rFonts w:ascii="Times New Roman" w:hAnsi="Times New Roman" w:cs="Times New Roman"/>
          <w:sz w:val="24"/>
          <w:szCs w:val="24"/>
          <w:lang w:val="en-US"/>
        </w:rPr>
        <w:t xml:space="preserve">. </w:t>
      </w:r>
      <w:r w:rsidR="005F360C" w:rsidRPr="00754A1D">
        <w:rPr>
          <w:rFonts w:ascii="Times New Roman" w:hAnsi="Times New Roman" w:cs="Times New Roman"/>
          <w:sz w:val="24"/>
          <w:szCs w:val="24"/>
          <w:lang w:val="en-US"/>
        </w:rPr>
        <w:t xml:space="preserve">Among the top upregulated proteins, our approach identified </w:t>
      </w:r>
      <w:r w:rsidR="00600C51" w:rsidRPr="00754A1D">
        <w:rPr>
          <w:rFonts w:ascii="Times New Roman" w:hAnsi="Times New Roman" w:cs="Times New Roman"/>
          <w:sz w:val="24"/>
          <w:szCs w:val="24"/>
          <w:lang w:val="en-US"/>
        </w:rPr>
        <w:t xml:space="preserve">the </w:t>
      </w:r>
      <w:r w:rsidR="005F360C" w:rsidRPr="00754A1D">
        <w:rPr>
          <w:rFonts w:ascii="Times New Roman" w:hAnsi="Times New Roman" w:cs="Times New Roman"/>
          <w:sz w:val="24"/>
          <w:szCs w:val="24"/>
          <w:lang w:val="en-US"/>
        </w:rPr>
        <w:t xml:space="preserve">60S ribosomal protein L27 involved in protein biosynthesis, the electron flavoprotein subunit β involved in the respiratory electron transport chain, a S-formylglutathione hydrolase involved in the formaldehyde catabolic process and </w:t>
      </w:r>
      <w:r w:rsidR="00C11B0A" w:rsidRPr="00754A1D">
        <w:rPr>
          <w:rFonts w:ascii="Times New Roman" w:hAnsi="Times New Roman" w:cs="Times New Roman"/>
          <w:sz w:val="24"/>
          <w:szCs w:val="24"/>
          <w:lang w:val="en-US"/>
        </w:rPr>
        <w:t xml:space="preserve">the flagellar transcriptional activator </w:t>
      </w:r>
      <w:proofErr w:type="spellStart"/>
      <w:r w:rsidR="00C11B0A" w:rsidRPr="00754A1D">
        <w:rPr>
          <w:rFonts w:ascii="Times New Roman" w:hAnsi="Times New Roman" w:cs="Times New Roman"/>
          <w:sz w:val="24"/>
          <w:szCs w:val="24"/>
          <w:lang w:val="en-US"/>
        </w:rPr>
        <w:t>FlhD</w:t>
      </w:r>
      <w:proofErr w:type="spellEnd"/>
      <w:r w:rsidR="00C11B0A" w:rsidRPr="00754A1D">
        <w:rPr>
          <w:rFonts w:ascii="Times New Roman" w:hAnsi="Times New Roman" w:cs="Times New Roman"/>
          <w:sz w:val="24"/>
          <w:szCs w:val="24"/>
          <w:lang w:val="en-US"/>
        </w:rPr>
        <w:t xml:space="preserve"> associated with </w:t>
      </w:r>
      <w:r w:rsidR="00C11B0A" w:rsidRPr="00754A1D">
        <w:rPr>
          <w:rFonts w:ascii="Times New Roman" w:hAnsi="Times New Roman" w:cs="Times New Roman"/>
          <w:i/>
          <w:sz w:val="24"/>
          <w:szCs w:val="24"/>
          <w:lang w:val="en-US"/>
        </w:rPr>
        <w:t xml:space="preserve">S. </w:t>
      </w:r>
      <w:proofErr w:type="spellStart"/>
      <w:r w:rsidR="00C11B0A" w:rsidRPr="00754A1D">
        <w:rPr>
          <w:rFonts w:ascii="Times New Roman" w:hAnsi="Times New Roman" w:cs="Times New Roman"/>
          <w:i/>
          <w:sz w:val="24"/>
          <w:szCs w:val="24"/>
          <w:lang w:val="en-US"/>
        </w:rPr>
        <w:t>pierantonius</w:t>
      </w:r>
      <w:proofErr w:type="spellEnd"/>
      <w:r w:rsidR="00C11B0A" w:rsidRPr="00754A1D">
        <w:rPr>
          <w:rFonts w:ascii="Times New Roman" w:hAnsi="Times New Roman" w:cs="Times New Roman"/>
          <w:sz w:val="24"/>
          <w:szCs w:val="24"/>
          <w:lang w:val="en-US"/>
        </w:rPr>
        <w:t xml:space="preserve">, the obligate bacterial symbiont of weevils of the genus </w:t>
      </w:r>
      <w:r w:rsidR="00C11B0A" w:rsidRPr="00754A1D">
        <w:rPr>
          <w:rFonts w:ascii="Times New Roman" w:hAnsi="Times New Roman" w:cs="Times New Roman"/>
          <w:i/>
          <w:sz w:val="24"/>
          <w:szCs w:val="24"/>
          <w:lang w:val="en-US"/>
        </w:rPr>
        <w:t>Sitophilus</w:t>
      </w:r>
      <w:r w:rsidR="00C11B0A" w:rsidRPr="00754A1D">
        <w:rPr>
          <w:rFonts w:ascii="Times New Roman" w:hAnsi="Times New Roman" w:cs="Times New Roman"/>
          <w:sz w:val="24"/>
          <w:szCs w:val="24"/>
          <w:lang w:val="en-US"/>
        </w:rPr>
        <w:t xml:space="preserve">.   </w:t>
      </w:r>
    </w:p>
    <w:p w14:paraId="7D290B96" w14:textId="7BCDFD94" w:rsidR="0060102A" w:rsidRPr="00754A1D" w:rsidRDefault="009F01F2" w:rsidP="00CA4D4D">
      <w:pPr>
        <w:spacing w:after="0" w:line="480" w:lineRule="auto"/>
        <w:ind w:firstLine="708"/>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lastRenderedPageBreak/>
        <w:t>Overall, DEPs include proteins involved in protein biosynthesis</w:t>
      </w:r>
      <w:r w:rsidR="004118E7" w:rsidRPr="00754A1D">
        <w:rPr>
          <w:rFonts w:ascii="Times New Roman" w:hAnsi="Times New Roman" w:cs="Times New Roman"/>
          <w:sz w:val="24"/>
          <w:szCs w:val="24"/>
          <w:lang w:val="en-US"/>
        </w:rPr>
        <w:t xml:space="preserve"> (e.g. ATP-dependent RNA helicase Ddx1, the elongation factor 1α, several chaperonins, etc.)</w:t>
      </w:r>
      <w:r w:rsidRPr="00754A1D">
        <w:rPr>
          <w:rFonts w:ascii="Times New Roman" w:hAnsi="Times New Roman" w:cs="Times New Roman"/>
          <w:sz w:val="24"/>
          <w:szCs w:val="24"/>
          <w:lang w:val="en-US"/>
        </w:rPr>
        <w:t>, cellular respiration</w:t>
      </w:r>
      <w:r w:rsidR="004118E7" w:rsidRPr="00754A1D">
        <w:rPr>
          <w:rFonts w:ascii="Times New Roman" w:hAnsi="Times New Roman" w:cs="Times New Roman"/>
          <w:sz w:val="24"/>
          <w:szCs w:val="24"/>
          <w:lang w:val="en-US"/>
        </w:rPr>
        <w:t xml:space="preserve"> (e.g. fumarate </w:t>
      </w:r>
      <w:proofErr w:type="spellStart"/>
      <w:r w:rsidR="004118E7" w:rsidRPr="00754A1D">
        <w:rPr>
          <w:rFonts w:ascii="Times New Roman" w:hAnsi="Times New Roman" w:cs="Times New Roman"/>
          <w:sz w:val="24"/>
          <w:szCs w:val="24"/>
          <w:lang w:val="en-US"/>
        </w:rPr>
        <w:t>hydratatse</w:t>
      </w:r>
      <w:proofErr w:type="spellEnd"/>
      <w:r w:rsidR="004118E7" w:rsidRPr="00754A1D">
        <w:rPr>
          <w:rFonts w:ascii="Times New Roman" w:hAnsi="Times New Roman" w:cs="Times New Roman"/>
          <w:sz w:val="24"/>
          <w:szCs w:val="24"/>
          <w:lang w:val="en-US"/>
        </w:rPr>
        <w:t>, ATP synthase, etc.)</w:t>
      </w:r>
      <w:r w:rsidRPr="00754A1D">
        <w:rPr>
          <w:rFonts w:ascii="Times New Roman" w:hAnsi="Times New Roman" w:cs="Times New Roman"/>
          <w:sz w:val="24"/>
          <w:szCs w:val="24"/>
          <w:lang w:val="en-US"/>
        </w:rPr>
        <w:t xml:space="preserve">, </w:t>
      </w:r>
      <w:r w:rsidR="00B76C51" w:rsidRPr="00754A1D">
        <w:rPr>
          <w:rFonts w:ascii="Times New Roman" w:hAnsi="Times New Roman" w:cs="Times New Roman"/>
          <w:sz w:val="24"/>
          <w:szCs w:val="24"/>
          <w:lang w:val="en-US"/>
        </w:rPr>
        <w:t xml:space="preserve">the organization and function of the </w:t>
      </w:r>
      <w:r w:rsidRPr="00754A1D">
        <w:rPr>
          <w:rFonts w:ascii="Times New Roman" w:hAnsi="Times New Roman" w:cs="Times New Roman"/>
          <w:sz w:val="24"/>
          <w:szCs w:val="24"/>
          <w:lang w:val="en-US"/>
        </w:rPr>
        <w:t xml:space="preserve">nervous system </w:t>
      </w:r>
      <w:r w:rsidR="004118E7" w:rsidRPr="00754A1D">
        <w:rPr>
          <w:rFonts w:ascii="Times New Roman" w:hAnsi="Times New Roman" w:cs="Times New Roman"/>
          <w:sz w:val="24"/>
          <w:szCs w:val="24"/>
          <w:lang w:val="en-US"/>
        </w:rPr>
        <w:t xml:space="preserve">(e.g. glutamine synthetase 2 cytoplasmic, double SH3 domain protein 2, etc.) and </w:t>
      </w:r>
      <w:r w:rsidR="00B76C51" w:rsidRPr="00754A1D">
        <w:rPr>
          <w:rFonts w:ascii="Times New Roman" w:hAnsi="Times New Roman" w:cs="Times New Roman"/>
          <w:sz w:val="24"/>
          <w:szCs w:val="24"/>
          <w:lang w:val="en-US"/>
        </w:rPr>
        <w:t xml:space="preserve">the organization and function of the </w:t>
      </w:r>
      <w:r w:rsidR="004118E7" w:rsidRPr="00754A1D">
        <w:rPr>
          <w:rFonts w:ascii="Times New Roman" w:hAnsi="Times New Roman" w:cs="Times New Roman"/>
          <w:sz w:val="24"/>
          <w:szCs w:val="24"/>
          <w:lang w:val="en-US"/>
        </w:rPr>
        <w:t>muscular</w:t>
      </w:r>
      <w:r w:rsidRPr="00754A1D">
        <w:rPr>
          <w:rFonts w:ascii="Times New Roman" w:hAnsi="Times New Roman" w:cs="Times New Roman"/>
          <w:sz w:val="24"/>
          <w:szCs w:val="24"/>
          <w:lang w:val="en-US"/>
        </w:rPr>
        <w:t xml:space="preserve"> system </w:t>
      </w:r>
      <w:r w:rsidR="004118E7" w:rsidRPr="00754A1D">
        <w:rPr>
          <w:rFonts w:ascii="Times New Roman" w:hAnsi="Times New Roman" w:cs="Times New Roman"/>
          <w:sz w:val="24"/>
          <w:szCs w:val="24"/>
          <w:lang w:val="en-US"/>
        </w:rPr>
        <w:t xml:space="preserve">(troponin T, </w:t>
      </w:r>
      <w:r w:rsidR="00B10A10" w:rsidRPr="00754A1D">
        <w:rPr>
          <w:rFonts w:ascii="Times New Roman" w:hAnsi="Times New Roman" w:cs="Times New Roman"/>
          <w:sz w:val="24"/>
          <w:szCs w:val="24"/>
          <w:lang w:val="en-US"/>
        </w:rPr>
        <w:t>tropomyosin</w:t>
      </w:r>
      <w:r w:rsidR="004118E7" w:rsidRPr="00754A1D">
        <w:rPr>
          <w:rFonts w:ascii="Times New Roman" w:hAnsi="Times New Roman" w:cs="Times New Roman"/>
          <w:sz w:val="24"/>
          <w:szCs w:val="24"/>
          <w:lang w:val="en-US"/>
        </w:rPr>
        <w:t xml:space="preserve">, etc.). </w:t>
      </w:r>
      <w:r w:rsidR="00FC3708" w:rsidRPr="00754A1D">
        <w:rPr>
          <w:rFonts w:ascii="Times New Roman" w:hAnsi="Times New Roman" w:cs="Times New Roman"/>
          <w:sz w:val="24"/>
          <w:szCs w:val="24"/>
          <w:lang w:val="en-US"/>
        </w:rPr>
        <w:t>T</w:t>
      </w:r>
      <w:r w:rsidRPr="00754A1D">
        <w:rPr>
          <w:rFonts w:ascii="Times New Roman" w:hAnsi="Times New Roman" w:cs="Times New Roman"/>
          <w:sz w:val="24"/>
          <w:szCs w:val="24"/>
          <w:lang w:val="en-US"/>
        </w:rPr>
        <w:t xml:space="preserve">he flagellar transcriptional activator </w:t>
      </w:r>
      <w:proofErr w:type="spellStart"/>
      <w:r w:rsidRPr="00754A1D">
        <w:rPr>
          <w:rFonts w:ascii="Times New Roman" w:hAnsi="Times New Roman" w:cs="Times New Roman"/>
          <w:sz w:val="24"/>
          <w:szCs w:val="24"/>
          <w:lang w:val="en-US"/>
        </w:rPr>
        <w:t>FlhD</w:t>
      </w:r>
      <w:proofErr w:type="spellEnd"/>
      <w:r w:rsidRPr="00754A1D">
        <w:rPr>
          <w:rFonts w:ascii="Times New Roman" w:hAnsi="Times New Roman" w:cs="Times New Roman"/>
          <w:sz w:val="24"/>
          <w:szCs w:val="24"/>
          <w:lang w:val="en-US"/>
        </w:rPr>
        <w:t xml:space="preserve"> </w:t>
      </w:r>
      <w:r w:rsidR="00CA4D4D" w:rsidRPr="00754A1D">
        <w:rPr>
          <w:rFonts w:ascii="Times New Roman" w:hAnsi="Times New Roman" w:cs="Times New Roman"/>
          <w:sz w:val="24"/>
          <w:szCs w:val="24"/>
          <w:lang w:val="en-US"/>
        </w:rPr>
        <w:t xml:space="preserve">is the only detected DEP associated with </w:t>
      </w:r>
      <w:r w:rsidRPr="00754A1D">
        <w:rPr>
          <w:rFonts w:ascii="Times New Roman" w:hAnsi="Times New Roman" w:cs="Times New Roman"/>
          <w:i/>
          <w:sz w:val="24"/>
          <w:szCs w:val="24"/>
          <w:lang w:val="en-US"/>
        </w:rPr>
        <w:t xml:space="preserve">S. </w:t>
      </w:r>
      <w:proofErr w:type="spellStart"/>
      <w:r w:rsidRPr="00754A1D">
        <w:rPr>
          <w:rFonts w:ascii="Times New Roman" w:hAnsi="Times New Roman" w:cs="Times New Roman"/>
          <w:i/>
          <w:sz w:val="24"/>
          <w:szCs w:val="24"/>
          <w:lang w:val="en-US"/>
        </w:rPr>
        <w:t>pierantonius</w:t>
      </w:r>
      <w:proofErr w:type="spellEnd"/>
      <w:r w:rsidR="00C11B0A" w:rsidRPr="00754A1D">
        <w:rPr>
          <w:rFonts w:ascii="Times New Roman" w:hAnsi="Times New Roman" w:cs="Times New Roman"/>
          <w:sz w:val="24"/>
          <w:szCs w:val="24"/>
          <w:lang w:val="en-US"/>
        </w:rPr>
        <w:t xml:space="preserve">. </w:t>
      </w:r>
      <w:r w:rsidR="00497CD4" w:rsidRPr="00754A1D">
        <w:rPr>
          <w:rFonts w:ascii="Times New Roman" w:hAnsi="Times New Roman" w:cs="Times New Roman"/>
          <w:sz w:val="24"/>
          <w:szCs w:val="24"/>
          <w:lang w:val="en-US"/>
        </w:rPr>
        <w:t xml:space="preserve">The </w:t>
      </w:r>
      <w:r w:rsidR="00B76C51" w:rsidRPr="00754A1D">
        <w:rPr>
          <w:rFonts w:ascii="Times New Roman" w:hAnsi="Times New Roman" w:cs="Times New Roman"/>
          <w:sz w:val="24"/>
          <w:szCs w:val="24"/>
          <w:lang w:val="en-US"/>
        </w:rPr>
        <w:t>putative</w:t>
      </w:r>
      <w:r w:rsidR="00497CD4" w:rsidRPr="00754A1D">
        <w:rPr>
          <w:rFonts w:ascii="Times New Roman" w:hAnsi="Times New Roman" w:cs="Times New Roman"/>
          <w:sz w:val="24"/>
          <w:szCs w:val="24"/>
          <w:lang w:val="en-US"/>
        </w:rPr>
        <w:t xml:space="preserve"> role of </w:t>
      </w:r>
      <w:r w:rsidR="00CA4D4D" w:rsidRPr="00754A1D">
        <w:rPr>
          <w:rFonts w:ascii="Times New Roman" w:hAnsi="Times New Roman" w:cs="Times New Roman"/>
          <w:sz w:val="24"/>
          <w:szCs w:val="24"/>
          <w:lang w:val="en-US"/>
        </w:rPr>
        <w:t xml:space="preserve">the identified </w:t>
      </w:r>
      <w:r w:rsidR="00497CD4" w:rsidRPr="00754A1D">
        <w:rPr>
          <w:rFonts w:ascii="Times New Roman" w:hAnsi="Times New Roman" w:cs="Times New Roman"/>
          <w:sz w:val="24"/>
          <w:szCs w:val="24"/>
          <w:lang w:val="en-US"/>
        </w:rPr>
        <w:t xml:space="preserve">DEPs is </w:t>
      </w:r>
      <w:r w:rsidR="00DA0CFF" w:rsidRPr="00754A1D">
        <w:rPr>
          <w:rFonts w:ascii="Times New Roman" w:hAnsi="Times New Roman" w:cs="Times New Roman"/>
          <w:sz w:val="24"/>
          <w:szCs w:val="24"/>
          <w:lang w:val="en-US"/>
        </w:rPr>
        <w:t xml:space="preserve">summarized in Figure 5 and </w:t>
      </w:r>
      <w:r w:rsidR="00497CD4" w:rsidRPr="00754A1D">
        <w:rPr>
          <w:rFonts w:ascii="Times New Roman" w:hAnsi="Times New Roman" w:cs="Times New Roman"/>
          <w:sz w:val="24"/>
          <w:szCs w:val="24"/>
          <w:lang w:val="en-US"/>
        </w:rPr>
        <w:t xml:space="preserve">discussed in </w:t>
      </w:r>
      <w:r w:rsidR="004118E7" w:rsidRPr="00754A1D">
        <w:rPr>
          <w:rFonts w:ascii="Times New Roman" w:hAnsi="Times New Roman" w:cs="Times New Roman"/>
          <w:sz w:val="24"/>
          <w:szCs w:val="24"/>
          <w:lang w:val="en-US"/>
        </w:rPr>
        <w:t xml:space="preserve">detail in </w:t>
      </w:r>
      <w:r w:rsidR="00497CD4" w:rsidRPr="00754A1D">
        <w:rPr>
          <w:rFonts w:ascii="Times New Roman" w:hAnsi="Times New Roman" w:cs="Times New Roman"/>
          <w:sz w:val="24"/>
          <w:szCs w:val="24"/>
          <w:lang w:val="en-US"/>
        </w:rPr>
        <w:t xml:space="preserve">the </w:t>
      </w:r>
      <w:r w:rsidR="00B76C51" w:rsidRPr="00754A1D">
        <w:rPr>
          <w:rFonts w:ascii="Times New Roman" w:hAnsi="Times New Roman" w:cs="Times New Roman"/>
          <w:sz w:val="24"/>
          <w:szCs w:val="24"/>
          <w:lang w:val="en-US"/>
        </w:rPr>
        <w:t>following</w:t>
      </w:r>
      <w:r w:rsidR="000D63D9" w:rsidRPr="00754A1D">
        <w:rPr>
          <w:rFonts w:ascii="Times New Roman" w:hAnsi="Times New Roman" w:cs="Times New Roman"/>
          <w:sz w:val="24"/>
          <w:szCs w:val="24"/>
          <w:lang w:val="en-US"/>
        </w:rPr>
        <w:t xml:space="preserve"> section. </w:t>
      </w:r>
      <w:r w:rsidR="005F360C" w:rsidRPr="00754A1D">
        <w:rPr>
          <w:rFonts w:ascii="Times New Roman" w:hAnsi="Times New Roman" w:cs="Times New Roman"/>
          <w:sz w:val="24"/>
          <w:szCs w:val="24"/>
          <w:lang w:val="en-US"/>
        </w:rPr>
        <w:t xml:space="preserve">  </w:t>
      </w:r>
      <w:r w:rsidR="00CA3A83" w:rsidRPr="00754A1D">
        <w:rPr>
          <w:rFonts w:ascii="Times New Roman" w:hAnsi="Times New Roman" w:cs="Times New Roman"/>
          <w:sz w:val="24"/>
          <w:szCs w:val="24"/>
          <w:lang w:val="en-US"/>
        </w:rPr>
        <w:t xml:space="preserve"> </w:t>
      </w:r>
    </w:p>
    <w:p w14:paraId="55439643" w14:textId="77777777" w:rsidR="003D24F6" w:rsidRPr="00754A1D" w:rsidRDefault="003D24F6" w:rsidP="003D24F6">
      <w:pPr>
        <w:spacing w:after="0" w:line="480" w:lineRule="auto"/>
        <w:jc w:val="both"/>
        <w:rPr>
          <w:rFonts w:ascii="Times New Roman" w:hAnsi="Times New Roman" w:cs="Times New Roman"/>
          <w:sz w:val="24"/>
          <w:szCs w:val="24"/>
          <w:lang w:val="en-US"/>
        </w:rPr>
      </w:pPr>
    </w:p>
    <w:p w14:paraId="38422596" w14:textId="45D08933" w:rsidR="005A1F4A" w:rsidRPr="00754A1D" w:rsidRDefault="005A1F4A" w:rsidP="00350067">
      <w:pPr>
        <w:spacing w:line="480" w:lineRule="auto"/>
        <w:jc w:val="both"/>
        <w:rPr>
          <w:rFonts w:ascii="Times New Roman" w:hAnsi="Times New Roman" w:cs="Times New Roman"/>
          <w:b/>
          <w:bCs/>
          <w:sz w:val="28"/>
          <w:szCs w:val="28"/>
          <w:lang w:val="en-US"/>
        </w:rPr>
      </w:pPr>
      <w:r w:rsidRPr="00754A1D">
        <w:rPr>
          <w:rFonts w:ascii="Times New Roman" w:hAnsi="Times New Roman" w:cs="Times New Roman"/>
          <w:b/>
          <w:bCs/>
          <w:sz w:val="28"/>
          <w:szCs w:val="28"/>
          <w:lang w:val="en-US"/>
        </w:rPr>
        <w:t>Discussion</w:t>
      </w:r>
    </w:p>
    <w:p w14:paraId="6126B904" w14:textId="71ED47B3" w:rsidR="00EC5BEE" w:rsidRPr="00754A1D" w:rsidRDefault="009540E3" w:rsidP="00EC5BEE">
      <w:pPr>
        <w:spacing w:line="480" w:lineRule="auto"/>
        <w:jc w:val="both"/>
        <w:rPr>
          <w:rFonts w:ascii="Times New Roman" w:hAnsi="Times New Roman" w:cs="Times New Roman"/>
          <w:b/>
          <w:sz w:val="24"/>
          <w:szCs w:val="24"/>
          <w:lang w:val="en-US"/>
        </w:rPr>
      </w:pPr>
      <w:bookmarkStart w:id="2" w:name="_Hlk65759143"/>
      <w:r w:rsidRPr="00754A1D">
        <w:rPr>
          <w:rFonts w:ascii="Times New Roman" w:hAnsi="Times New Roman" w:cs="Times New Roman"/>
          <w:b/>
          <w:sz w:val="24"/>
          <w:szCs w:val="24"/>
          <w:lang w:val="en-US"/>
        </w:rPr>
        <w:t>Effects of</w:t>
      </w:r>
      <w:r w:rsidR="00EC5BEE" w:rsidRPr="00754A1D">
        <w:rPr>
          <w:rFonts w:ascii="Times New Roman" w:hAnsi="Times New Roman" w:cs="Times New Roman"/>
          <w:b/>
          <w:sz w:val="24"/>
          <w:szCs w:val="24"/>
          <w:lang w:val="en-US"/>
        </w:rPr>
        <w:t xml:space="preserve"> </w:t>
      </w:r>
      <w:r w:rsidR="00EC5BEE" w:rsidRPr="00754A1D">
        <w:rPr>
          <w:rFonts w:ascii="Times New Roman" w:hAnsi="Times New Roman" w:cs="Times New Roman"/>
          <w:b/>
          <w:i/>
          <w:sz w:val="24"/>
          <w:szCs w:val="24"/>
          <w:lang w:val="en-US"/>
        </w:rPr>
        <w:t>M. arvensis</w:t>
      </w:r>
      <w:r w:rsidR="00EC5BEE" w:rsidRPr="00754A1D">
        <w:rPr>
          <w:rFonts w:ascii="Times New Roman" w:hAnsi="Times New Roman" w:cs="Times New Roman"/>
          <w:b/>
          <w:sz w:val="24"/>
          <w:szCs w:val="24"/>
          <w:lang w:val="en-US"/>
        </w:rPr>
        <w:t xml:space="preserve"> EO</w:t>
      </w:r>
      <w:r w:rsidR="0063693B" w:rsidRPr="00754A1D">
        <w:rPr>
          <w:rFonts w:ascii="Times New Roman" w:hAnsi="Times New Roman" w:cs="Times New Roman"/>
          <w:b/>
          <w:sz w:val="24"/>
          <w:szCs w:val="24"/>
          <w:lang w:val="en-US"/>
        </w:rPr>
        <w:t xml:space="preserve"> on </w:t>
      </w:r>
      <w:r w:rsidRPr="00754A1D">
        <w:rPr>
          <w:rFonts w:ascii="Times New Roman" w:hAnsi="Times New Roman" w:cs="Times New Roman"/>
          <w:b/>
          <w:sz w:val="24"/>
          <w:szCs w:val="24"/>
          <w:lang w:val="en-US"/>
        </w:rPr>
        <w:t xml:space="preserve">the mortality of </w:t>
      </w:r>
      <w:r w:rsidR="0063693B" w:rsidRPr="00754A1D">
        <w:rPr>
          <w:rFonts w:ascii="Times New Roman" w:hAnsi="Times New Roman" w:cs="Times New Roman"/>
          <w:b/>
          <w:i/>
          <w:sz w:val="24"/>
          <w:szCs w:val="24"/>
          <w:lang w:val="en-US"/>
        </w:rPr>
        <w:t xml:space="preserve">S. </w:t>
      </w:r>
      <w:proofErr w:type="spellStart"/>
      <w:r w:rsidR="0063693B" w:rsidRPr="00754A1D">
        <w:rPr>
          <w:rFonts w:ascii="Times New Roman" w:hAnsi="Times New Roman" w:cs="Times New Roman"/>
          <w:b/>
          <w:i/>
          <w:sz w:val="24"/>
          <w:szCs w:val="24"/>
          <w:lang w:val="en-US"/>
        </w:rPr>
        <w:t>granarius</w:t>
      </w:r>
      <w:proofErr w:type="spellEnd"/>
    </w:p>
    <w:bookmarkEnd w:id="2"/>
    <w:p w14:paraId="7E98FED5" w14:textId="31F1C638" w:rsidR="00EC5BEE" w:rsidRPr="00754A1D" w:rsidRDefault="002D21B8" w:rsidP="00EC5BEE">
      <w:pPr>
        <w:spacing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In thi</w:t>
      </w:r>
      <w:r w:rsidR="001A7729" w:rsidRPr="00754A1D">
        <w:rPr>
          <w:rFonts w:ascii="Times New Roman" w:hAnsi="Times New Roman" w:cs="Times New Roman"/>
          <w:bCs/>
          <w:sz w:val="24"/>
          <w:szCs w:val="24"/>
          <w:lang w:val="en-US"/>
        </w:rPr>
        <w:t xml:space="preserve">s study, we </w:t>
      </w:r>
      <w:r w:rsidR="008F517B" w:rsidRPr="00754A1D">
        <w:rPr>
          <w:rFonts w:ascii="Times New Roman" w:hAnsi="Times New Roman" w:cs="Times New Roman"/>
          <w:bCs/>
          <w:sz w:val="24"/>
          <w:szCs w:val="24"/>
          <w:lang w:val="en-US"/>
        </w:rPr>
        <w:t xml:space="preserve">found that </w:t>
      </w:r>
      <w:r w:rsidR="00BF3788" w:rsidRPr="00754A1D">
        <w:rPr>
          <w:rFonts w:ascii="Times New Roman" w:hAnsi="Times New Roman" w:cs="Times New Roman"/>
          <w:bCs/>
          <w:i/>
          <w:sz w:val="24"/>
          <w:szCs w:val="24"/>
          <w:lang w:val="en-US"/>
        </w:rPr>
        <w:t>M. arvensis</w:t>
      </w:r>
      <w:r w:rsidR="00BF3788" w:rsidRPr="00754A1D">
        <w:rPr>
          <w:rFonts w:ascii="Times New Roman" w:hAnsi="Times New Roman" w:cs="Times New Roman"/>
          <w:bCs/>
          <w:sz w:val="24"/>
          <w:szCs w:val="24"/>
          <w:lang w:val="en-US"/>
        </w:rPr>
        <w:t xml:space="preserve"> EO caused high contact toxicity</w:t>
      </w:r>
      <w:r w:rsidR="001A7729" w:rsidRPr="00754A1D">
        <w:rPr>
          <w:rFonts w:ascii="Times New Roman" w:hAnsi="Times New Roman" w:cs="Times New Roman"/>
          <w:bCs/>
          <w:sz w:val="24"/>
          <w:szCs w:val="24"/>
          <w:lang w:val="en-US"/>
        </w:rPr>
        <w:t xml:space="preserve"> </w:t>
      </w:r>
      <w:r w:rsidR="00BF3788" w:rsidRPr="00754A1D">
        <w:rPr>
          <w:rFonts w:ascii="Times New Roman" w:hAnsi="Times New Roman" w:cs="Times New Roman"/>
          <w:bCs/>
          <w:sz w:val="24"/>
          <w:szCs w:val="24"/>
          <w:lang w:val="en-US"/>
        </w:rPr>
        <w:t>in</w:t>
      </w:r>
      <w:r w:rsidR="00640619" w:rsidRPr="00754A1D">
        <w:rPr>
          <w:rFonts w:ascii="Times New Roman" w:hAnsi="Times New Roman" w:cs="Times New Roman"/>
          <w:bCs/>
          <w:sz w:val="24"/>
          <w:szCs w:val="24"/>
          <w:lang w:val="en-US"/>
        </w:rPr>
        <w:t xml:space="preserve"> </w:t>
      </w:r>
      <w:r w:rsidR="00F11524" w:rsidRPr="00754A1D">
        <w:rPr>
          <w:rFonts w:ascii="Times New Roman" w:hAnsi="Times New Roman" w:cs="Times New Roman"/>
          <w:bCs/>
          <w:sz w:val="24"/>
          <w:szCs w:val="24"/>
          <w:lang w:val="en-US"/>
        </w:rPr>
        <w:t xml:space="preserve">adults of </w:t>
      </w:r>
      <w:r w:rsidR="00640619" w:rsidRPr="00754A1D">
        <w:rPr>
          <w:rFonts w:ascii="Times New Roman" w:hAnsi="Times New Roman" w:cs="Times New Roman"/>
          <w:bCs/>
          <w:sz w:val="24"/>
          <w:szCs w:val="24"/>
          <w:lang w:val="en-US"/>
        </w:rPr>
        <w:t xml:space="preserve">the </w:t>
      </w:r>
      <w:r w:rsidR="000E2B4F" w:rsidRPr="00754A1D">
        <w:rPr>
          <w:rFonts w:ascii="Times New Roman" w:hAnsi="Times New Roman" w:cs="Times New Roman"/>
          <w:bCs/>
          <w:sz w:val="24"/>
          <w:szCs w:val="24"/>
          <w:lang w:val="en-US"/>
        </w:rPr>
        <w:t xml:space="preserve">grain weevil </w:t>
      </w:r>
      <w:r w:rsidR="000E2B4F" w:rsidRPr="00754A1D">
        <w:rPr>
          <w:rFonts w:ascii="Times New Roman" w:hAnsi="Times New Roman" w:cs="Times New Roman"/>
          <w:bCs/>
          <w:i/>
          <w:sz w:val="24"/>
          <w:szCs w:val="24"/>
          <w:lang w:val="en-US"/>
        </w:rPr>
        <w:t xml:space="preserve">S. </w:t>
      </w:r>
      <w:proofErr w:type="spellStart"/>
      <w:r w:rsidR="000E2B4F" w:rsidRPr="00754A1D">
        <w:rPr>
          <w:rFonts w:ascii="Times New Roman" w:hAnsi="Times New Roman" w:cs="Times New Roman"/>
          <w:bCs/>
          <w:i/>
          <w:sz w:val="24"/>
          <w:szCs w:val="24"/>
          <w:lang w:val="en-US"/>
        </w:rPr>
        <w:t>granarius</w:t>
      </w:r>
      <w:proofErr w:type="spellEnd"/>
      <w:r w:rsidR="008C2BDC" w:rsidRPr="00754A1D">
        <w:rPr>
          <w:rFonts w:ascii="Times New Roman" w:hAnsi="Times New Roman" w:cs="Times New Roman"/>
          <w:bCs/>
          <w:sz w:val="24"/>
          <w:szCs w:val="24"/>
          <w:lang w:val="en-US"/>
        </w:rPr>
        <w:t xml:space="preserve"> with </w:t>
      </w:r>
      <w:r w:rsidR="001A7729" w:rsidRPr="00754A1D">
        <w:rPr>
          <w:rFonts w:ascii="Times New Roman" w:hAnsi="Times New Roman" w:cs="Times New Roman"/>
          <w:bCs/>
          <w:sz w:val="24"/>
          <w:szCs w:val="24"/>
          <w:lang w:val="en-US"/>
        </w:rPr>
        <w:t>L</w:t>
      </w:r>
      <w:r w:rsidR="002B19C6" w:rsidRPr="00754A1D">
        <w:rPr>
          <w:rFonts w:ascii="Times New Roman" w:hAnsi="Times New Roman" w:cs="Times New Roman"/>
          <w:bCs/>
          <w:sz w:val="24"/>
          <w:szCs w:val="24"/>
          <w:lang w:val="en-US"/>
        </w:rPr>
        <w:t>D</w:t>
      </w:r>
      <w:r w:rsidR="001A7729" w:rsidRPr="00754A1D">
        <w:rPr>
          <w:rFonts w:ascii="Times New Roman" w:hAnsi="Times New Roman" w:cs="Times New Roman"/>
          <w:bCs/>
          <w:sz w:val="24"/>
          <w:szCs w:val="24"/>
          <w:vertAlign w:val="subscript"/>
          <w:lang w:val="en-US"/>
        </w:rPr>
        <w:t>50</w:t>
      </w:r>
      <w:r w:rsidR="001A7729" w:rsidRPr="00754A1D">
        <w:rPr>
          <w:rFonts w:ascii="Times New Roman" w:hAnsi="Times New Roman" w:cs="Times New Roman"/>
          <w:bCs/>
          <w:sz w:val="24"/>
          <w:szCs w:val="24"/>
          <w:lang w:val="en-US"/>
        </w:rPr>
        <w:t xml:space="preserve"> and L</w:t>
      </w:r>
      <w:r w:rsidR="002B19C6" w:rsidRPr="00754A1D">
        <w:rPr>
          <w:rFonts w:ascii="Times New Roman" w:hAnsi="Times New Roman" w:cs="Times New Roman"/>
          <w:bCs/>
          <w:sz w:val="24"/>
          <w:szCs w:val="24"/>
          <w:lang w:val="en-US"/>
        </w:rPr>
        <w:t>D</w:t>
      </w:r>
      <w:r w:rsidR="001A7729" w:rsidRPr="00754A1D">
        <w:rPr>
          <w:rFonts w:ascii="Times New Roman" w:hAnsi="Times New Roman" w:cs="Times New Roman"/>
          <w:bCs/>
          <w:sz w:val="24"/>
          <w:szCs w:val="24"/>
          <w:vertAlign w:val="subscript"/>
          <w:lang w:val="en-US"/>
        </w:rPr>
        <w:t>90</w:t>
      </w:r>
      <w:r w:rsidR="001A7729" w:rsidRPr="00754A1D">
        <w:rPr>
          <w:rFonts w:ascii="Times New Roman" w:hAnsi="Times New Roman" w:cs="Times New Roman"/>
          <w:bCs/>
          <w:sz w:val="24"/>
          <w:szCs w:val="24"/>
          <w:lang w:val="en-US"/>
        </w:rPr>
        <w:t xml:space="preserve"> values </w:t>
      </w:r>
      <w:r w:rsidR="00615136" w:rsidRPr="00754A1D">
        <w:rPr>
          <w:rFonts w:ascii="Times New Roman" w:hAnsi="Times New Roman" w:cs="Times New Roman"/>
          <w:bCs/>
          <w:sz w:val="24"/>
          <w:szCs w:val="24"/>
          <w:lang w:val="en-US"/>
        </w:rPr>
        <w:t>of</w:t>
      </w:r>
      <w:r w:rsidR="00AD0578" w:rsidRPr="00754A1D">
        <w:rPr>
          <w:rFonts w:ascii="Times New Roman" w:hAnsi="Times New Roman" w:cs="Times New Roman"/>
          <w:bCs/>
          <w:sz w:val="24"/>
          <w:szCs w:val="24"/>
          <w:lang w:val="en-US"/>
        </w:rPr>
        <w:t xml:space="preserve"> </w:t>
      </w:r>
      <w:r w:rsidR="00D76746" w:rsidRPr="00754A1D">
        <w:rPr>
          <w:rFonts w:ascii="Times New Roman" w:hAnsi="Times New Roman" w:cs="Times New Roman"/>
          <w:bCs/>
          <w:sz w:val="24"/>
          <w:szCs w:val="24"/>
          <w:lang w:val="en-US"/>
        </w:rPr>
        <w:t xml:space="preserve">55.6 µg/insect </w:t>
      </w:r>
      <w:r w:rsidR="001A7729" w:rsidRPr="00754A1D">
        <w:rPr>
          <w:rFonts w:ascii="Times New Roman" w:hAnsi="Times New Roman" w:cs="Times New Roman"/>
          <w:bCs/>
          <w:sz w:val="24"/>
          <w:szCs w:val="24"/>
          <w:lang w:val="en-US"/>
        </w:rPr>
        <w:t xml:space="preserve">and </w:t>
      </w:r>
      <w:r w:rsidR="00D76746" w:rsidRPr="00754A1D">
        <w:rPr>
          <w:rFonts w:ascii="Times New Roman" w:hAnsi="Times New Roman" w:cs="Times New Roman"/>
          <w:bCs/>
          <w:sz w:val="24"/>
          <w:szCs w:val="24"/>
          <w:lang w:val="en-US"/>
        </w:rPr>
        <w:t xml:space="preserve">79.5 µg/insect </w:t>
      </w:r>
      <w:r w:rsidR="00615136" w:rsidRPr="00754A1D">
        <w:rPr>
          <w:rFonts w:ascii="Times New Roman" w:hAnsi="Times New Roman" w:cs="Times New Roman"/>
          <w:bCs/>
          <w:sz w:val="24"/>
          <w:szCs w:val="24"/>
          <w:lang w:val="en-US"/>
        </w:rPr>
        <w:t xml:space="preserve">respectively </w:t>
      </w:r>
      <w:r w:rsidR="00AD0578" w:rsidRPr="00754A1D">
        <w:rPr>
          <w:rFonts w:ascii="Times New Roman" w:hAnsi="Times New Roman" w:cs="Times New Roman"/>
          <w:bCs/>
          <w:sz w:val="24"/>
          <w:szCs w:val="24"/>
          <w:lang w:val="en-US"/>
        </w:rPr>
        <w:t xml:space="preserve">24 h </w:t>
      </w:r>
      <w:r w:rsidR="00760FD1" w:rsidRPr="00754A1D">
        <w:rPr>
          <w:rFonts w:ascii="Times New Roman" w:hAnsi="Times New Roman" w:cs="Times New Roman"/>
          <w:bCs/>
          <w:sz w:val="24"/>
          <w:szCs w:val="24"/>
          <w:lang w:val="en-US"/>
        </w:rPr>
        <w:t>after exposure</w:t>
      </w:r>
      <w:r w:rsidR="001D2F36" w:rsidRPr="00754A1D">
        <w:rPr>
          <w:rFonts w:ascii="Times New Roman" w:hAnsi="Times New Roman" w:cs="Times New Roman"/>
          <w:bCs/>
          <w:sz w:val="24"/>
          <w:szCs w:val="24"/>
          <w:lang w:val="en-US"/>
        </w:rPr>
        <w:t xml:space="preserve">. </w:t>
      </w:r>
      <w:bookmarkStart w:id="3" w:name="_Hlk65855848"/>
      <w:r w:rsidR="00F565B8" w:rsidRPr="00754A1D">
        <w:rPr>
          <w:rFonts w:ascii="Times New Roman" w:hAnsi="Times New Roman" w:cs="Times New Roman"/>
          <w:bCs/>
          <w:sz w:val="24"/>
          <w:szCs w:val="24"/>
          <w:lang w:val="en-US"/>
        </w:rPr>
        <w:t xml:space="preserve">Changes over time in the amount of </w:t>
      </w:r>
      <w:r w:rsidR="00F565B8" w:rsidRPr="00754A1D">
        <w:rPr>
          <w:rFonts w:ascii="Times New Roman" w:hAnsi="Times New Roman" w:cs="Times New Roman"/>
          <w:bCs/>
          <w:i/>
          <w:sz w:val="24"/>
          <w:szCs w:val="24"/>
          <w:lang w:val="en-US"/>
        </w:rPr>
        <w:t>M. arvensis</w:t>
      </w:r>
      <w:r w:rsidR="00F565B8" w:rsidRPr="00754A1D">
        <w:rPr>
          <w:rFonts w:ascii="Times New Roman" w:hAnsi="Times New Roman" w:cs="Times New Roman"/>
          <w:bCs/>
          <w:sz w:val="24"/>
          <w:szCs w:val="24"/>
          <w:lang w:val="en-US"/>
        </w:rPr>
        <w:t xml:space="preserve"> EO found inside the insects suggest that a small amount of EO has actually penetrated the insects and tends to decrease over time, probably metabolized</w:t>
      </w:r>
      <w:r w:rsidR="00507250" w:rsidRPr="00754A1D">
        <w:rPr>
          <w:rFonts w:ascii="Times New Roman" w:hAnsi="Times New Roman" w:cs="Times New Roman"/>
          <w:bCs/>
          <w:sz w:val="24"/>
          <w:szCs w:val="24"/>
          <w:lang w:val="en-US"/>
        </w:rPr>
        <w:t xml:space="preserve"> </w:t>
      </w:r>
      <w:r w:rsidR="00507250" w:rsidRPr="00754A1D">
        <w:rPr>
          <w:rFonts w:ascii="Times New Roman" w:hAnsi="Times New Roman" w:cs="Times New Roman"/>
          <w:bCs/>
          <w:sz w:val="24"/>
          <w:szCs w:val="24"/>
          <w:lang w:val="en-US"/>
        </w:rPr>
        <w:fldChar w:fldCharType="begin"/>
      </w:r>
      <w:r w:rsidR="00507250" w:rsidRPr="00754A1D">
        <w:rPr>
          <w:rFonts w:ascii="Times New Roman" w:hAnsi="Times New Roman" w:cs="Times New Roman"/>
          <w:bCs/>
          <w:sz w:val="24"/>
          <w:szCs w:val="24"/>
          <w:lang w:val="en-US"/>
        </w:rPr>
        <w:instrText xml:space="preserve"> ADDIN ZOTERO_ITEM CSL_CITATION {"citationID":"dnBPZ07Q","properties":{"formattedCitation":"(Tak et al. 2017)","plainCitation":"(Tak et al. 2017)","noteIndex":0},"citationItems":[{"id":2210,"uris":["http://zotero.org/users/local/QcSA6amT/items/YKEZU7SI"],"uri":["http://zotero.org/users/local/QcSA6amT/items/YKEZU7SI"],"itemData":{"id":2210,"type":"article-journal","abstract":"Although there have been many reports on the synergistic interactions among the major constituents of plant essential oils regarding insecticidal activity, their underlying mechanism of synergy is poorly understood. In our previous studies, we found each of the two most abundant constituents of rosemary (Rosmarinus officinalis L.), thyme (Thymus vulgaris L.) and lemongrass (Cymbopogon citratus Stapf.) essential oils can be synergistic against the larvae of the cabbage looper, Trichoplusia ni at their natural proportion or equivalent blending ratios. In the present study, we investigated whether the enhanced toxicity between the major constituents could be the result of inhibited enzyme activity of cytochrome P450s, general esterases or glutathione S-transferases which are highly related to the development of insecticide resistance. Overall, although some combinations showed mild inhibitory activity, at least for these essential oils and their major constituents, inhibition of detoxication enzyme activity is unlikely to be a direct cause of increased toxicity in the cabbage looper. The results point to other factors, such as multiple modes-of-action or enhanced penetration through the cuticular layer, playing important roles in the elevated insecticidal activity. Moreover, application of enzyme inhibitors sometimes resulted in decreased activity when mixed with the target compounds, but these antagonistic interactions disappeared when they were applied separately, suggesting that the enzyme inhibitors can sometimes influence the penetrations of toxicants.","container-title":"Pesticide Biochemistry and Physiology","DOI":"10.1016/j.pestbp.2017.01.012","ISSN":"0048-3575","journalAbbreviation":"Pesticide Biochemistry and Physiology","language":"en","page":"9-16","source":"ScienceDirect","title":"Effects of rosemary, thyme and lemongrass oils and their major constituents on detoxifying enzyme activity and insecticidal activity in Trichoplusia ni","volume":"140","author":[{"family":"Tak","given":"Jun-Hyung"},{"family":"Jovel","given":"Eduardo"},{"family":"Isman","given":"Murray B."}],"issued":{"date-parts":[["2017",8,1]]}}}],"schema":"https://github.com/citation-style-language/schema/raw/master/csl-citation.json"} </w:instrText>
      </w:r>
      <w:r w:rsidR="00507250" w:rsidRPr="00754A1D">
        <w:rPr>
          <w:rFonts w:ascii="Times New Roman" w:hAnsi="Times New Roman" w:cs="Times New Roman"/>
          <w:bCs/>
          <w:sz w:val="24"/>
          <w:szCs w:val="24"/>
          <w:lang w:val="en-US"/>
        </w:rPr>
        <w:fldChar w:fldCharType="separate"/>
      </w:r>
      <w:r w:rsidR="00507250" w:rsidRPr="00754A1D">
        <w:rPr>
          <w:rFonts w:ascii="Times New Roman" w:hAnsi="Times New Roman" w:cs="Times New Roman"/>
          <w:sz w:val="24"/>
          <w:lang w:val="en-US"/>
        </w:rPr>
        <w:t>(Tak et al. 2017)</w:t>
      </w:r>
      <w:r w:rsidR="00507250" w:rsidRPr="00754A1D">
        <w:rPr>
          <w:rFonts w:ascii="Times New Roman" w:hAnsi="Times New Roman" w:cs="Times New Roman"/>
          <w:bCs/>
          <w:sz w:val="24"/>
          <w:szCs w:val="24"/>
          <w:lang w:val="en-US"/>
        </w:rPr>
        <w:fldChar w:fldCharType="end"/>
      </w:r>
      <w:r w:rsidR="00F565B8" w:rsidRPr="00754A1D">
        <w:rPr>
          <w:rFonts w:ascii="Times New Roman" w:hAnsi="Times New Roman" w:cs="Times New Roman"/>
          <w:bCs/>
          <w:sz w:val="24"/>
          <w:szCs w:val="24"/>
          <w:lang w:val="en-US"/>
        </w:rPr>
        <w:t xml:space="preserve">. </w:t>
      </w:r>
      <w:bookmarkEnd w:id="3"/>
      <w:r w:rsidR="00E15AFB" w:rsidRPr="00754A1D">
        <w:rPr>
          <w:rFonts w:ascii="Times New Roman" w:hAnsi="Times New Roman" w:cs="Times New Roman"/>
          <w:bCs/>
          <w:sz w:val="24"/>
          <w:szCs w:val="24"/>
          <w:lang w:val="en-US"/>
        </w:rPr>
        <w:t>Previous studies</w:t>
      </w:r>
      <w:r w:rsidR="00550D91" w:rsidRPr="00754A1D">
        <w:rPr>
          <w:rFonts w:ascii="Times New Roman" w:hAnsi="Times New Roman" w:cs="Times New Roman"/>
          <w:bCs/>
          <w:sz w:val="24"/>
          <w:szCs w:val="24"/>
          <w:lang w:val="en-US"/>
        </w:rPr>
        <w:t xml:space="preserve"> </w:t>
      </w:r>
      <w:r w:rsidR="000E2B4F" w:rsidRPr="00754A1D">
        <w:rPr>
          <w:rFonts w:ascii="Times New Roman" w:hAnsi="Times New Roman" w:cs="Times New Roman"/>
          <w:bCs/>
          <w:sz w:val="24"/>
          <w:szCs w:val="24"/>
          <w:lang w:val="en-US"/>
        </w:rPr>
        <w:t xml:space="preserve">have </w:t>
      </w:r>
      <w:r w:rsidR="00550D91" w:rsidRPr="00754A1D">
        <w:rPr>
          <w:rFonts w:ascii="Times New Roman" w:hAnsi="Times New Roman" w:cs="Times New Roman"/>
          <w:bCs/>
          <w:sz w:val="24"/>
          <w:szCs w:val="24"/>
          <w:lang w:val="en-US"/>
        </w:rPr>
        <w:t xml:space="preserve">reported that </w:t>
      </w:r>
      <w:r w:rsidR="004546CC" w:rsidRPr="00754A1D">
        <w:rPr>
          <w:rFonts w:ascii="Times New Roman" w:hAnsi="Times New Roman" w:cs="Times New Roman"/>
          <w:bCs/>
          <w:i/>
          <w:sz w:val="24"/>
          <w:szCs w:val="24"/>
          <w:lang w:val="en-US"/>
        </w:rPr>
        <w:t xml:space="preserve">M. </w:t>
      </w:r>
      <w:r w:rsidR="00923654" w:rsidRPr="00754A1D">
        <w:rPr>
          <w:rFonts w:ascii="Times New Roman" w:hAnsi="Times New Roman" w:cs="Times New Roman"/>
          <w:bCs/>
          <w:i/>
          <w:sz w:val="24"/>
          <w:szCs w:val="24"/>
          <w:lang w:val="en-US"/>
        </w:rPr>
        <w:t>arvensis</w:t>
      </w:r>
      <w:r w:rsidR="004546CC" w:rsidRPr="00754A1D">
        <w:rPr>
          <w:rFonts w:ascii="Times New Roman" w:hAnsi="Times New Roman" w:cs="Times New Roman"/>
          <w:bCs/>
          <w:sz w:val="24"/>
          <w:szCs w:val="24"/>
          <w:lang w:val="en-US"/>
        </w:rPr>
        <w:t xml:space="preserve"> </w:t>
      </w:r>
      <w:r w:rsidR="002A555A" w:rsidRPr="00754A1D">
        <w:rPr>
          <w:rFonts w:ascii="Times New Roman" w:hAnsi="Times New Roman" w:cs="Times New Roman"/>
          <w:bCs/>
          <w:sz w:val="24"/>
          <w:szCs w:val="24"/>
          <w:lang w:val="en-US"/>
        </w:rPr>
        <w:t>EO</w:t>
      </w:r>
      <w:r w:rsidR="004546CC" w:rsidRPr="00754A1D">
        <w:rPr>
          <w:rFonts w:ascii="Times New Roman" w:hAnsi="Times New Roman" w:cs="Times New Roman"/>
          <w:bCs/>
          <w:sz w:val="24"/>
          <w:szCs w:val="24"/>
          <w:lang w:val="en-US"/>
        </w:rPr>
        <w:t xml:space="preserve"> </w:t>
      </w:r>
      <w:r w:rsidR="00E15AFB" w:rsidRPr="00754A1D">
        <w:rPr>
          <w:rFonts w:ascii="Times New Roman" w:hAnsi="Times New Roman" w:cs="Times New Roman"/>
          <w:bCs/>
          <w:sz w:val="24"/>
          <w:szCs w:val="24"/>
          <w:lang w:val="en-US"/>
        </w:rPr>
        <w:t>exhibit</w:t>
      </w:r>
      <w:r w:rsidR="000E2B4F" w:rsidRPr="00754A1D">
        <w:rPr>
          <w:rFonts w:ascii="Times New Roman" w:hAnsi="Times New Roman" w:cs="Times New Roman"/>
          <w:bCs/>
          <w:sz w:val="24"/>
          <w:szCs w:val="24"/>
          <w:lang w:val="en-US"/>
        </w:rPr>
        <w:t>s</w:t>
      </w:r>
      <w:r w:rsidR="004546CC" w:rsidRPr="00754A1D">
        <w:rPr>
          <w:rFonts w:ascii="Times New Roman" w:hAnsi="Times New Roman" w:cs="Times New Roman"/>
          <w:bCs/>
          <w:sz w:val="24"/>
          <w:szCs w:val="24"/>
          <w:lang w:val="en-US"/>
        </w:rPr>
        <w:t xml:space="preserve"> antibacterial </w:t>
      </w:r>
      <w:r w:rsidR="00B739EB" w:rsidRPr="00754A1D">
        <w:rPr>
          <w:rFonts w:ascii="Times New Roman" w:hAnsi="Times New Roman" w:cs="Times New Roman"/>
          <w:bCs/>
          <w:sz w:val="24"/>
          <w:szCs w:val="24"/>
          <w:lang w:val="en-US"/>
        </w:rPr>
        <w:t xml:space="preserve">effects </w:t>
      </w:r>
      <w:r w:rsidR="004546CC"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{"citationID":"QWB5ri9m","properties":{"formattedCitation":"(Biswas et al. 2014; Horv\\uc0\\u225{}th and Ko\\uc0\\u353{}\\uc0\\u269{}ov\\uc0\\u225{} 2017)","plainCitation":"(Biswas et al. 2014; Horváth and Koščová 2017)","noteIndex":0},"citationItems":[{"id":1925,"uris":["http://zotero.org/users/local/QcSA6amT/items/4A6CFAUU"],"uri":["http://zotero.org/users/local/QcSA6amT/items/4A6CFAUU"],"itemData":{"id":1925,"type":"article-journal","abstract":"Objective\nTo investigate potential antioxidant, antimicrobial, cytotoxic and analgesic activities of ethanolic extract of Mentha arvensis L. in different in vivo and in vitro experimental models.\nMethods\nIn vitro DPPH radical scavenging assay was used to evaluate the antioxidant activity of the plant extract. In vivo analgesic activity was carried out by acetic acid-induced writhing test in Swiss albino mice. All studies in mice were undertaken at the doses of 250 and 500 mg/kg body weight. Antibacterial activity was studied by disk diffusion assay against some Gram-positive and Gram-negative bacterial strains. Brine shrimp lethality assay was used to investigate cytotoxicity effects of the plant extract.\nResults\nThe extract showed free radical scavenging activity in the DPPH assay (IC50</w:instrText>
      </w:r>
      <w:r w:rsidR="009364F5" w:rsidRPr="00754A1D">
        <w:rPr>
          <w:rFonts w:ascii="Cambria Math" w:hAnsi="Cambria Math" w:cs="Cambria Math"/>
          <w:bCs/>
          <w:sz w:val="24"/>
          <w:szCs w:val="24"/>
          <w:lang w:val="en-US"/>
        </w:rPr>
        <w:instrText>∼</w:instrText>
      </w:r>
      <w:r w:rsidR="009364F5" w:rsidRPr="00754A1D">
        <w:rPr>
          <w:rFonts w:ascii="Times New Roman" w:hAnsi="Times New Roman" w:cs="Times New Roman"/>
          <w:bCs/>
          <w:sz w:val="24"/>
          <w:szCs w:val="24"/>
          <w:lang w:val="en-US"/>
        </w:rPr>
        <w:instrText>41 μg/mL) compared to the standard antioxidant ascorbic acid (IC50</w:instrText>
      </w:r>
      <w:r w:rsidR="009364F5" w:rsidRPr="00754A1D">
        <w:rPr>
          <w:rFonts w:ascii="Cambria Math" w:hAnsi="Cambria Math" w:cs="Cambria Math"/>
          <w:bCs/>
          <w:sz w:val="24"/>
          <w:szCs w:val="24"/>
          <w:lang w:val="en-US"/>
        </w:rPr>
        <w:instrText>∼</w:instrText>
      </w:r>
      <w:r w:rsidR="009364F5" w:rsidRPr="00754A1D">
        <w:rPr>
          <w:rFonts w:ascii="Times New Roman" w:hAnsi="Times New Roman" w:cs="Times New Roman"/>
          <w:bCs/>
          <w:sz w:val="24"/>
          <w:szCs w:val="24"/>
          <w:lang w:val="en-US"/>
        </w:rPr>
        <w:instrText xml:space="preserve">19 μg/mL). The extract also produced prominent antimicrobial activity against Salmonella typhi, Salmonella paratyphi, Shigella boydii, Streptococcus pyogenes and Streptococcus aureus compared to standard drug kanamycin at the dose of 30 μg/disc. The extract exhibited lethality against the brine shrimp nauplii with the LC50 values of 40 μg/mL, and also 90% mortality (LC90) value was found to be 160 μg/mL. In analgesic test, the extract demonstrated statistically significant (P&lt;0.01) analgesic effect in acetic acid induced writhing in white albino mice at both dose levels.\nConclusions\nThese results suggest that the ethanolic extract of Mentha arvensis L. has potential antioxidant, antibacterial, cytotoxic and analgesic activities that support the ethnopharmacological uses of this plant.","container-title":"Asian Pacific Journal of Tropical Biomedicine","DOI":"10.12980/APJTB.4.2014C1298","ISSN":"2221-1691","issue":"10","journalAbbreviation":"Asian Pacific Journal of Tropical Biomedicine","language":"en","page":"792-797","source":"ScienceDirect","title":"Antioxidant, antimicrobial, cytotoxic and analgesic activities of ethanolic extract of Mentha arvensis L.","volume":"4","author":[{"family":"Biswas","given":"Nripendra Nath"},{"family":"Saha","given":"Subarna"},{"family":"Ali","given":"Mohammed Khadem"}],"issued":{"date-parts":[["2014",10,1]]}}},{"id":1924,"uris":["http://zotero.org/users/local/QcSA6amT/items/QVZ9LVY9"],"uri":["http://zotero.org/users/local/QcSA6amT/items/QVZ9LVY9"],"itemData":{"id":1924,"type":"article-journal","abstract":"Plant extracts and essential oils (EOs) are characterized by their antibacterial properties against various bacterial pathogens, including staphylococci. Some strains of these bacteria are resistant against the adverse effects of the environment including antibiotics, e. g. methicillin-resistant Staphylococcus aureus (MRSA). EOs alone cannot substitute for antibiotics but their treatment may be useful to intensify and strengthen the effects of antibiotics on pathogenic staphylococci. In this work, we tested the antibacterial effects of the essential oils of Mentha species with menthol as one of the effective substances against different strains of S. aureus. Two in vitro methods were used, the qualitative disc diffusion assay and the quantitative minimal inhibitory concentration (MIC) of selected essential oils. Peppermint oil from Mentha piperita, spearmint oil from Mentha spicata var. crispa and cornmint oil from Mentha arvensis were tested in this study against the various strains of Staphylococcus aureus, including methicillin resistant Staphylococcus aureus (MRSA). The oils were dissolved in DMSO (dimethyl sulfoxide) and diluted at the following ratios: 1 : 1, 1 : 2, 1 : 5, and 1 : 10. Based on the results determined by the agar disc diffusion test, the highest antibacterial properties were observed in spearmint oil against S. aureus CCM 4223 at 1 : 2 ratio where the inhibition zone varied at a range of 35.67 ± 6.81 mm. We determined also the MIC of all the oils where concentrations of the oils were as follows: 1 %; 0.5 %; 0.25 %; 0.125 % and 0.0625 %. The lowest concentrations of essential oils that possessed inhibitory effects on the growth of S. aureus varied between 0.125 % and 0.25 %.","container-title":"Folia Veterinaria","DOI":"10.1515/fv-2017-0030","issue":"3","page":"71–77","source":"DeGruyter","title":"In vitro Antibacterial Activity of Mentha Essential Oils Against Staphylococcus aureus","volume":"61","author":[{"family":"Horváth","given":"P."},{"family":"Koščová","given":"J."}],"issued":{"date-parts":[["2017"]]}}}],"schema":"https://github.com/citation-style-language/schema/raw/master/csl-citation.json"} </w:instrText>
      </w:r>
      <w:r w:rsidR="004546CC" w:rsidRPr="00754A1D">
        <w:rPr>
          <w:rFonts w:ascii="Times New Roman" w:hAnsi="Times New Roman" w:cs="Times New Roman"/>
          <w:bCs/>
          <w:sz w:val="24"/>
          <w:szCs w:val="24"/>
          <w:lang w:val="en-US"/>
        </w:rPr>
        <w:fldChar w:fldCharType="separate"/>
      </w:r>
      <w:r w:rsidR="00923654" w:rsidRPr="00754A1D">
        <w:rPr>
          <w:rFonts w:ascii="Times New Roman" w:hAnsi="Times New Roman" w:cs="Times New Roman"/>
          <w:sz w:val="24"/>
          <w:szCs w:val="24"/>
          <w:lang w:val="en-US"/>
        </w:rPr>
        <w:t>(Biswas et al. 2014; Horváth and Koščová 2017)</w:t>
      </w:r>
      <w:r w:rsidR="004546CC" w:rsidRPr="00754A1D">
        <w:rPr>
          <w:rFonts w:ascii="Times New Roman" w:hAnsi="Times New Roman" w:cs="Times New Roman"/>
          <w:bCs/>
          <w:sz w:val="24"/>
          <w:szCs w:val="24"/>
          <w:lang w:val="en-US"/>
        </w:rPr>
        <w:fldChar w:fldCharType="end"/>
      </w:r>
      <w:r w:rsidR="00B739EB" w:rsidRPr="00754A1D">
        <w:rPr>
          <w:rFonts w:ascii="Times New Roman" w:hAnsi="Times New Roman" w:cs="Times New Roman"/>
          <w:bCs/>
          <w:sz w:val="24"/>
          <w:szCs w:val="24"/>
          <w:lang w:val="en-US"/>
        </w:rPr>
        <w:t xml:space="preserve">, antifungal effects </w:t>
      </w:r>
      <w:r w:rsidR="00B739EB"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{"citationID":"sPvYCQNl","properties":{"formattedCitation":"(Varma and Dubey 2001; Kumar et al. 2007, 2009)","plainCitation":"(Varma and Dubey 2001; Kumar et al. 2007, 2009)","noteIndex":0},"citationItems":[{"id":1912,"uris":["http://zotero.org/users/local/QcSA6amT/items/JLU683Z3"],"uri":["http://zotero.org/users/local/QcSA6amT/items/JLU683Z3"],"itemData":{"id":1912,"type":"article-journal","abstract":"The essential oils of Caesulia axillaris and Mentha arvensis have been tested for their fumigant activity in the management of biodeterioration of stored wheat samples by Aspergillus flavus and the insect pests, Sitophilus oryzae and Tribolium castaneum, at 1300 and 600 ppm, respectively. The findings indicate the efficacy of the oils as potent fumigants for management of the biodeterioration of stored wheat samples. The oils also controlled the blue mould rot of oranges caused by Penicillium italicum and enhanced the market life of the oranges for a considerable period, showing their efficacy as postharvest fungicides of higher plant origin.","container-title":"International Journal of Food Microbiology","DOI":"10.1016/S0168-1605(01)00506-2","ISSN":"0168-1605","issue":"3","journalAbbreviation":"International Journal of Food Microbiology","language":"en","page":"207-210","source":"ScienceDirect","title":"Efficacy of essential oils of Caesulia axillaris and Mentha arvensis against some storage pests causing biodeterioration of food commodities","volume":"68","author":[{"family":"Varma","given":"Jaya"},{"family":"Dubey","given":"N. K"}],"issued":{"date-parts":[["2001",9,1]]}}},{"id":1932,"uris":["http://zotero.org/users/local/QcSA6amT/items/94AIBFTX"],"uri":["http://zotero.org/users/local/QcSA6amT/items/94AIBFTX"],"itemData":{"id":1932,"type":"article-journal","abstract":"Essential oils from different parts of 18 plants belonging to 11 families were extracted and tested against two toxigenic strains of Aspergillus flavus Link through the poisoned food technique. The oil of Mentha arvensis was found to be effective against both strains of A. flavus and completely stopped the radial mycelial growth of A. flavus at 0.10 mg mL−1. It was found to be superior over the synthetic fungicides tested and showed a broad fungitoxic spectrum against A. niger, A. fumigatus, Botryodiplodia theobromae, Cladosporium cladosporioides, Fusarium oxysporum, Helminthosporium oryzae, Macrophomina phaseolina and Sclerotium rolfsii at 0.10 mg mL−1. The oil completely inhibited the aflatoxin B1 production by the toxigenic strain of A. flavus at 0.05 mg mL−1. Moreover, the Mentha oil also exhibited potent antioxidant activity in 2,2′-azino-bis-3-ethylbenzothiazoline-6-sulphuric acid (ABTS) bioassay. Keeping in mind the side effects of synthetic pesticides and the global interest in botanical pesticides for plant protection due to their biodegradable nature, M. arvensis oil may be used as a botanical fungitoxicant against fungal attack to stored food commodities. The antiaflatoxigenic and antioxidant nature of the oil suggest the possibility of its exploitation for enhancing the shelf life of stored food commodities. Copyright © 2007 Society of Chemical Industry","container-title":"Journal of the Science of Food and Agriculture","DOI":"10.1002/jsfa.2906","ISSN":"1097-0010","issue":"9","language":"en","page":"1737-1742","source":"Wiley Online Library","title":"Evaluation of some essential oils as botanical fungitoxicants for the protection of stored food commodities from fungal infestation","volume":"87","author":[{"family":"Kumar","given":"Rajesh"},{"family":"Dubey","given":"Nawal K."},{"family":"Tiwari","given":"Om P."},{"family":"Tripathi","given":"Yamini B."},{"family":"Sinha","given":"Kauskal K."}],"issued":{"date-parts":[["2007"]]}}},{"id":1911,"uris":["http://zotero.org/users/local/QcSA6amT/items/KMMSZ8LB"],"uri":["http://zotero.org/users/local/QcSA6amT/items/KMMSZ8LB"],"itemData":{"id":1911,"type":"article-journal","abstract":"BACKGROUND: Fungal contamination and Callosobruchus infestation results in qualitative and quantitative losses of chickpea seeds during storage. Most of the synthetic chemicals used as preservatives have adverse effects. Therefore, the antifungal and insecticidal potential of Mentha arvensis essential oil was evaluated to determine whether this could be an eco-friendly substitute of synthetic preservatives. RESULTS: The stored chickpea seeds were dominated by Aspergillus flavus (46.1%) and 30% isolates among them were found toxigenic. The MIC of Mentha oil against A. flavus was recorded at 400 µL L−1 and it exhibited broad fungitoxic activity against 14 storage fungi. The oil was found superior to some prevalent synthetic fungicides. Mentha oil showed potent insecticidal activity against Callosobruchus chinensis at different concentrations and exposure times. The oviposition by C. chinensis was completely checked at 10 µL L−1 while F1 emergence was completely inhibited at 200 µL L−1. During in situ experiments, 94.05% protection of the chickpea from C. chinensis by Mentha oil showed superiority over the organophosphate insecticide malathion, where 90.75% protection was recorded. CONCLUSION: The Mentha EO showing potent fungitoxic and insecticidal efficacy and may be recommended as a plant-based preservative in the management of fungal and insect infestation of chickpea and other pulses during storage. Copyright © 2009 Society of Chemical Industry","container-title":"Journal of the Science of Food and Agriculture","DOI":"10.1002/jsfa.3768","ISSN":"1097-0010","issue":"15","language":"en","page":"2643-2649","source":"Wiley Online Library","title":"Use of essential oil from Mentha arvensis L. to control storage moulds and insects in stored chickpea","volume":"89","author":[{"family":"Kumar","given":"Ashok"},{"family":"Shukla","given":"Ravindra"},{"family":"Singh","given":"Priyanka"},{"family":"Singh","given":"Amit K."},{"family":"Dubey","given":"Nawal K."}],"issued":{"date-parts":[["2009"]]}}}],"schema":"https://github.com/citation-style-language/schema/raw/master/csl-citation.json"} </w:instrText>
      </w:r>
      <w:r w:rsidR="00B739EB" w:rsidRPr="00754A1D">
        <w:rPr>
          <w:rFonts w:ascii="Times New Roman" w:hAnsi="Times New Roman" w:cs="Times New Roman"/>
          <w:bCs/>
          <w:sz w:val="24"/>
          <w:szCs w:val="24"/>
          <w:lang w:val="en-US"/>
        </w:rPr>
        <w:fldChar w:fldCharType="separate"/>
      </w:r>
      <w:r w:rsidR="00923654" w:rsidRPr="00754A1D">
        <w:rPr>
          <w:rFonts w:ascii="Times New Roman" w:hAnsi="Times New Roman" w:cs="Times New Roman"/>
          <w:sz w:val="24"/>
          <w:lang w:val="en-US"/>
        </w:rPr>
        <w:t>(Varma and Dubey 2001; Kumar et al. 2007, 2009)</w:t>
      </w:r>
      <w:r w:rsidR="00B739EB" w:rsidRPr="00754A1D">
        <w:rPr>
          <w:rFonts w:ascii="Times New Roman" w:hAnsi="Times New Roman" w:cs="Times New Roman"/>
          <w:bCs/>
          <w:sz w:val="24"/>
          <w:szCs w:val="24"/>
          <w:lang w:val="en-US"/>
        </w:rPr>
        <w:fldChar w:fldCharType="end"/>
      </w:r>
      <w:r w:rsidR="004546CC" w:rsidRPr="00754A1D">
        <w:rPr>
          <w:rFonts w:ascii="Times New Roman" w:hAnsi="Times New Roman" w:cs="Times New Roman"/>
          <w:bCs/>
          <w:sz w:val="24"/>
          <w:szCs w:val="24"/>
          <w:lang w:val="en-US"/>
        </w:rPr>
        <w:t xml:space="preserve"> and </w:t>
      </w:r>
      <w:r w:rsidR="004F4090" w:rsidRPr="00754A1D">
        <w:rPr>
          <w:rFonts w:ascii="Times New Roman" w:hAnsi="Times New Roman" w:cs="Times New Roman"/>
          <w:bCs/>
          <w:sz w:val="24"/>
          <w:szCs w:val="24"/>
          <w:lang w:val="en-US"/>
        </w:rPr>
        <w:t xml:space="preserve">adulticidal activity </w:t>
      </w:r>
      <w:r w:rsidR="00BF0BC9" w:rsidRPr="00754A1D">
        <w:rPr>
          <w:rFonts w:ascii="Times New Roman" w:hAnsi="Times New Roman" w:cs="Times New Roman"/>
          <w:bCs/>
          <w:sz w:val="24"/>
          <w:szCs w:val="24"/>
          <w:lang w:val="en-US"/>
        </w:rPr>
        <w:t xml:space="preserve">on </w:t>
      </w:r>
      <w:r w:rsidR="004F4090" w:rsidRPr="00754A1D">
        <w:rPr>
          <w:rFonts w:ascii="Times New Roman" w:hAnsi="Times New Roman" w:cs="Times New Roman"/>
          <w:bCs/>
          <w:sz w:val="24"/>
          <w:szCs w:val="24"/>
          <w:lang w:val="en-US"/>
        </w:rPr>
        <w:t>the</w:t>
      </w:r>
      <w:r w:rsidR="009A2840" w:rsidRPr="00754A1D">
        <w:rPr>
          <w:rFonts w:ascii="Times New Roman" w:hAnsi="Times New Roman" w:cs="Times New Roman"/>
          <w:bCs/>
          <w:sz w:val="24"/>
          <w:szCs w:val="24"/>
          <w:lang w:val="en-US"/>
        </w:rPr>
        <w:t xml:space="preserve"> </w:t>
      </w:r>
      <w:r w:rsidR="00E15AFB" w:rsidRPr="00754A1D">
        <w:rPr>
          <w:rFonts w:ascii="Times New Roman" w:hAnsi="Times New Roman" w:cs="Times New Roman"/>
          <w:bCs/>
          <w:sz w:val="24"/>
          <w:szCs w:val="24"/>
          <w:lang w:val="en-US"/>
        </w:rPr>
        <w:t>storage pest</w:t>
      </w:r>
      <w:r w:rsidR="004F4090" w:rsidRPr="00754A1D">
        <w:rPr>
          <w:rFonts w:ascii="Times New Roman" w:hAnsi="Times New Roman" w:cs="Times New Roman"/>
          <w:bCs/>
          <w:sz w:val="24"/>
          <w:szCs w:val="24"/>
          <w:lang w:val="en-US"/>
        </w:rPr>
        <w:t xml:space="preserve">s </w:t>
      </w:r>
      <w:proofErr w:type="spellStart"/>
      <w:r w:rsidR="004F4090" w:rsidRPr="00754A1D">
        <w:rPr>
          <w:rFonts w:ascii="Times New Roman" w:hAnsi="Times New Roman" w:cs="Times New Roman"/>
          <w:bCs/>
          <w:i/>
          <w:sz w:val="24"/>
          <w:szCs w:val="24"/>
          <w:lang w:val="en-US"/>
        </w:rPr>
        <w:t>Tribolium</w:t>
      </w:r>
      <w:proofErr w:type="spellEnd"/>
      <w:r w:rsidR="004F4090" w:rsidRPr="00754A1D">
        <w:rPr>
          <w:rFonts w:ascii="Times New Roman" w:hAnsi="Times New Roman" w:cs="Times New Roman"/>
          <w:bCs/>
          <w:i/>
          <w:sz w:val="24"/>
          <w:szCs w:val="24"/>
          <w:lang w:val="en-US"/>
        </w:rPr>
        <w:t xml:space="preserve"> </w:t>
      </w:r>
      <w:proofErr w:type="spellStart"/>
      <w:r w:rsidR="004F4090" w:rsidRPr="00754A1D">
        <w:rPr>
          <w:rFonts w:ascii="Times New Roman" w:hAnsi="Times New Roman" w:cs="Times New Roman"/>
          <w:bCs/>
          <w:i/>
          <w:sz w:val="24"/>
          <w:szCs w:val="24"/>
          <w:lang w:val="en-US"/>
        </w:rPr>
        <w:t>castaneum</w:t>
      </w:r>
      <w:proofErr w:type="spellEnd"/>
      <w:r w:rsidR="004F4090" w:rsidRPr="00754A1D">
        <w:rPr>
          <w:rFonts w:ascii="Times New Roman" w:hAnsi="Times New Roman" w:cs="Times New Roman"/>
          <w:bCs/>
          <w:i/>
          <w:sz w:val="24"/>
          <w:szCs w:val="24"/>
          <w:lang w:val="en-US"/>
        </w:rPr>
        <w:t xml:space="preserve"> </w:t>
      </w:r>
      <w:r w:rsidR="003F703F" w:rsidRPr="00754A1D">
        <w:rPr>
          <w:rFonts w:ascii="Times New Roman" w:hAnsi="Times New Roman" w:cs="Times New Roman"/>
          <w:bCs/>
          <w:sz w:val="24"/>
          <w:szCs w:val="24"/>
          <w:lang w:val="en-US"/>
        </w:rPr>
        <w:t xml:space="preserve">and </w:t>
      </w:r>
      <w:r w:rsidR="003F703F" w:rsidRPr="00754A1D">
        <w:rPr>
          <w:rFonts w:ascii="Times New Roman" w:hAnsi="Times New Roman" w:cs="Times New Roman"/>
          <w:bCs/>
          <w:i/>
          <w:sz w:val="24"/>
          <w:szCs w:val="24"/>
          <w:lang w:val="en-US"/>
        </w:rPr>
        <w:t>S</w:t>
      </w:r>
      <w:r w:rsidR="004F4090" w:rsidRPr="00754A1D">
        <w:rPr>
          <w:rFonts w:ascii="Times New Roman" w:hAnsi="Times New Roman" w:cs="Times New Roman"/>
          <w:bCs/>
          <w:i/>
          <w:sz w:val="24"/>
          <w:szCs w:val="24"/>
          <w:lang w:val="en-US"/>
        </w:rPr>
        <w:t>itophilus</w:t>
      </w:r>
      <w:r w:rsidR="003F703F" w:rsidRPr="00754A1D">
        <w:rPr>
          <w:rFonts w:ascii="Times New Roman" w:hAnsi="Times New Roman" w:cs="Times New Roman"/>
          <w:bCs/>
          <w:i/>
          <w:sz w:val="24"/>
          <w:szCs w:val="24"/>
          <w:lang w:val="en-US"/>
        </w:rPr>
        <w:t xml:space="preserve"> </w:t>
      </w:r>
      <w:proofErr w:type="spellStart"/>
      <w:r w:rsidR="003F703F" w:rsidRPr="00754A1D">
        <w:rPr>
          <w:rFonts w:ascii="Times New Roman" w:hAnsi="Times New Roman" w:cs="Times New Roman"/>
          <w:bCs/>
          <w:i/>
          <w:sz w:val="24"/>
          <w:szCs w:val="24"/>
          <w:lang w:val="en-US"/>
        </w:rPr>
        <w:t>ozyzae</w:t>
      </w:r>
      <w:proofErr w:type="spellEnd"/>
      <w:r w:rsidR="004F4090" w:rsidRPr="00754A1D">
        <w:rPr>
          <w:rFonts w:ascii="Times New Roman" w:hAnsi="Times New Roman" w:cs="Times New Roman"/>
          <w:bCs/>
          <w:sz w:val="24"/>
          <w:szCs w:val="24"/>
          <w:lang w:val="en-US"/>
        </w:rPr>
        <w:t xml:space="preserve">, both by contact and by fumigation </w:t>
      </w:r>
      <w:r w:rsidR="00434F4C"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{"citationID":"or6mYneU","properties":{"formattedCitation":"(Tripathi et al. 2000; Aggarwal et al. 2001; Mishra et al. 2012)","plainCitation":"(Tripathi et al. 2000; Aggarwal et al. 2001; Mishra et al. 2012)","noteIndex":0},"citationItems":[{"id":1920,"uris":["http://zotero.org/users/local/QcSA6amT/items/YN7L6J4X"],"uri":["http://zotero.org/users/local/QcSA6amT/items/YN7L6J4X"],"itemData":{"id":1920,"type":"article-journal","abstract":"Essential oils of Mentha arvensis, M. citrata [M. piperita var. citrata], M. piperita and M. spicata and their fractions rich in menthone, menthol, linalool, linalyl acetate, menthofuran, limonene and l-carvone were tested for their fumigant toxicity against flour beetle (Tribolium castaneum) and pulse beetle (Callosobruchus maculatus) and repellent, contact toxicity and development inhibition...","container-title":"Journal of Medicinal and Aromatic Plant Sciences","ISSN":"0253-7125","issue":"1B","language":"English","page":"549-556","source":"www.cabdirect.org","title":"Effect of volatile oil constituents of Mentha species against the stored grain pests, Callosobruchus maculatus and Tribolium castaneum.","volume":"22","author":[{"family":"Tripathi","given":"A. K."},{"family":"Prajapati","given":"Veena"},{"family":"Aggarwal","given":"K. K."},{"family":"Kumar","given":"Sushil"}],"issued":{"date-parts":[["2000"]]}}},{"id":1922,"uris":["http://zotero.org/users/local/QcSA6amT/items/KKK7CSKU"],"uri":["http://zotero.org/users/local/QcSA6amT/items/KKK7CSKU"],"itemData":{"id":1922,"type":"article-journal","abstract":"l-menthol isolated from the essential oil of Mentha arvensis and seven of its acyl derivatives were tested for contact and vapour toxicity, and ovicidal and repellent activity against the storage pests Callosobruchus maculatus F., Rhyzopertha dominica F., Sitophilus oryzae L. and Tribolium castaneum Herbst. Menthyl propionate and l-menthol were highly toxic in contact assays and vapour toxicity assays respectively. l-menthol was also found to be strongly repellent (82–100% at 0.353 μg/cm2 dose) against all the insects, while menthyl acetate was highly ovicidal against T. castaneum., Le l-menthol isolé de l'huile essentielle de Mentha arvensis et sept de ses dérivés acétylés ont été testés pour leur toxicité de contact et fumigène et leur activité ovicide et répulsive vis à vis des ravageurs des stocks Callosobruchus maculatus F., Rhyzopertha dominica F., Sitophilus oryzae L. et Tribolium castaneum Herbst. Le propionate de menthyl et le l-menthol ont été hautement toxiques lors des essais par contact et par fumigation. Le l-menthol a été également fortement répulsif (82–100% à la dose de 0,353 mg/cm2) contre tous les insectes, alors que l'acétate de menthyl a été hautement ovicide contre T. castaneum.","container-title":"International Journal of Tropical Insect Science","DOI":"10.1017/S1742758400007621","ISSN":"0191-9040","issue":"3","language":"en","page":"229-235","source":"Cambridge Core","title":"Toxicity of l-menthol and its derivatives against four storage insects","volume":"21","author":[{"family":"Aggarwal","given":"K. K."},{"family":"Tripathi","given":"A. K."},{"family":"Ahmad","given":"Ateeque"},{"family":"Prajapati","given":"Veena"},{"family":"Verma","given":"Neetu"},{"family":"Kumar","given":"Sushil"}],"issued":{"date-parts":[["2001",9]]}}},{"id":1935,"uris":["http://zotero.org/users/local/QcSA6amT/items/SPQ929LZ"],"uri":["http://zotero.org/users/local/QcSA6amT/items/SPQ929LZ"],"itemData":{"id":1935,"type":"article-journal","abstract":"The essential oil of Mentha arvensis L. was extracted by water distillation method and the insecticidal properties of M. arvensis were evaluated under laboratory conditions. The oil showed repellency and toxicity against T. castaneum (Coleoptera: Tenebrionidae) and S. oryzae (Coleoptera: Curculionidae). The result revealed that this essential oil strongly repels T. castaneum and S. oryzae even at low concentration, but its repellency was more marked towards S. oryzae. The essential oil of M. arvensis showed toxic effects against insect pests. The toxicity of newly molted 4th instars larvae of T. castaneum and 10-day-old-adults of T. castaneum and S. oryzae increased with concentration from 15 to 30 μL/100 μL and with exposure time 24 to 48 h. The LC50 against the larvae of T. castaneum was 18.685 μL at 48 h exposure. The LC50 against T. castaneum and S. oryzae adults were 22.759 μL and 21.788 μL at 48 h exposure, respectively.","container-title":"Biological Agriculture &amp; Horticulture","DOI":"10.1080/01448765.2012.662792","ISSN":"0144-8765","issue":"1","page":"34-40","source":"Taylor and Francis+NEJM","title":"Response of Tribolium castaneum (Coleoptera: Tenebrionidae) and Sitophilus oryzae (Coleoptera: Curculionidae) to potential insecticide derived from essential oil of Mentha arvensis leaves","title-short":"Response of Tribolium castaneum (Coleoptera","volume":"28","author":[{"family":"Mishra","given":"Bhuwan Bhaskar"},{"family":"Tripathi","given":"S. P."},{"family":"Tripathi","given":"C. P. M."}],"issued":{"date-parts":[["2012",3,1]]}}}],"schema":"https://github.com/citation-style-language/schema/raw/master/csl-citation.json"} </w:instrText>
      </w:r>
      <w:r w:rsidR="00434F4C" w:rsidRPr="00754A1D">
        <w:rPr>
          <w:rFonts w:ascii="Times New Roman" w:hAnsi="Times New Roman" w:cs="Times New Roman"/>
          <w:bCs/>
          <w:sz w:val="24"/>
          <w:szCs w:val="24"/>
          <w:lang w:val="en-US"/>
        </w:rPr>
        <w:fldChar w:fldCharType="separate"/>
      </w:r>
      <w:r w:rsidR="00434F4C" w:rsidRPr="00754A1D">
        <w:rPr>
          <w:rFonts w:ascii="Times New Roman" w:hAnsi="Times New Roman" w:cs="Times New Roman"/>
          <w:sz w:val="24"/>
          <w:lang w:val="en-US"/>
        </w:rPr>
        <w:t>(Tripathi et al. 2000; Aggarwal et al. 2001; Mishra et al. 2012)</w:t>
      </w:r>
      <w:r w:rsidR="00434F4C" w:rsidRPr="00754A1D">
        <w:rPr>
          <w:rFonts w:ascii="Times New Roman" w:hAnsi="Times New Roman" w:cs="Times New Roman"/>
          <w:bCs/>
          <w:sz w:val="24"/>
          <w:szCs w:val="24"/>
          <w:lang w:val="en-US"/>
        </w:rPr>
        <w:fldChar w:fldCharType="end"/>
      </w:r>
      <w:r w:rsidR="00434F4C" w:rsidRPr="00754A1D">
        <w:rPr>
          <w:rFonts w:ascii="Times New Roman" w:hAnsi="Times New Roman" w:cs="Times New Roman"/>
          <w:bCs/>
          <w:sz w:val="24"/>
          <w:szCs w:val="24"/>
          <w:lang w:val="en-US"/>
        </w:rPr>
        <w:t xml:space="preserve">. </w:t>
      </w:r>
      <w:r w:rsidR="009A2840" w:rsidRPr="00754A1D">
        <w:rPr>
          <w:rFonts w:ascii="Times New Roman" w:hAnsi="Times New Roman" w:cs="Times New Roman"/>
          <w:bCs/>
          <w:sz w:val="24"/>
          <w:szCs w:val="24"/>
          <w:lang w:val="en-US"/>
        </w:rPr>
        <w:t xml:space="preserve">Our results confirmed </w:t>
      </w:r>
      <w:r w:rsidR="002A555A" w:rsidRPr="00754A1D">
        <w:rPr>
          <w:rFonts w:ascii="Times New Roman" w:hAnsi="Times New Roman" w:cs="Times New Roman"/>
          <w:bCs/>
          <w:sz w:val="24"/>
          <w:szCs w:val="24"/>
          <w:lang w:val="en-US"/>
        </w:rPr>
        <w:t xml:space="preserve">the </w:t>
      </w:r>
      <w:r w:rsidR="00F11524" w:rsidRPr="00754A1D">
        <w:rPr>
          <w:rFonts w:ascii="Times New Roman" w:hAnsi="Times New Roman" w:cs="Times New Roman"/>
          <w:bCs/>
          <w:sz w:val="24"/>
          <w:szCs w:val="24"/>
          <w:lang w:val="en-US"/>
        </w:rPr>
        <w:t>insecticidal activity</w:t>
      </w:r>
      <w:r w:rsidR="002A555A" w:rsidRPr="00754A1D">
        <w:rPr>
          <w:rFonts w:ascii="Times New Roman" w:hAnsi="Times New Roman" w:cs="Times New Roman"/>
          <w:bCs/>
          <w:sz w:val="24"/>
          <w:szCs w:val="24"/>
          <w:lang w:val="en-US"/>
        </w:rPr>
        <w:t xml:space="preserve"> of </w:t>
      </w:r>
      <w:r w:rsidR="009A2840" w:rsidRPr="00754A1D">
        <w:rPr>
          <w:rFonts w:ascii="Times New Roman" w:hAnsi="Times New Roman" w:cs="Times New Roman"/>
          <w:bCs/>
          <w:i/>
          <w:sz w:val="24"/>
          <w:szCs w:val="24"/>
          <w:lang w:val="en-US"/>
        </w:rPr>
        <w:t>M. arvensis</w:t>
      </w:r>
      <w:r w:rsidR="009A2840" w:rsidRPr="00754A1D">
        <w:rPr>
          <w:rFonts w:ascii="Times New Roman" w:hAnsi="Times New Roman" w:cs="Times New Roman"/>
          <w:bCs/>
          <w:sz w:val="24"/>
          <w:szCs w:val="24"/>
          <w:lang w:val="en-US"/>
        </w:rPr>
        <w:t xml:space="preserve"> </w:t>
      </w:r>
      <w:r w:rsidR="002A555A" w:rsidRPr="00754A1D">
        <w:rPr>
          <w:rFonts w:ascii="Times New Roman" w:hAnsi="Times New Roman" w:cs="Times New Roman"/>
          <w:bCs/>
          <w:sz w:val="24"/>
          <w:szCs w:val="24"/>
          <w:lang w:val="en-US"/>
        </w:rPr>
        <w:t>EO</w:t>
      </w:r>
      <w:r w:rsidR="009A2840" w:rsidRPr="00754A1D">
        <w:rPr>
          <w:rFonts w:ascii="Times New Roman" w:hAnsi="Times New Roman" w:cs="Times New Roman"/>
          <w:bCs/>
          <w:sz w:val="24"/>
          <w:szCs w:val="24"/>
          <w:lang w:val="en-US"/>
        </w:rPr>
        <w:t xml:space="preserve"> on </w:t>
      </w:r>
      <w:r w:rsidR="009A2840" w:rsidRPr="00754A1D">
        <w:rPr>
          <w:rFonts w:ascii="Times New Roman" w:hAnsi="Times New Roman" w:cs="Times New Roman"/>
          <w:bCs/>
          <w:i/>
          <w:sz w:val="24"/>
          <w:szCs w:val="24"/>
          <w:lang w:val="en-US"/>
        </w:rPr>
        <w:t xml:space="preserve">S. </w:t>
      </w:r>
      <w:proofErr w:type="spellStart"/>
      <w:r w:rsidR="009A2840" w:rsidRPr="00754A1D">
        <w:rPr>
          <w:rFonts w:ascii="Times New Roman" w:hAnsi="Times New Roman" w:cs="Times New Roman"/>
          <w:bCs/>
          <w:i/>
          <w:sz w:val="24"/>
          <w:szCs w:val="24"/>
          <w:lang w:val="en-US"/>
        </w:rPr>
        <w:t>granarius</w:t>
      </w:r>
      <w:proofErr w:type="spellEnd"/>
      <w:r w:rsidR="009A2840" w:rsidRPr="00754A1D">
        <w:rPr>
          <w:rFonts w:ascii="Times New Roman" w:hAnsi="Times New Roman" w:cs="Times New Roman"/>
          <w:bCs/>
          <w:sz w:val="24"/>
          <w:szCs w:val="24"/>
          <w:lang w:val="en-US"/>
        </w:rPr>
        <w:t xml:space="preserve"> adults. </w:t>
      </w:r>
      <w:r w:rsidR="002D09EC" w:rsidRPr="00754A1D">
        <w:rPr>
          <w:rFonts w:ascii="Times New Roman" w:hAnsi="Times New Roman" w:cs="Times New Roman"/>
          <w:bCs/>
          <w:sz w:val="24"/>
          <w:szCs w:val="24"/>
          <w:lang w:val="en-US"/>
        </w:rPr>
        <w:t xml:space="preserve">However, </w:t>
      </w:r>
      <w:r w:rsidR="00615136" w:rsidRPr="00754A1D">
        <w:rPr>
          <w:rFonts w:ascii="Times New Roman" w:hAnsi="Times New Roman" w:cs="Times New Roman"/>
          <w:bCs/>
          <w:sz w:val="24"/>
          <w:szCs w:val="24"/>
          <w:lang w:val="en-US"/>
        </w:rPr>
        <w:t>i</w:t>
      </w:r>
      <w:r w:rsidR="00F11524" w:rsidRPr="00754A1D">
        <w:rPr>
          <w:rFonts w:ascii="Times New Roman" w:hAnsi="Times New Roman" w:cs="Times New Roman"/>
          <w:bCs/>
          <w:sz w:val="24"/>
          <w:szCs w:val="24"/>
          <w:lang w:val="en-US"/>
        </w:rPr>
        <w:t xml:space="preserve">t is important to keep in mind that </w:t>
      </w:r>
      <w:r w:rsidR="002A555A" w:rsidRPr="00754A1D">
        <w:rPr>
          <w:rFonts w:ascii="Times New Roman" w:hAnsi="Times New Roman" w:cs="Times New Roman"/>
          <w:bCs/>
          <w:sz w:val="24"/>
          <w:szCs w:val="24"/>
          <w:lang w:val="en-US"/>
        </w:rPr>
        <w:t>the</w:t>
      </w:r>
      <w:r w:rsidR="00D217AE" w:rsidRPr="00754A1D">
        <w:rPr>
          <w:rFonts w:ascii="Times New Roman" w:hAnsi="Times New Roman" w:cs="Times New Roman"/>
          <w:bCs/>
          <w:sz w:val="24"/>
          <w:szCs w:val="24"/>
          <w:lang w:val="en-US"/>
        </w:rPr>
        <w:t xml:space="preserve"> toxic properties </w:t>
      </w:r>
      <w:r w:rsidR="002A555A" w:rsidRPr="00754A1D">
        <w:rPr>
          <w:rFonts w:ascii="Times New Roman" w:hAnsi="Times New Roman" w:cs="Times New Roman"/>
          <w:bCs/>
          <w:sz w:val="24"/>
          <w:szCs w:val="24"/>
          <w:lang w:val="en-US"/>
        </w:rPr>
        <w:t>of E</w:t>
      </w:r>
      <w:r w:rsidR="00A44922" w:rsidRPr="00754A1D">
        <w:rPr>
          <w:rFonts w:ascii="Times New Roman" w:hAnsi="Times New Roman" w:cs="Times New Roman"/>
          <w:bCs/>
          <w:sz w:val="24"/>
          <w:szCs w:val="24"/>
          <w:lang w:val="en-US"/>
        </w:rPr>
        <w:t>O</w:t>
      </w:r>
      <w:r w:rsidR="002A555A" w:rsidRPr="00754A1D">
        <w:rPr>
          <w:rFonts w:ascii="Times New Roman" w:hAnsi="Times New Roman" w:cs="Times New Roman"/>
          <w:bCs/>
          <w:sz w:val="24"/>
          <w:szCs w:val="24"/>
          <w:lang w:val="en-US"/>
        </w:rPr>
        <w:t xml:space="preserve">s </w:t>
      </w:r>
      <w:r w:rsidR="00CF7D88" w:rsidRPr="00754A1D">
        <w:rPr>
          <w:rFonts w:ascii="Times New Roman" w:hAnsi="Times New Roman" w:cs="Times New Roman"/>
          <w:bCs/>
          <w:sz w:val="24"/>
          <w:szCs w:val="24"/>
          <w:lang w:val="en-US"/>
        </w:rPr>
        <w:t xml:space="preserve">strongly </w:t>
      </w:r>
      <w:r w:rsidR="002D09EC" w:rsidRPr="00754A1D">
        <w:rPr>
          <w:rFonts w:ascii="Times New Roman" w:hAnsi="Times New Roman" w:cs="Times New Roman"/>
          <w:bCs/>
          <w:sz w:val="24"/>
          <w:szCs w:val="24"/>
          <w:lang w:val="en-US"/>
        </w:rPr>
        <w:t xml:space="preserve">depend </w:t>
      </w:r>
      <w:r w:rsidR="00D217AE" w:rsidRPr="00754A1D">
        <w:rPr>
          <w:rFonts w:ascii="Times New Roman" w:hAnsi="Times New Roman" w:cs="Times New Roman"/>
          <w:bCs/>
          <w:sz w:val="24"/>
          <w:szCs w:val="24"/>
          <w:lang w:val="en-US"/>
        </w:rPr>
        <w:t xml:space="preserve">on their chemical composition, </w:t>
      </w:r>
      <w:bookmarkStart w:id="4" w:name="_Hlk65158639"/>
      <w:r w:rsidR="00D217AE" w:rsidRPr="00754A1D">
        <w:rPr>
          <w:rFonts w:ascii="Times New Roman" w:hAnsi="Times New Roman" w:cs="Times New Roman"/>
          <w:bCs/>
          <w:sz w:val="24"/>
          <w:szCs w:val="24"/>
          <w:lang w:val="en-US"/>
        </w:rPr>
        <w:t xml:space="preserve">which itself </w:t>
      </w:r>
      <w:r w:rsidR="000E2B4F" w:rsidRPr="00754A1D">
        <w:rPr>
          <w:rFonts w:ascii="Times New Roman" w:hAnsi="Times New Roman" w:cs="Times New Roman"/>
          <w:bCs/>
          <w:sz w:val="24"/>
          <w:szCs w:val="24"/>
          <w:lang w:val="en-US"/>
        </w:rPr>
        <w:t xml:space="preserve">can </w:t>
      </w:r>
      <w:r w:rsidR="00D217AE" w:rsidRPr="00754A1D">
        <w:rPr>
          <w:rFonts w:ascii="Times New Roman" w:hAnsi="Times New Roman" w:cs="Times New Roman"/>
          <w:bCs/>
          <w:sz w:val="24"/>
          <w:szCs w:val="24"/>
          <w:lang w:val="en-US"/>
        </w:rPr>
        <w:t xml:space="preserve">vary considerably depending on </w:t>
      </w:r>
      <w:r w:rsidR="007248D6" w:rsidRPr="00754A1D">
        <w:rPr>
          <w:rFonts w:ascii="Times New Roman" w:hAnsi="Times New Roman" w:cs="Times New Roman"/>
          <w:bCs/>
          <w:sz w:val="24"/>
          <w:szCs w:val="24"/>
          <w:lang w:val="en-US"/>
        </w:rPr>
        <w:t xml:space="preserve">various conditions including the genetic variations, </w:t>
      </w:r>
      <w:r w:rsidR="009F5F0F" w:rsidRPr="00754A1D">
        <w:rPr>
          <w:rFonts w:ascii="Times New Roman" w:hAnsi="Times New Roman" w:cs="Times New Roman"/>
          <w:bCs/>
          <w:sz w:val="24"/>
          <w:szCs w:val="24"/>
          <w:lang w:val="en-US"/>
        </w:rPr>
        <w:t xml:space="preserve">the extracted organ, </w:t>
      </w:r>
      <w:r w:rsidR="00905678" w:rsidRPr="00754A1D">
        <w:rPr>
          <w:rFonts w:ascii="Times New Roman" w:hAnsi="Times New Roman" w:cs="Times New Roman"/>
          <w:bCs/>
          <w:sz w:val="24"/>
          <w:szCs w:val="24"/>
          <w:lang w:val="en-US"/>
        </w:rPr>
        <w:t xml:space="preserve">the age of the </w:t>
      </w:r>
      <w:r w:rsidR="009F5F0F" w:rsidRPr="00754A1D">
        <w:rPr>
          <w:rFonts w:ascii="Times New Roman" w:hAnsi="Times New Roman" w:cs="Times New Roman"/>
          <w:bCs/>
          <w:sz w:val="24"/>
          <w:szCs w:val="24"/>
          <w:lang w:val="en-US"/>
        </w:rPr>
        <w:t xml:space="preserve">plant, </w:t>
      </w:r>
      <w:r w:rsidR="00905678" w:rsidRPr="00754A1D">
        <w:rPr>
          <w:rFonts w:ascii="Times New Roman" w:hAnsi="Times New Roman" w:cs="Times New Roman"/>
          <w:bCs/>
          <w:sz w:val="24"/>
          <w:szCs w:val="24"/>
          <w:lang w:val="en-US"/>
        </w:rPr>
        <w:t xml:space="preserve">the </w:t>
      </w:r>
      <w:r w:rsidR="009F5F0F" w:rsidRPr="00754A1D">
        <w:rPr>
          <w:rFonts w:ascii="Times New Roman" w:hAnsi="Times New Roman" w:cs="Times New Roman"/>
          <w:bCs/>
          <w:sz w:val="24"/>
          <w:szCs w:val="24"/>
          <w:lang w:val="en-US"/>
        </w:rPr>
        <w:t xml:space="preserve">geographical area and the </w:t>
      </w:r>
      <w:r w:rsidR="00D217AE" w:rsidRPr="00754A1D">
        <w:rPr>
          <w:rFonts w:ascii="Times New Roman" w:hAnsi="Times New Roman" w:cs="Times New Roman"/>
          <w:bCs/>
          <w:sz w:val="24"/>
          <w:szCs w:val="24"/>
          <w:lang w:val="en-US"/>
        </w:rPr>
        <w:t xml:space="preserve">growing conditions </w:t>
      </w:r>
      <w:bookmarkEnd w:id="4"/>
      <w:r w:rsidR="00D217AE" w:rsidRPr="00754A1D">
        <w:rPr>
          <w:rFonts w:ascii="Times New Roman" w:hAnsi="Times New Roman" w:cs="Times New Roman"/>
          <w:bCs/>
          <w:sz w:val="24"/>
          <w:szCs w:val="24"/>
          <w:lang w:val="en-US"/>
        </w:rPr>
        <w:fldChar w:fldCharType="begin"/>
      </w:r>
      <w:r w:rsidR="005676C6" w:rsidRPr="00754A1D">
        <w:rPr>
          <w:rFonts w:ascii="Times New Roman" w:hAnsi="Times New Roman" w:cs="Times New Roman"/>
          <w:bCs/>
          <w:sz w:val="24"/>
          <w:szCs w:val="24"/>
          <w:lang w:val="en-US"/>
        </w:rPr>
        <w:instrText xml:space="preserve"> ADDIN ZOTERO_ITEM CSL_CITATION {"citationID":"7UpC2S4G","properties":{"unsorted":true,"formattedCitation":"(Noudjou et al. 2007; Schaneberg and Khan 2002; Gil et al. 2002; Lo\\uc0\\u382{}ien\\uc0\\u279{} and Venskutonis 2005; Olivero\\uc0\\u8208{}Verbel et al. 2010)","plainCitation":"(Noudjou et al. 2007; Schaneberg and Khan 2002; Gil et al. 2002; Ložienė and Venskutonis 2005; Olivero‐Verbel et al. 2010)","noteIndex":0},"citationItems":[{"id":2660,"uris":["http://zotero.org/users/local/QcSA6amT/items/KXCA8KC3"],"uri":["http://zotero.org/users/local/QcSA6amT/items/KXCA8KC3"],"itemData":{"id":2660,"type":"article-journal","abstract":"Hyptis spicigera essential oils from seven localities in the North-Cameroon (Ngaoundere, Guirvidig, Kodeck, Lara, Toloum, Kaele, Tchecal-baila) were investigated by GC and GC/MS. Results showed differences within harvesting sites and between the different sites of collection but did not revealed clear tendencies in the evolution of the oil composition with regard to the sampling period. The main group of compounds in all the analyzed samples were: α-pinene (11.9%-42.1%), β-pinene + sabinene (6.0%-39.8%) and β-phellandrene + 1,8-cineole (8.8%-27.4%) except in one oil where β-caryophyllene (23.4%) was the principal component. The insecticidal activity of H. spicigera and its principal terpenic components was evaluated against the cowpea weevil Callosobruchus maculatus F., the major cause of damages of cowpea (Vigna unguiculata (L.) Walp) in North Cameroon.","container-title":"Journal of Essential Oil Research","DOI":"10.1080/10412905.2007.9699340","ISSN":"1041-2905","issue":"6","note":"publisher: Taylor &amp; Francis\n_eprint: https://doi.org/10.1080/10412905.2007.9699340","page":"597-601","source":"Taylor and Francis+NEJM","title":"Effect of Site Location and Collecting Period on the Chemical Composition of Hyptis Spicigera Lam. an Insecticidal Essential Oil from North-Cameroon","volume":"19","author":[{"family":"Noudjou","given":"Félicité"},{"family":"Kouninki","given":"Habiba"},{"family":"Ngamo","given":"Léonard S. T."},{"family":"Maponmestsem","given":"Pierre M."},{"family":"Ngassoum","given":"Martin"},{"family":"Hance","given":"Thierry"},{"family":"Haubruge","given":"Eric"},{"family":"Malaisse","given":"François"},{"family":"Marlier","given":"Michel"},{"family":"Lognay","given":"Georges C."}],"issued":{"date-parts":[["2007",11,1]]}}},{"id":2623,"uris":["http://zotero.org/users/local/QcSA6amT/items/LTGUSFR8"],"uri":["http://zotero.org/users/local/QcSA6amT/items/LTGUSFR8"],"itemData":{"id":2623,"type":"article-journal","abstract":"A gas chromatography flame ionization detection method for the quantification of bioactive marker compounds (neral, geranial, geraniol, limonene, citronellal, and β-myrcene) in the essential oil of Cymbopogon citratus (lemon grass) was developed. Four procedures for the extraction of essential oils from C. citratus were compared including solvent extraction, steam distillation extraction, accelerated solvent extraction, and supercritical fluid extraction. Solvent extraction by sonication with nonpolar solvents showed comparable results to the steam distillation method. Several commercial products prepared from C. citratus and Cymbopogon flexuosus were analyzed and compared. Keywords: Lemon grass; Cymbopogon citratus; Cymbopogon flexuosus; extraction; GC-FID","container-title":"Journal of Agricultural and Food Chemistry","DOI":"10.1021/jf011078h","ISSN":"0021-8561","issue":"6","journalAbbreviation":"J. Agric. Food Chem.","note":"publisher: American Chemical Society","page":"1345-1349","source":"ACS Publications","title":"Comparison of Extraction Methods for Marker Compounds in the Essential Oil of Lemon Grass by GC","volume":"50","author":[{"family":"Schaneberg","given":"Brian T."},{"family":"Khan","given":"Ikhlas A."}],"issued":{"date-parts":[["2002",3,1]]}}},{"id":2086,"uris":["http://zotero.org/users/local/QcSA6amT/items/AIVT4ZU2"],"uri":["http://zotero.org/users/local/QcSA6amT/items/AIVT4ZU2"],"itemData":{"id":2086,"type":"article-journal","abstract":"The objective was to study the essential oil composition of coriander fruits in plants growing in environments differing in soil conditions and weediness level. Factorial field experiments were conducted in two locations from the Rolling Pampas, Argentina, and two coriander landraces (European and Argentinean) were tested under two levels of nitrogen fertilization and weediness. Data were evaluated with uni- and multivariate techniques. The variation in the oil composition was related to the relative proportion of the constituents and not to the presence/absence of a particular component. Weather conditions in 1997 favored linalool and camphor in both landraces. Location, fertilization, and weediness also affected the chemical profile. The European landrace showed a more stable concentration of the major components than the Argentinean landrace. These results, which show the relationships between some environmental conditions and the essential oil composition, are useful in the development of innovative strategies aimed to improve oil composition and to manage crop pests. Keywords: Coriander; Coriandrum sativum; terpenes; soil condition; fertilization; weedines","container-title":"Journal of Agricultural and Food Chemistry","DOI":"10.1021/jf011128i","ISSN":"0021-8561","issue":"10","journalAbbreviation":"J. Agric. Food Chem.","page":"2870-2877","source":"ACS Publications","title":"Coriander Essential Oil Composition from Two Genotypes Grown in Different Environmental Conditions","volume":"50","author":[{"family":"Gil","given":"Alejandra"},{"family":"Fuente","given":"Elba B.","non-dropping-particle":"de la"},{"family":"Lenardis","given":"Adriana E."},{"family":"López Pereira","given":"Mónica"},{"family":"Suárez","given":"Susana A."},{"family":"Bandoni","given":"Arnaldo"},{"family":"Baren","given":"Catalina","non-dropping-particle":"van"},{"family":"Di Leo Lira","given":"Paola"},{"family":"Ghersa","given":"Claudio M."}],"issued":{"date-parts":[["2002",5,8]]}}},{"id":2089,"uris":["http://zotero.org/users/local/QcSA6amT/items/VP6DN85X"],"uri":["http://zotero.org/users/local/QcSA6amT/items/VP6DN85X"],"itemData":{"id":2089,"type":"article-journal","abstract":"Thymus pulegioides plants were collected from various natural habitats of Lithuania and transferred into a new uniform environment. The plants were cloned annually at controlled conditions and their essential oil composition was monitored by capillary GC and GC/MS. The geraniol/geranial/neral (G/G/N), thymol (T), linalool (L), carvacrol/γ-terpinene/p-cymene (C/γT/pC) and thymol/carvacrol/γ-terpinene/p-cymene (T/C/γT/pC) chemotypes of T. pulegioides were studied. It was found that according to the stability of essential oil composition on a sudden change of environmental conditions two types of T. pulegioides can be distinguished: (1) plants which preserve their chemical composition of the essential oils; (2) plants, which considerably change their chemical composition of the essential oils.","container-title":"Biochemical Systematics and Ecology","DOI":"10.1016/j.bse.2004.10.004","ISSN":"0305-1978","issue":"5","journalAbbreviation":"Biochemical Systematics and Ecology","language":"en","page":"517-525","source":"ScienceDirect","title":"Influence of environmental and genetic factors on the stability of essential oil composition of Thymus pulegioides","volume":"33","author":[{"family":"Ložienė","given":"K."},{"family":"Venskutonis","given":"P. R."}],"issued":{"date-parts":[["2005",5,1]]}}},{"id":2625,"uris":["http://zotero.org/users/local/QcSA6amT/items/E7EW2IHB"],"uri":["http://zotero.org/users/local/QcSA6amT/items/E7EW2IHB"],"itemData":{"id":2625,"type":"article-journal","abstract":"BACKGROUND: Essential oils isolated from Cymbopogon citratus (DC) Stapf. and Eucalyptus citriodora Hook grown in Colombia were analysed by gas chromatography–mass spectrometry (GC-MS) and tested for repellent activity and contact</w:instrText>
      </w:r>
      <w:r w:rsidR="005676C6" w:rsidRPr="00754A1D">
        <w:rPr>
          <w:rFonts w:ascii="Times New Roman" w:hAnsi="Times New Roman" w:cs="Times New Roman"/>
          <w:bCs/>
          <w:sz w:val="24"/>
          <w:szCs w:val="24"/>
          <w:lang w:val="nl-BE"/>
        </w:rPr>
        <w:instrText xml:space="preserve"> toxicity against Tribolium castaneum (Herbst.) (Coleoptera: Tenebrionidae). RESULTS: The main components of C. citratus oil were geranial (34.4%), neral (28.4%) and geraniol (11.5%), whereas those of E. citriodora were citronellal (40%), isopulegol (14.6%) and citronellol (13%). The mean repellent doses after 4 h exposure were 0.021 and 0.084 mL L−1 for C. citratus and E. citriodora oils respectively—values lower than that observed for the commercial product IR3535 (0.686 mL L−1). CONCLUSION: These studies showed the composition and repellent activity of essential oils of C. citratus and E. citriodora, suggesting that these are potential candidates as insect repellents. Copyright © 2010 Society of Chemical Industry","container-title":"Pest Management Science","DOI":"https://doi.org/10.1002/ps.1927","ISSN":"1526-4998","issue":"6","language":"en","note":"_eprint: https://onlinelibrary.wiley.com/doi/pdf/10.1002/ps.1927","page":"664-668","source":"Wiley Online Library","title":"Bioactivity against Tribolium castaneum Herbst (Coleoptera: Tenebrionidae) of Cymbopogon citratus and Eucalyptus citriodora essential oils grown in Colombia","title-short":"Bioactivity against Tribolium castaneum Herbst (Coleoptera","volume":"66","author":[{"family":"Olivero‐Verbel","given":"Jesús"},{"family":"Nerio","given":"Luz S."},{"family":"Stashenko","given":"Elena E."}],"issued":{"date-parts":[["2010"]]}}}],"schema":"https://github.com/citation-style-language/schema/raw/master/csl-citation.json"} </w:instrText>
      </w:r>
      <w:r w:rsidR="00D217AE" w:rsidRPr="00754A1D">
        <w:rPr>
          <w:rFonts w:ascii="Times New Roman" w:hAnsi="Times New Roman" w:cs="Times New Roman"/>
          <w:bCs/>
          <w:sz w:val="24"/>
          <w:szCs w:val="24"/>
          <w:lang w:val="en-US"/>
        </w:rPr>
        <w:fldChar w:fldCharType="separate"/>
      </w:r>
      <w:r w:rsidR="005676C6" w:rsidRPr="00754A1D">
        <w:rPr>
          <w:rFonts w:ascii="Times New Roman" w:hAnsi="Times New Roman" w:cs="Times New Roman"/>
          <w:sz w:val="24"/>
          <w:szCs w:val="24"/>
          <w:lang w:val="nl-BE"/>
        </w:rPr>
        <w:t xml:space="preserve">(Noudjou et al. 2007; Schaneberg and Khan 2002; Gil et al. 2002; Ložienė and Venskutonis 2005; </w:t>
      </w:r>
      <w:r w:rsidR="005676C6" w:rsidRPr="00754A1D">
        <w:rPr>
          <w:rFonts w:ascii="Times New Roman" w:hAnsi="Times New Roman" w:cs="Times New Roman"/>
          <w:sz w:val="24"/>
          <w:szCs w:val="24"/>
          <w:lang w:val="nl-BE"/>
        </w:rPr>
        <w:lastRenderedPageBreak/>
        <w:t>Olivero‐Verbel et al. 2010)</w:t>
      </w:r>
      <w:r w:rsidR="00D217AE" w:rsidRPr="00754A1D">
        <w:rPr>
          <w:rFonts w:ascii="Times New Roman" w:hAnsi="Times New Roman" w:cs="Times New Roman"/>
          <w:bCs/>
          <w:sz w:val="24"/>
          <w:szCs w:val="24"/>
          <w:lang w:val="en-US"/>
        </w:rPr>
        <w:fldChar w:fldCharType="end"/>
      </w:r>
      <w:r w:rsidR="00D217AE" w:rsidRPr="00754A1D">
        <w:rPr>
          <w:rFonts w:ascii="Times New Roman" w:hAnsi="Times New Roman" w:cs="Times New Roman"/>
          <w:bCs/>
          <w:sz w:val="24"/>
          <w:szCs w:val="24"/>
          <w:lang w:val="nl-BE"/>
        </w:rPr>
        <w:t>.</w:t>
      </w:r>
      <w:r w:rsidR="002A555A" w:rsidRPr="00754A1D">
        <w:rPr>
          <w:rFonts w:ascii="Times New Roman" w:hAnsi="Times New Roman" w:cs="Times New Roman"/>
          <w:bCs/>
          <w:sz w:val="24"/>
          <w:szCs w:val="24"/>
          <w:lang w:val="nl-BE"/>
        </w:rPr>
        <w:t xml:space="preserve"> </w:t>
      </w:r>
      <w:r w:rsidR="00CD0C75" w:rsidRPr="00754A1D">
        <w:rPr>
          <w:rFonts w:ascii="Times New Roman" w:hAnsi="Times New Roman" w:cs="Times New Roman"/>
          <w:bCs/>
          <w:sz w:val="24"/>
          <w:szCs w:val="24"/>
          <w:lang w:val="en-US"/>
        </w:rPr>
        <w:t xml:space="preserve">This variability, </w:t>
      </w:r>
      <w:r w:rsidR="00615136" w:rsidRPr="00754A1D">
        <w:rPr>
          <w:rFonts w:ascii="Times New Roman" w:hAnsi="Times New Roman" w:cs="Times New Roman"/>
          <w:bCs/>
          <w:sz w:val="24"/>
          <w:szCs w:val="24"/>
          <w:lang w:val="en-US"/>
        </w:rPr>
        <w:t>but also</w:t>
      </w:r>
      <w:r w:rsidR="00CD0C75" w:rsidRPr="00754A1D">
        <w:rPr>
          <w:rFonts w:ascii="Times New Roman" w:hAnsi="Times New Roman" w:cs="Times New Roman"/>
          <w:bCs/>
          <w:sz w:val="24"/>
          <w:szCs w:val="24"/>
          <w:lang w:val="en-US"/>
        </w:rPr>
        <w:t xml:space="preserve"> the diversity of the </w:t>
      </w:r>
      <w:r w:rsidR="005D014F" w:rsidRPr="00754A1D">
        <w:rPr>
          <w:rFonts w:ascii="Times New Roman" w:hAnsi="Times New Roman" w:cs="Times New Roman"/>
          <w:bCs/>
          <w:sz w:val="24"/>
          <w:szCs w:val="24"/>
          <w:lang w:val="en-US"/>
        </w:rPr>
        <w:t xml:space="preserve">insect </w:t>
      </w:r>
      <w:r w:rsidR="00CD0C75" w:rsidRPr="00754A1D">
        <w:rPr>
          <w:rFonts w:ascii="Times New Roman" w:hAnsi="Times New Roman" w:cs="Times New Roman"/>
          <w:bCs/>
          <w:sz w:val="24"/>
          <w:szCs w:val="24"/>
          <w:lang w:val="en-US"/>
        </w:rPr>
        <w:t>models studied</w:t>
      </w:r>
      <w:r w:rsidR="005D014F" w:rsidRPr="00754A1D">
        <w:rPr>
          <w:rFonts w:ascii="Times New Roman" w:hAnsi="Times New Roman" w:cs="Times New Roman"/>
          <w:bCs/>
          <w:sz w:val="24"/>
          <w:szCs w:val="24"/>
          <w:lang w:val="en-US"/>
        </w:rPr>
        <w:t xml:space="preserve"> and the conditions of application of the EO</w:t>
      </w:r>
      <w:r w:rsidR="00CD0C75" w:rsidRPr="00754A1D">
        <w:rPr>
          <w:rFonts w:ascii="Times New Roman" w:hAnsi="Times New Roman" w:cs="Times New Roman"/>
          <w:bCs/>
          <w:sz w:val="24"/>
          <w:szCs w:val="24"/>
          <w:lang w:val="en-US"/>
        </w:rPr>
        <w:t xml:space="preserve">, </w:t>
      </w:r>
      <w:r w:rsidR="000E2B4F" w:rsidRPr="00754A1D">
        <w:rPr>
          <w:rFonts w:ascii="Times New Roman" w:hAnsi="Times New Roman" w:cs="Times New Roman"/>
          <w:bCs/>
          <w:sz w:val="24"/>
          <w:szCs w:val="24"/>
          <w:lang w:val="en-US"/>
        </w:rPr>
        <w:t xml:space="preserve">make it difficult to compare the toxicological data reported by </w:t>
      </w:r>
      <w:r w:rsidR="004F4090" w:rsidRPr="00754A1D">
        <w:rPr>
          <w:rFonts w:ascii="Times New Roman" w:hAnsi="Times New Roman" w:cs="Times New Roman"/>
          <w:bCs/>
          <w:sz w:val="24"/>
          <w:szCs w:val="24"/>
          <w:lang w:val="en-US"/>
        </w:rPr>
        <w:t xml:space="preserve">the </w:t>
      </w:r>
      <w:r w:rsidR="000E2B4F" w:rsidRPr="00754A1D">
        <w:rPr>
          <w:rFonts w:ascii="Times New Roman" w:hAnsi="Times New Roman" w:cs="Times New Roman"/>
          <w:bCs/>
          <w:sz w:val="24"/>
          <w:szCs w:val="24"/>
          <w:lang w:val="en-US"/>
        </w:rPr>
        <w:t>different studies.</w:t>
      </w:r>
      <w:r w:rsidR="00905678" w:rsidRPr="00754A1D">
        <w:rPr>
          <w:rFonts w:ascii="Times New Roman" w:hAnsi="Times New Roman" w:cs="Times New Roman"/>
          <w:bCs/>
          <w:sz w:val="24"/>
          <w:szCs w:val="24"/>
          <w:lang w:val="en-US"/>
        </w:rPr>
        <w:t xml:space="preserve"> </w:t>
      </w:r>
      <w:r w:rsidR="00F55928" w:rsidRPr="00754A1D">
        <w:rPr>
          <w:rFonts w:ascii="Times New Roman" w:hAnsi="Times New Roman" w:cs="Times New Roman"/>
          <w:bCs/>
          <w:sz w:val="24"/>
          <w:szCs w:val="24"/>
          <w:lang w:val="en-US"/>
        </w:rPr>
        <w:t xml:space="preserve">However, </w:t>
      </w:r>
      <w:r w:rsidR="00F55928" w:rsidRPr="00754A1D">
        <w:rPr>
          <w:rFonts w:ascii="Times New Roman" w:hAnsi="Times New Roman" w:cs="Times New Roman"/>
          <w:bCs/>
          <w:i/>
          <w:sz w:val="24"/>
          <w:szCs w:val="24"/>
          <w:lang w:val="en-US"/>
        </w:rPr>
        <w:t>M. arvensis</w:t>
      </w:r>
      <w:r w:rsidR="00F55928" w:rsidRPr="00754A1D">
        <w:rPr>
          <w:rFonts w:ascii="Times New Roman" w:hAnsi="Times New Roman" w:cs="Times New Roman"/>
          <w:bCs/>
          <w:sz w:val="24"/>
          <w:szCs w:val="24"/>
          <w:lang w:val="en-US"/>
        </w:rPr>
        <w:t xml:space="preserve"> EO is a promising insecticidal compound not only because of its insecticidal properties, but also because </w:t>
      </w:r>
      <w:r w:rsidR="00F55928" w:rsidRPr="00754A1D">
        <w:rPr>
          <w:rFonts w:ascii="Times New Roman" w:hAnsi="Times New Roman" w:cs="Times New Roman"/>
          <w:bCs/>
          <w:i/>
          <w:sz w:val="24"/>
          <w:szCs w:val="24"/>
          <w:lang w:val="en-US"/>
        </w:rPr>
        <w:t>M. arvensis</w:t>
      </w:r>
      <w:r w:rsidR="00F55928" w:rsidRPr="00754A1D">
        <w:rPr>
          <w:rFonts w:ascii="Times New Roman" w:hAnsi="Times New Roman" w:cs="Times New Roman"/>
          <w:bCs/>
          <w:sz w:val="24"/>
          <w:szCs w:val="24"/>
          <w:lang w:val="en-US"/>
        </w:rPr>
        <w:t xml:space="preserve"> can be easily cultivated in temperate regions </w:t>
      </w:r>
      <w:r w:rsidR="00F55928" w:rsidRPr="00754A1D">
        <w:rPr>
          <w:rFonts w:ascii="Times New Roman" w:hAnsi="Times New Roman" w:cs="Times New Roman"/>
          <w:bCs/>
          <w:sz w:val="24"/>
          <w:szCs w:val="24"/>
          <w:lang w:val="en-US"/>
        </w:rPr>
        <w:fldChar w:fldCharType="begin"/>
      </w:r>
      <w:r w:rsidR="00F55928" w:rsidRPr="00754A1D">
        <w:rPr>
          <w:rFonts w:ascii="Times New Roman" w:hAnsi="Times New Roman" w:cs="Times New Roman"/>
          <w:bCs/>
          <w:sz w:val="24"/>
          <w:szCs w:val="24"/>
          <w:lang w:val="en-US"/>
        </w:rPr>
        <w:instrText xml:space="preserve"> ADDIN ZOTERO_ITEM CSL_CITATION {"citationID":"VsC74Wtl","properties":{"formattedCitation":"(Tiwari 2016)","plainCitation":"(Tiwari 2016)","noteIndex":0},"citationItems":[{"id":2647,"uris":["http://zotero.org/users/local/QcSA6amT/items/UEZS9QMR"],"uri":["http://zotero.org/users/local/QcSA6amT/items/UEZS9QMR"],"itemData":{"id":2647,"type":"article-journal","abstract":"Mentha arvensis L defines an important species of the genus Mentha, highlighting socio-economic and pharmacological importance. The plant species attributes its aromatic properties to the presence of essential oil rich in monoterpenes and sesquiterpenes and volatile constituents such as menthol, menthone, carvacol, pulgone and isomenthone, imparting characteristic mint flavor. The research on trichomes and essential oil biosynthesis has received considerable attention from scientific community owing to its pharmaceutical and economic benefits. Although, molecular and biochemical investigations have provided key insights into trichome-specific metabolic pathways and the corresponding genes, however the exact mechanism of action of the enzymes in various trichome developmental stages remains unreported. In an attempt to address the research on trichomes, the review article provides a comprehensive account of M. arvensis L, discussing its taxonomic distribution and cultivation to its commercial applications. Furthermore, genomic investigations on elucidation of essential oil biosynthetic pathway and the respective enzymes would provide a focused insight, opening new possibilities for genetic engineering and development of better varieties of Mentha with improved agro-economic traits. Such studies highlight good prospects of M. arvensis L in commercial applications, owing to its health benefits in aromatherapy and pharmacology.","container-title":"Industrial Crops and Products","DOI":"10.1016/j.indcrop.2015.11.069","ISSN":"0926-6690","journalAbbreviation":"Industrial Crops and Products","language":"en","page":"141-148","source":"ScienceDirect","title":"Recent advances and challenges in trichome research and essential oil biosynthesis in Mentha arvensis L","volume":"82","author":[{"family":"Tiwari","given":"Pragya"}],"issued":{"date-parts":[["2016",4,1]]}}}],"schema":"https://github.com/citation-style-language/schema/raw/master/csl-citation.json"} </w:instrText>
      </w:r>
      <w:r w:rsidR="00F55928" w:rsidRPr="00754A1D">
        <w:rPr>
          <w:rFonts w:ascii="Times New Roman" w:hAnsi="Times New Roman" w:cs="Times New Roman"/>
          <w:bCs/>
          <w:sz w:val="24"/>
          <w:szCs w:val="24"/>
          <w:lang w:val="en-US"/>
        </w:rPr>
        <w:fldChar w:fldCharType="separate"/>
      </w:r>
      <w:r w:rsidR="00F55928" w:rsidRPr="00754A1D">
        <w:rPr>
          <w:rFonts w:ascii="Times New Roman" w:hAnsi="Times New Roman" w:cs="Times New Roman"/>
          <w:sz w:val="24"/>
          <w:lang w:val="en-US"/>
        </w:rPr>
        <w:t>(Tiwari 2016)</w:t>
      </w:r>
      <w:r w:rsidR="00F55928" w:rsidRPr="00754A1D">
        <w:rPr>
          <w:rFonts w:ascii="Times New Roman" w:hAnsi="Times New Roman" w:cs="Times New Roman"/>
          <w:bCs/>
          <w:sz w:val="24"/>
          <w:szCs w:val="24"/>
          <w:lang w:val="en-US"/>
        </w:rPr>
        <w:fldChar w:fldCharType="end"/>
      </w:r>
      <w:r w:rsidR="00F55928" w:rsidRPr="00754A1D">
        <w:rPr>
          <w:rFonts w:ascii="Times New Roman" w:hAnsi="Times New Roman" w:cs="Times New Roman"/>
          <w:bCs/>
          <w:sz w:val="24"/>
          <w:szCs w:val="24"/>
          <w:lang w:val="en-US"/>
        </w:rPr>
        <w:t xml:space="preserve"> and because its price is one of the lowest compared to other essential oils</w:t>
      </w:r>
      <w:r w:rsidR="000239F1" w:rsidRPr="00754A1D">
        <w:rPr>
          <w:rFonts w:ascii="Times New Roman" w:hAnsi="Times New Roman" w:cs="Times New Roman"/>
          <w:bCs/>
          <w:sz w:val="24"/>
          <w:szCs w:val="24"/>
          <w:lang w:val="en-US"/>
        </w:rPr>
        <w:t xml:space="preserve"> </w:t>
      </w:r>
      <w:r w:rsidR="000239F1" w:rsidRPr="00754A1D">
        <w:rPr>
          <w:rFonts w:ascii="Times New Roman" w:hAnsi="Times New Roman" w:cs="Times New Roman"/>
          <w:bCs/>
          <w:sz w:val="24"/>
          <w:szCs w:val="24"/>
          <w:lang w:val="en-US"/>
        </w:rPr>
        <w:fldChar w:fldCharType="begin"/>
      </w:r>
      <w:r w:rsidR="000239F1" w:rsidRPr="00754A1D">
        <w:rPr>
          <w:rFonts w:ascii="Times New Roman" w:hAnsi="Times New Roman" w:cs="Times New Roman"/>
          <w:bCs/>
          <w:sz w:val="24"/>
          <w:szCs w:val="24"/>
          <w:lang w:val="en-US"/>
        </w:rPr>
        <w:instrText xml:space="preserve"> ADDIN ZOTERO_ITEM CSL_CITATION {"citationID":"unXIWWus","properties":{"formattedCitation":"(Demeter et al. 2021)","plainCitation":"(Demeter et al. 2021)","noteIndex":0},"citationItems":[{"id":2722,"uris":["http://zotero.org/users/local/QcSA6amT/items/PAWDXFPW"],"uri":["http://zotero.org/users/local/QcSA6amT/items/PAWDXFPW"],"itemData":{"id":2722,"type":"article-journal","abstract":"The granary weevil Sitophilus granarius is a stored product pest found worldwide. Environmental damages, human health issues and the emergence of resistance are driving scientists to seeks alternatives to synthetic insecticides for its control. With low mammal toxicity and low persistence, essential oils are more and more being considered a potential alternative. In this study, we compare the toxicity of 25 essential oils, representing a large array of chemical compositions, on adult granary weevils. Bioassays indicated that Allium sativum was the most toxic essential oil, with the lowest calculated lethal concentration 90 (LC90) both after 24 h and 7 days. Gaultheria procumbens, Mentha arvensis and Eucalyptus dives oils appeared to have a good potential in terms of toxicity/cost ratio for further development of a plant-derived biocide. Low influence of exposure time was observed for most of essential oils. The methodology developed here offers the possibility to test a large array of essential oils in the same experimental bioassay and in a standardized way. It is a first step to the development of new biocide for alternative management strategies of stored product pests.","container-title":"Foods","DOI":"10.3390/foods10020200","issue":"2","language":"en","note":"number: 2\npublisher: Multidisciplinary Digital Publishing Institute","page":"200","source":"www.mdpi.com","title":"Insecticidal Activity of 25 Essential Oils on the Stored Product Pest, Sitophilus granarius","volume":"10","author":[{"family":"Demeter","given":"Sébastien"},{"family":"Lebbe","given":"Olivier"},{"family":"Hecq","given":"Florence"},{"family":"Nicolis","given":"Stamatios C."},{"family":"Kenne Kemene","given":"Tierry"},{"family":"Martin","given":"Henri"},{"family":"Fauconnier","given":"Marie-Laure"},{"family":"Hance","given":"Thierry"}],"issued":{"date-parts":[["2021",2]]}}}],"schema":"https://github.com/citation-style-language/schema/raw/master/csl-citation.json"} </w:instrText>
      </w:r>
      <w:r w:rsidR="000239F1" w:rsidRPr="00754A1D">
        <w:rPr>
          <w:rFonts w:ascii="Times New Roman" w:hAnsi="Times New Roman" w:cs="Times New Roman"/>
          <w:bCs/>
          <w:sz w:val="24"/>
          <w:szCs w:val="24"/>
          <w:lang w:val="en-US"/>
        </w:rPr>
        <w:fldChar w:fldCharType="separate"/>
      </w:r>
      <w:r w:rsidR="000239F1" w:rsidRPr="00754A1D">
        <w:rPr>
          <w:rFonts w:ascii="Times New Roman" w:hAnsi="Times New Roman" w:cs="Times New Roman"/>
          <w:sz w:val="24"/>
          <w:lang w:val="en-US"/>
        </w:rPr>
        <w:t>(Demeter et al. 2021)</w:t>
      </w:r>
      <w:r w:rsidR="000239F1" w:rsidRPr="00754A1D">
        <w:rPr>
          <w:rFonts w:ascii="Times New Roman" w:hAnsi="Times New Roman" w:cs="Times New Roman"/>
          <w:bCs/>
          <w:sz w:val="24"/>
          <w:szCs w:val="24"/>
          <w:lang w:val="en-US"/>
        </w:rPr>
        <w:fldChar w:fldCharType="end"/>
      </w:r>
      <w:r w:rsidR="00F55928" w:rsidRPr="00754A1D">
        <w:rPr>
          <w:rFonts w:ascii="Times New Roman" w:hAnsi="Times New Roman" w:cs="Times New Roman"/>
          <w:bCs/>
          <w:sz w:val="24"/>
          <w:szCs w:val="24"/>
          <w:lang w:val="en-US"/>
        </w:rPr>
        <w:t>.</w:t>
      </w:r>
    </w:p>
    <w:p w14:paraId="1968640B" w14:textId="6CC1C4B4" w:rsidR="00E1493C" w:rsidRPr="00754A1D" w:rsidRDefault="004654E4" w:rsidP="000C6CA0">
      <w:pPr>
        <w:spacing w:line="480" w:lineRule="auto"/>
        <w:jc w:val="both"/>
        <w:rPr>
          <w:rFonts w:ascii="Times New Roman" w:hAnsi="Times New Roman" w:cs="Times New Roman"/>
          <w:b/>
          <w:sz w:val="24"/>
          <w:szCs w:val="24"/>
          <w:lang w:val="en-US"/>
        </w:rPr>
      </w:pPr>
      <w:bookmarkStart w:id="5" w:name="_Hlk65759215"/>
      <w:r w:rsidRPr="00754A1D">
        <w:rPr>
          <w:rFonts w:ascii="Times New Roman" w:hAnsi="Times New Roman" w:cs="Times New Roman"/>
          <w:b/>
          <w:sz w:val="24"/>
          <w:szCs w:val="24"/>
          <w:lang w:val="en-US"/>
        </w:rPr>
        <w:t>Protein biosynthesis</w:t>
      </w:r>
    </w:p>
    <w:bookmarkEnd w:id="5"/>
    <w:p w14:paraId="6574F9CA" w14:textId="3B82D4CD" w:rsidR="009A3F27" w:rsidRPr="00754A1D" w:rsidRDefault="00F11524" w:rsidP="00325607">
      <w:pPr>
        <w:spacing w:line="480" w:lineRule="auto"/>
        <w:jc w:val="both"/>
        <w:rPr>
          <w:rFonts w:ascii="Times New Roman" w:hAnsi="Times New Roman" w:cs="Times New Roman"/>
          <w:bCs/>
          <w:sz w:val="24"/>
          <w:szCs w:val="24"/>
          <w:lang w:val="en-US"/>
        </w:rPr>
      </w:pPr>
      <w:r w:rsidRPr="00754A1D">
        <w:rPr>
          <w:rFonts w:ascii="Times New Roman" w:hAnsi="Times New Roman" w:cs="Times New Roman"/>
          <w:sz w:val="24"/>
          <w:szCs w:val="24"/>
          <w:lang w:val="en-US"/>
        </w:rPr>
        <w:t xml:space="preserve">Our proteomic </w:t>
      </w:r>
      <w:r w:rsidR="00231806" w:rsidRPr="00754A1D">
        <w:rPr>
          <w:rFonts w:ascii="Times New Roman" w:hAnsi="Times New Roman" w:cs="Times New Roman"/>
          <w:sz w:val="24"/>
          <w:szCs w:val="24"/>
          <w:lang w:val="en-US"/>
        </w:rPr>
        <w:t>analyses</w:t>
      </w:r>
      <w:r w:rsidRPr="00754A1D">
        <w:rPr>
          <w:rFonts w:ascii="Times New Roman" w:hAnsi="Times New Roman" w:cs="Times New Roman"/>
          <w:sz w:val="24"/>
          <w:szCs w:val="24"/>
          <w:lang w:val="en-US"/>
        </w:rPr>
        <w:t xml:space="preserve"> </w:t>
      </w:r>
      <w:r w:rsidR="00231806" w:rsidRPr="00754A1D">
        <w:rPr>
          <w:rFonts w:ascii="Times New Roman" w:hAnsi="Times New Roman" w:cs="Times New Roman"/>
          <w:sz w:val="24"/>
          <w:szCs w:val="24"/>
          <w:lang w:val="en-US"/>
        </w:rPr>
        <w:t>reveal</w:t>
      </w:r>
      <w:r w:rsidR="007248D6" w:rsidRPr="00754A1D">
        <w:rPr>
          <w:rFonts w:ascii="Times New Roman" w:hAnsi="Times New Roman" w:cs="Times New Roman"/>
          <w:sz w:val="24"/>
          <w:szCs w:val="24"/>
          <w:lang w:val="en-US"/>
        </w:rPr>
        <w:t>ed</w:t>
      </w:r>
      <w:r w:rsidRPr="00754A1D">
        <w:rPr>
          <w:rFonts w:ascii="Times New Roman" w:hAnsi="Times New Roman" w:cs="Times New Roman"/>
          <w:sz w:val="24"/>
          <w:szCs w:val="24"/>
          <w:lang w:val="en-US"/>
        </w:rPr>
        <w:t xml:space="preserve"> </w:t>
      </w:r>
      <w:r w:rsidR="0095737C" w:rsidRPr="00754A1D">
        <w:rPr>
          <w:rFonts w:ascii="Times New Roman" w:hAnsi="Times New Roman" w:cs="Times New Roman"/>
          <w:bCs/>
          <w:sz w:val="24"/>
          <w:szCs w:val="24"/>
          <w:lang w:val="en-US"/>
        </w:rPr>
        <w:t xml:space="preserve">that </w:t>
      </w:r>
      <w:r w:rsidR="00655BC7" w:rsidRPr="00754A1D">
        <w:rPr>
          <w:rFonts w:ascii="Times New Roman" w:hAnsi="Times New Roman" w:cs="Times New Roman"/>
          <w:bCs/>
          <w:i/>
          <w:sz w:val="24"/>
          <w:szCs w:val="24"/>
          <w:lang w:val="en-US"/>
        </w:rPr>
        <w:t>M. arvensis</w:t>
      </w:r>
      <w:r w:rsidR="00655BC7" w:rsidRPr="00754A1D">
        <w:rPr>
          <w:rFonts w:ascii="Times New Roman" w:hAnsi="Times New Roman" w:cs="Times New Roman"/>
          <w:bCs/>
          <w:sz w:val="24"/>
          <w:szCs w:val="24"/>
          <w:lang w:val="en-US"/>
        </w:rPr>
        <w:t xml:space="preserve"> </w:t>
      </w:r>
      <w:r w:rsidR="005F5EBC" w:rsidRPr="00754A1D">
        <w:rPr>
          <w:rFonts w:ascii="Times New Roman" w:hAnsi="Times New Roman" w:cs="Times New Roman"/>
          <w:bCs/>
          <w:sz w:val="24"/>
          <w:szCs w:val="24"/>
          <w:lang w:val="en-US"/>
        </w:rPr>
        <w:t>EO</w:t>
      </w:r>
      <w:r w:rsidR="00655BC7" w:rsidRPr="00754A1D">
        <w:rPr>
          <w:rFonts w:ascii="Times New Roman" w:hAnsi="Times New Roman" w:cs="Times New Roman"/>
          <w:bCs/>
          <w:sz w:val="24"/>
          <w:szCs w:val="24"/>
          <w:lang w:val="en-US"/>
        </w:rPr>
        <w:t xml:space="preserve"> </w:t>
      </w:r>
      <w:r w:rsidR="00596A0C" w:rsidRPr="00754A1D">
        <w:rPr>
          <w:rFonts w:ascii="Times New Roman" w:hAnsi="Times New Roman" w:cs="Times New Roman"/>
          <w:bCs/>
          <w:sz w:val="24"/>
          <w:szCs w:val="24"/>
          <w:lang w:val="en-US"/>
        </w:rPr>
        <w:t>induce</w:t>
      </w:r>
      <w:r w:rsidR="0095737C" w:rsidRPr="00754A1D">
        <w:rPr>
          <w:rFonts w:ascii="Times New Roman" w:hAnsi="Times New Roman" w:cs="Times New Roman"/>
          <w:bCs/>
          <w:sz w:val="24"/>
          <w:szCs w:val="24"/>
          <w:lang w:val="en-US"/>
        </w:rPr>
        <w:t>d</w:t>
      </w:r>
      <w:r w:rsidR="00596A0C" w:rsidRPr="00754A1D">
        <w:rPr>
          <w:rFonts w:ascii="Times New Roman" w:hAnsi="Times New Roman" w:cs="Times New Roman"/>
          <w:bCs/>
          <w:sz w:val="24"/>
          <w:szCs w:val="24"/>
          <w:lang w:val="en-US"/>
        </w:rPr>
        <w:t xml:space="preserve"> </w:t>
      </w:r>
      <w:r w:rsidR="00655BC7" w:rsidRPr="00754A1D">
        <w:rPr>
          <w:rFonts w:ascii="Times New Roman" w:hAnsi="Times New Roman" w:cs="Times New Roman"/>
          <w:bCs/>
          <w:sz w:val="24"/>
          <w:szCs w:val="24"/>
          <w:lang w:val="en-US"/>
        </w:rPr>
        <w:t xml:space="preserve">dramatic physiological changes </w:t>
      </w:r>
      <w:r w:rsidR="00596A0C" w:rsidRPr="00754A1D">
        <w:rPr>
          <w:rFonts w:ascii="Times New Roman" w:hAnsi="Times New Roman" w:cs="Times New Roman"/>
          <w:bCs/>
          <w:sz w:val="24"/>
          <w:szCs w:val="24"/>
          <w:lang w:val="en-US"/>
        </w:rPr>
        <w:t>in</w:t>
      </w:r>
      <w:r w:rsidR="00655BC7" w:rsidRPr="00754A1D">
        <w:rPr>
          <w:rFonts w:ascii="Times New Roman" w:hAnsi="Times New Roman" w:cs="Times New Roman"/>
          <w:bCs/>
          <w:sz w:val="24"/>
          <w:szCs w:val="24"/>
          <w:lang w:val="en-US"/>
        </w:rPr>
        <w:t xml:space="preserve"> </w:t>
      </w:r>
      <w:r w:rsidR="00B24C9C" w:rsidRPr="00754A1D">
        <w:rPr>
          <w:rFonts w:ascii="Times New Roman" w:hAnsi="Times New Roman" w:cs="Times New Roman"/>
          <w:bCs/>
          <w:i/>
          <w:sz w:val="24"/>
          <w:szCs w:val="24"/>
          <w:lang w:val="en-US"/>
        </w:rPr>
        <w:t xml:space="preserve">S. </w:t>
      </w:r>
      <w:proofErr w:type="spellStart"/>
      <w:r w:rsidR="00B24C9C" w:rsidRPr="00754A1D">
        <w:rPr>
          <w:rFonts w:ascii="Times New Roman" w:hAnsi="Times New Roman" w:cs="Times New Roman"/>
          <w:bCs/>
          <w:i/>
          <w:sz w:val="24"/>
          <w:szCs w:val="24"/>
          <w:lang w:val="en-US"/>
        </w:rPr>
        <w:t>granarius</w:t>
      </w:r>
      <w:proofErr w:type="spellEnd"/>
      <w:r w:rsidR="005F0743" w:rsidRPr="00754A1D">
        <w:rPr>
          <w:rFonts w:ascii="Times New Roman" w:hAnsi="Times New Roman" w:cs="Times New Roman"/>
          <w:bCs/>
          <w:sz w:val="24"/>
          <w:szCs w:val="24"/>
          <w:lang w:val="en-US"/>
        </w:rPr>
        <w:t xml:space="preserve"> adults.</w:t>
      </w:r>
      <w:r w:rsidR="00596A0C" w:rsidRPr="00754A1D">
        <w:rPr>
          <w:rFonts w:ascii="Times New Roman" w:hAnsi="Times New Roman" w:cs="Times New Roman"/>
          <w:bCs/>
          <w:sz w:val="24"/>
          <w:szCs w:val="24"/>
          <w:lang w:val="en-US"/>
        </w:rPr>
        <w:t xml:space="preserve"> </w:t>
      </w:r>
      <w:r w:rsidR="00231806" w:rsidRPr="00754A1D">
        <w:rPr>
          <w:rFonts w:ascii="Times New Roman" w:hAnsi="Times New Roman" w:cs="Times New Roman"/>
          <w:bCs/>
          <w:sz w:val="24"/>
          <w:szCs w:val="24"/>
          <w:lang w:val="en-US"/>
        </w:rPr>
        <w:t>They are</w:t>
      </w:r>
      <w:r w:rsidR="00CE03C0" w:rsidRPr="00754A1D">
        <w:rPr>
          <w:rFonts w:ascii="Times New Roman" w:hAnsi="Times New Roman" w:cs="Times New Roman"/>
          <w:bCs/>
          <w:sz w:val="24"/>
          <w:szCs w:val="24"/>
          <w:lang w:val="en-US"/>
        </w:rPr>
        <w:t xml:space="preserve"> a snapshot of the insect’s molecular response 24 h post-treatment and </w:t>
      </w:r>
      <w:bookmarkStart w:id="6" w:name="_Hlk65167394"/>
      <w:r w:rsidR="00CE03C0" w:rsidRPr="00754A1D">
        <w:rPr>
          <w:rFonts w:ascii="Times New Roman" w:hAnsi="Times New Roman" w:cs="Times New Roman"/>
          <w:bCs/>
          <w:sz w:val="24"/>
          <w:szCs w:val="24"/>
          <w:lang w:val="en-US"/>
        </w:rPr>
        <w:t xml:space="preserve">the differentially expressed proteins (DEPs) identified here should reflect </w:t>
      </w:r>
      <w:r w:rsidR="00357DC3" w:rsidRPr="00754A1D">
        <w:rPr>
          <w:rFonts w:ascii="Times New Roman" w:hAnsi="Times New Roman" w:cs="Times New Roman"/>
          <w:bCs/>
          <w:sz w:val="24"/>
          <w:szCs w:val="24"/>
          <w:lang w:val="en-US"/>
        </w:rPr>
        <w:t>the physiological state of the surviving insects</w:t>
      </w:r>
      <w:r w:rsidR="00CE03C0" w:rsidRPr="00754A1D">
        <w:rPr>
          <w:rFonts w:ascii="Times New Roman" w:hAnsi="Times New Roman" w:cs="Times New Roman"/>
          <w:bCs/>
          <w:sz w:val="24"/>
          <w:szCs w:val="24"/>
          <w:lang w:val="en-US"/>
        </w:rPr>
        <w:t xml:space="preserve"> after </w:t>
      </w:r>
      <w:r w:rsidR="00F55928" w:rsidRPr="00754A1D">
        <w:rPr>
          <w:rFonts w:ascii="Times New Roman" w:hAnsi="Times New Roman" w:cs="Times New Roman"/>
          <w:bCs/>
          <w:sz w:val="24"/>
          <w:szCs w:val="24"/>
          <w:lang w:val="en-US"/>
        </w:rPr>
        <w:t>exposure</w:t>
      </w:r>
      <w:r w:rsidR="00CE03C0" w:rsidRPr="00754A1D">
        <w:rPr>
          <w:rFonts w:ascii="Times New Roman" w:hAnsi="Times New Roman" w:cs="Times New Roman"/>
          <w:bCs/>
          <w:sz w:val="24"/>
          <w:szCs w:val="24"/>
          <w:lang w:val="en-US"/>
        </w:rPr>
        <w:t xml:space="preserve"> to the EO.</w:t>
      </w:r>
      <w:r w:rsidR="00DB4220" w:rsidRPr="00754A1D">
        <w:rPr>
          <w:rFonts w:ascii="Times New Roman" w:hAnsi="Times New Roman" w:cs="Times New Roman"/>
          <w:bCs/>
          <w:sz w:val="24"/>
          <w:szCs w:val="24"/>
          <w:lang w:val="en-US"/>
        </w:rPr>
        <w:t xml:space="preserve"> </w:t>
      </w:r>
      <w:bookmarkEnd w:id="6"/>
      <w:r w:rsidR="00DB4220" w:rsidRPr="00754A1D">
        <w:rPr>
          <w:rFonts w:ascii="Times New Roman" w:hAnsi="Times New Roman" w:cs="Times New Roman"/>
          <w:bCs/>
          <w:sz w:val="24"/>
          <w:szCs w:val="24"/>
          <w:lang w:val="en-US"/>
        </w:rPr>
        <w:t>Our experimental approach resulted</w:t>
      </w:r>
      <w:r w:rsidR="00CF7D88" w:rsidRPr="00754A1D">
        <w:rPr>
          <w:rFonts w:ascii="Times New Roman" w:hAnsi="Times New Roman" w:cs="Times New Roman"/>
          <w:bCs/>
          <w:sz w:val="24"/>
          <w:szCs w:val="24"/>
          <w:lang w:val="en-US"/>
        </w:rPr>
        <w:t xml:space="preserve"> in </w:t>
      </w:r>
      <w:r w:rsidR="00DB4220" w:rsidRPr="00754A1D">
        <w:rPr>
          <w:rFonts w:ascii="Times New Roman" w:hAnsi="Times New Roman" w:cs="Times New Roman"/>
          <w:bCs/>
          <w:sz w:val="24"/>
          <w:szCs w:val="24"/>
          <w:lang w:val="en-US"/>
        </w:rPr>
        <w:t xml:space="preserve">the identification of </w:t>
      </w:r>
      <w:r w:rsidR="00CF7D88" w:rsidRPr="00754A1D">
        <w:rPr>
          <w:rFonts w:ascii="Times New Roman" w:hAnsi="Times New Roman" w:cs="Times New Roman"/>
          <w:bCs/>
          <w:sz w:val="24"/>
          <w:szCs w:val="24"/>
          <w:lang w:val="en-US"/>
        </w:rPr>
        <w:t>a large number of DEPs</w:t>
      </w:r>
      <w:r w:rsidR="005576BD" w:rsidRPr="00754A1D">
        <w:rPr>
          <w:rFonts w:ascii="Times New Roman" w:hAnsi="Times New Roman" w:cs="Times New Roman"/>
          <w:bCs/>
          <w:sz w:val="24"/>
          <w:szCs w:val="24"/>
          <w:lang w:val="en-US"/>
        </w:rPr>
        <w:t xml:space="preserve"> reflecting the </w:t>
      </w:r>
      <w:r w:rsidR="00747B95" w:rsidRPr="00754A1D">
        <w:rPr>
          <w:rFonts w:ascii="Times New Roman" w:hAnsi="Times New Roman" w:cs="Times New Roman"/>
          <w:bCs/>
          <w:sz w:val="24"/>
          <w:szCs w:val="24"/>
          <w:lang w:val="en-US"/>
        </w:rPr>
        <w:t xml:space="preserve">many </w:t>
      </w:r>
      <w:r w:rsidR="005576BD" w:rsidRPr="00754A1D">
        <w:rPr>
          <w:rFonts w:ascii="Times New Roman" w:hAnsi="Times New Roman" w:cs="Times New Roman"/>
          <w:bCs/>
          <w:sz w:val="24"/>
          <w:szCs w:val="24"/>
          <w:lang w:val="en-US"/>
        </w:rPr>
        <w:t xml:space="preserve">systems </w:t>
      </w:r>
      <w:r w:rsidR="00747B95" w:rsidRPr="00754A1D">
        <w:rPr>
          <w:rFonts w:ascii="Times New Roman" w:hAnsi="Times New Roman" w:cs="Times New Roman"/>
          <w:bCs/>
          <w:sz w:val="24"/>
          <w:szCs w:val="24"/>
          <w:lang w:val="en-US"/>
        </w:rPr>
        <w:t>affected</w:t>
      </w:r>
      <w:r w:rsidR="005576BD" w:rsidRPr="00754A1D">
        <w:rPr>
          <w:rFonts w:ascii="Times New Roman" w:hAnsi="Times New Roman" w:cs="Times New Roman"/>
          <w:bCs/>
          <w:sz w:val="24"/>
          <w:szCs w:val="24"/>
          <w:lang w:val="en-US"/>
        </w:rPr>
        <w:t xml:space="preserve"> by </w:t>
      </w:r>
      <w:r w:rsidR="00DB4220" w:rsidRPr="00754A1D">
        <w:rPr>
          <w:rFonts w:ascii="Times New Roman" w:hAnsi="Times New Roman" w:cs="Times New Roman"/>
          <w:bCs/>
          <w:i/>
          <w:sz w:val="24"/>
          <w:szCs w:val="24"/>
          <w:lang w:val="en-US"/>
        </w:rPr>
        <w:t>M. arvensis</w:t>
      </w:r>
      <w:r w:rsidR="00DB4220" w:rsidRPr="00754A1D">
        <w:rPr>
          <w:rFonts w:ascii="Times New Roman" w:hAnsi="Times New Roman" w:cs="Times New Roman"/>
          <w:bCs/>
          <w:sz w:val="24"/>
          <w:szCs w:val="24"/>
          <w:lang w:val="en-US"/>
        </w:rPr>
        <w:t xml:space="preserve"> </w:t>
      </w:r>
      <w:r w:rsidR="005576BD" w:rsidRPr="00754A1D">
        <w:rPr>
          <w:rFonts w:ascii="Times New Roman" w:hAnsi="Times New Roman" w:cs="Times New Roman"/>
          <w:bCs/>
          <w:sz w:val="24"/>
          <w:szCs w:val="24"/>
          <w:lang w:val="en-US"/>
        </w:rPr>
        <w:t>EO</w:t>
      </w:r>
      <w:r w:rsidR="007E0270" w:rsidRPr="00754A1D">
        <w:rPr>
          <w:rFonts w:ascii="Times New Roman" w:hAnsi="Times New Roman" w:cs="Times New Roman"/>
          <w:bCs/>
          <w:sz w:val="24"/>
          <w:szCs w:val="24"/>
          <w:lang w:val="en-US"/>
        </w:rPr>
        <w:t xml:space="preserve"> (Figure 5)</w:t>
      </w:r>
      <w:r w:rsidR="00CF7D88" w:rsidRPr="00754A1D">
        <w:rPr>
          <w:rFonts w:ascii="Times New Roman" w:hAnsi="Times New Roman" w:cs="Times New Roman"/>
          <w:bCs/>
          <w:sz w:val="24"/>
          <w:szCs w:val="24"/>
          <w:lang w:val="en-US"/>
        </w:rPr>
        <w:t>. T</w:t>
      </w:r>
      <w:r w:rsidR="0095737C" w:rsidRPr="00754A1D">
        <w:rPr>
          <w:rFonts w:ascii="Times New Roman" w:hAnsi="Times New Roman" w:cs="Times New Roman"/>
          <w:bCs/>
          <w:sz w:val="24"/>
          <w:szCs w:val="24"/>
          <w:lang w:val="en-US"/>
        </w:rPr>
        <w:t xml:space="preserve">he vast majority of </w:t>
      </w:r>
      <w:r w:rsidR="005F5EBC" w:rsidRPr="00754A1D">
        <w:rPr>
          <w:rFonts w:ascii="Times New Roman" w:hAnsi="Times New Roman" w:cs="Times New Roman"/>
          <w:bCs/>
          <w:sz w:val="24"/>
          <w:szCs w:val="24"/>
          <w:lang w:val="en-US"/>
        </w:rPr>
        <w:t>these</w:t>
      </w:r>
      <w:r w:rsidR="00CF7D88" w:rsidRPr="00754A1D">
        <w:rPr>
          <w:rFonts w:ascii="Times New Roman" w:hAnsi="Times New Roman" w:cs="Times New Roman"/>
          <w:bCs/>
          <w:sz w:val="24"/>
          <w:szCs w:val="24"/>
          <w:lang w:val="en-US"/>
        </w:rPr>
        <w:t xml:space="preserve"> DEPs</w:t>
      </w:r>
      <w:r w:rsidR="001247DF" w:rsidRPr="00754A1D">
        <w:rPr>
          <w:rFonts w:ascii="Times New Roman" w:hAnsi="Times New Roman" w:cs="Times New Roman"/>
          <w:bCs/>
          <w:sz w:val="24"/>
          <w:szCs w:val="24"/>
          <w:lang w:val="en-US"/>
        </w:rPr>
        <w:t xml:space="preserve"> </w:t>
      </w:r>
      <w:r w:rsidR="0095737C" w:rsidRPr="00754A1D">
        <w:rPr>
          <w:rFonts w:ascii="Times New Roman" w:hAnsi="Times New Roman" w:cs="Times New Roman"/>
          <w:bCs/>
          <w:sz w:val="24"/>
          <w:szCs w:val="24"/>
          <w:lang w:val="en-US"/>
        </w:rPr>
        <w:t>were upregulated</w:t>
      </w:r>
      <w:r w:rsidR="007E5FB7" w:rsidRPr="00754A1D">
        <w:rPr>
          <w:rFonts w:ascii="Times New Roman" w:hAnsi="Times New Roman" w:cs="Times New Roman"/>
          <w:bCs/>
          <w:sz w:val="24"/>
          <w:szCs w:val="24"/>
          <w:lang w:val="en-US"/>
        </w:rPr>
        <w:t>,</w:t>
      </w:r>
      <w:r w:rsidR="0095737C" w:rsidRPr="00754A1D">
        <w:rPr>
          <w:rFonts w:ascii="Times New Roman" w:hAnsi="Times New Roman" w:cs="Times New Roman"/>
          <w:bCs/>
          <w:sz w:val="24"/>
          <w:szCs w:val="24"/>
          <w:lang w:val="en-US"/>
        </w:rPr>
        <w:t xml:space="preserve"> </w:t>
      </w:r>
      <w:r w:rsidR="00972659" w:rsidRPr="00754A1D">
        <w:rPr>
          <w:rFonts w:ascii="Times New Roman" w:hAnsi="Times New Roman" w:cs="Times New Roman"/>
          <w:bCs/>
          <w:sz w:val="24"/>
          <w:szCs w:val="24"/>
          <w:lang w:val="en-US"/>
        </w:rPr>
        <w:t>suggesting that protein biosynthesis</w:t>
      </w:r>
      <w:r w:rsidR="00B24C9C" w:rsidRPr="00754A1D">
        <w:rPr>
          <w:rFonts w:ascii="Times New Roman" w:hAnsi="Times New Roman" w:cs="Times New Roman"/>
          <w:bCs/>
          <w:sz w:val="24"/>
          <w:szCs w:val="24"/>
          <w:lang w:val="en-US"/>
        </w:rPr>
        <w:t xml:space="preserve"> took</w:t>
      </w:r>
      <w:r w:rsidR="00972659" w:rsidRPr="00754A1D">
        <w:rPr>
          <w:rFonts w:ascii="Times New Roman" w:hAnsi="Times New Roman" w:cs="Times New Roman"/>
          <w:bCs/>
          <w:sz w:val="24"/>
          <w:szCs w:val="24"/>
          <w:lang w:val="en-US"/>
        </w:rPr>
        <w:t xml:space="preserve"> place in </w:t>
      </w:r>
      <w:r w:rsidR="00747B95" w:rsidRPr="00754A1D">
        <w:rPr>
          <w:rFonts w:ascii="Times New Roman" w:hAnsi="Times New Roman" w:cs="Times New Roman"/>
          <w:bCs/>
          <w:sz w:val="24"/>
          <w:szCs w:val="24"/>
          <w:lang w:val="en-US"/>
        </w:rPr>
        <w:t>insects that survived treatment</w:t>
      </w:r>
      <w:r w:rsidR="00231806" w:rsidRPr="00754A1D">
        <w:rPr>
          <w:rFonts w:ascii="Times New Roman" w:hAnsi="Times New Roman" w:cs="Times New Roman"/>
          <w:bCs/>
          <w:sz w:val="24"/>
          <w:szCs w:val="24"/>
          <w:lang w:val="en-US"/>
        </w:rPr>
        <w:t xml:space="preserve"> and that exposure to </w:t>
      </w:r>
      <w:r w:rsidR="00231806" w:rsidRPr="00754A1D">
        <w:rPr>
          <w:rFonts w:ascii="Times New Roman" w:hAnsi="Times New Roman" w:cs="Times New Roman"/>
          <w:bCs/>
          <w:i/>
          <w:sz w:val="24"/>
          <w:szCs w:val="24"/>
          <w:lang w:val="en-US"/>
        </w:rPr>
        <w:t>M. arvensis</w:t>
      </w:r>
      <w:r w:rsidR="00231806" w:rsidRPr="00754A1D">
        <w:rPr>
          <w:rFonts w:ascii="Times New Roman" w:hAnsi="Times New Roman" w:cs="Times New Roman"/>
          <w:bCs/>
          <w:sz w:val="24"/>
          <w:szCs w:val="24"/>
          <w:lang w:val="en-US"/>
        </w:rPr>
        <w:t xml:space="preserve"> EO is associated with physiological costs. </w:t>
      </w:r>
      <w:r w:rsidR="00972659" w:rsidRPr="00754A1D">
        <w:rPr>
          <w:rFonts w:ascii="Times New Roman" w:hAnsi="Times New Roman" w:cs="Times New Roman"/>
          <w:bCs/>
          <w:sz w:val="24"/>
          <w:szCs w:val="24"/>
          <w:lang w:val="en-US"/>
        </w:rPr>
        <w:t>This</w:t>
      </w:r>
      <w:r w:rsidR="007E5FB7" w:rsidRPr="00754A1D">
        <w:rPr>
          <w:rFonts w:ascii="Times New Roman" w:hAnsi="Times New Roman" w:cs="Times New Roman"/>
          <w:bCs/>
          <w:sz w:val="24"/>
          <w:szCs w:val="24"/>
          <w:lang w:val="en-US"/>
        </w:rPr>
        <w:t xml:space="preserve"> </w:t>
      </w:r>
      <w:r w:rsidR="007A16E7" w:rsidRPr="00754A1D">
        <w:rPr>
          <w:rFonts w:ascii="Times New Roman" w:hAnsi="Times New Roman" w:cs="Times New Roman"/>
          <w:bCs/>
          <w:sz w:val="24"/>
          <w:szCs w:val="24"/>
          <w:lang w:val="en-US"/>
        </w:rPr>
        <w:t>hypothesis</w:t>
      </w:r>
      <w:r w:rsidR="00972659" w:rsidRPr="00754A1D">
        <w:rPr>
          <w:rFonts w:ascii="Times New Roman" w:hAnsi="Times New Roman" w:cs="Times New Roman"/>
          <w:bCs/>
          <w:sz w:val="24"/>
          <w:szCs w:val="24"/>
          <w:lang w:val="en-US"/>
        </w:rPr>
        <w:t xml:space="preserve"> </w:t>
      </w:r>
      <w:r w:rsidR="007E5FB7" w:rsidRPr="00754A1D">
        <w:rPr>
          <w:rFonts w:ascii="Times New Roman" w:hAnsi="Times New Roman" w:cs="Times New Roman"/>
          <w:bCs/>
          <w:sz w:val="24"/>
          <w:szCs w:val="24"/>
          <w:lang w:val="en-US"/>
        </w:rPr>
        <w:t>is supported</w:t>
      </w:r>
      <w:r w:rsidR="00972659" w:rsidRPr="00754A1D">
        <w:rPr>
          <w:rFonts w:ascii="Times New Roman" w:hAnsi="Times New Roman" w:cs="Times New Roman"/>
          <w:bCs/>
          <w:sz w:val="24"/>
          <w:szCs w:val="24"/>
          <w:lang w:val="en-US"/>
        </w:rPr>
        <w:t xml:space="preserve"> </w:t>
      </w:r>
      <w:r w:rsidR="009E4A58" w:rsidRPr="00754A1D">
        <w:rPr>
          <w:rFonts w:ascii="Times New Roman" w:hAnsi="Times New Roman" w:cs="Times New Roman"/>
          <w:bCs/>
          <w:sz w:val="24"/>
          <w:szCs w:val="24"/>
          <w:lang w:val="en-US"/>
        </w:rPr>
        <w:t xml:space="preserve">by </w:t>
      </w:r>
      <w:r w:rsidR="007A16E7" w:rsidRPr="00754A1D">
        <w:rPr>
          <w:rFonts w:ascii="Times New Roman" w:hAnsi="Times New Roman" w:cs="Times New Roman"/>
          <w:bCs/>
          <w:sz w:val="24"/>
          <w:szCs w:val="24"/>
          <w:lang w:val="en-US"/>
        </w:rPr>
        <w:t>the</w:t>
      </w:r>
      <w:r w:rsidR="00972659" w:rsidRPr="00754A1D">
        <w:rPr>
          <w:rFonts w:ascii="Times New Roman" w:hAnsi="Times New Roman" w:cs="Times New Roman"/>
          <w:bCs/>
          <w:sz w:val="24"/>
          <w:szCs w:val="24"/>
          <w:lang w:val="en-US"/>
        </w:rPr>
        <w:t xml:space="preserve"> </w:t>
      </w:r>
      <w:r w:rsidR="000B11FB" w:rsidRPr="00754A1D">
        <w:rPr>
          <w:rFonts w:ascii="Times New Roman" w:hAnsi="Times New Roman" w:cs="Times New Roman"/>
          <w:bCs/>
          <w:sz w:val="24"/>
          <w:szCs w:val="24"/>
          <w:lang w:val="en-US"/>
        </w:rPr>
        <w:t>upregulation</w:t>
      </w:r>
      <w:r w:rsidR="00972659" w:rsidRPr="00754A1D">
        <w:rPr>
          <w:rFonts w:ascii="Times New Roman" w:hAnsi="Times New Roman" w:cs="Times New Roman"/>
          <w:bCs/>
          <w:sz w:val="24"/>
          <w:szCs w:val="24"/>
          <w:lang w:val="en-US"/>
        </w:rPr>
        <w:t xml:space="preserve"> </w:t>
      </w:r>
      <w:r w:rsidR="008D6480" w:rsidRPr="00754A1D">
        <w:rPr>
          <w:rFonts w:ascii="Times New Roman" w:hAnsi="Times New Roman" w:cs="Times New Roman"/>
          <w:bCs/>
          <w:sz w:val="24"/>
          <w:szCs w:val="24"/>
          <w:lang w:val="en-US"/>
        </w:rPr>
        <w:t>of</w:t>
      </w:r>
      <w:r w:rsidR="00972659" w:rsidRPr="00754A1D">
        <w:rPr>
          <w:rFonts w:ascii="Times New Roman" w:hAnsi="Times New Roman" w:cs="Times New Roman"/>
          <w:bCs/>
          <w:sz w:val="24"/>
          <w:szCs w:val="24"/>
          <w:lang w:val="en-US"/>
        </w:rPr>
        <w:t xml:space="preserve"> </w:t>
      </w:r>
      <w:r w:rsidR="001247DF" w:rsidRPr="00754A1D">
        <w:rPr>
          <w:rFonts w:ascii="Times New Roman" w:hAnsi="Times New Roman" w:cs="Times New Roman"/>
          <w:bCs/>
          <w:sz w:val="24"/>
          <w:szCs w:val="24"/>
          <w:lang w:val="en-US"/>
        </w:rPr>
        <w:t xml:space="preserve">several </w:t>
      </w:r>
      <w:r w:rsidR="008D6480" w:rsidRPr="00754A1D">
        <w:rPr>
          <w:rFonts w:ascii="Times New Roman" w:hAnsi="Times New Roman" w:cs="Times New Roman"/>
          <w:bCs/>
          <w:sz w:val="24"/>
          <w:szCs w:val="24"/>
          <w:lang w:val="en-US"/>
        </w:rPr>
        <w:t xml:space="preserve">proteins </w:t>
      </w:r>
      <w:r w:rsidR="00AC7CE3" w:rsidRPr="00754A1D">
        <w:rPr>
          <w:rFonts w:ascii="Times New Roman" w:hAnsi="Times New Roman" w:cs="Times New Roman"/>
          <w:bCs/>
          <w:sz w:val="24"/>
          <w:szCs w:val="24"/>
          <w:lang w:val="en-US"/>
        </w:rPr>
        <w:t>involved</w:t>
      </w:r>
      <w:r w:rsidR="008D6480" w:rsidRPr="00754A1D">
        <w:rPr>
          <w:rFonts w:ascii="Times New Roman" w:hAnsi="Times New Roman" w:cs="Times New Roman"/>
          <w:bCs/>
          <w:sz w:val="24"/>
          <w:szCs w:val="24"/>
          <w:lang w:val="en-US"/>
        </w:rPr>
        <w:t xml:space="preserve"> </w:t>
      </w:r>
      <w:r w:rsidR="00972659" w:rsidRPr="00754A1D">
        <w:rPr>
          <w:rFonts w:ascii="Times New Roman" w:hAnsi="Times New Roman" w:cs="Times New Roman"/>
          <w:bCs/>
          <w:sz w:val="24"/>
          <w:szCs w:val="24"/>
          <w:lang w:val="en-US"/>
        </w:rPr>
        <w:t xml:space="preserve">in </w:t>
      </w:r>
      <w:r w:rsidR="00FF3911" w:rsidRPr="00754A1D">
        <w:rPr>
          <w:rFonts w:ascii="Times New Roman" w:hAnsi="Times New Roman" w:cs="Times New Roman"/>
          <w:bCs/>
          <w:sz w:val="24"/>
          <w:szCs w:val="24"/>
          <w:lang w:val="en-US"/>
        </w:rPr>
        <w:t xml:space="preserve">the </w:t>
      </w:r>
      <w:r w:rsidR="00972659" w:rsidRPr="00754A1D">
        <w:rPr>
          <w:rFonts w:ascii="Times New Roman" w:hAnsi="Times New Roman" w:cs="Times New Roman"/>
          <w:bCs/>
          <w:sz w:val="24"/>
          <w:szCs w:val="24"/>
          <w:lang w:val="en-US"/>
        </w:rPr>
        <w:t>transcription and trans</w:t>
      </w:r>
      <w:r w:rsidR="007E5FB7" w:rsidRPr="00754A1D">
        <w:rPr>
          <w:rFonts w:ascii="Times New Roman" w:hAnsi="Times New Roman" w:cs="Times New Roman"/>
          <w:bCs/>
          <w:sz w:val="24"/>
          <w:szCs w:val="24"/>
          <w:lang w:val="en-US"/>
        </w:rPr>
        <w:t xml:space="preserve">lation </w:t>
      </w:r>
      <w:r w:rsidR="00D64120" w:rsidRPr="00754A1D">
        <w:rPr>
          <w:rFonts w:ascii="Times New Roman" w:hAnsi="Times New Roman" w:cs="Times New Roman"/>
          <w:bCs/>
          <w:sz w:val="24"/>
          <w:szCs w:val="24"/>
          <w:lang w:val="en-US"/>
        </w:rPr>
        <w:t xml:space="preserve">processes, </w:t>
      </w:r>
      <w:r w:rsidR="000557B6" w:rsidRPr="00754A1D">
        <w:rPr>
          <w:rFonts w:ascii="Times New Roman" w:hAnsi="Times New Roman" w:cs="Times New Roman"/>
          <w:bCs/>
          <w:sz w:val="24"/>
          <w:szCs w:val="24"/>
          <w:lang w:val="en-US"/>
        </w:rPr>
        <w:t>including</w:t>
      </w:r>
      <w:r w:rsidR="00D64120" w:rsidRPr="00754A1D">
        <w:rPr>
          <w:rFonts w:ascii="Times New Roman" w:hAnsi="Times New Roman" w:cs="Times New Roman"/>
          <w:bCs/>
          <w:sz w:val="24"/>
          <w:szCs w:val="24"/>
          <w:lang w:val="en-US"/>
        </w:rPr>
        <w:t xml:space="preserve"> </w:t>
      </w:r>
      <w:r w:rsidR="00E71910" w:rsidRPr="00754A1D">
        <w:rPr>
          <w:rFonts w:ascii="Times New Roman" w:hAnsi="Times New Roman" w:cs="Times New Roman"/>
          <w:bCs/>
          <w:sz w:val="24"/>
          <w:szCs w:val="24"/>
          <w:lang w:val="en-US"/>
        </w:rPr>
        <w:t>the ATP-dependent RNA helicase</w:t>
      </w:r>
      <w:r w:rsidR="0030088F" w:rsidRPr="00754A1D">
        <w:rPr>
          <w:rFonts w:ascii="Times New Roman" w:hAnsi="Times New Roman" w:cs="Times New Roman"/>
          <w:bCs/>
          <w:sz w:val="24"/>
          <w:szCs w:val="24"/>
          <w:lang w:val="en-US"/>
        </w:rPr>
        <w:t>s</w:t>
      </w:r>
      <w:r w:rsidR="00E71910" w:rsidRPr="00754A1D">
        <w:rPr>
          <w:rFonts w:ascii="Times New Roman" w:hAnsi="Times New Roman" w:cs="Times New Roman"/>
          <w:bCs/>
          <w:sz w:val="24"/>
          <w:szCs w:val="24"/>
          <w:lang w:val="en-US"/>
        </w:rPr>
        <w:t xml:space="preserve"> Ddx1</w:t>
      </w:r>
      <w:r w:rsidR="00D70FC9" w:rsidRPr="00754A1D">
        <w:rPr>
          <w:rFonts w:ascii="Times New Roman" w:hAnsi="Times New Roman" w:cs="Times New Roman"/>
          <w:bCs/>
          <w:sz w:val="24"/>
          <w:szCs w:val="24"/>
          <w:lang w:val="en-US"/>
        </w:rPr>
        <w:t xml:space="preserve"> </w:t>
      </w:r>
      <w:r w:rsidR="0030088F" w:rsidRPr="00754A1D">
        <w:rPr>
          <w:rFonts w:ascii="Times New Roman" w:hAnsi="Times New Roman" w:cs="Times New Roman"/>
          <w:bCs/>
          <w:sz w:val="24"/>
          <w:szCs w:val="24"/>
          <w:lang w:val="en-US"/>
        </w:rPr>
        <w:t>and p62</w:t>
      </w:r>
      <w:r w:rsidR="00B4231F" w:rsidRPr="00754A1D">
        <w:rPr>
          <w:rFonts w:ascii="Times New Roman" w:hAnsi="Times New Roman" w:cs="Times New Roman"/>
          <w:bCs/>
          <w:sz w:val="24"/>
          <w:szCs w:val="24"/>
          <w:lang w:val="en-US"/>
        </w:rPr>
        <w:t xml:space="preserve">, </w:t>
      </w:r>
      <w:r w:rsidR="003F1208" w:rsidRPr="00754A1D">
        <w:rPr>
          <w:rFonts w:ascii="Times New Roman" w:hAnsi="Times New Roman" w:cs="Times New Roman"/>
          <w:bCs/>
          <w:sz w:val="24"/>
          <w:szCs w:val="24"/>
          <w:lang w:val="en-US"/>
        </w:rPr>
        <w:t>the elongation factor 1α</w:t>
      </w:r>
      <w:r w:rsidR="000557B6" w:rsidRPr="00754A1D">
        <w:rPr>
          <w:rFonts w:ascii="Times New Roman" w:hAnsi="Times New Roman" w:cs="Times New Roman"/>
          <w:bCs/>
          <w:sz w:val="24"/>
          <w:szCs w:val="24"/>
          <w:lang w:val="en-US"/>
        </w:rPr>
        <w:t xml:space="preserve">, several 40S </w:t>
      </w:r>
      <w:r w:rsidR="008D6480" w:rsidRPr="00754A1D">
        <w:rPr>
          <w:rFonts w:ascii="Times New Roman" w:hAnsi="Times New Roman" w:cs="Times New Roman"/>
          <w:bCs/>
          <w:sz w:val="24"/>
          <w:szCs w:val="24"/>
          <w:lang w:val="en-US"/>
        </w:rPr>
        <w:t>ribosomal protein</w:t>
      </w:r>
      <w:r w:rsidR="000557B6" w:rsidRPr="00754A1D">
        <w:rPr>
          <w:rFonts w:ascii="Times New Roman" w:hAnsi="Times New Roman" w:cs="Times New Roman"/>
          <w:bCs/>
          <w:sz w:val="24"/>
          <w:szCs w:val="24"/>
          <w:lang w:val="en-US"/>
        </w:rPr>
        <w:t>s</w:t>
      </w:r>
      <w:r w:rsidR="00BB57A7" w:rsidRPr="00754A1D">
        <w:rPr>
          <w:rFonts w:ascii="Times New Roman" w:hAnsi="Times New Roman" w:cs="Times New Roman"/>
          <w:bCs/>
          <w:sz w:val="24"/>
          <w:szCs w:val="24"/>
          <w:lang w:val="en-US"/>
        </w:rPr>
        <w:t xml:space="preserve"> </w:t>
      </w:r>
      <w:r w:rsidR="000557B6" w:rsidRPr="00754A1D">
        <w:rPr>
          <w:rFonts w:ascii="Times New Roman" w:hAnsi="Times New Roman" w:cs="Times New Roman"/>
          <w:bCs/>
          <w:sz w:val="24"/>
          <w:szCs w:val="24"/>
          <w:lang w:val="en-US"/>
        </w:rPr>
        <w:t>(S4 and S12)</w:t>
      </w:r>
      <w:r w:rsidR="00FF3911" w:rsidRPr="00754A1D">
        <w:rPr>
          <w:rFonts w:ascii="Times New Roman" w:hAnsi="Times New Roman" w:cs="Times New Roman"/>
          <w:bCs/>
          <w:sz w:val="24"/>
          <w:szCs w:val="24"/>
          <w:lang w:val="en-US"/>
        </w:rPr>
        <w:t xml:space="preserve"> and </w:t>
      </w:r>
      <w:r w:rsidR="000557B6" w:rsidRPr="00754A1D">
        <w:rPr>
          <w:rFonts w:ascii="Times New Roman" w:hAnsi="Times New Roman" w:cs="Times New Roman"/>
          <w:bCs/>
          <w:sz w:val="24"/>
          <w:szCs w:val="24"/>
          <w:lang w:val="en-US"/>
        </w:rPr>
        <w:t xml:space="preserve">several </w:t>
      </w:r>
      <w:r w:rsidR="00FF3911" w:rsidRPr="00754A1D">
        <w:rPr>
          <w:rFonts w:ascii="Times New Roman" w:hAnsi="Times New Roman" w:cs="Times New Roman"/>
          <w:bCs/>
          <w:sz w:val="24"/>
          <w:szCs w:val="24"/>
          <w:lang w:val="en-US"/>
        </w:rPr>
        <w:t>60S</w:t>
      </w:r>
      <w:r w:rsidR="000557B6" w:rsidRPr="00754A1D">
        <w:rPr>
          <w:rFonts w:ascii="Times New Roman" w:hAnsi="Times New Roman" w:cs="Times New Roman"/>
          <w:bCs/>
          <w:sz w:val="24"/>
          <w:szCs w:val="24"/>
          <w:lang w:val="en-US"/>
        </w:rPr>
        <w:t xml:space="preserve"> ribosomal proteins (L27 and </w:t>
      </w:r>
      <w:r w:rsidR="00B6174C" w:rsidRPr="00754A1D">
        <w:rPr>
          <w:rFonts w:ascii="Times New Roman" w:hAnsi="Times New Roman" w:cs="Times New Roman"/>
          <w:bCs/>
          <w:sz w:val="24"/>
          <w:szCs w:val="24"/>
          <w:lang w:val="en-US"/>
        </w:rPr>
        <w:t>L27a)</w:t>
      </w:r>
      <w:r w:rsidR="005F2D81" w:rsidRPr="00754A1D">
        <w:rPr>
          <w:rFonts w:ascii="Times New Roman" w:hAnsi="Times New Roman" w:cs="Times New Roman"/>
          <w:bCs/>
          <w:sz w:val="24"/>
          <w:szCs w:val="24"/>
          <w:lang w:val="en-US"/>
        </w:rPr>
        <w:t xml:space="preserve"> </w:t>
      </w:r>
      <w:r w:rsidR="005F2D81"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{"citationID":"rAkYm6TB","properties":{"formattedCitation":"(Rafti et al. 1996; Herold et al. 2009; Sasikumar et al. 2012; Pe\\uc0\\u241{}a et al. 2017)","plainCitation":"(Rafti et al. 1996; Herold et al. 2009; Sasikumar et al. 2012; Peña et al. 2017)","noteIndex":0},"citationItems":[{"id":1956,"uris":["http://zotero.org/users/local/QcSA6amT/items/PGAHJ6U7"],"uri":["http://zotero.org/users/local/QcSA6amT/items/PGAHJ6U7"],"itemData":{"id":1956,"type":"article-journal","abstract":"DEAD-box genes are found throughout evolution and encode RNA-binding proteins. Such proteins include eukaryotic initiation factor-4A, which is essential for protein translation, Vasa, which is essential for germ line development, and a number of nuclear and mitochondrial RNA splicing factors. Transcription of a human DEAD-box gene, DDX1, is elevated in two retinoblastoma cell lines as a result of amplificátion of the immediate chromosomal region surrounding it, suggesting an important role for this gene in control of cell growth and division. We have isolated a Drosophila melanogaster (Dm) homologue (Ddxl) of DDX1 which is strikingly similar to the human gene. The similarity (58.3% amino acid (aa) identity over 720 aa) extends beyond regions conserved in all DEAD-box proteins and covers the entire lengths of the proteins. The 2.7-kb Dm Ddxl RNA is expressed throughout development, but its levels are elevated in early embryos. Ddxl maps to polytene chromosome band 79D4 on the left arm of Dm chromosome 3.","container-title":"Gene","DOI":"10.1016/0378-1119(96)00034-0","ISSN":"0378-1119","issue":"2","journalAbbreviation":"Gene","language":"en","page":"225-229","source":"ScienceDirect","title":"A Drosophila melanogaster homologue of the human DEAD-box gene DDX1","volume":"171","author":[{"family":"Rafti","given":"Fiorella"},{"family":"Scarvelis","given":"Dimitrios"},{"family":"Lasko","given":"Paul F."}],"issued":{"date-parts":[["1996",6,1]]}}},{"id":2175,"uris":["http://zotero.org/users/local/QcSA6amT/items/T9KVMSC8"],"uri":["http://zotero.org/users/local/QcSA6amT/items/T9KVMSC8"],"itemData":{"id":2175,"type":"article-journal","abstract":"Comprehensive proteomics analyses of spliceosomal complexes are currently limited to those in humans, and thus, it is unclear to what extent the spliceosome's highly complex composition and compositional dynamics are conserved among metazoans. Here we affinity purified Drosophila melanogaster spliceosomal B and C complexes formed in Kc cell nuclear extract. Mass spectrometry revealed that their composition is highly similar to that of human B and C complexes. Nonetheless, a number of Drosophila-specific proteins were identified, suggesting that there may be novel factors contributing specifically to splicing in flies. Protein recruitment and release events during the B-to-C transition were also very similar in both organisms. Electron microscopy of Drosophila B complexes revealed a high degree of structural similarity with human B complexes, indicating that higher-order interactions are also largely conserved. A comparison of Drosophila spliceosomes formed on a short versus long intron revealed only small differences in protein composition but, nonetheless, clear structural differences under the electron microscope. Finally, the characterization of affinity-purified Drosophila mRNPs indicated that exon junction complex proteins are recruited in a splicing-dependent manner during C complex formation. These studies provide insights into the evolutionarily conserved composition and structure of the metazoan spliceosome, as well as its compositional dynamics during catalytic activation.","container-title":"Molecular and Cellular Biology","DOI":"10.1128/MCB.01415-08","ISSN":"0270-7306, 1098-5549","issue":"1","language":"en","note":"PMID: 18981222","page":"281-301","source":"mcb.asm.org","title":"Conservation of the Protein Composition and Electron Microscopy Structure of Drosophila melanogaster and Human Spliceosomal Complexes","volume":"29","author":[{"family":"Herold","given":"Nadine"},{"family":"Will","given":"Cindy L."},{"family":"Wolf","given":"Elmar"},{"family":"Kastner","given":"Berthold"},{"family":"Urlaub","given":"Henning"},{"family":"Lührmann","given":"Reinhard"}],"issued":{"date-parts":[["2009",1,1]]}}},{"id":1959,"uris":["http://zotero.org/users/local/QcSA6amT/items/JYAYNB7T"],"uri":["http://zotero.org/users/local/QcSA6amT/items/JYAYNB7T"],"itemData":{"id":1959,"type":"article-journal","abstract":"The vast majority of proteins are believed to have one specific function. Throughout the course of evolution, however, some proteins have acquired additional functions to meet the demands of a complex cellular milieu. In some cases changes in RNA or protein processing allow the cell to make the most of what is already encoded in the genome to produce slightly different forms. The eukaryotic Elongation Factor 1 (eEF1) complex subunits, however, have acquired such moonlighting functions without alternative forms. Here, we discuss the canonical functions of the components of the eEF1 complex in translation elongation as well as the secondary interactions they have with other cellular factors outside of the translational apparatus. The eEF1 complex itself changes in composition as the complexity of eukaryotic organisms increases. Members of the complex are also subject to phosphorylation, a potential modulator of both canonical and non-canonical functions. Although alternative functions of the eEF1A subunit have been widely reported, recent studies are shedding light on additional functions of the eEF1B subunits. A thorough understanding of these alternate functions</w:instrText>
      </w:r>
      <w:r w:rsidR="009364F5" w:rsidRPr="00754A1D">
        <w:rPr>
          <w:rFonts w:ascii="Times New Roman" w:hAnsi="Times New Roman" w:cs="Times New Roman"/>
          <w:bCs/>
          <w:sz w:val="24"/>
          <w:szCs w:val="24"/>
        </w:rPr>
        <w:instrText xml:space="preserve"> of eEF1 is essential for appreciating their biological relevance.","container-title":"Wiley Interdisciplinary Reviews. RNA","DOI":"10.1002/wrna.1118","ISSN":"1757-7004","issue":"4","journalAbbreviation":"Wiley Interdiscip Rev RNA","note":"PMID: 22555874\nPMCID: PMC3374885","page":"543-555","source":"PubMed Central","title":"The Many Roles of the Eukaryotic Elongation Factor 1 Complex","volume":"3","author":[{"family":"Sasikumar","given":"Arjun N."},{"family":"Perez","given":"Winder B."},{"family":"Kinzy","given":"Terri Goss"}],"issued":{"date-parts":[["2012",7]]}}},{"id":1962,"uris":["http://zotero.org/users/local/QcSA6amT/items/XYHCCNCG"],"uri":["http://zotero.org/users/local/QcSA6amT/items/XYHCCNCG"],"itemData":{"id":1962,"type":"article-journal","abstract":"In this Review, Peña, Hurt and Panse discuss our current knowledge on the eukaryotic ribosome assembly, a complex process that takes place across different cellular compartments and involves over 200 assembly factors.","container-title":"Nature Structural &amp; Molecular Biology","DOI":"10.1038/nsmb.3454","ISSN":"1545-9985","issue":"9","language":"en","page":"689-699","source":"www.nature.com","title":"Eukaryotic ribosome assembly, transport and quality control","volume":"24","author":[{"family":"Peña","given":"Cohue"},{"family":"Hurt","given":"Ed"},{"family":"Panse","given":"Vikram Govind"}],"issued":{"date-parts":[["2017",9]]}}}],"schema":"https://github.com/citation-style-language/schema/raw/master/csl-citation.json"} </w:instrText>
      </w:r>
      <w:r w:rsidR="005F2D81" w:rsidRPr="00754A1D">
        <w:rPr>
          <w:rFonts w:ascii="Times New Roman" w:hAnsi="Times New Roman" w:cs="Times New Roman"/>
          <w:bCs/>
          <w:sz w:val="24"/>
          <w:szCs w:val="24"/>
          <w:lang w:val="en-US"/>
        </w:rPr>
        <w:fldChar w:fldCharType="separate"/>
      </w:r>
      <w:r w:rsidR="0030088F" w:rsidRPr="00754A1D">
        <w:rPr>
          <w:rFonts w:ascii="Times New Roman" w:hAnsi="Times New Roman" w:cs="Times New Roman"/>
          <w:sz w:val="24"/>
          <w:szCs w:val="24"/>
        </w:rPr>
        <w:t>(Rafti et al. 1996; Herold et al. 2009; Sasikumar et al. 2012; Peña et al. 2017)</w:t>
      </w:r>
      <w:r w:rsidR="005F2D81" w:rsidRPr="00754A1D">
        <w:rPr>
          <w:rFonts w:ascii="Times New Roman" w:hAnsi="Times New Roman" w:cs="Times New Roman"/>
          <w:bCs/>
          <w:sz w:val="24"/>
          <w:szCs w:val="24"/>
          <w:lang w:val="en-US"/>
        </w:rPr>
        <w:fldChar w:fldCharType="end"/>
      </w:r>
      <w:r w:rsidR="004470D8" w:rsidRPr="00754A1D">
        <w:rPr>
          <w:rFonts w:ascii="Times New Roman" w:hAnsi="Times New Roman" w:cs="Times New Roman"/>
          <w:bCs/>
          <w:sz w:val="24"/>
          <w:szCs w:val="24"/>
        </w:rPr>
        <w:t xml:space="preserve">. </w:t>
      </w:r>
      <w:r w:rsidR="00E26516" w:rsidRPr="00754A1D">
        <w:rPr>
          <w:rFonts w:ascii="Times New Roman" w:hAnsi="Times New Roman" w:cs="Times New Roman"/>
          <w:bCs/>
          <w:sz w:val="24"/>
          <w:szCs w:val="24"/>
          <w:lang w:val="en-US"/>
        </w:rPr>
        <w:t xml:space="preserve">In addition, several </w:t>
      </w:r>
      <w:r w:rsidR="00D64120" w:rsidRPr="00754A1D">
        <w:rPr>
          <w:rFonts w:ascii="Times New Roman" w:hAnsi="Times New Roman" w:cs="Times New Roman"/>
          <w:bCs/>
          <w:sz w:val="24"/>
          <w:szCs w:val="24"/>
          <w:lang w:val="en-US"/>
        </w:rPr>
        <w:t>chaperonins</w:t>
      </w:r>
      <w:r w:rsidR="00747B95" w:rsidRPr="00754A1D">
        <w:rPr>
          <w:rFonts w:ascii="Times New Roman" w:hAnsi="Times New Roman" w:cs="Times New Roman"/>
          <w:bCs/>
          <w:sz w:val="24"/>
          <w:szCs w:val="24"/>
          <w:lang w:val="en-US"/>
        </w:rPr>
        <w:t>, which are proteins that ensure the correct folding of other proteins,</w:t>
      </w:r>
      <w:r w:rsidR="00E26516" w:rsidRPr="00754A1D">
        <w:rPr>
          <w:rFonts w:ascii="Times New Roman" w:hAnsi="Times New Roman" w:cs="Times New Roman"/>
          <w:bCs/>
          <w:sz w:val="24"/>
          <w:szCs w:val="24"/>
          <w:lang w:val="en-US"/>
        </w:rPr>
        <w:t xml:space="preserve"> were</w:t>
      </w:r>
      <w:r w:rsidR="00AE02EC" w:rsidRPr="00754A1D">
        <w:rPr>
          <w:rFonts w:ascii="Times New Roman" w:hAnsi="Times New Roman" w:cs="Times New Roman"/>
          <w:bCs/>
          <w:sz w:val="24"/>
          <w:szCs w:val="24"/>
          <w:lang w:val="en-US"/>
        </w:rPr>
        <w:t xml:space="preserve"> found</w:t>
      </w:r>
      <w:r w:rsidR="00E26516" w:rsidRPr="00754A1D">
        <w:rPr>
          <w:rFonts w:ascii="Times New Roman" w:hAnsi="Times New Roman" w:cs="Times New Roman"/>
          <w:bCs/>
          <w:sz w:val="24"/>
          <w:szCs w:val="24"/>
          <w:lang w:val="en-US"/>
        </w:rPr>
        <w:t xml:space="preserve"> upregulated</w:t>
      </w:r>
      <w:r w:rsidR="009E4A58" w:rsidRPr="00754A1D">
        <w:rPr>
          <w:rFonts w:ascii="Times New Roman" w:hAnsi="Times New Roman" w:cs="Times New Roman"/>
          <w:bCs/>
          <w:sz w:val="24"/>
          <w:szCs w:val="24"/>
          <w:lang w:val="en-US"/>
        </w:rPr>
        <w:t xml:space="preserve">. </w:t>
      </w:r>
      <w:r w:rsidR="00D64120" w:rsidRPr="00754A1D">
        <w:rPr>
          <w:rFonts w:ascii="Times New Roman" w:hAnsi="Times New Roman" w:cs="Times New Roman"/>
          <w:bCs/>
          <w:sz w:val="24"/>
          <w:szCs w:val="24"/>
          <w:lang w:val="en-US"/>
        </w:rPr>
        <w:t>This is the case of h</w:t>
      </w:r>
      <w:r w:rsidR="00A23D42" w:rsidRPr="00754A1D">
        <w:rPr>
          <w:rFonts w:ascii="Times New Roman" w:hAnsi="Times New Roman" w:cs="Times New Roman"/>
          <w:bCs/>
          <w:sz w:val="24"/>
          <w:szCs w:val="24"/>
          <w:lang w:val="en-US"/>
        </w:rPr>
        <w:t xml:space="preserve">eat shock 10 </w:t>
      </w:r>
      <w:proofErr w:type="spellStart"/>
      <w:r w:rsidR="00A23D42" w:rsidRPr="00754A1D">
        <w:rPr>
          <w:rFonts w:ascii="Times New Roman" w:hAnsi="Times New Roman" w:cs="Times New Roman"/>
          <w:bCs/>
          <w:sz w:val="24"/>
          <w:szCs w:val="24"/>
          <w:lang w:val="en-US"/>
        </w:rPr>
        <w:t>kDa</w:t>
      </w:r>
      <w:proofErr w:type="spellEnd"/>
      <w:r w:rsidR="00A23D42" w:rsidRPr="00754A1D">
        <w:rPr>
          <w:rFonts w:ascii="Times New Roman" w:hAnsi="Times New Roman" w:cs="Times New Roman"/>
          <w:bCs/>
          <w:sz w:val="24"/>
          <w:szCs w:val="24"/>
          <w:lang w:val="en-US"/>
        </w:rPr>
        <w:t xml:space="preserve"> protein 1 (Hsp10)</w:t>
      </w:r>
      <w:r w:rsidR="00BC4EBB" w:rsidRPr="00754A1D">
        <w:rPr>
          <w:rFonts w:ascii="Times New Roman" w:hAnsi="Times New Roman" w:cs="Times New Roman"/>
          <w:bCs/>
          <w:sz w:val="24"/>
          <w:szCs w:val="24"/>
          <w:lang w:val="en-US"/>
        </w:rPr>
        <w:t xml:space="preserve"> which is </w:t>
      </w:r>
      <w:r w:rsidR="00226BAD" w:rsidRPr="00754A1D">
        <w:rPr>
          <w:rFonts w:ascii="Times New Roman" w:hAnsi="Times New Roman" w:cs="Times New Roman"/>
          <w:bCs/>
          <w:sz w:val="24"/>
          <w:szCs w:val="24"/>
          <w:lang w:val="en-US"/>
        </w:rPr>
        <w:t xml:space="preserve">essential for </w:t>
      </w:r>
      <w:r w:rsidR="00D265A6" w:rsidRPr="00754A1D">
        <w:rPr>
          <w:rFonts w:ascii="Times New Roman" w:hAnsi="Times New Roman" w:cs="Times New Roman"/>
          <w:bCs/>
          <w:sz w:val="24"/>
          <w:szCs w:val="24"/>
          <w:lang w:val="en-US"/>
        </w:rPr>
        <w:t xml:space="preserve">the </w:t>
      </w:r>
      <w:r w:rsidR="00226BAD" w:rsidRPr="00754A1D">
        <w:rPr>
          <w:rFonts w:ascii="Times New Roman" w:hAnsi="Times New Roman" w:cs="Times New Roman"/>
          <w:bCs/>
          <w:sz w:val="24"/>
          <w:szCs w:val="24"/>
          <w:lang w:val="en-US"/>
        </w:rPr>
        <w:t xml:space="preserve">assembly of proteins imported into mitochondria </w:t>
      </w:r>
      <w:r w:rsidR="00226BAD"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{"citationID":"fbt4koLn","properties":{"formattedCitation":"(Cheng et al. 1989)","plainCitation":"(Cheng et al. 1989)","noteIndex":0},"citationItems":[{"id":2119,"uris":["http://zotero.org/users/local/QcSA6amT/items/PSREB279"],"uri":["http://zotero.org/users/local/QcSA6amT/items/PSREB279"],"itemData":{"id":2119,"type":"article-journal","abstract":"A nuclear encoded mitochondrial heat-shock protein hsp60 is required for the assembly into oligomeric complexes of proteins imported into the mitochondrial matrix. hsp60 is a member of the 'chaperonin' class of protein factors, which include the Escherichia coli groEL protein and the Rubisco subunit-binding protein of chloroplasts.","container-title":"Nature","DOI":"10.1038/337620a0","ISSN":"0028-0836","issue":"6208","journalAbbreviation":"Nature","language":"eng","note":"PMID: 2645524","page":"620-625","source":"PubMed","title":"Mitochondrial heat-shock protein hsp60 is essential for assembly of proteins imported into yeast mitochondria","volume":"337","author":[{"family":"Cheng","given":"M. Y."},{"family":"Hartl","given":"F. U."},{"family":"Martin","given":"J."},{"family":"Pollock","given":"R. A."},{"family":"Kalousek","given":"F."},{"family":"Neupert","given":"W."},{"family":"Hallberg","given":"E. M."},{"family":"Hallberg","given":"R. L."},{"family":"Horwich","given":"A. L."}],"issued":{"date-parts":[["1989",2,16]]}}}],"schema":"https://github.com/citation-style-language/schema/raw/master/csl-citation.json"} </w:instrText>
      </w:r>
      <w:r w:rsidR="00226BAD" w:rsidRPr="00754A1D">
        <w:rPr>
          <w:rFonts w:ascii="Times New Roman" w:hAnsi="Times New Roman" w:cs="Times New Roman"/>
          <w:bCs/>
          <w:sz w:val="24"/>
          <w:szCs w:val="24"/>
          <w:lang w:val="en-US"/>
        </w:rPr>
        <w:fldChar w:fldCharType="separate"/>
      </w:r>
      <w:r w:rsidR="00226BAD" w:rsidRPr="00754A1D">
        <w:rPr>
          <w:rFonts w:ascii="Times New Roman" w:hAnsi="Times New Roman" w:cs="Times New Roman"/>
          <w:sz w:val="24"/>
          <w:lang w:val="en-US"/>
        </w:rPr>
        <w:t>(Cheng et al. 1989)</w:t>
      </w:r>
      <w:r w:rsidR="00226BAD" w:rsidRPr="00754A1D">
        <w:rPr>
          <w:rFonts w:ascii="Times New Roman" w:hAnsi="Times New Roman" w:cs="Times New Roman"/>
          <w:bCs/>
          <w:sz w:val="24"/>
          <w:szCs w:val="24"/>
          <w:lang w:val="en-US"/>
        </w:rPr>
        <w:fldChar w:fldCharType="end"/>
      </w:r>
      <w:r w:rsidR="00BC4EBB" w:rsidRPr="00754A1D">
        <w:rPr>
          <w:rFonts w:ascii="Times New Roman" w:hAnsi="Times New Roman" w:cs="Times New Roman"/>
          <w:bCs/>
          <w:sz w:val="24"/>
          <w:szCs w:val="24"/>
          <w:lang w:val="en-US"/>
        </w:rPr>
        <w:t xml:space="preserve"> </w:t>
      </w:r>
      <w:r w:rsidR="00D64120" w:rsidRPr="00754A1D">
        <w:rPr>
          <w:rFonts w:ascii="Times New Roman" w:hAnsi="Times New Roman" w:cs="Times New Roman"/>
          <w:bCs/>
          <w:sz w:val="24"/>
          <w:szCs w:val="24"/>
          <w:lang w:val="en-US"/>
        </w:rPr>
        <w:t xml:space="preserve">and </w:t>
      </w:r>
      <w:r w:rsidR="00226BAD" w:rsidRPr="00754A1D">
        <w:rPr>
          <w:rFonts w:ascii="Times New Roman" w:hAnsi="Times New Roman" w:cs="Times New Roman"/>
          <w:bCs/>
          <w:sz w:val="24"/>
          <w:szCs w:val="24"/>
          <w:lang w:val="en-US"/>
        </w:rPr>
        <w:t xml:space="preserve">immunophilin </w:t>
      </w:r>
      <w:r w:rsidR="00A23D42" w:rsidRPr="00754A1D">
        <w:rPr>
          <w:rFonts w:ascii="Times New Roman" w:hAnsi="Times New Roman" w:cs="Times New Roman"/>
          <w:bCs/>
          <w:sz w:val="24"/>
          <w:szCs w:val="24"/>
          <w:lang w:val="en-US"/>
        </w:rPr>
        <w:t xml:space="preserve">12 </w:t>
      </w:r>
      <w:proofErr w:type="spellStart"/>
      <w:r w:rsidR="00A23D42" w:rsidRPr="00754A1D">
        <w:rPr>
          <w:rFonts w:ascii="Times New Roman" w:hAnsi="Times New Roman" w:cs="Times New Roman"/>
          <w:bCs/>
          <w:sz w:val="24"/>
          <w:szCs w:val="24"/>
          <w:lang w:val="en-US"/>
        </w:rPr>
        <w:t>kDa</w:t>
      </w:r>
      <w:proofErr w:type="spellEnd"/>
      <w:r w:rsidR="00A23D42" w:rsidRPr="00754A1D">
        <w:rPr>
          <w:rFonts w:ascii="Times New Roman" w:hAnsi="Times New Roman" w:cs="Times New Roman"/>
          <w:bCs/>
          <w:sz w:val="24"/>
          <w:szCs w:val="24"/>
          <w:lang w:val="en-US"/>
        </w:rPr>
        <w:t xml:space="preserve"> FK506-binding protein</w:t>
      </w:r>
      <w:r w:rsidR="00E26516" w:rsidRPr="00754A1D">
        <w:rPr>
          <w:rFonts w:ascii="Times New Roman" w:hAnsi="Times New Roman" w:cs="Times New Roman"/>
          <w:bCs/>
          <w:sz w:val="24"/>
          <w:szCs w:val="24"/>
          <w:lang w:val="en-US"/>
        </w:rPr>
        <w:t xml:space="preserve"> </w:t>
      </w:r>
      <w:r w:rsidR="00D64120" w:rsidRPr="00754A1D">
        <w:rPr>
          <w:rFonts w:ascii="Times New Roman" w:hAnsi="Times New Roman" w:cs="Times New Roman"/>
          <w:bCs/>
          <w:sz w:val="24"/>
          <w:szCs w:val="24"/>
          <w:lang w:val="en-US"/>
        </w:rPr>
        <w:t xml:space="preserve">which </w:t>
      </w:r>
      <w:r w:rsidR="00E26516" w:rsidRPr="00754A1D">
        <w:rPr>
          <w:rFonts w:ascii="Times New Roman" w:hAnsi="Times New Roman" w:cs="Times New Roman"/>
          <w:bCs/>
          <w:sz w:val="24"/>
          <w:szCs w:val="24"/>
          <w:lang w:val="en-US"/>
        </w:rPr>
        <w:t xml:space="preserve">participates in </w:t>
      </w:r>
      <w:r w:rsidR="00BC4EBB" w:rsidRPr="00754A1D">
        <w:rPr>
          <w:rFonts w:ascii="Times New Roman" w:hAnsi="Times New Roman" w:cs="Times New Roman"/>
          <w:bCs/>
          <w:sz w:val="24"/>
          <w:szCs w:val="24"/>
          <w:lang w:val="en-US"/>
        </w:rPr>
        <w:t>diverse</w:t>
      </w:r>
      <w:r w:rsidR="00E26516" w:rsidRPr="00754A1D">
        <w:rPr>
          <w:rFonts w:ascii="Times New Roman" w:hAnsi="Times New Roman" w:cs="Times New Roman"/>
          <w:bCs/>
          <w:sz w:val="24"/>
          <w:szCs w:val="24"/>
          <w:lang w:val="en-US"/>
        </w:rPr>
        <w:t xml:space="preserve"> pathways</w:t>
      </w:r>
      <w:r w:rsidR="00226BAD" w:rsidRPr="00754A1D">
        <w:rPr>
          <w:rFonts w:ascii="Times New Roman" w:hAnsi="Times New Roman" w:cs="Times New Roman"/>
          <w:bCs/>
          <w:sz w:val="24"/>
          <w:szCs w:val="24"/>
          <w:lang w:val="en-US"/>
        </w:rPr>
        <w:t xml:space="preserve"> </w:t>
      </w:r>
      <w:r w:rsidR="006001D9"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{"citationID":"LopchIHo","properties":{"formattedCitation":"(Preall et al. 2012; Bonner and Boulianne 2017)","plainCitation":"(Preall et al. 2012; Bonner and Boulianne 2017)","noteIndex":0},"citationItems":[{"id":2116,"uris":["http://zotero.org/users/local/QcSA6amT/items/TY5XBKJZ"],"uri":["http://zotero.org/users/local/QcSA6amT/items/TY5XBKJZ"],"itemData":{"id":2116,"type":"article-journal","abstract":"In animals, the piRNA pathway preserves the integrity of gametic genomes, guarding them against the activity of mobile genetic elements. Here, the authors link shutdown, a gene previously shown to be required for fertility in Drosophila, to the piRNA pathway. Analysis of knockdown phenotypes in both the germline and somatic compartments of the ovary demonstrate important roles for shutdown in both primary biogenesis and the ping-pong cycle, a piRNA amplification loop. shutdown is a member of the FKBP family of immunophilins, with domains implicated in peptidyl-prolyl cis-trans isomerase activity and in the binding of HSP90-family chaperones., In animals, the piRNA pathway preserves the integrity of gametic genomes, guarding them against the activity of mobile genetic elements. This innate immune mechanism relies on distinct genomic loci, termed piRNA clusters, to provide a molecular definition of transposons, enabling their discrimination from genes. piRNA clusters give rise to long, single-stranded precursors, which are processed into primary piRNAs through an unknown mechanism. These can engage in an adaptive amplification loop, the ping-pong cycle, to optimize the content of small RNA populations via the generation of secondary piRNAs. Many proteins have been ascribed functions in either primary biogenesis or the ping-pong cycle, though for the most part the molecular functions of proteins implicated in these pathways remain obscure. Here, we link shutdown (shu), a gene previously shown to be required for fertility in Drosophila, to the piRNA pathway. Analysis of knockdown phenotypes in both the germline and somatic compartments of the ovary demonstrate important roles for shutdown in both primary biogenesis and the ping-pong cycle. shutdown is a member of the FKBP family of immunophilins. Shu contains domains implicated in peptidyl-prolyl cis-trans isomerase activity and in the binding of HSP90-family chaperones, though the relevance of these domains to piRNA biogenesis is unknown.","container-title":"RNA","DOI":"10.1261/rna.034405.112","ISSN":"1355-8382","issue":"8","journalAbbreviation":"RNA","note":"PMID: 22753781\nPMCID: PMC3404366","page":"1446-1457","source":"PubMed Central","title":"shutdown is a component of the Drosophila piRNA biogenesis machinery","volume":"18","author":[{"family":"Preall","given":"Jonathan B."},{"family":"Czech","given":"Benjamin"},{"family":"Guzzardo","given":"Paloma M."},{"family":"Muerdter","given":"Felix"},{"family":"Hannon","given":"Gregory J."}],"issued":{"date-parts":[["2012",8]]}}},{"id":2113,"uris":["http://zotero.org/users/local/QcSA6amT/items/4ZIABVA4"],"uri":["http://zotero.org/users/local/QcSA6amT/items/4ZIABVA4"],"itemData":{"id":2113,"type":"article-journal","abstract":"FK506 (Tacrolimus), isolated from Streptomyces tsukubaenis is a powerful immunosuppressant shown to inhibit T cell activation. FK506 mediated immunosuppression requires the formation of a complex between FK506, a FK506 binding protein (FKBP) and calcineurin. Numerous FKBPs have been identified in a wide range of species, from single celled organisms to humans. FKBPs show peptidylprolyl cis/trans isomerase (PPIase) activity and have been shown to affect a wide range of cellular processes including protein folding, receptor signaling and apoptosis. FKBPs also affect numerous biological functions in addition to immunosuppression including regulation of cardiac function, neuronal function and development and have been implicated in several diseases including cardiac disease, cancer and neurodegenerative diseases such as Alzheimer's disease. More recently, FKBPs have proven useful as molecular tools for studying protein interactions, localization and functions. This review provides an overview of the current state of knowledge of FKBPs and their numerous biological functions and uses.","container-title":"Cellular Signalling","DOI":"10.1016/j.cellsig.2017.06.013","ISSN":"0898-6568","journalAbbreviation":"Cellular Signalling","language":"en","page":"97-105","source":"ScienceDirect","title":"Diverse structures, functions and uses of FK506 binding proteins","volume":"38","author":[{"family":"Bonner","given":"Julia Maeve"},{"family":"Boulianne","given":"Gabrielle L."}],"issued":{"date-parts":[["2017",10,1]]}}}],"schema":"https://github.com/citation-style-language/schema/raw/master/csl-citation.json"} </w:instrText>
      </w:r>
      <w:r w:rsidR="006001D9" w:rsidRPr="00754A1D">
        <w:rPr>
          <w:rFonts w:ascii="Times New Roman" w:hAnsi="Times New Roman" w:cs="Times New Roman"/>
          <w:bCs/>
          <w:sz w:val="24"/>
          <w:szCs w:val="24"/>
          <w:lang w:val="en-US"/>
        </w:rPr>
        <w:fldChar w:fldCharType="separate"/>
      </w:r>
      <w:r w:rsidR="006001D9" w:rsidRPr="00754A1D">
        <w:rPr>
          <w:rFonts w:ascii="Times New Roman" w:hAnsi="Times New Roman" w:cs="Times New Roman"/>
          <w:sz w:val="24"/>
          <w:lang w:val="en-US"/>
        </w:rPr>
        <w:t>(Preall et al. 2012; Bonner and Boulianne 2017)</w:t>
      </w:r>
      <w:r w:rsidR="006001D9" w:rsidRPr="00754A1D">
        <w:rPr>
          <w:rFonts w:ascii="Times New Roman" w:hAnsi="Times New Roman" w:cs="Times New Roman"/>
          <w:bCs/>
          <w:sz w:val="24"/>
          <w:szCs w:val="24"/>
          <w:lang w:val="en-US"/>
        </w:rPr>
        <w:fldChar w:fldCharType="end"/>
      </w:r>
      <w:r w:rsidR="00D64120" w:rsidRPr="00754A1D">
        <w:rPr>
          <w:rFonts w:ascii="Times New Roman" w:hAnsi="Times New Roman" w:cs="Times New Roman"/>
          <w:bCs/>
          <w:sz w:val="24"/>
          <w:szCs w:val="24"/>
          <w:lang w:val="en-US"/>
        </w:rPr>
        <w:t>.</w:t>
      </w:r>
      <w:r w:rsidR="0035273E" w:rsidRPr="00754A1D">
        <w:rPr>
          <w:rFonts w:ascii="Times New Roman" w:hAnsi="Times New Roman" w:cs="Times New Roman"/>
          <w:bCs/>
          <w:sz w:val="24"/>
          <w:szCs w:val="24"/>
          <w:lang w:val="en-US"/>
        </w:rPr>
        <w:t xml:space="preserve"> </w:t>
      </w:r>
      <w:r w:rsidR="00747B95" w:rsidRPr="00754A1D">
        <w:rPr>
          <w:rFonts w:ascii="Times New Roman" w:hAnsi="Times New Roman" w:cs="Times New Roman"/>
          <w:bCs/>
          <w:sz w:val="24"/>
          <w:szCs w:val="24"/>
          <w:lang w:val="en-US"/>
        </w:rPr>
        <w:t>Interestingly, s</w:t>
      </w:r>
      <w:r w:rsidR="00D64120" w:rsidRPr="00754A1D">
        <w:rPr>
          <w:rFonts w:ascii="Times New Roman" w:hAnsi="Times New Roman" w:cs="Times New Roman"/>
          <w:bCs/>
          <w:sz w:val="24"/>
          <w:szCs w:val="24"/>
          <w:lang w:val="en-US"/>
        </w:rPr>
        <w:t xml:space="preserve">everal of these chaperonins </w:t>
      </w:r>
      <w:r w:rsidR="002008C8" w:rsidRPr="00754A1D">
        <w:rPr>
          <w:rFonts w:ascii="Times New Roman" w:hAnsi="Times New Roman" w:cs="Times New Roman"/>
          <w:bCs/>
          <w:sz w:val="24"/>
          <w:szCs w:val="24"/>
          <w:lang w:val="en-US"/>
        </w:rPr>
        <w:t>are</w:t>
      </w:r>
      <w:r w:rsidR="00747B95" w:rsidRPr="00754A1D">
        <w:rPr>
          <w:rFonts w:ascii="Times New Roman" w:hAnsi="Times New Roman" w:cs="Times New Roman"/>
          <w:bCs/>
          <w:sz w:val="24"/>
          <w:szCs w:val="24"/>
          <w:lang w:val="en-US"/>
        </w:rPr>
        <w:t xml:space="preserve"> involved</w:t>
      </w:r>
      <w:r w:rsidR="00D64120" w:rsidRPr="00754A1D">
        <w:rPr>
          <w:rFonts w:ascii="Times New Roman" w:hAnsi="Times New Roman" w:cs="Times New Roman"/>
          <w:bCs/>
          <w:sz w:val="24"/>
          <w:szCs w:val="24"/>
          <w:lang w:val="en-US"/>
        </w:rPr>
        <w:t xml:space="preserve"> in the development of the nervous system and the organization of </w:t>
      </w:r>
      <w:r w:rsidR="00AE02EC" w:rsidRPr="00754A1D">
        <w:rPr>
          <w:rFonts w:ascii="Times New Roman" w:hAnsi="Times New Roman" w:cs="Times New Roman"/>
          <w:bCs/>
          <w:sz w:val="24"/>
          <w:szCs w:val="24"/>
          <w:lang w:val="en-US"/>
        </w:rPr>
        <w:t>cytoskeletal</w:t>
      </w:r>
      <w:r w:rsidR="00D64120" w:rsidRPr="00754A1D">
        <w:rPr>
          <w:rFonts w:ascii="Times New Roman" w:hAnsi="Times New Roman" w:cs="Times New Roman"/>
          <w:bCs/>
          <w:sz w:val="24"/>
          <w:szCs w:val="24"/>
          <w:lang w:val="en-US"/>
        </w:rPr>
        <w:t xml:space="preserve"> components. </w:t>
      </w:r>
      <w:r w:rsidR="007E0270" w:rsidRPr="00754A1D">
        <w:rPr>
          <w:rFonts w:ascii="Times New Roman" w:hAnsi="Times New Roman" w:cs="Times New Roman"/>
          <w:bCs/>
          <w:sz w:val="24"/>
          <w:szCs w:val="24"/>
          <w:lang w:val="en-US"/>
        </w:rPr>
        <w:t>These include</w:t>
      </w:r>
      <w:r w:rsidR="00D64120" w:rsidRPr="00754A1D">
        <w:rPr>
          <w:rFonts w:ascii="Times New Roman" w:hAnsi="Times New Roman" w:cs="Times New Roman"/>
          <w:bCs/>
          <w:sz w:val="24"/>
          <w:szCs w:val="24"/>
          <w:lang w:val="en-US"/>
        </w:rPr>
        <w:t xml:space="preserve"> </w:t>
      </w:r>
      <w:r w:rsidR="001A5159" w:rsidRPr="00754A1D">
        <w:rPr>
          <w:rFonts w:ascii="Times New Roman" w:hAnsi="Times New Roman" w:cs="Times New Roman"/>
          <w:bCs/>
          <w:sz w:val="24"/>
          <w:szCs w:val="24"/>
          <w:lang w:val="en-US"/>
        </w:rPr>
        <w:t>T-</w:t>
      </w:r>
      <w:r w:rsidR="001A5159" w:rsidRPr="00754A1D">
        <w:rPr>
          <w:rFonts w:ascii="Times New Roman" w:hAnsi="Times New Roman" w:cs="Times New Roman"/>
          <w:bCs/>
          <w:sz w:val="24"/>
          <w:szCs w:val="24"/>
          <w:lang w:val="en-US"/>
        </w:rPr>
        <w:lastRenderedPageBreak/>
        <w:t>complex protein 1 subunit delta</w:t>
      </w:r>
      <w:r w:rsidR="007E0270" w:rsidRPr="00754A1D">
        <w:rPr>
          <w:rFonts w:ascii="Times New Roman" w:hAnsi="Times New Roman" w:cs="Times New Roman"/>
          <w:bCs/>
          <w:sz w:val="24"/>
          <w:szCs w:val="24"/>
          <w:lang w:val="en-US"/>
        </w:rPr>
        <w:t xml:space="preserve">, </w:t>
      </w:r>
      <w:r w:rsidR="00E26516" w:rsidRPr="00754A1D">
        <w:rPr>
          <w:rFonts w:ascii="Times New Roman" w:hAnsi="Times New Roman" w:cs="Times New Roman"/>
          <w:bCs/>
          <w:sz w:val="24"/>
          <w:szCs w:val="24"/>
          <w:lang w:val="en-US"/>
        </w:rPr>
        <w:t>one of the</w:t>
      </w:r>
      <w:r w:rsidR="001A5159" w:rsidRPr="00754A1D">
        <w:rPr>
          <w:rFonts w:ascii="Times New Roman" w:hAnsi="Times New Roman" w:cs="Times New Roman"/>
          <w:bCs/>
          <w:sz w:val="24"/>
          <w:szCs w:val="24"/>
          <w:lang w:val="en-US"/>
        </w:rPr>
        <w:t xml:space="preserve"> component</w:t>
      </w:r>
      <w:r w:rsidR="00E26516" w:rsidRPr="00754A1D">
        <w:rPr>
          <w:rFonts w:ascii="Times New Roman" w:hAnsi="Times New Roman" w:cs="Times New Roman"/>
          <w:bCs/>
          <w:sz w:val="24"/>
          <w:szCs w:val="24"/>
          <w:lang w:val="en-US"/>
        </w:rPr>
        <w:t>s</w:t>
      </w:r>
      <w:r w:rsidR="001A5159" w:rsidRPr="00754A1D">
        <w:rPr>
          <w:rFonts w:ascii="Times New Roman" w:hAnsi="Times New Roman" w:cs="Times New Roman"/>
          <w:bCs/>
          <w:sz w:val="24"/>
          <w:szCs w:val="24"/>
          <w:lang w:val="en-US"/>
        </w:rPr>
        <w:t xml:space="preserve"> of a molecular chaperon complex playing a role in actin and tubulin </w:t>
      </w:r>
      <w:r w:rsidR="00AE02EC" w:rsidRPr="00754A1D">
        <w:rPr>
          <w:rFonts w:ascii="Times New Roman" w:hAnsi="Times New Roman" w:cs="Times New Roman"/>
          <w:bCs/>
          <w:sz w:val="24"/>
          <w:szCs w:val="24"/>
          <w:lang w:val="en-US"/>
        </w:rPr>
        <w:t xml:space="preserve">folding </w:t>
      </w:r>
      <w:r w:rsidR="001A5159"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{"citationID":"eZDcee74","properties":{"formattedCitation":"(Leroux and Hartl 2000)","plainCitation":"(Leroux and Hartl 2000)","noteIndex":0},"citationItems":[{"id":2125,"uris":["http://zotero.org/users/local/QcSA6amT/items/7W6SQRLN"],"uri":["http://zotero.org/users/local/QcSA6amT/items/7W6SQRLN"],"itemData":{"id":2125,"type":"article-journal","abstract":"Efficient de novo folding of actins and tubulins requires two molecular chaperones, the chaperonin TRiC (or CCT) and its novel cofactor GimC (or prefoldin). Recent studies indicate that TRiC is exquisitely adapted for this task, yet has the ability to interact with and assist the folding of numerous other cellular proteins.","container-title":"Current Biology","DOI":"10.1016/S0960-9822(00)00432-2","ISSN":"0960-9822","issue":"7","journalAbbreviation":"Current Biology","language":"en","page":"R260-R264","source":"ScienceDirect","title":"Protein folding: Versatility of the cytosolic chaperonin TRiC/CCT","title-short":"Protein folding","volume":"10","author":[{"family":"Leroux","given":"Michel R."},{"family":"Hartl","given":"F. Ulrich"}],"issued":{"date-parts":[["2000",4,1]]}}}],"schema":"https://github.com/citation-style-language/schema/raw/master/csl-citation.json"} </w:instrText>
      </w:r>
      <w:r w:rsidR="001A5159" w:rsidRPr="00754A1D">
        <w:rPr>
          <w:rFonts w:ascii="Times New Roman" w:hAnsi="Times New Roman" w:cs="Times New Roman"/>
          <w:bCs/>
          <w:sz w:val="24"/>
          <w:szCs w:val="24"/>
          <w:lang w:val="en-US"/>
        </w:rPr>
        <w:fldChar w:fldCharType="separate"/>
      </w:r>
      <w:r w:rsidR="001A5159" w:rsidRPr="00754A1D">
        <w:rPr>
          <w:rFonts w:ascii="Times New Roman" w:hAnsi="Times New Roman" w:cs="Times New Roman"/>
          <w:sz w:val="24"/>
          <w:lang w:val="en-US"/>
        </w:rPr>
        <w:t>(Leroux and Hartl 2000)</w:t>
      </w:r>
      <w:r w:rsidR="001A5159" w:rsidRPr="00754A1D">
        <w:rPr>
          <w:rFonts w:ascii="Times New Roman" w:hAnsi="Times New Roman" w:cs="Times New Roman"/>
          <w:bCs/>
          <w:sz w:val="24"/>
          <w:szCs w:val="24"/>
          <w:lang w:val="en-US"/>
        </w:rPr>
        <w:fldChar w:fldCharType="end"/>
      </w:r>
      <w:r w:rsidR="00747B95" w:rsidRPr="00754A1D">
        <w:rPr>
          <w:rFonts w:ascii="Times New Roman" w:hAnsi="Times New Roman" w:cs="Times New Roman"/>
          <w:bCs/>
          <w:sz w:val="24"/>
          <w:szCs w:val="24"/>
          <w:lang w:val="en-US"/>
        </w:rPr>
        <w:t xml:space="preserve">, and </w:t>
      </w:r>
      <w:r w:rsidR="001A5159" w:rsidRPr="00754A1D">
        <w:rPr>
          <w:rFonts w:ascii="Times New Roman" w:hAnsi="Times New Roman" w:cs="Times New Roman"/>
          <w:bCs/>
          <w:sz w:val="24"/>
          <w:szCs w:val="24"/>
          <w:lang w:val="en-US"/>
        </w:rPr>
        <w:t xml:space="preserve">Heat shock 70 </w:t>
      </w:r>
      <w:proofErr w:type="spellStart"/>
      <w:r w:rsidR="001A5159" w:rsidRPr="00754A1D">
        <w:rPr>
          <w:rFonts w:ascii="Times New Roman" w:hAnsi="Times New Roman" w:cs="Times New Roman"/>
          <w:bCs/>
          <w:sz w:val="24"/>
          <w:szCs w:val="24"/>
          <w:lang w:val="en-US"/>
        </w:rPr>
        <w:t>kDa</w:t>
      </w:r>
      <w:proofErr w:type="spellEnd"/>
      <w:r w:rsidR="001A5159" w:rsidRPr="00754A1D">
        <w:rPr>
          <w:rFonts w:ascii="Times New Roman" w:hAnsi="Times New Roman" w:cs="Times New Roman"/>
          <w:bCs/>
          <w:sz w:val="24"/>
          <w:szCs w:val="24"/>
          <w:lang w:val="en-US"/>
        </w:rPr>
        <w:t xml:space="preserve"> protein cognate 4</w:t>
      </w:r>
      <w:r w:rsidR="007E0270" w:rsidRPr="00754A1D">
        <w:rPr>
          <w:rFonts w:ascii="Times New Roman" w:hAnsi="Times New Roman" w:cs="Times New Roman"/>
          <w:bCs/>
          <w:sz w:val="24"/>
          <w:szCs w:val="24"/>
          <w:lang w:val="en-US"/>
        </w:rPr>
        <w:t xml:space="preserve">, </w:t>
      </w:r>
      <w:r w:rsidR="0035273E" w:rsidRPr="00754A1D">
        <w:rPr>
          <w:rFonts w:ascii="Times New Roman" w:hAnsi="Times New Roman" w:cs="Times New Roman"/>
          <w:bCs/>
          <w:sz w:val="24"/>
          <w:szCs w:val="24"/>
          <w:lang w:val="en-US"/>
        </w:rPr>
        <w:t xml:space="preserve">a folding proteins </w:t>
      </w:r>
      <w:r w:rsidR="00747B95" w:rsidRPr="00754A1D">
        <w:rPr>
          <w:rFonts w:ascii="Times New Roman" w:hAnsi="Times New Roman" w:cs="Times New Roman"/>
          <w:bCs/>
          <w:sz w:val="24"/>
          <w:szCs w:val="24"/>
          <w:lang w:val="en-US"/>
        </w:rPr>
        <w:t>known to</w:t>
      </w:r>
      <w:r w:rsidR="0035273E" w:rsidRPr="00754A1D">
        <w:rPr>
          <w:rFonts w:ascii="Times New Roman" w:hAnsi="Times New Roman" w:cs="Times New Roman"/>
          <w:bCs/>
          <w:sz w:val="24"/>
          <w:szCs w:val="24"/>
          <w:lang w:val="en-US"/>
        </w:rPr>
        <w:t xml:space="preserve"> contribute to </w:t>
      </w:r>
      <w:proofErr w:type="spellStart"/>
      <w:r w:rsidR="0035273E" w:rsidRPr="00754A1D">
        <w:rPr>
          <w:rFonts w:ascii="Times New Roman" w:hAnsi="Times New Roman" w:cs="Times New Roman"/>
          <w:bCs/>
          <w:sz w:val="24"/>
          <w:szCs w:val="24"/>
          <w:lang w:val="en-US"/>
        </w:rPr>
        <w:t>clathrin</w:t>
      </w:r>
      <w:proofErr w:type="spellEnd"/>
      <w:r w:rsidR="0035273E" w:rsidRPr="00754A1D">
        <w:rPr>
          <w:rFonts w:ascii="Times New Roman" w:hAnsi="Times New Roman" w:cs="Times New Roman"/>
          <w:bCs/>
          <w:sz w:val="24"/>
          <w:szCs w:val="24"/>
          <w:lang w:val="en-US"/>
        </w:rPr>
        <w:t xml:space="preserve">-mediated endocytosis, neurotransmitter exocytosis and axon guidance </w:t>
      </w:r>
      <w:r w:rsidR="0035273E"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{"citationID":"xPUK51ge","properties":{"formattedCitation":"(Schmucker et al. 1997; Bronk et al. 2001)","plainCitation":"(Schmucker et al. 1997; Bronk et al. 2001)","noteIndex":0},"citationItems":[{"id":1979,"uris":["http://zotero.org/users/local/QcSA6amT/items/E2YQIHWF"],"uri":["http://zotero.org/users/local/QcSA6amT/items/E2YQIHWF"],"itemData":{"id":1979,"type":"article-journal","abstract":"Skip to Next Section\nThe Drosophila larval optic nerve, called Bolwig's nerve (BN), projects into the central brain along a simple invariant path. The growth of the BN proceeds in three phases, during which the nerve changes direction at two intermediate targets, P1 and P2. Here we show that the projection of the BN is amenable to genetic dissection. In a mutagenesis screen, we have isolated mutations in 13 genes that disrupt the BN projection in distinct phases of its development. The mutant phenotypes in combination with the expression patterns of corresponding candidate genes define cellular components necessary for directing the growth of the BN toward P2 and for redirecting its growth at P2, and reveal developmental strategies employed in the establishment of the BN projection.","container-title":"Development","ISSN":"0950-1991, 1477-9129","issue":"5","language":"en","note":"PMID: 9056770","page":"937-948","source":"dev.biologists.org","title":"Genetic analysis of the larval optic nerve projection in Drosophila","volume":"124","author":[{"family":"Schmucker","given":"D."},{"family":"Jackle","given":"H."},{"family":"Gaul","given":"U."}],"issued":{"date-parts":[["1997",3,1]]}}},{"id":1981,"uris":["http://zotero.org/users/local/QcSA6amT/items/ZHQSXMJX"],"uri":["http://zotero.org/users/local/QcSA6amT/items/ZHQSXMJX"],"itemData":{"id":1981,"type":"article-journal","abstract":"Previous in vitro studies of cysteine-string protein (CSP) imply a potential role for the clathrin-uncoating ATPase Hsc70 in exocytosis. We show that hypomorphic mutations in Drosophila Hsc70-4 (Hsc4) impair nerve-evoked neurotransmitter release, but not synaptic vesicle recycling in vivo. The loss of release can be restored by increasing external or internal Ca2+ and is caused by a reduced Ca2+ sensitivity of exocytosis downstream of Ca2+ entry. Hsc4 and CSP are likely to act in common pathways, as indicated by their in vitro protein interaction, the similar loss of evoked release in individual and double mutants, and genetic interactions causing a loss of release in trans-heterozygous hsc4-csp double mutants. We suggest that Hsc4 and CSP cooperatively augment the probability of release by increasing the Ca2+ sensitivity of vesicle fusion.","container-title":"Neuron","DOI":"10.1016/S0896-6273(01)00292-6","ISSN":"0896-6273","issue":"2","journalAbbreviation":"Neuron","language":"en","page":"475-488","source":"ScienceDirect","title":"Drosophila Hsc70-4 Is Critical for Neurotransmitter Exocytosis In Vivo","volume":"30","author":[{"family":"Bronk","given":"Peter"},{"family":"Wenniger","given":"Julia J."},{"family":"Dawson-Scully","given":"Ken"},{"family":"Guo","given":"Xiufang"},{"family":"Hong","given":"Susie"},{"family":"Atwood","given":"Harold L."},{"family":"Zinsmaier","given":"Konrad E."}],"issued":{"date-parts":[["2001",5,1]]}}}],"schema":"https://github.com/citation-style-language/schema/raw/master/csl-citation.json"} </w:instrText>
      </w:r>
      <w:r w:rsidR="0035273E" w:rsidRPr="00754A1D">
        <w:rPr>
          <w:rFonts w:ascii="Times New Roman" w:hAnsi="Times New Roman" w:cs="Times New Roman"/>
          <w:bCs/>
          <w:sz w:val="24"/>
          <w:szCs w:val="24"/>
          <w:lang w:val="en-US"/>
        </w:rPr>
        <w:fldChar w:fldCharType="separate"/>
      </w:r>
      <w:r w:rsidR="0035273E" w:rsidRPr="00754A1D">
        <w:rPr>
          <w:rFonts w:ascii="Times New Roman" w:hAnsi="Times New Roman" w:cs="Times New Roman"/>
          <w:sz w:val="24"/>
          <w:lang w:val="en-US"/>
        </w:rPr>
        <w:t>(Schmucker et al. 1997; Bronk et al. 2001)</w:t>
      </w:r>
      <w:r w:rsidR="0035273E" w:rsidRPr="00754A1D">
        <w:rPr>
          <w:rFonts w:ascii="Times New Roman" w:hAnsi="Times New Roman" w:cs="Times New Roman"/>
          <w:bCs/>
          <w:sz w:val="24"/>
          <w:szCs w:val="24"/>
          <w:lang w:val="en-US"/>
        </w:rPr>
        <w:fldChar w:fldCharType="end"/>
      </w:r>
      <w:r w:rsidR="0035273E" w:rsidRPr="00754A1D">
        <w:rPr>
          <w:rFonts w:ascii="Times New Roman" w:hAnsi="Times New Roman" w:cs="Times New Roman"/>
          <w:bCs/>
          <w:sz w:val="24"/>
          <w:szCs w:val="24"/>
          <w:lang w:val="en-US"/>
        </w:rPr>
        <w:t xml:space="preserve">. </w:t>
      </w:r>
      <w:r w:rsidR="009A3F27" w:rsidRPr="00754A1D">
        <w:rPr>
          <w:rFonts w:ascii="Times New Roman" w:hAnsi="Times New Roman" w:cs="Times New Roman"/>
          <w:bCs/>
          <w:sz w:val="24"/>
          <w:szCs w:val="24"/>
          <w:lang w:val="en-US"/>
        </w:rPr>
        <w:t xml:space="preserve">The upregulation of these chaperonins suggests that </w:t>
      </w:r>
      <w:r w:rsidR="009A3F27" w:rsidRPr="00754A1D">
        <w:rPr>
          <w:rFonts w:ascii="Times New Roman" w:hAnsi="Times New Roman" w:cs="Times New Roman"/>
          <w:bCs/>
          <w:i/>
          <w:sz w:val="24"/>
          <w:szCs w:val="24"/>
          <w:lang w:val="en-US"/>
        </w:rPr>
        <w:t>M. arvensis</w:t>
      </w:r>
      <w:r w:rsidR="009A3F27" w:rsidRPr="00754A1D">
        <w:rPr>
          <w:rFonts w:ascii="Times New Roman" w:hAnsi="Times New Roman" w:cs="Times New Roman"/>
          <w:bCs/>
          <w:sz w:val="24"/>
          <w:szCs w:val="24"/>
          <w:lang w:val="en-US"/>
        </w:rPr>
        <w:t xml:space="preserve"> </w:t>
      </w:r>
      <w:r w:rsidR="00B645E9" w:rsidRPr="00754A1D">
        <w:rPr>
          <w:rFonts w:ascii="Times New Roman" w:hAnsi="Times New Roman" w:cs="Times New Roman"/>
          <w:bCs/>
          <w:sz w:val="24"/>
          <w:szCs w:val="24"/>
          <w:lang w:val="en-US"/>
        </w:rPr>
        <w:t>EO</w:t>
      </w:r>
      <w:r w:rsidR="009A3F27" w:rsidRPr="00754A1D">
        <w:rPr>
          <w:rFonts w:ascii="Times New Roman" w:hAnsi="Times New Roman" w:cs="Times New Roman"/>
          <w:bCs/>
          <w:sz w:val="24"/>
          <w:szCs w:val="24"/>
          <w:lang w:val="en-US"/>
        </w:rPr>
        <w:t xml:space="preserve"> generate</w:t>
      </w:r>
      <w:r w:rsidR="00D265A6" w:rsidRPr="00754A1D">
        <w:rPr>
          <w:rFonts w:ascii="Times New Roman" w:hAnsi="Times New Roman" w:cs="Times New Roman"/>
          <w:bCs/>
          <w:sz w:val="24"/>
          <w:szCs w:val="24"/>
          <w:lang w:val="en-US"/>
        </w:rPr>
        <w:t>d</w:t>
      </w:r>
      <w:r w:rsidR="009A3F27" w:rsidRPr="00754A1D">
        <w:rPr>
          <w:rFonts w:ascii="Times New Roman" w:hAnsi="Times New Roman" w:cs="Times New Roman"/>
          <w:bCs/>
          <w:sz w:val="24"/>
          <w:szCs w:val="24"/>
          <w:lang w:val="en-US"/>
        </w:rPr>
        <w:t xml:space="preserve"> </w:t>
      </w:r>
      <w:r w:rsidR="00B6174C" w:rsidRPr="00754A1D">
        <w:rPr>
          <w:rFonts w:ascii="Times New Roman" w:hAnsi="Times New Roman" w:cs="Times New Roman"/>
          <w:bCs/>
          <w:sz w:val="24"/>
          <w:szCs w:val="24"/>
          <w:lang w:val="en-US"/>
        </w:rPr>
        <w:t>protein-damaging stress conditions</w:t>
      </w:r>
      <w:r w:rsidR="00747B95" w:rsidRPr="00754A1D">
        <w:rPr>
          <w:rFonts w:ascii="Times New Roman" w:hAnsi="Times New Roman" w:cs="Times New Roman"/>
          <w:bCs/>
          <w:sz w:val="24"/>
          <w:szCs w:val="24"/>
          <w:lang w:val="en-US"/>
        </w:rPr>
        <w:t xml:space="preserve"> which therefore require </w:t>
      </w:r>
      <w:r w:rsidR="00AE02EC" w:rsidRPr="00754A1D">
        <w:rPr>
          <w:rFonts w:ascii="Times New Roman" w:hAnsi="Times New Roman" w:cs="Times New Roman"/>
          <w:bCs/>
          <w:sz w:val="24"/>
          <w:szCs w:val="24"/>
          <w:lang w:val="en-US"/>
        </w:rPr>
        <w:t xml:space="preserve">correct </w:t>
      </w:r>
      <w:r w:rsidR="00747B95" w:rsidRPr="00754A1D">
        <w:rPr>
          <w:rFonts w:ascii="Times New Roman" w:hAnsi="Times New Roman" w:cs="Times New Roman"/>
          <w:bCs/>
          <w:sz w:val="24"/>
          <w:szCs w:val="24"/>
          <w:lang w:val="en-US"/>
        </w:rPr>
        <w:t>folding</w:t>
      </w:r>
      <w:r w:rsidR="00B6174C" w:rsidRPr="00754A1D">
        <w:rPr>
          <w:rFonts w:ascii="Times New Roman" w:hAnsi="Times New Roman" w:cs="Times New Roman"/>
          <w:bCs/>
          <w:sz w:val="24"/>
          <w:szCs w:val="24"/>
          <w:lang w:val="en-US"/>
        </w:rPr>
        <w:t xml:space="preserve">, </w:t>
      </w:r>
      <w:r w:rsidR="009A3F27" w:rsidRPr="00754A1D">
        <w:rPr>
          <w:rFonts w:ascii="Times New Roman" w:hAnsi="Times New Roman" w:cs="Times New Roman"/>
          <w:bCs/>
          <w:sz w:val="24"/>
          <w:szCs w:val="24"/>
          <w:lang w:val="en-US"/>
        </w:rPr>
        <w:t xml:space="preserve">but also that </w:t>
      </w:r>
      <w:r w:rsidR="00717A90" w:rsidRPr="00754A1D">
        <w:rPr>
          <w:rFonts w:ascii="Times New Roman" w:hAnsi="Times New Roman" w:cs="Times New Roman"/>
          <w:bCs/>
          <w:sz w:val="24"/>
          <w:szCs w:val="24"/>
          <w:lang w:val="en-US"/>
        </w:rPr>
        <w:t>chaperonins</w:t>
      </w:r>
      <w:r w:rsidR="009A3F27" w:rsidRPr="00754A1D">
        <w:rPr>
          <w:rFonts w:ascii="Times New Roman" w:hAnsi="Times New Roman" w:cs="Times New Roman"/>
          <w:bCs/>
          <w:sz w:val="24"/>
          <w:szCs w:val="24"/>
          <w:lang w:val="en-US"/>
        </w:rPr>
        <w:t xml:space="preserve"> are required for the correct folding of newly overexpressed proteins.</w:t>
      </w:r>
      <w:bookmarkStart w:id="7" w:name="_Hlk65758914"/>
      <w:r w:rsidR="00325607" w:rsidRPr="00754A1D">
        <w:rPr>
          <w:rFonts w:ascii="Times New Roman" w:hAnsi="Times New Roman" w:cs="Times New Roman"/>
          <w:bCs/>
          <w:sz w:val="24"/>
          <w:szCs w:val="24"/>
          <w:lang w:val="en-US"/>
        </w:rPr>
        <w:t xml:space="preserve"> In surviving insects, </w:t>
      </w:r>
      <w:r w:rsidR="005F5DBC" w:rsidRPr="00754A1D">
        <w:rPr>
          <w:rFonts w:ascii="Times New Roman" w:hAnsi="Times New Roman" w:cs="Times New Roman"/>
          <w:bCs/>
          <w:sz w:val="24"/>
          <w:szCs w:val="24"/>
          <w:lang w:val="en-US"/>
        </w:rPr>
        <w:t xml:space="preserve">exposure to </w:t>
      </w:r>
      <w:r w:rsidR="00325607" w:rsidRPr="00754A1D">
        <w:rPr>
          <w:rFonts w:ascii="Times New Roman" w:hAnsi="Times New Roman" w:cs="Times New Roman"/>
          <w:bCs/>
          <w:i/>
          <w:sz w:val="24"/>
          <w:szCs w:val="24"/>
          <w:lang w:val="en-US"/>
        </w:rPr>
        <w:t>M. arvensis</w:t>
      </w:r>
      <w:r w:rsidR="00325607" w:rsidRPr="00754A1D">
        <w:rPr>
          <w:rFonts w:ascii="Times New Roman" w:hAnsi="Times New Roman" w:cs="Times New Roman"/>
          <w:bCs/>
          <w:sz w:val="24"/>
          <w:szCs w:val="24"/>
          <w:lang w:val="en-US"/>
        </w:rPr>
        <w:t xml:space="preserve"> EO leads to the activation of genes regulating RNA transport, splicing, ribosome biogenesis and protein homeostasis, processes </w:t>
      </w:r>
      <w:r w:rsidR="005F5DBC" w:rsidRPr="00754A1D">
        <w:rPr>
          <w:rFonts w:ascii="Times New Roman" w:hAnsi="Times New Roman" w:cs="Times New Roman"/>
          <w:bCs/>
          <w:sz w:val="24"/>
          <w:szCs w:val="24"/>
          <w:lang w:val="en-US"/>
        </w:rPr>
        <w:t>undelaying</w:t>
      </w:r>
      <w:r w:rsidR="00325607" w:rsidRPr="00754A1D">
        <w:rPr>
          <w:rFonts w:ascii="Times New Roman" w:hAnsi="Times New Roman" w:cs="Times New Roman"/>
          <w:bCs/>
          <w:sz w:val="24"/>
          <w:szCs w:val="24"/>
          <w:lang w:val="en-US"/>
        </w:rPr>
        <w:t xml:space="preserve"> </w:t>
      </w:r>
      <w:r w:rsidR="00E1493C" w:rsidRPr="00754A1D">
        <w:rPr>
          <w:rFonts w:ascii="Times New Roman" w:hAnsi="Times New Roman" w:cs="Times New Roman"/>
          <w:bCs/>
          <w:sz w:val="24"/>
          <w:szCs w:val="24"/>
          <w:lang w:val="en-US"/>
        </w:rPr>
        <w:t>the recovery of protein biosynthesis that ensures survival following chemical stress.</w:t>
      </w:r>
      <w:bookmarkEnd w:id="7"/>
    </w:p>
    <w:p w14:paraId="0DA64073" w14:textId="0A4C3C1C" w:rsidR="000C6CA0" w:rsidRPr="00754A1D" w:rsidRDefault="000C6CA0" w:rsidP="000C6CA0">
      <w:pPr>
        <w:spacing w:line="480" w:lineRule="auto"/>
        <w:jc w:val="both"/>
        <w:rPr>
          <w:rFonts w:ascii="Times New Roman" w:hAnsi="Times New Roman" w:cs="Times New Roman"/>
          <w:b/>
          <w:bCs/>
          <w:sz w:val="24"/>
          <w:szCs w:val="24"/>
          <w:lang w:val="en-US"/>
        </w:rPr>
      </w:pPr>
      <w:bookmarkStart w:id="8" w:name="_Hlk65759250"/>
      <w:r w:rsidRPr="00754A1D">
        <w:rPr>
          <w:rFonts w:ascii="Times New Roman" w:hAnsi="Times New Roman" w:cs="Times New Roman"/>
          <w:b/>
          <w:bCs/>
          <w:sz w:val="24"/>
          <w:szCs w:val="24"/>
          <w:lang w:val="en-US"/>
        </w:rPr>
        <w:t xml:space="preserve">Carbohydrate and energy metabolism </w:t>
      </w:r>
    </w:p>
    <w:bookmarkEnd w:id="8"/>
    <w:p w14:paraId="45B7DDE8" w14:textId="04A78896" w:rsidR="00764816" w:rsidRPr="00754A1D" w:rsidRDefault="00361039" w:rsidP="000C6CA0">
      <w:pPr>
        <w:spacing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Previous studies </w:t>
      </w:r>
      <w:r w:rsidR="00BB57A7" w:rsidRPr="00754A1D">
        <w:rPr>
          <w:rFonts w:ascii="Times New Roman" w:hAnsi="Times New Roman" w:cs="Times New Roman"/>
          <w:bCs/>
          <w:sz w:val="24"/>
          <w:szCs w:val="24"/>
          <w:lang w:val="en-US"/>
        </w:rPr>
        <w:t>have shown</w:t>
      </w:r>
      <w:r w:rsidRPr="00754A1D">
        <w:rPr>
          <w:rFonts w:ascii="Times New Roman" w:hAnsi="Times New Roman" w:cs="Times New Roman"/>
          <w:bCs/>
          <w:sz w:val="24"/>
          <w:szCs w:val="24"/>
          <w:lang w:val="en-US"/>
        </w:rPr>
        <w:t xml:space="preserve"> that insecticidal secondary metabolites of plant origin</w:t>
      </w:r>
      <w:r w:rsidR="00495CB4" w:rsidRPr="00754A1D">
        <w:rPr>
          <w:rFonts w:ascii="Times New Roman" w:hAnsi="Times New Roman" w:cs="Times New Roman"/>
          <w:bCs/>
          <w:sz w:val="24"/>
          <w:szCs w:val="24"/>
          <w:lang w:val="en-US"/>
        </w:rPr>
        <w:t xml:space="preserve"> </w:t>
      </w:r>
      <w:r w:rsidR="00352773" w:rsidRPr="00754A1D">
        <w:rPr>
          <w:rFonts w:ascii="Times New Roman" w:hAnsi="Times New Roman" w:cs="Times New Roman"/>
          <w:bCs/>
          <w:sz w:val="24"/>
          <w:szCs w:val="24"/>
          <w:lang w:val="en-US"/>
        </w:rPr>
        <w:t>tend to</w:t>
      </w:r>
      <w:r w:rsidR="004470D8" w:rsidRPr="00754A1D">
        <w:rPr>
          <w:rFonts w:ascii="Times New Roman" w:hAnsi="Times New Roman" w:cs="Times New Roman"/>
          <w:bCs/>
          <w:sz w:val="24"/>
          <w:szCs w:val="24"/>
          <w:lang w:val="en-US"/>
        </w:rPr>
        <w:t xml:space="preserve"> inhibit </w:t>
      </w:r>
      <w:r w:rsidRPr="00754A1D">
        <w:rPr>
          <w:rFonts w:ascii="Times New Roman" w:hAnsi="Times New Roman" w:cs="Times New Roman"/>
          <w:bCs/>
          <w:sz w:val="24"/>
          <w:szCs w:val="24"/>
          <w:lang w:val="en-US"/>
        </w:rPr>
        <w:t xml:space="preserve">the functioning of enzymes involved in </w:t>
      </w:r>
      <w:r w:rsidR="00DC4D0D" w:rsidRPr="00754A1D">
        <w:rPr>
          <w:rFonts w:ascii="Times New Roman" w:hAnsi="Times New Roman" w:cs="Times New Roman"/>
          <w:bCs/>
          <w:sz w:val="24"/>
          <w:szCs w:val="24"/>
          <w:lang w:val="en-US"/>
        </w:rPr>
        <w:t xml:space="preserve">carbohydrate and energy metabolism </w:t>
      </w:r>
      <w:r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{"citationID":"sZR2jiUu","properties":{"formattedCitation":"(Rattan 2010; Mansour et al. 2012; Liao et al. 2018; Huang et al. 2019)","plainCitation":"(Rattan 2010; Mansour et al. 2012; Liao et al. 2018; Huang et al. 2019)","noteIndex":0},"citationItems":[{"id":1944,"uris":["http://zotero.org/users/local/QcSA6amT/items/SVZ7SICL"],"uri":["http://zotero.org/users/local/QcSA6amT/items/SVZ7SICL"],"itemData":{"id":1944,"type":"article-journal","abstract":"Insect pest management is facing the economic and ecological challenge worldwide due to the human and environmental hazards caused by majority of the synthetic pesticide chemicals. Identification of novel effective insecticidal compounds is essential to combat increasing resistance rates. Botanicals containing active insecticidal phytochemicals appear to be promising to address some of these problems. Therefore, there is a continuous need to explore new active molecules with different mechanisms of action. Secondary metabolites present in plants apparently function as defense (toxic), which inhibits reproduction and other processes. The phytochemical biomolecules could be used for maximizing the effectiveness and specificity in future insecticide design with specific or multiple target sites, while ensuring the economic and ecological sustainability. In this article, the current state of knowledge on phytochemical sources and insecticidal activity, their mechanism of action in insects, resistance, and promising advances made in phytochemical research are reviewed.","container-title":"Crop Protection","DOI":"10.1016/j.cropro.2010.05.008","ISSN":"0261-2194","issue":"9","journalAbbreviation":"Crop Protection","language":"en","page":"913-920","source":"ScienceDirect","title":"Mechanism of action of insecticidal secondary metabolites of plant origin","volume":"29","author":[{"family":"Rattan","given":"Rameshwar Singh"}],"issued":{"date-parts":[["2010",9,1]]}}},{"id":1953,"uris":["http://zotero.org/users/local/QcSA6amT/items/BNP6YLFC"],"uri":["http://zotero.org/users/local/QcSA6amT/items/BNP6YLFC"],"itemData":{"id":1953,"type":"article-journal","abstract":"Allylisothiocyanate is a volatile chemical used for insect fumigation. Because its mode of action is not fully understood, the insecticidal efficacy of AITC was investigated using dry and wet-table applications on the major stored-product insects Sitophilus oryzae (L.), Plodia interpunctella (Hübner), and Tribolium confusum Jacquelin Du Val. The LC50 values 72h after fumigation with AITC against S. oryzae adults, P. interpunctella larvae, T. confusum adults and T. confusum larvae were 2.0, 2.2, 3.7, and 4.7μlL−1 air, respectively. The complete mortality (100%) of all four insect pests was recorded after a 72-h exposure to AITC fumes at an atmospheric concentration of 11.5μlL−1 air, with results similar to those found with insects exposed to a recommended 5mgL−1 dose of phosphine. No differences were detected between the effects of AITC and PH3 on the morphology of mitochondria taken from the midgut and integument epithelial cells of treated T. confusum 3rd instar larvae. Rarefaction and vacuolization of the mitochondrial matrix were evident. The quantity of cristae and density of the electron matrix were also reduced. AITC has potential as a biodegradable and safe insect fumigant. The mitochondria alteration confirms the insecticidal effect of AITC, which may act on the respiratory system.","container-title":"Crop Protection","DOI":"10.1016/j.cropro.2011.11.010","ISSN":"0261-2194","journalAbbreviation":"Crop Protection","language":"en","page":"40-51","source":"ScienceDirect","title":"Effect of allylisothiocyanate on Sitophilus oryzae, Tribolium confusum and Plodia interpunctella: Toxicity and effect on insect mitochondria","title-short":"Effect of allylisothiocyanate on Sitophilus oryzae, Tribolium confusum and Plodia interpunctella","volume":"33","author":[{"family":"Mansour","given":"Eltayeb E."},{"family":"Mi","given":"Fengyu"},{"family":"Zhang","given":"Guoan"},{"family":"Jiugao","given":"Xie"},{"family":"Wang","given":"Yongmo"},{"family":"Kargbo","given":"Abu"}],"issued":{"date-parts":[["2012",3,1]]}}},{"id":2282,"uris":["http://zotero.org/users/local/QcSA6amT/items/6844VNR3"],"uri":["http://zotero.org/users/local/QcSA6amT/items/6844VNR3"],"itemData":{"id":2282,"type":"article-journal","abstract":"Background: In our previous study, Melaleuca alternifolia essential oil (EO) was considered to have an insecticidal effect by acting on the mitochondrial respiratory chain in insects. However, the mode of action is not fully understood.\nMethods: In this study, we investigated the insecticidal efficacy of the M. alternifolia EO against another major stored-product pest, Tribolium confusum Jacquelin du Val. Rarefaction and vacuolization of the mitochondrial matrix were evident in oil-fumigated T. confusum adults.\nResults: Alterations to the mitochondria confirmed the insecticidal effect of the M. alternifolia EO. Furthermore, comparative transcriptome analysis of T. confusum using RNA-seq indicated that most of the differentially expressed genes were involved in insecticide detoxification and mitochondrial function. The biochemical analysis showed that the intracellular NAD+/NADH ratio is involved in the differential effect of the M. alternifolia EO.\nDiscussion: These results led us to conclude that NAD+/NADH dehydrogenase may be the prime target site for the M. alternifolia EO in insects, leading to blocking of the mitochondrial respiratory chain.","container-title":"PeerJ","DOI":"10.7717/peerj.5693","ISSN":"2167-8359","journalAbbreviation":"PeerJ","language":"eng","note":"PMID: 30479882\nPMCID: PMC6238770","page":"e5693","source":"PubMed","title":"Toxicity of Melaleuca alternifolia essential oil to the mitochondrion and NAD+/NADH dehydrogenase in Tribolium confusum","volume":"6","author":[{"family":"Liao","given":"Min"},{"family":"Yang","given":"Qian-Qian"},{"family":"Xiao","given":"Jin-Jing"},{"family":"Huang","given":"Yong"},{"family":"Zhou","given":"Li-Jun"},{"family":"Hua","given":"Ri-Mao"},{"family":"Cao","given":"Hai-Qun"}],"issued":{"date-parts":[["2018"]]}}},{"id":717,"uris":["http://zotero.org/users/local/QcSA6amT/items/KYNFFXN8"],"uri":["http://zotero.org/users/local/QcSA6amT/items/KYNFFXN8"],"itemData":{"id":717,"type":"article-journal","abstract":"BACKGROUND Terpinen-4-ol has high insecticidal activity towards the stored-grain pest Sitophilus zeamais, a key pest of cereals worldwide. Comparative proteomic analysis can identify proteins related to the response to terpinen-4-ol fumigation in S. zeamais, improving our understanding of the mechanisms behind the insecticidal activity and the detoxification of terpinen-4-ol in insects. RESULTS Using an isobaric tags for relative and absolute quantification (iTRAQ)-based strategy, 2761 proteins were obtained from S. zeamais adults. Comparative proteomic analysis showed that 215 proteins were upregulated and 129 were downregulated after exposure to terpinen-4-ol. Based on functional clas</w:instrText>
      </w:r>
      <w:r w:rsidR="009364F5" w:rsidRPr="00754A1D">
        <w:rPr>
          <w:rFonts w:ascii="Times New Roman" w:hAnsi="Times New Roman" w:cs="Times New Roman"/>
          <w:bCs/>
          <w:sz w:val="24"/>
          <w:szCs w:val="24"/>
        </w:rPr>
        <w:instrText xml:space="preserve">sifications, differentially expressed proteins (DEPs) were enriched in the carbohydrate, energy and xenobiotics metabolism pathways. DEPs associated with lactose, sucrose and starch metabolism were identified, including alcohol dehydrogenase, aldose reductase, </w:instrText>
      </w:r>
      <w:r w:rsidR="009364F5" w:rsidRPr="00754A1D">
        <w:rPr>
          <w:rFonts w:ascii="Times New Roman" w:hAnsi="Times New Roman" w:cs="Times New Roman"/>
          <w:bCs/>
          <w:sz w:val="24"/>
          <w:szCs w:val="24"/>
          <w:lang w:val="en-US"/>
        </w:rPr>
        <w:instrText>β</w:instrText>
      </w:r>
      <w:r w:rsidR="009364F5" w:rsidRPr="00754A1D">
        <w:rPr>
          <w:rFonts w:ascii="Times New Roman" w:hAnsi="Times New Roman" w:cs="Times New Roman"/>
          <w:bCs/>
          <w:sz w:val="24"/>
          <w:szCs w:val="24"/>
        </w:rPr>
        <w:instrText xml:space="preserve">-galactosidase, maltase, and myrosinase. Among detoxification-related proteins, the levels of 14 cytochrome P450s, seven glutathione S-transferases, and three UDP-glucuronosyltransferases were altered, most of which were upregulated after exposure to terpinen-4-ol. CONCLUSION Metabolic changes indicated that terpinen-4-ol could affect the energy supply and potentially be metabolized and detoxified by various enzymes in S. zeamais. The results provide a foundation for further functional studies of key proteins mediated by terpinen-4-ol. © 2018 Society of Chemical Industry","container-title":"Pest Management Science","DOI":"10.1002/ps.5135","ISSN":"1526-4998","issue":"2","language":"en","page":"444-451","source":"Wiley Online Library","title":"iTRAQ-based quantitative proteome revealed metabolic changes of Sitophilus zeamais in response to terpinen-4-ol fumigation","volume":"75","author":[{"family":"Huang","given":"Yong"},{"family":"Liao","given":"Min"},{"family":"Yang","given":"Qianqian"},{"family":"Xiao","given":"Jinjing"},{"family":"Hu","given":"Zhaoyin"},{"family":"Cao","given":"Haiqun"}],"issued":{"date-parts":[["2019"]]}}}],"schema":"https://github.com/citation-style-language/schema/raw/master/csl-citation.json"} </w:instrText>
      </w:r>
      <w:r w:rsidRPr="00754A1D">
        <w:rPr>
          <w:rFonts w:ascii="Times New Roman" w:hAnsi="Times New Roman" w:cs="Times New Roman"/>
          <w:bCs/>
          <w:sz w:val="24"/>
          <w:szCs w:val="24"/>
          <w:lang w:val="en-US"/>
        </w:rPr>
        <w:fldChar w:fldCharType="separate"/>
      </w:r>
      <w:r w:rsidR="005C7170" w:rsidRPr="00754A1D">
        <w:rPr>
          <w:rFonts w:ascii="Times New Roman" w:hAnsi="Times New Roman" w:cs="Times New Roman"/>
          <w:sz w:val="24"/>
        </w:rPr>
        <w:t>(Rattan 2010; Mansour et al. 2012; Liao et al. 2018; Huang et al. 2019)</w:t>
      </w:r>
      <w:r w:rsidRPr="00754A1D">
        <w:rPr>
          <w:rFonts w:ascii="Times New Roman" w:hAnsi="Times New Roman" w:cs="Times New Roman"/>
          <w:bCs/>
          <w:sz w:val="24"/>
          <w:szCs w:val="24"/>
          <w:lang w:val="en-US"/>
        </w:rPr>
        <w:fldChar w:fldCharType="end"/>
      </w:r>
      <w:r w:rsidRPr="00754A1D">
        <w:rPr>
          <w:rFonts w:ascii="Times New Roman" w:hAnsi="Times New Roman" w:cs="Times New Roman"/>
          <w:bCs/>
          <w:sz w:val="24"/>
          <w:szCs w:val="24"/>
        </w:rPr>
        <w:t xml:space="preserve">. </w:t>
      </w:r>
      <w:r w:rsidR="00AE02EC" w:rsidRPr="00754A1D">
        <w:rPr>
          <w:rFonts w:ascii="Times New Roman" w:hAnsi="Times New Roman" w:cs="Times New Roman"/>
          <w:bCs/>
          <w:sz w:val="24"/>
          <w:szCs w:val="24"/>
          <w:lang w:val="en-US"/>
        </w:rPr>
        <w:t>D</w:t>
      </w:r>
      <w:r w:rsidR="00DC4D0D" w:rsidRPr="00754A1D">
        <w:rPr>
          <w:rFonts w:ascii="Times New Roman" w:hAnsi="Times New Roman" w:cs="Times New Roman"/>
          <w:bCs/>
          <w:sz w:val="24"/>
          <w:szCs w:val="24"/>
          <w:lang w:val="en-US"/>
        </w:rPr>
        <w:t xml:space="preserve">amage </w:t>
      </w:r>
      <w:r w:rsidR="00AE02EC" w:rsidRPr="00754A1D">
        <w:rPr>
          <w:rFonts w:ascii="Times New Roman" w:hAnsi="Times New Roman" w:cs="Times New Roman"/>
          <w:bCs/>
          <w:sz w:val="24"/>
          <w:szCs w:val="24"/>
          <w:lang w:val="en-US"/>
        </w:rPr>
        <w:t>to these</w:t>
      </w:r>
      <w:r w:rsidR="00DC4D0D" w:rsidRPr="00754A1D">
        <w:rPr>
          <w:rFonts w:ascii="Times New Roman" w:hAnsi="Times New Roman" w:cs="Times New Roman"/>
          <w:bCs/>
          <w:sz w:val="24"/>
          <w:szCs w:val="24"/>
          <w:lang w:val="en-US"/>
        </w:rPr>
        <w:t xml:space="preserve"> metabolic pathways generally results in downregulation of the proteins involved </w:t>
      </w:r>
      <w:r w:rsidR="00DC4D0D"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{"citationID":"8zJk4pC8","properties":{"formattedCitation":"(Liao et al. 2016, 2018; Huang et al. 2019)","plainCitation":"(Liao et al. 2016, 2018; Huang et al. 2019)","noteIndex":0},"citationItems":[{"id":715,"uris":["http://zotero.org/users/local/QcSA6amT/items/QFEXWE78"],"uri":["http://zotero.org/users/local/QcSA6amT/items/QFEXWE78"],"itemData":{"id":715,"type":"article-journal","abstract":"Background The cereal weevil, Sitophilus zeamais is one of the most destructive pests of stored cereals worldwide. Frequent use of fumigants for managing stored-product insects has led to the development of resistance in insects. Essential oils from aromatic plants including the tea oil plant, Melaleuca alternifolia may provide environmentally friendly alternatives to currently used pest control agents. However, little is known about molecular events involved in stored-product insects in response to plant essential oil fumigation. Results M. alternifolia essential oil was shown to possess the fumigant toxicity against S. zeamais. The constituent, terpinen-4-ol was the most effective compound for fumigant toxicity. M. alternifolia essential oil significantly inhibited the activity of three enzymes in S. zeamais, including two detoxifying enzymes, glutathione S-transferase (GST), and carboxylesterase (CarE), as well as a nerve conduction enzyme, acetylcholinesterase (AChE). Comparative transcriptome analysis of S. zeamais through RNA-Seq identified a total of 3,562 differentially expressed genes (DEGs), of which 2,836 and 726 were up-regulated and down-regulated in response to M. alternifolia essential oil fumigation, respectively. Based on gene ontology (GO) analysis, the majority of DEGs were involved in insecticide detoxification and mitochondrial function. Furthermore, an abundance of DEGs mapped into the metabolism pathway in the Kyoto Encyclopedia of Genes and Genomes (KEGG) pathway database were associated with respiration and metabolism of xenobiotics, including cytochrome P450s, CarEs, GSTs, and ATP-binding cassette transporters (ABC transporters). Some DEGs mapped into the proteasome and phagosome pathway were found to be significantly enriched. These results led us to propose a model of insecticide action that M. alternifolia essential oil likely directly affects the hydrogen carrier to block the electron flow and interfere energy synthesis in mitochondrial respiratory chain. Conclusion This is the first study to perform a comparative transcriptome analysis of S. zeamais in response to M. alternifolia essential oil fumigation. Our results provide new insights into the insecticidal mechanism of M. alternifolia essential oil fumigation against S. zeamais and eventually contribute to the management of this important agricultural pest.","container-title":"PLOS ONE","DOI":"10.1371/journal.pone.0167748","ISSN":"1932-6203","issue":"12","journalAbbreviation":"PLOS ONE","language":"en","page":"e0167748","source":"PLoS Journals","title":"Insecticidal Activity of Melaleuca alternifolia Essential Oil and RNA-Seq Analysis of Sitophilus zeamais Transcriptome in Response to Oil Fumigation","volume":"11","author":[{"family":"Liao","given":"Min"},{"family":"Xiao","given":"Jin-Jing"},{"family":"Zhou","given":"Li-Jun"},{"family":"Liu","given":"Yang"},{"family":"Wu","given":"Xiang-Wei"},{"family":"Hua","given":"Ri-Mao"},{"family":"Wang","given":"Gui-Rong"},{"family":"Cao","given":"Hai-Qun"}],"issued":{"date-parts":[["2016",12,9]]}}},{"id":2282,"uris":["http://zotero.org/users/local/QcSA6amT/items/6844VNR3"],"uri":["http://zotero.org/users/local/QcSA6amT/items/6844VNR3"],"itemData":{"id":2282,"type":"article-journal","abstract":"Background: In our previous study, Melaleuca alternifolia essential oil (EO) was considered to have an insecticidal effect by acting on the mitochondrial respiratory chain in insects. However, the mode of action is not fully understood.\nMethods: In this study, we investigated the insecticidal efficacy of the M. alternifolia EO against another major stored-product pest, Tribolium confusum Jacquelin du Val. Rarefaction and vacuolization of the mitochondrial matrix were evident in oil-fumigated T. confusum adults.\nResults: Alterations to the mitochondria confirmed the insecticidal effect of the M. alternifolia EO. Furthermore, comparative transcriptome analysis of T. confusum using RNA-seq indicated that most of the differentially expressed genes were involved in insecticide detoxification and mitochondrial function. The biochemical analysis showed that the intracellular NAD+/NADH ratio is involved in the differential effect of the M. alternifolia EO.\nDiscussion: These results led us to conclude that NAD+/NADH dehydrogenase may be the prime target site for the M. alternifolia EO in insects, leading to blocking of the mitochondrial respiratory chain.","container-title":"PeerJ","DOI":"10.7717/peerj.5693","ISSN":"2167-8359","journalAbbreviation":"PeerJ","language":"eng","note":"PMID: 30479882\nPMCID: PMC6238770","page":"e5693","source":"PubMed","title":"Toxicity of Melaleuca alternifolia essential oil to the mitochondrion and NAD+/NADH dehydrogenase in Tribolium confusum","volume":"6","author":[{"family":"Liao","given":"Min"},{"family":"Yang","given":"Qian-Qian"},{"family":"Xiao","given":"Jin-Jing"},{"family":"Huang","given":"Yong"},{"family":"Zhou","given":"Li-Jun"},{"family":"Hua","given":"Ri-Mao"},{"family":"Cao","given":"Hai-Qun"}],"issued":{"date-parts":[["2018"]]}}},{"id":717,"uris":["http://zotero.org/users/local/QcSA6amT/items/KYNFFXN8"],"uri":["http://zotero.org/users/local/QcSA6amT/items/KYNFFXN8"],"itemData":{"id":717,"type":"article-journal","abstract":"BACKGROUND Terpinen-4-ol has high insecticidal activity towards the stored-grain pest Sitophilus zeamais, a key pest of cereals worldwide. Comparative proteomic analysis can identify proteins related to the response to terpinen-4-ol fumigation in S. zeamais, improving our understanding of the mechanisms behind the insecticidal activity and the detoxification of terpinen-4-ol in insects. RESULTS Using an isobaric tags for relative and absolute quantification (iTRAQ)-based strategy, 2761 proteins were obtained from S. zeamais adults. Comparative proteomic analysis showed that 215 proteins were upregulated and 129 were downregulated after exposure to terpinen-4-ol. Based on functional classifications, differentially expressed proteins (DEPs) were enriched in the carbohydrate, energy and xenobiotics metabolism pathways. DEPs associated with lactose, sucrose and starch metabolism were identified, including alcohol dehydrogenase, aldose reductase, β-galactosidase, maltase, and myrosinase. Among detoxification-related proteins, the levels of 14 cytochrome P450s, seven glutathione S-transferases, and three UDP-glucuronosyltransferases were altered, most of which were upregulated after exposure to terpinen-4-ol. CONCLUSION Metabolic changes indicated that terpinen-4-ol could affect the energy supply and potentially be metabolized and detoxified by various enzymes in S. zeamais. The results provide a foundation for further functional studies of key proteins mediated by terpinen-4-ol. © 2018 Society of Chemical Industry","container-title":"Pest Management Science","DOI":"10.1002/ps.5135","ISSN":"1526-4998","issue":"2","language":"en","page":"444-451","source":"Wiley Online Library","title":"iTRAQ-based quantitative proteome revealed metabolic changes of Sitophilus zeamais in response to terpinen-4-ol fumigation","volume":"75","author":[{"family":"Huang","given":"Yong"},{"family":"Liao","given":"Min"},{"family":"Yang","given":"Qianqian"},{"family":"Xiao","given":"Jinjing"},{"family":"Hu","given":"Zhaoyin"},{"family":"Cao","given":"Haiqun"}],"issued":{"date-parts":[["2019"]]}}}],"schema":"https://github.com/citation-style-language/schema/raw/master/csl-citation.json"} </w:instrText>
      </w:r>
      <w:r w:rsidR="00DC4D0D" w:rsidRPr="00754A1D">
        <w:rPr>
          <w:rFonts w:ascii="Times New Roman" w:hAnsi="Times New Roman" w:cs="Times New Roman"/>
          <w:bCs/>
          <w:sz w:val="24"/>
          <w:szCs w:val="24"/>
          <w:lang w:val="en-US"/>
        </w:rPr>
        <w:fldChar w:fldCharType="separate"/>
      </w:r>
      <w:r w:rsidR="005C7170" w:rsidRPr="00754A1D">
        <w:rPr>
          <w:rFonts w:ascii="Times New Roman" w:hAnsi="Times New Roman" w:cs="Times New Roman"/>
          <w:sz w:val="24"/>
          <w:lang w:val="en-US"/>
        </w:rPr>
        <w:t>(Liao et al. 2016, 2018; Huang et al. 2019)</w:t>
      </w:r>
      <w:r w:rsidR="00DC4D0D" w:rsidRPr="00754A1D">
        <w:rPr>
          <w:rFonts w:ascii="Times New Roman" w:hAnsi="Times New Roman" w:cs="Times New Roman"/>
          <w:bCs/>
          <w:sz w:val="24"/>
          <w:szCs w:val="24"/>
          <w:lang w:val="en-US"/>
        </w:rPr>
        <w:fldChar w:fldCharType="end"/>
      </w:r>
      <w:r w:rsidR="00DC4D0D" w:rsidRPr="00754A1D">
        <w:rPr>
          <w:rFonts w:ascii="Times New Roman" w:hAnsi="Times New Roman" w:cs="Times New Roman"/>
          <w:bCs/>
          <w:sz w:val="24"/>
          <w:szCs w:val="24"/>
          <w:lang w:val="en-US"/>
        </w:rPr>
        <w:t xml:space="preserve">. </w:t>
      </w:r>
      <w:r w:rsidR="00352773" w:rsidRPr="00754A1D">
        <w:rPr>
          <w:rFonts w:ascii="Times New Roman" w:hAnsi="Times New Roman" w:cs="Times New Roman"/>
          <w:bCs/>
          <w:sz w:val="24"/>
          <w:szCs w:val="24"/>
          <w:lang w:val="en-US"/>
        </w:rPr>
        <w:t xml:space="preserve">In our study, the </w:t>
      </w:r>
      <w:r w:rsidR="00DC4D0D" w:rsidRPr="00754A1D">
        <w:rPr>
          <w:rFonts w:ascii="Times New Roman" w:hAnsi="Times New Roman" w:cs="Times New Roman"/>
          <w:bCs/>
          <w:sz w:val="24"/>
          <w:szCs w:val="24"/>
          <w:lang w:val="en-US"/>
        </w:rPr>
        <w:t xml:space="preserve">DEPs </w:t>
      </w:r>
      <w:r w:rsidR="008B71A7" w:rsidRPr="00754A1D">
        <w:rPr>
          <w:rFonts w:ascii="Times New Roman" w:hAnsi="Times New Roman" w:cs="Times New Roman"/>
          <w:bCs/>
          <w:sz w:val="24"/>
          <w:szCs w:val="24"/>
          <w:lang w:val="en-US"/>
        </w:rPr>
        <w:t xml:space="preserve">involved </w:t>
      </w:r>
      <w:r w:rsidR="00AE02EC" w:rsidRPr="00754A1D">
        <w:rPr>
          <w:rFonts w:ascii="Times New Roman" w:hAnsi="Times New Roman" w:cs="Times New Roman"/>
          <w:bCs/>
          <w:sz w:val="24"/>
          <w:szCs w:val="24"/>
          <w:lang w:val="en-US"/>
        </w:rPr>
        <w:t xml:space="preserve">in </w:t>
      </w:r>
      <w:r w:rsidR="00DC4D0D" w:rsidRPr="00754A1D">
        <w:rPr>
          <w:rFonts w:ascii="Times New Roman" w:hAnsi="Times New Roman" w:cs="Times New Roman"/>
          <w:bCs/>
          <w:sz w:val="24"/>
          <w:szCs w:val="24"/>
          <w:lang w:val="en-US"/>
        </w:rPr>
        <w:t xml:space="preserve">cellular respiration </w:t>
      </w:r>
      <w:r w:rsidR="00352773" w:rsidRPr="00754A1D">
        <w:rPr>
          <w:rFonts w:ascii="Times New Roman" w:hAnsi="Times New Roman" w:cs="Times New Roman"/>
          <w:bCs/>
          <w:sz w:val="24"/>
          <w:szCs w:val="24"/>
          <w:lang w:val="en-US"/>
        </w:rPr>
        <w:t>are</w:t>
      </w:r>
      <w:r w:rsidR="008B71A7" w:rsidRPr="00754A1D">
        <w:rPr>
          <w:rFonts w:ascii="Times New Roman" w:hAnsi="Times New Roman" w:cs="Times New Roman"/>
          <w:bCs/>
          <w:sz w:val="24"/>
          <w:szCs w:val="24"/>
          <w:lang w:val="en-US"/>
        </w:rPr>
        <w:t xml:space="preserve"> upregulated.</w:t>
      </w:r>
      <w:r w:rsidR="00DC4D0D" w:rsidRPr="00754A1D">
        <w:rPr>
          <w:rFonts w:ascii="Times New Roman" w:hAnsi="Times New Roman" w:cs="Times New Roman"/>
          <w:bCs/>
          <w:sz w:val="24"/>
          <w:szCs w:val="24"/>
          <w:lang w:val="en-US"/>
        </w:rPr>
        <w:t xml:space="preserve"> </w:t>
      </w:r>
      <w:r w:rsidR="00352773" w:rsidRPr="00754A1D">
        <w:rPr>
          <w:rFonts w:ascii="Times New Roman" w:hAnsi="Times New Roman" w:cs="Times New Roman"/>
          <w:bCs/>
          <w:sz w:val="24"/>
          <w:szCs w:val="24"/>
          <w:lang w:val="en-US"/>
        </w:rPr>
        <w:t>They</w:t>
      </w:r>
      <w:r w:rsidR="00DC4D0D" w:rsidRPr="00754A1D">
        <w:rPr>
          <w:rFonts w:ascii="Times New Roman" w:hAnsi="Times New Roman" w:cs="Times New Roman"/>
          <w:bCs/>
          <w:sz w:val="24"/>
          <w:szCs w:val="24"/>
          <w:lang w:val="en-US"/>
        </w:rPr>
        <w:t xml:space="preserve"> include</w:t>
      </w:r>
      <w:r w:rsidR="005E2F12" w:rsidRPr="00754A1D">
        <w:rPr>
          <w:rFonts w:ascii="Times New Roman" w:hAnsi="Times New Roman" w:cs="Times New Roman"/>
          <w:bCs/>
          <w:sz w:val="24"/>
          <w:szCs w:val="24"/>
          <w:lang w:val="en-US"/>
        </w:rPr>
        <w:t xml:space="preserve"> </w:t>
      </w:r>
      <w:r w:rsidR="00720774" w:rsidRPr="00754A1D">
        <w:rPr>
          <w:rFonts w:ascii="Times New Roman" w:hAnsi="Times New Roman" w:cs="Times New Roman"/>
          <w:bCs/>
          <w:sz w:val="24"/>
          <w:szCs w:val="24"/>
          <w:lang w:val="en-US"/>
        </w:rPr>
        <w:t xml:space="preserve">the enzyme </w:t>
      </w:r>
      <w:r w:rsidR="001C19E8" w:rsidRPr="00754A1D">
        <w:rPr>
          <w:rFonts w:ascii="Times New Roman" w:hAnsi="Times New Roman" w:cs="Times New Roman"/>
          <w:bCs/>
          <w:sz w:val="24"/>
          <w:szCs w:val="24"/>
          <w:lang w:val="en-US"/>
        </w:rPr>
        <w:t>fumar</w:t>
      </w:r>
      <w:r w:rsidR="00720774" w:rsidRPr="00754A1D">
        <w:rPr>
          <w:rFonts w:ascii="Times New Roman" w:hAnsi="Times New Roman" w:cs="Times New Roman"/>
          <w:bCs/>
          <w:sz w:val="24"/>
          <w:szCs w:val="24"/>
          <w:lang w:val="en-US"/>
        </w:rPr>
        <w:t xml:space="preserve">ate hydratase involved in the TCA </w:t>
      </w:r>
      <w:r w:rsidR="00352773" w:rsidRPr="00754A1D">
        <w:rPr>
          <w:rFonts w:ascii="Times New Roman" w:hAnsi="Times New Roman" w:cs="Times New Roman"/>
          <w:bCs/>
          <w:sz w:val="24"/>
          <w:szCs w:val="24"/>
          <w:lang w:val="en-US"/>
        </w:rPr>
        <w:t xml:space="preserve">(tricarboxylic acid) </w:t>
      </w:r>
      <w:r w:rsidR="00720774" w:rsidRPr="00754A1D">
        <w:rPr>
          <w:rFonts w:ascii="Times New Roman" w:hAnsi="Times New Roman" w:cs="Times New Roman"/>
          <w:bCs/>
          <w:sz w:val="24"/>
          <w:szCs w:val="24"/>
          <w:lang w:val="en-US"/>
        </w:rPr>
        <w:t>cycle</w:t>
      </w:r>
      <w:r w:rsidR="00352773" w:rsidRPr="00754A1D">
        <w:rPr>
          <w:rFonts w:ascii="Times New Roman" w:hAnsi="Times New Roman" w:cs="Times New Roman"/>
          <w:bCs/>
          <w:sz w:val="24"/>
          <w:szCs w:val="24"/>
          <w:lang w:val="en-US"/>
        </w:rPr>
        <w:t xml:space="preserve"> </w:t>
      </w:r>
      <w:r w:rsidR="005E2F12" w:rsidRPr="00754A1D">
        <w:rPr>
          <w:rFonts w:ascii="Times New Roman" w:hAnsi="Times New Roman" w:cs="Times New Roman"/>
          <w:bCs/>
          <w:sz w:val="24"/>
          <w:szCs w:val="24"/>
          <w:lang w:val="en-US"/>
        </w:rPr>
        <w:t xml:space="preserve">and </w:t>
      </w:r>
      <w:r w:rsidR="00DC4D0D" w:rsidRPr="00754A1D">
        <w:rPr>
          <w:rFonts w:ascii="Times New Roman" w:hAnsi="Times New Roman" w:cs="Times New Roman"/>
          <w:bCs/>
          <w:sz w:val="24"/>
          <w:szCs w:val="24"/>
          <w:lang w:val="en-US"/>
        </w:rPr>
        <w:t xml:space="preserve">several </w:t>
      </w:r>
      <w:r w:rsidR="005E2F12" w:rsidRPr="00754A1D">
        <w:rPr>
          <w:rFonts w:ascii="Times New Roman" w:hAnsi="Times New Roman" w:cs="Times New Roman"/>
          <w:bCs/>
          <w:sz w:val="24"/>
          <w:szCs w:val="24"/>
          <w:lang w:val="en-US"/>
        </w:rPr>
        <w:t>proteins involved in the electron transport chain</w:t>
      </w:r>
      <w:r w:rsidR="00352773" w:rsidRPr="00754A1D">
        <w:rPr>
          <w:rFonts w:ascii="Times New Roman" w:hAnsi="Times New Roman" w:cs="Times New Roman"/>
          <w:bCs/>
          <w:sz w:val="24"/>
          <w:szCs w:val="24"/>
          <w:lang w:val="en-US"/>
        </w:rPr>
        <w:t xml:space="preserve"> including the</w:t>
      </w:r>
      <w:r w:rsidR="00DC4D0D" w:rsidRPr="00754A1D">
        <w:rPr>
          <w:rFonts w:ascii="Times New Roman" w:hAnsi="Times New Roman" w:cs="Times New Roman"/>
          <w:bCs/>
          <w:sz w:val="24"/>
          <w:szCs w:val="24"/>
          <w:lang w:val="en-US"/>
        </w:rPr>
        <w:t xml:space="preserve"> </w:t>
      </w:r>
      <w:r w:rsidR="004470D8" w:rsidRPr="00754A1D">
        <w:rPr>
          <w:rFonts w:ascii="Times New Roman" w:hAnsi="Times New Roman" w:cs="Times New Roman"/>
          <w:bCs/>
          <w:sz w:val="24"/>
          <w:szCs w:val="24"/>
          <w:lang w:val="en-US"/>
        </w:rPr>
        <w:t>cytochrome c oxidase</w:t>
      </w:r>
      <w:r w:rsidR="00352773" w:rsidRPr="00754A1D">
        <w:rPr>
          <w:rFonts w:ascii="Times New Roman" w:hAnsi="Times New Roman" w:cs="Times New Roman"/>
          <w:bCs/>
          <w:sz w:val="24"/>
          <w:szCs w:val="24"/>
          <w:lang w:val="en-US"/>
        </w:rPr>
        <w:t xml:space="preserve"> subunit 5B</w:t>
      </w:r>
      <w:r w:rsidR="00DC4372" w:rsidRPr="00754A1D">
        <w:rPr>
          <w:rFonts w:ascii="Times New Roman" w:hAnsi="Times New Roman" w:cs="Times New Roman"/>
          <w:bCs/>
          <w:sz w:val="24"/>
          <w:szCs w:val="24"/>
          <w:lang w:val="en-US"/>
        </w:rPr>
        <w:t xml:space="preserve"> (</w:t>
      </w:r>
      <w:r w:rsidR="00E9449A" w:rsidRPr="00754A1D">
        <w:rPr>
          <w:rFonts w:ascii="Times New Roman" w:hAnsi="Times New Roman" w:cs="Times New Roman"/>
          <w:bCs/>
          <w:sz w:val="24"/>
          <w:szCs w:val="24"/>
          <w:lang w:val="en-US"/>
        </w:rPr>
        <w:t>a subunit of the cytochrome c oxidase complex or Complex IV</w:t>
      </w:r>
      <w:r w:rsidR="00DC4372" w:rsidRPr="00754A1D">
        <w:rPr>
          <w:rFonts w:ascii="Times New Roman" w:hAnsi="Times New Roman" w:cs="Times New Roman"/>
          <w:bCs/>
          <w:sz w:val="24"/>
          <w:szCs w:val="24"/>
          <w:lang w:val="en-US"/>
        </w:rPr>
        <w:t>)</w:t>
      </w:r>
      <w:r w:rsidR="004470D8" w:rsidRPr="00754A1D">
        <w:rPr>
          <w:rFonts w:ascii="Times New Roman" w:hAnsi="Times New Roman" w:cs="Times New Roman"/>
          <w:bCs/>
          <w:sz w:val="24"/>
          <w:szCs w:val="24"/>
          <w:lang w:val="en-US"/>
        </w:rPr>
        <w:t xml:space="preserve">, </w:t>
      </w:r>
      <w:r w:rsidR="00352773" w:rsidRPr="00754A1D">
        <w:rPr>
          <w:rFonts w:ascii="Times New Roman" w:hAnsi="Times New Roman" w:cs="Times New Roman"/>
          <w:bCs/>
          <w:sz w:val="24"/>
          <w:szCs w:val="24"/>
          <w:lang w:val="en-US"/>
        </w:rPr>
        <w:t xml:space="preserve">the </w:t>
      </w:r>
      <w:r w:rsidR="000B11FB" w:rsidRPr="00754A1D">
        <w:rPr>
          <w:rFonts w:ascii="Times New Roman" w:hAnsi="Times New Roman" w:cs="Times New Roman"/>
          <w:bCs/>
          <w:sz w:val="24"/>
          <w:szCs w:val="24"/>
          <w:lang w:val="en-US"/>
        </w:rPr>
        <w:t>electron transfer flavoprotein subunit beta</w:t>
      </w:r>
      <w:r w:rsidR="00E9449A" w:rsidRPr="00754A1D">
        <w:rPr>
          <w:rFonts w:ascii="Times New Roman" w:hAnsi="Times New Roman" w:cs="Times New Roman"/>
          <w:bCs/>
          <w:sz w:val="24"/>
          <w:szCs w:val="24"/>
          <w:lang w:val="en-US"/>
        </w:rPr>
        <w:t xml:space="preserve"> (a subunit of the succinate dehydrogenase (SDH) or Complex II)</w:t>
      </w:r>
      <w:r w:rsidR="000B11FB" w:rsidRPr="00754A1D">
        <w:rPr>
          <w:rFonts w:ascii="Times New Roman" w:hAnsi="Times New Roman" w:cs="Times New Roman"/>
          <w:bCs/>
          <w:sz w:val="24"/>
          <w:szCs w:val="24"/>
          <w:lang w:val="en-US"/>
        </w:rPr>
        <w:t xml:space="preserve">, </w:t>
      </w:r>
      <w:r w:rsidR="00352773" w:rsidRPr="00754A1D">
        <w:rPr>
          <w:rFonts w:ascii="Times New Roman" w:hAnsi="Times New Roman" w:cs="Times New Roman"/>
          <w:bCs/>
          <w:sz w:val="24"/>
          <w:szCs w:val="24"/>
          <w:lang w:val="en-US"/>
        </w:rPr>
        <w:t xml:space="preserve">the </w:t>
      </w:r>
      <w:r w:rsidR="008131B7" w:rsidRPr="00754A1D">
        <w:rPr>
          <w:rFonts w:ascii="Times New Roman" w:hAnsi="Times New Roman" w:cs="Times New Roman"/>
          <w:bCs/>
          <w:sz w:val="24"/>
          <w:szCs w:val="24"/>
          <w:lang w:val="en-US"/>
        </w:rPr>
        <w:t xml:space="preserve">ADP/ATP </w:t>
      </w:r>
      <w:r w:rsidR="00DB57F8" w:rsidRPr="00754A1D">
        <w:rPr>
          <w:rFonts w:ascii="Times New Roman" w:hAnsi="Times New Roman" w:cs="Times New Roman"/>
          <w:bCs/>
          <w:sz w:val="24"/>
          <w:szCs w:val="24"/>
          <w:lang w:val="en-US"/>
        </w:rPr>
        <w:t>carrier protein</w:t>
      </w:r>
      <w:r w:rsidR="008131B7" w:rsidRPr="00754A1D">
        <w:rPr>
          <w:rFonts w:ascii="Times New Roman" w:hAnsi="Times New Roman" w:cs="Times New Roman"/>
          <w:bCs/>
          <w:sz w:val="24"/>
          <w:szCs w:val="24"/>
          <w:lang w:val="en-US"/>
        </w:rPr>
        <w:t xml:space="preserve"> 2</w:t>
      </w:r>
      <w:r w:rsidR="00DB57F8" w:rsidRPr="00754A1D">
        <w:rPr>
          <w:rFonts w:ascii="Times New Roman" w:hAnsi="Times New Roman" w:cs="Times New Roman"/>
          <w:bCs/>
          <w:sz w:val="24"/>
          <w:szCs w:val="24"/>
          <w:lang w:val="en-US"/>
        </w:rPr>
        <w:t xml:space="preserve"> and </w:t>
      </w:r>
      <w:r w:rsidR="00352773" w:rsidRPr="00754A1D">
        <w:rPr>
          <w:rFonts w:ascii="Times New Roman" w:hAnsi="Times New Roman" w:cs="Times New Roman"/>
          <w:bCs/>
          <w:sz w:val="24"/>
          <w:szCs w:val="24"/>
          <w:lang w:val="en-US"/>
        </w:rPr>
        <w:t xml:space="preserve">the </w:t>
      </w:r>
      <w:r w:rsidR="004470D8" w:rsidRPr="00754A1D">
        <w:rPr>
          <w:rFonts w:ascii="Times New Roman" w:hAnsi="Times New Roman" w:cs="Times New Roman"/>
          <w:bCs/>
          <w:sz w:val="24"/>
          <w:szCs w:val="24"/>
          <w:lang w:val="en-US"/>
        </w:rPr>
        <w:t xml:space="preserve">ATP synthase </w:t>
      </w:r>
      <w:r w:rsidR="00DB57F8" w:rsidRPr="00754A1D">
        <w:rPr>
          <w:rFonts w:ascii="Times New Roman" w:hAnsi="Times New Roman" w:cs="Times New Roman"/>
          <w:bCs/>
          <w:sz w:val="24"/>
          <w:szCs w:val="24"/>
          <w:lang w:val="en-US"/>
        </w:rPr>
        <w:t xml:space="preserve">subunit b </w:t>
      </w:r>
      <w:r w:rsidR="00E9449A" w:rsidRPr="00754A1D">
        <w:rPr>
          <w:rFonts w:ascii="Times New Roman" w:hAnsi="Times New Roman" w:cs="Times New Roman"/>
          <w:bCs/>
          <w:sz w:val="24"/>
          <w:szCs w:val="24"/>
          <w:lang w:val="en-US"/>
        </w:rPr>
        <w:t xml:space="preserve">(a subunit of the ATP synthase) </w:t>
      </w:r>
      <w:r w:rsidR="00DB1884" w:rsidRPr="00754A1D">
        <w:rPr>
          <w:rFonts w:ascii="Times New Roman" w:hAnsi="Times New Roman" w:cs="Times New Roman"/>
          <w:bCs/>
          <w:sz w:val="24"/>
          <w:szCs w:val="24"/>
          <w:lang w:val="en-US"/>
        </w:rPr>
        <w:t xml:space="preserve">(Figure 6) </w:t>
      </w:r>
      <w:r w:rsidR="004470D8"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{"citationID":"mMFtNpvO","properties":{"formattedCitation":"(Norden and Matanganyidze 1979; Klingenberg 1985; Fontanesi et al. 2008)","plainCitation":"(Norden and Matanganyidze 1979; Klingenberg 1985; Fontanesi et al. 2008)","noteIndex":0},"citationItems":[{"id":2069,"uris":["http://zotero.org/users/local/QcSA6amT/items/WGEJEFMW"],"uri":["http://zotero.org/users/local/QcSA6amT/items/WGEJEFMW"],"itemData":{"id":2069,"type":"article-journal","abstract":"The specific activities of enzymes of the tricarboxylic acid cycle have been measured in flight muscle mitochondria of tsetse flies and fleshflies. Similar levels of those enzymes which are involved in the metabolism of both carbodydrate and proline (2-oxoglutarate dehydrogenase, succinate dehydrogenase and fumarase) were found in the mitochondria of the two insects. Enzymes of the cycle not involved in the oxidation of proline (citrata synthase, aconitase, isocitrate dehydrogenase and malate dehydrogenase) had considerably lower specific activities in the tsetse fly.","container-title":"Insect Biochemistry","DOI":"10.1016/0020-1790(79)90030-1","ISSN":"0020-1790","issue":"1","journalAbbreviation":"Insect Biochemistry","language":"en","page":"85-87","source":"ScienceDirect","title":"Activities of kreb's cycle enzymes in the flight muscles of the tsetse fly (Glossina) and the fleshfly (Sarcophaga)","volume":"9","author":[{"family":"Norden","given":"Daphne A."},{"family":"Matanganyidze","given":"Columbus"}],"issued":{"date-parts":[["1979",1,1]]}}},{"id":2074,"uris":["http://zotero.org/users/local/QcSA6amT/items/GQ3JMNFT"],"uri":["http://zotero.org/users/local/QcSA6amT/items/GQ3JMNFT"],"itemData":{"id":2074,"type":"chapter","abstract":"The inner mitochondrial membrane is known to contain a number of membrane-bound enzymes which are linked to oxidation and phosphorylation reactions. During the past ten years, it has been found that this membrane also facilitates the specific transport of a number of metabolites which function as intermediates in metabolic pathways of mitochondria. Particularly prominent are the metabolites associated with the tricar-boxylic acid cycle, with transamination reactions, and with phosphate transfer reactions in oxidative and substrate-level phosphorylation (for reviews, see Klingenberg, 1970; Meijer and van Dam, 1974; LaNoue and Schoolwerth, 1979; Scarpa, 1979).","container-title":"The Enzymes of Biological Membranes: Volume 4 Bioenergetics of Electron and Proton Transport","event-place":"Boston, MA","ISBN":"978-1-4684-4604-3","language":"en","note":"DOI: 10.1007/978-1-4684-4604-3_15","page":"511-553","publisher":"Springer US","publisher-place":"Boston, MA","source":"Springer Link","title":"The ADP/ATP Carrier in Mitochondrial Membranes","URL":"https://doi.org/10.1007/978-1-4684-4604-3_15","author":[{"family":"Klingenberg","given":"Martin"}],"editor":[{"family":"Martonosi","given":"Anthony N."}],"accessed":{"date-parts":[["2020",3,16]]},"issued":{"date-parts":[["1985"]]}}},{"id":1964,"uris":["http://zotero.org/users/local/QcSA6amT/items/BDG5ZU4J"],"uri":["http://zotero.org/users/local/QcSA6amT/items/BDG5ZU4J"],"itemData":{"id":1964,"type":"article-journal","abstract":"Eukaryotic cytochrome c oxidase (COX), the last enzyme of the mitochondrial respiratory chain, is a multimeric enzyme of dual genetic origin, whose assembly is a complicated and highly regulated process. COX displays a concerted accumulation of its constitutive subunits. Data obtained from studies performed with yeast mutants indicate that most catalytic core unassembled subunits are posttranslationally degraded. Recent data obtained in the yeast Saccharomyces cerevisiae have revealed another contribution to the stoichiometric accumulation of subunits during COX biogenesis targeting subunit 1 or Cox1p. Cox1p is a mitochondrially encoded catalytic subunit of COX which acts as a seed around which the full complex is assembled. A regulatory mechanism exists by which Cox1p synthesis is controlled by the availability of its assembly partners. The unique properties of this regulatory mechanism offer a means to catalyze multiple-subunit assembly. New levels of COX biogenesis regulation have been recently proposed. For example, COX assembly and stability of the fully assembled enzyme depend on the presence in the mitochondrial compartments of two partners of the oxidative phosphorylation system, the mobile electron carrier cytochrome c and the mitochondrial ATPase. The different mechanisms of regulation of COX assembly are reviewed and discussed. © 2008 IUBMB IUBMB Life, 60(9): 557–568, 2008","container-title":"IUBMB Life","DOI":"10.1002/iub.86","ISSN":"1521-6551","issue":"9","language":"en","page":"557-568","source":"Wiley Online Library","title":"Cytochrome c oxidase biogenesis: New levels of regulation","title-short":"Cytochrome c oxidase biogenesis","volume":"60","author":[{"family":"Fontanesi","given":"Flavia"},{"family":"Soto","given":"Ileana C."},{"family":"Barrientos","given":"Antoni"}],"issued":{"date-parts":[["2008"]]}}}],"schema":"https://github.com/citation-style-language/schema/raw/master/csl-citation.json"} </w:instrText>
      </w:r>
      <w:r w:rsidR="004470D8" w:rsidRPr="00754A1D">
        <w:rPr>
          <w:rFonts w:ascii="Times New Roman" w:hAnsi="Times New Roman" w:cs="Times New Roman"/>
          <w:bCs/>
          <w:sz w:val="24"/>
          <w:szCs w:val="24"/>
          <w:lang w:val="en-US"/>
        </w:rPr>
        <w:fldChar w:fldCharType="separate"/>
      </w:r>
      <w:r w:rsidR="008131B7" w:rsidRPr="00754A1D">
        <w:rPr>
          <w:rFonts w:ascii="Times New Roman" w:hAnsi="Times New Roman" w:cs="Times New Roman"/>
          <w:sz w:val="24"/>
          <w:lang w:val="en-US"/>
        </w:rPr>
        <w:t>(Norden and Matanganyidze 1979; Klingenberg 1985; Fontanesi et al. 2008)</w:t>
      </w:r>
      <w:r w:rsidR="004470D8" w:rsidRPr="00754A1D">
        <w:rPr>
          <w:rFonts w:ascii="Times New Roman" w:hAnsi="Times New Roman" w:cs="Times New Roman"/>
          <w:bCs/>
          <w:sz w:val="24"/>
          <w:szCs w:val="24"/>
          <w:lang w:val="en-US"/>
        </w:rPr>
        <w:fldChar w:fldCharType="end"/>
      </w:r>
      <w:r w:rsidR="004470D8" w:rsidRPr="00754A1D">
        <w:rPr>
          <w:rFonts w:ascii="Times New Roman" w:hAnsi="Times New Roman" w:cs="Times New Roman"/>
          <w:bCs/>
          <w:sz w:val="24"/>
          <w:szCs w:val="24"/>
          <w:lang w:val="en-US"/>
        </w:rPr>
        <w:t xml:space="preserve">. </w:t>
      </w:r>
      <w:r w:rsidR="009A3878" w:rsidRPr="00754A1D">
        <w:rPr>
          <w:rFonts w:ascii="Times New Roman" w:hAnsi="Times New Roman" w:cs="Times New Roman"/>
          <w:bCs/>
          <w:sz w:val="24"/>
          <w:szCs w:val="24"/>
          <w:lang w:val="en-US"/>
        </w:rPr>
        <w:t>A</w:t>
      </w:r>
      <w:r w:rsidR="00A16991" w:rsidRPr="00754A1D">
        <w:rPr>
          <w:rFonts w:ascii="Times New Roman" w:hAnsi="Times New Roman" w:cs="Times New Roman"/>
          <w:bCs/>
          <w:sz w:val="24"/>
          <w:szCs w:val="24"/>
          <w:lang w:val="en-US"/>
        </w:rPr>
        <w:t xml:space="preserve">cyl-CoA dehydrogenase </w:t>
      </w:r>
      <w:r w:rsidR="009A3878" w:rsidRPr="00754A1D">
        <w:rPr>
          <w:rFonts w:ascii="Times New Roman" w:hAnsi="Times New Roman" w:cs="Times New Roman"/>
          <w:bCs/>
          <w:sz w:val="24"/>
          <w:szCs w:val="24"/>
          <w:lang w:val="en-US"/>
        </w:rPr>
        <w:t xml:space="preserve">and </w:t>
      </w:r>
      <w:r w:rsidR="00F53274" w:rsidRPr="00754A1D">
        <w:rPr>
          <w:rFonts w:ascii="Times New Roman" w:hAnsi="Times New Roman" w:cs="Times New Roman"/>
          <w:bCs/>
          <w:sz w:val="24"/>
          <w:szCs w:val="24"/>
          <w:lang w:val="en-US"/>
        </w:rPr>
        <w:t>enoyl-CoA hydratase were</w:t>
      </w:r>
      <w:r w:rsidR="000B11FB" w:rsidRPr="00754A1D">
        <w:rPr>
          <w:rFonts w:ascii="Times New Roman" w:hAnsi="Times New Roman" w:cs="Times New Roman"/>
          <w:bCs/>
          <w:sz w:val="24"/>
          <w:szCs w:val="24"/>
          <w:lang w:val="en-US"/>
        </w:rPr>
        <w:t xml:space="preserve"> </w:t>
      </w:r>
      <w:r w:rsidR="009A3878" w:rsidRPr="00754A1D">
        <w:rPr>
          <w:rFonts w:ascii="Times New Roman" w:hAnsi="Times New Roman" w:cs="Times New Roman"/>
          <w:bCs/>
          <w:sz w:val="24"/>
          <w:szCs w:val="24"/>
          <w:lang w:val="en-US"/>
        </w:rPr>
        <w:t xml:space="preserve">also </w:t>
      </w:r>
      <w:r w:rsidR="000B11FB" w:rsidRPr="00754A1D">
        <w:rPr>
          <w:rFonts w:ascii="Times New Roman" w:hAnsi="Times New Roman" w:cs="Times New Roman"/>
          <w:bCs/>
          <w:sz w:val="24"/>
          <w:szCs w:val="24"/>
          <w:lang w:val="en-US"/>
        </w:rPr>
        <w:t xml:space="preserve">upregulated. </w:t>
      </w:r>
      <w:r w:rsidR="008B71A7" w:rsidRPr="00754A1D">
        <w:rPr>
          <w:rFonts w:ascii="Times New Roman" w:hAnsi="Times New Roman" w:cs="Times New Roman"/>
          <w:bCs/>
          <w:sz w:val="24"/>
          <w:szCs w:val="24"/>
          <w:lang w:val="en-US"/>
        </w:rPr>
        <w:t>Th</w:t>
      </w:r>
      <w:r w:rsidR="009A3878" w:rsidRPr="00754A1D">
        <w:rPr>
          <w:rFonts w:ascii="Times New Roman" w:hAnsi="Times New Roman" w:cs="Times New Roman"/>
          <w:bCs/>
          <w:sz w:val="24"/>
          <w:szCs w:val="24"/>
          <w:lang w:val="en-US"/>
        </w:rPr>
        <w:t>es</w:t>
      </w:r>
      <w:r w:rsidR="008B71A7" w:rsidRPr="00754A1D">
        <w:rPr>
          <w:rFonts w:ascii="Times New Roman" w:hAnsi="Times New Roman" w:cs="Times New Roman"/>
          <w:bCs/>
          <w:sz w:val="24"/>
          <w:szCs w:val="24"/>
          <w:lang w:val="en-US"/>
        </w:rPr>
        <w:t>e two</w:t>
      </w:r>
      <w:r w:rsidR="000B11FB" w:rsidRPr="00754A1D">
        <w:rPr>
          <w:rFonts w:ascii="Times New Roman" w:hAnsi="Times New Roman" w:cs="Times New Roman"/>
          <w:bCs/>
          <w:sz w:val="24"/>
          <w:szCs w:val="24"/>
          <w:lang w:val="en-US"/>
        </w:rPr>
        <w:t xml:space="preserve"> enzyme</w:t>
      </w:r>
      <w:r w:rsidR="00F53274" w:rsidRPr="00754A1D">
        <w:rPr>
          <w:rFonts w:ascii="Times New Roman" w:hAnsi="Times New Roman" w:cs="Times New Roman"/>
          <w:bCs/>
          <w:sz w:val="24"/>
          <w:szCs w:val="24"/>
          <w:lang w:val="en-US"/>
        </w:rPr>
        <w:t>s</w:t>
      </w:r>
      <w:r w:rsidR="00A16991" w:rsidRPr="00754A1D">
        <w:rPr>
          <w:rFonts w:ascii="Times New Roman" w:hAnsi="Times New Roman" w:cs="Times New Roman"/>
          <w:bCs/>
          <w:sz w:val="24"/>
          <w:szCs w:val="24"/>
          <w:lang w:val="en-US"/>
        </w:rPr>
        <w:t xml:space="preserve"> catalyze the initial step</w:t>
      </w:r>
      <w:r w:rsidR="00F53274" w:rsidRPr="00754A1D">
        <w:rPr>
          <w:rFonts w:ascii="Times New Roman" w:hAnsi="Times New Roman" w:cs="Times New Roman"/>
          <w:bCs/>
          <w:sz w:val="24"/>
          <w:szCs w:val="24"/>
          <w:lang w:val="en-US"/>
        </w:rPr>
        <w:t>s</w:t>
      </w:r>
      <w:r w:rsidR="00A16991" w:rsidRPr="00754A1D">
        <w:rPr>
          <w:rFonts w:ascii="Times New Roman" w:hAnsi="Times New Roman" w:cs="Times New Roman"/>
          <w:bCs/>
          <w:sz w:val="24"/>
          <w:szCs w:val="24"/>
          <w:lang w:val="en-US"/>
        </w:rPr>
        <w:t xml:space="preserve"> of fatty acid β-oxidation</w:t>
      </w:r>
      <w:r w:rsidR="008B71A7" w:rsidRPr="00754A1D">
        <w:rPr>
          <w:rFonts w:ascii="Times New Roman" w:hAnsi="Times New Roman" w:cs="Times New Roman"/>
          <w:bCs/>
          <w:sz w:val="24"/>
          <w:szCs w:val="24"/>
          <w:lang w:val="en-US"/>
        </w:rPr>
        <w:t xml:space="preserve">, a process </w:t>
      </w:r>
      <w:r w:rsidR="00AE02EC" w:rsidRPr="00754A1D">
        <w:rPr>
          <w:rFonts w:ascii="Times New Roman" w:hAnsi="Times New Roman" w:cs="Times New Roman"/>
          <w:bCs/>
          <w:sz w:val="24"/>
          <w:szCs w:val="24"/>
          <w:lang w:val="en-US"/>
        </w:rPr>
        <w:t>that</w:t>
      </w:r>
      <w:r w:rsidR="00C77510" w:rsidRPr="00754A1D">
        <w:rPr>
          <w:rFonts w:ascii="Times New Roman" w:hAnsi="Times New Roman" w:cs="Times New Roman"/>
          <w:bCs/>
          <w:sz w:val="24"/>
          <w:szCs w:val="24"/>
          <w:lang w:val="en-US"/>
        </w:rPr>
        <w:t xml:space="preserve"> takes place in the mitochondria and leads to</w:t>
      </w:r>
      <w:r w:rsidR="008B71A7" w:rsidRPr="00754A1D">
        <w:rPr>
          <w:rFonts w:ascii="Times New Roman" w:hAnsi="Times New Roman" w:cs="Times New Roman"/>
          <w:bCs/>
          <w:sz w:val="24"/>
          <w:szCs w:val="24"/>
          <w:lang w:val="en-US"/>
        </w:rPr>
        <w:t xml:space="preserve"> the production </w:t>
      </w:r>
      <w:r w:rsidR="000B11FB" w:rsidRPr="00754A1D">
        <w:rPr>
          <w:rFonts w:ascii="Times New Roman" w:hAnsi="Times New Roman" w:cs="Times New Roman"/>
          <w:bCs/>
          <w:sz w:val="24"/>
          <w:szCs w:val="24"/>
          <w:lang w:val="en-US"/>
        </w:rPr>
        <w:t xml:space="preserve">of acetyl-CoA involved in the TCA cycle, and NADH </w:t>
      </w:r>
      <w:r w:rsidR="000B11FB" w:rsidRPr="00754A1D">
        <w:rPr>
          <w:rFonts w:ascii="Times New Roman" w:hAnsi="Times New Roman" w:cs="Times New Roman"/>
          <w:bCs/>
          <w:sz w:val="24"/>
          <w:szCs w:val="24"/>
          <w:lang w:val="en-US"/>
        </w:rPr>
        <w:lastRenderedPageBreak/>
        <w:t>and FADH</w:t>
      </w:r>
      <w:r w:rsidR="000B11FB" w:rsidRPr="00754A1D">
        <w:rPr>
          <w:rFonts w:ascii="Times New Roman" w:hAnsi="Times New Roman" w:cs="Times New Roman"/>
          <w:bCs/>
          <w:sz w:val="24"/>
          <w:szCs w:val="24"/>
          <w:vertAlign w:val="subscript"/>
          <w:lang w:val="en-US"/>
        </w:rPr>
        <w:t>2</w:t>
      </w:r>
      <w:r w:rsidR="00DB57F8" w:rsidRPr="00754A1D">
        <w:rPr>
          <w:rFonts w:ascii="Times New Roman" w:hAnsi="Times New Roman" w:cs="Times New Roman"/>
          <w:bCs/>
          <w:sz w:val="24"/>
          <w:szCs w:val="24"/>
          <w:lang w:val="en-US"/>
        </w:rPr>
        <w:t xml:space="preserve">, </w:t>
      </w:r>
      <w:r w:rsidR="00AE02EC" w:rsidRPr="00754A1D">
        <w:rPr>
          <w:rFonts w:ascii="Times New Roman" w:hAnsi="Times New Roman" w:cs="Times New Roman"/>
          <w:bCs/>
          <w:sz w:val="24"/>
          <w:szCs w:val="24"/>
          <w:lang w:val="en-US"/>
        </w:rPr>
        <w:t>whose</w:t>
      </w:r>
      <w:r w:rsidR="00DB57F8" w:rsidRPr="00754A1D">
        <w:rPr>
          <w:rFonts w:ascii="Times New Roman" w:hAnsi="Times New Roman" w:cs="Times New Roman"/>
          <w:bCs/>
          <w:sz w:val="24"/>
          <w:szCs w:val="24"/>
          <w:lang w:val="en-US"/>
        </w:rPr>
        <w:t xml:space="preserve"> </w:t>
      </w:r>
      <w:r w:rsidR="000B11FB" w:rsidRPr="00754A1D">
        <w:rPr>
          <w:rFonts w:ascii="Times New Roman" w:hAnsi="Times New Roman" w:cs="Times New Roman"/>
          <w:bCs/>
          <w:sz w:val="24"/>
          <w:szCs w:val="24"/>
          <w:lang w:val="en-US"/>
        </w:rPr>
        <w:t xml:space="preserve">electrons </w:t>
      </w:r>
      <w:r w:rsidR="00AE02EC" w:rsidRPr="00754A1D">
        <w:rPr>
          <w:rFonts w:ascii="Times New Roman" w:hAnsi="Times New Roman" w:cs="Times New Roman"/>
          <w:bCs/>
          <w:sz w:val="24"/>
          <w:szCs w:val="24"/>
          <w:lang w:val="en-US"/>
        </w:rPr>
        <w:t>feed</w:t>
      </w:r>
      <w:r w:rsidR="000B11FB" w:rsidRPr="00754A1D">
        <w:rPr>
          <w:rFonts w:ascii="Times New Roman" w:hAnsi="Times New Roman" w:cs="Times New Roman"/>
          <w:bCs/>
          <w:sz w:val="24"/>
          <w:szCs w:val="24"/>
          <w:lang w:val="en-US"/>
        </w:rPr>
        <w:t xml:space="preserve"> the electron transport chain</w:t>
      </w:r>
      <w:r w:rsidR="008B71A7" w:rsidRPr="00754A1D">
        <w:rPr>
          <w:rFonts w:ascii="Times New Roman" w:hAnsi="Times New Roman" w:cs="Times New Roman"/>
          <w:bCs/>
          <w:sz w:val="24"/>
          <w:szCs w:val="24"/>
          <w:lang w:val="en-US"/>
        </w:rPr>
        <w:t xml:space="preserve"> </w:t>
      </w:r>
      <w:r w:rsidR="008B71A7"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{"citationID":"UHGJvHY0","properties":{"formattedCitation":"(Thorpe and Kim 1995)","plainCitation":"(Thorpe and Kim 1995)","noteIndex":0},"citationItems":[{"id":2105,"uris":["http://zotero.org/users/local/QcSA6amT/items/FJ2SH4HT"],"uri":["http://zotero.org/users/local/QcSA6amT/items/FJ2SH4HT"],"itemData":{"id":2105,"type":"article-journal","abstract":"Mitochondrial beta-oxidation involves a family of flavoproteins that introduce a C-C double bond into their fatty acyl-CoA substrates. Deficiencies of these acyl-CoA dehydrogenases lead to fatty acid oxidation disorders involving life-threatening episodes of metabolic derangement. This review focuses on the medium chain acyl-CoA dehydrogenase as the best-understood member of its class. The crystal structure of the enzyme and salient features of its substrate specificity and mechanism of action are summarized. The surprising observation of a catalytically essential amino acid residue that nevertheless is not conserved in the acyl-CoA dehydrogenase family is discussed.","container-title":"The FASEB Journal","DOI":"10.1096/fasebj.9.9.7601336","ISSN":"0892-6638","issue":"9","journalAbbreviation":"The FASEB Journal","page":"718-725","source":"fasebj.org (Atypon)","title":"Structure and mechanism of action of the acyl-CoA dehydrogenases.","volume":"9","author":[{"family":"Thorpe","given":"C"},{"family":"Kim","given":"J J"}],"issued":{"date-parts":[["1995",6,1]]}}}],"schema":"https://github.com/citation-style-language/schema/raw/master/csl-citation.json"} </w:instrText>
      </w:r>
      <w:r w:rsidR="008B71A7" w:rsidRPr="00754A1D">
        <w:rPr>
          <w:rFonts w:ascii="Times New Roman" w:hAnsi="Times New Roman" w:cs="Times New Roman"/>
          <w:bCs/>
          <w:sz w:val="24"/>
          <w:szCs w:val="24"/>
          <w:lang w:val="en-US"/>
        </w:rPr>
        <w:fldChar w:fldCharType="separate"/>
      </w:r>
      <w:r w:rsidR="008B71A7" w:rsidRPr="00754A1D">
        <w:rPr>
          <w:rFonts w:ascii="Times New Roman" w:hAnsi="Times New Roman" w:cs="Times New Roman"/>
          <w:sz w:val="24"/>
          <w:lang w:val="en-US"/>
        </w:rPr>
        <w:t>(Thorpe and Kim 1995)</w:t>
      </w:r>
      <w:r w:rsidR="008B71A7" w:rsidRPr="00754A1D">
        <w:rPr>
          <w:rFonts w:ascii="Times New Roman" w:hAnsi="Times New Roman" w:cs="Times New Roman"/>
          <w:bCs/>
          <w:sz w:val="24"/>
          <w:szCs w:val="24"/>
          <w:lang w:val="en-US"/>
        </w:rPr>
        <w:fldChar w:fldCharType="end"/>
      </w:r>
      <w:r w:rsidR="000B11FB" w:rsidRPr="00754A1D">
        <w:rPr>
          <w:rFonts w:ascii="Times New Roman" w:hAnsi="Times New Roman" w:cs="Times New Roman"/>
          <w:bCs/>
          <w:sz w:val="24"/>
          <w:szCs w:val="24"/>
          <w:lang w:val="en-US"/>
        </w:rPr>
        <w:t xml:space="preserve">. </w:t>
      </w:r>
      <w:r w:rsidR="00AE02EC" w:rsidRPr="00754A1D">
        <w:rPr>
          <w:rFonts w:ascii="Times New Roman" w:hAnsi="Times New Roman" w:cs="Times New Roman"/>
          <w:bCs/>
          <w:sz w:val="24"/>
          <w:szCs w:val="24"/>
          <w:lang w:val="en-US"/>
        </w:rPr>
        <w:t>The u</w:t>
      </w:r>
      <w:r w:rsidR="008131B7" w:rsidRPr="00754A1D">
        <w:rPr>
          <w:rFonts w:ascii="Times New Roman" w:hAnsi="Times New Roman" w:cs="Times New Roman"/>
          <w:bCs/>
          <w:sz w:val="24"/>
          <w:szCs w:val="24"/>
          <w:lang w:val="en-US"/>
        </w:rPr>
        <w:t>pregulation</w:t>
      </w:r>
      <w:r w:rsidR="00ED4A29" w:rsidRPr="00754A1D">
        <w:rPr>
          <w:rFonts w:ascii="Times New Roman" w:hAnsi="Times New Roman" w:cs="Times New Roman"/>
          <w:bCs/>
          <w:sz w:val="24"/>
          <w:szCs w:val="24"/>
          <w:lang w:val="en-US"/>
        </w:rPr>
        <w:t xml:space="preserve"> </w:t>
      </w:r>
      <w:r w:rsidR="00400AB2" w:rsidRPr="00754A1D">
        <w:rPr>
          <w:rFonts w:ascii="Times New Roman" w:hAnsi="Times New Roman" w:cs="Times New Roman"/>
          <w:bCs/>
          <w:sz w:val="24"/>
          <w:szCs w:val="24"/>
          <w:lang w:val="en-US"/>
        </w:rPr>
        <w:t>of</w:t>
      </w:r>
      <w:r w:rsidR="009749ED" w:rsidRPr="00754A1D">
        <w:rPr>
          <w:rFonts w:ascii="Times New Roman" w:hAnsi="Times New Roman" w:cs="Times New Roman"/>
          <w:bCs/>
          <w:sz w:val="24"/>
          <w:szCs w:val="24"/>
          <w:lang w:val="en-US"/>
        </w:rPr>
        <w:t xml:space="preserve"> all</w:t>
      </w:r>
      <w:r w:rsidR="00400AB2" w:rsidRPr="00754A1D">
        <w:rPr>
          <w:rFonts w:ascii="Times New Roman" w:hAnsi="Times New Roman" w:cs="Times New Roman"/>
          <w:bCs/>
          <w:sz w:val="24"/>
          <w:szCs w:val="24"/>
          <w:lang w:val="en-US"/>
        </w:rPr>
        <w:t xml:space="preserve"> these proteins </w:t>
      </w:r>
      <w:r w:rsidR="00ED4A29" w:rsidRPr="00754A1D">
        <w:rPr>
          <w:rFonts w:ascii="Times New Roman" w:hAnsi="Times New Roman" w:cs="Times New Roman"/>
          <w:bCs/>
          <w:sz w:val="24"/>
          <w:szCs w:val="24"/>
          <w:lang w:val="en-US"/>
        </w:rPr>
        <w:t>suggest</w:t>
      </w:r>
      <w:r w:rsidR="00DB57F8" w:rsidRPr="00754A1D">
        <w:rPr>
          <w:rFonts w:ascii="Times New Roman" w:hAnsi="Times New Roman" w:cs="Times New Roman"/>
          <w:bCs/>
          <w:sz w:val="24"/>
          <w:szCs w:val="24"/>
          <w:lang w:val="en-US"/>
        </w:rPr>
        <w:t>s</w:t>
      </w:r>
      <w:r w:rsidR="00ED4A29" w:rsidRPr="00754A1D">
        <w:rPr>
          <w:rFonts w:ascii="Times New Roman" w:hAnsi="Times New Roman" w:cs="Times New Roman"/>
          <w:bCs/>
          <w:sz w:val="24"/>
          <w:szCs w:val="24"/>
          <w:lang w:val="en-US"/>
        </w:rPr>
        <w:t xml:space="preserve"> </w:t>
      </w:r>
      <w:r w:rsidR="003D6B27" w:rsidRPr="00754A1D">
        <w:rPr>
          <w:rFonts w:ascii="Times New Roman" w:hAnsi="Times New Roman" w:cs="Times New Roman"/>
          <w:bCs/>
          <w:sz w:val="24"/>
          <w:szCs w:val="24"/>
          <w:lang w:val="en-US"/>
        </w:rPr>
        <w:t xml:space="preserve">that </w:t>
      </w:r>
      <w:r w:rsidR="00C77510" w:rsidRPr="00754A1D">
        <w:rPr>
          <w:rFonts w:ascii="Times New Roman" w:hAnsi="Times New Roman" w:cs="Times New Roman"/>
          <w:bCs/>
          <w:i/>
          <w:sz w:val="24"/>
          <w:szCs w:val="24"/>
          <w:lang w:val="en-US"/>
        </w:rPr>
        <w:t>M. arvensis</w:t>
      </w:r>
      <w:r w:rsidR="00C77510" w:rsidRPr="00754A1D">
        <w:rPr>
          <w:rFonts w:ascii="Times New Roman" w:hAnsi="Times New Roman" w:cs="Times New Roman"/>
          <w:bCs/>
          <w:sz w:val="24"/>
          <w:szCs w:val="24"/>
          <w:lang w:val="en-US"/>
        </w:rPr>
        <w:t xml:space="preserve"> </w:t>
      </w:r>
      <w:r w:rsidR="009B35F2" w:rsidRPr="00754A1D">
        <w:rPr>
          <w:rFonts w:ascii="Times New Roman" w:hAnsi="Times New Roman" w:cs="Times New Roman"/>
          <w:bCs/>
          <w:sz w:val="24"/>
          <w:szCs w:val="24"/>
          <w:lang w:val="en-US"/>
        </w:rPr>
        <w:t>EO</w:t>
      </w:r>
      <w:r w:rsidR="00C77510" w:rsidRPr="00754A1D">
        <w:rPr>
          <w:rFonts w:ascii="Times New Roman" w:hAnsi="Times New Roman" w:cs="Times New Roman"/>
          <w:bCs/>
          <w:sz w:val="24"/>
          <w:szCs w:val="24"/>
          <w:lang w:val="en-US"/>
        </w:rPr>
        <w:t xml:space="preserve"> </w:t>
      </w:r>
      <w:r w:rsidR="00ED4A29" w:rsidRPr="00754A1D">
        <w:rPr>
          <w:rFonts w:ascii="Times New Roman" w:hAnsi="Times New Roman" w:cs="Times New Roman"/>
          <w:bCs/>
          <w:sz w:val="24"/>
          <w:szCs w:val="24"/>
          <w:lang w:val="en-US"/>
        </w:rPr>
        <w:t xml:space="preserve">affected </w:t>
      </w:r>
      <w:r w:rsidR="00C77510" w:rsidRPr="00754A1D">
        <w:rPr>
          <w:rFonts w:ascii="Times New Roman" w:hAnsi="Times New Roman" w:cs="Times New Roman"/>
          <w:bCs/>
          <w:sz w:val="24"/>
          <w:szCs w:val="24"/>
          <w:lang w:val="en-US"/>
        </w:rPr>
        <w:t xml:space="preserve">the mitochondrial system </w:t>
      </w:r>
      <w:r w:rsidR="00AB33F2" w:rsidRPr="00754A1D">
        <w:rPr>
          <w:rFonts w:ascii="Times New Roman" w:hAnsi="Times New Roman" w:cs="Times New Roman"/>
          <w:bCs/>
          <w:sz w:val="24"/>
          <w:szCs w:val="24"/>
          <w:lang w:val="en-US"/>
        </w:rPr>
        <w:t>before</w:t>
      </w:r>
      <w:r w:rsidR="00C77510" w:rsidRPr="00754A1D">
        <w:rPr>
          <w:rFonts w:ascii="Times New Roman" w:hAnsi="Times New Roman" w:cs="Times New Roman"/>
          <w:bCs/>
          <w:sz w:val="24"/>
          <w:szCs w:val="24"/>
          <w:lang w:val="en-US"/>
        </w:rPr>
        <w:t xml:space="preserve"> </w:t>
      </w:r>
      <w:r w:rsidR="00AE02EC" w:rsidRPr="00754A1D">
        <w:rPr>
          <w:rFonts w:ascii="Times New Roman" w:hAnsi="Times New Roman" w:cs="Times New Roman"/>
          <w:bCs/>
          <w:sz w:val="24"/>
          <w:szCs w:val="24"/>
          <w:lang w:val="en-US"/>
        </w:rPr>
        <w:t>it was</w:t>
      </w:r>
      <w:r w:rsidR="00C77510" w:rsidRPr="00754A1D">
        <w:rPr>
          <w:rFonts w:ascii="Times New Roman" w:hAnsi="Times New Roman" w:cs="Times New Roman"/>
          <w:bCs/>
          <w:sz w:val="24"/>
          <w:szCs w:val="24"/>
          <w:lang w:val="en-US"/>
        </w:rPr>
        <w:t xml:space="preserve"> </w:t>
      </w:r>
      <w:r w:rsidR="00AB33F2" w:rsidRPr="00754A1D">
        <w:rPr>
          <w:rFonts w:ascii="Times New Roman" w:hAnsi="Times New Roman" w:cs="Times New Roman"/>
          <w:bCs/>
          <w:sz w:val="24"/>
          <w:szCs w:val="24"/>
          <w:lang w:val="en-US"/>
        </w:rPr>
        <w:t xml:space="preserve">rebuilt in insects that survived treatment. </w:t>
      </w:r>
      <w:r w:rsidR="00DB57F8" w:rsidRPr="00754A1D">
        <w:rPr>
          <w:rFonts w:ascii="Times New Roman" w:hAnsi="Times New Roman" w:cs="Times New Roman"/>
          <w:bCs/>
          <w:sz w:val="24"/>
          <w:szCs w:val="24"/>
          <w:lang w:val="en-US"/>
        </w:rPr>
        <w:t xml:space="preserve">However, </w:t>
      </w:r>
      <w:r w:rsidR="00ED4A29" w:rsidRPr="00754A1D">
        <w:rPr>
          <w:rFonts w:ascii="Times New Roman" w:hAnsi="Times New Roman" w:cs="Times New Roman"/>
          <w:bCs/>
          <w:sz w:val="24"/>
          <w:szCs w:val="24"/>
          <w:lang w:val="en-US"/>
        </w:rPr>
        <w:t xml:space="preserve">upregulation </w:t>
      </w:r>
      <w:r w:rsidR="00AB33F2" w:rsidRPr="00754A1D">
        <w:rPr>
          <w:rFonts w:ascii="Times New Roman" w:hAnsi="Times New Roman" w:cs="Times New Roman"/>
          <w:bCs/>
          <w:sz w:val="24"/>
          <w:szCs w:val="24"/>
          <w:lang w:val="en-US"/>
        </w:rPr>
        <w:t>of these proteins may</w:t>
      </w:r>
      <w:r w:rsidR="009A3878" w:rsidRPr="00754A1D">
        <w:rPr>
          <w:rFonts w:ascii="Times New Roman" w:hAnsi="Times New Roman" w:cs="Times New Roman"/>
          <w:bCs/>
          <w:sz w:val="24"/>
          <w:szCs w:val="24"/>
          <w:lang w:val="en-US"/>
        </w:rPr>
        <w:t xml:space="preserve"> </w:t>
      </w:r>
      <w:r w:rsidR="00ED4A29" w:rsidRPr="00754A1D">
        <w:rPr>
          <w:rFonts w:ascii="Times New Roman" w:hAnsi="Times New Roman" w:cs="Times New Roman"/>
          <w:bCs/>
          <w:sz w:val="24"/>
          <w:szCs w:val="24"/>
          <w:lang w:val="en-US"/>
        </w:rPr>
        <w:t xml:space="preserve">also </w:t>
      </w:r>
      <w:r w:rsidR="00AB33F2" w:rsidRPr="00754A1D">
        <w:rPr>
          <w:rFonts w:ascii="Times New Roman" w:hAnsi="Times New Roman" w:cs="Times New Roman"/>
          <w:bCs/>
          <w:sz w:val="24"/>
          <w:szCs w:val="24"/>
          <w:lang w:val="en-US"/>
        </w:rPr>
        <w:t xml:space="preserve">reflect the need </w:t>
      </w:r>
      <w:r w:rsidR="00DB57F8" w:rsidRPr="00754A1D">
        <w:rPr>
          <w:rFonts w:ascii="Times New Roman" w:hAnsi="Times New Roman" w:cs="Times New Roman"/>
          <w:bCs/>
          <w:sz w:val="24"/>
          <w:szCs w:val="24"/>
          <w:lang w:val="en-US"/>
        </w:rPr>
        <w:t>for</w:t>
      </w:r>
      <w:r w:rsidR="00AB33F2" w:rsidRPr="00754A1D">
        <w:rPr>
          <w:rFonts w:ascii="Times New Roman" w:hAnsi="Times New Roman" w:cs="Times New Roman"/>
          <w:bCs/>
          <w:sz w:val="24"/>
          <w:szCs w:val="24"/>
          <w:lang w:val="en-US"/>
        </w:rPr>
        <w:t xml:space="preserve"> </w:t>
      </w:r>
      <w:r w:rsidR="009749ED" w:rsidRPr="00754A1D">
        <w:rPr>
          <w:rFonts w:ascii="Times New Roman" w:hAnsi="Times New Roman" w:cs="Times New Roman"/>
          <w:bCs/>
          <w:sz w:val="24"/>
          <w:szCs w:val="24"/>
          <w:lang w:val="en-US"/>
        </w:rPr>
        <w:t xml:space="preserve">metabolic </w:t>
      </w:r>
      <w:r w:rsidR="00ED4A29" w:rsidRPr="00754A1D">
        <w:rPr>
          <w:rFonts w:ascii="Times New Roman" w:hAnsi="Times New Roman" w:cs="Times New Roman"/>
          <w:bCs/>
          <w:sz w:val="24"/>
          <w:szCs w:val="24"/>
          <w:lang w:val="en-US"/>
        </w:rPr>
        <w:t>energy for the biosynthesis of proteins involved in the many systems that have been damaged by</w:t>
      </w:r>
      <w:r w:rsidR="009749ED" w:rsidRPr="00754A1D">
        <w:rPr>
          <w:rFonts w:ascii="Times New Roman" w:hAnsi="Times New Roman" w:cs="Times New Roman"/>
          <w:bCs/>
          <w:sz w:val="24"/>
          <w:szCs w:val="24"/>
          <w:lang w:val="en-US"/>
        </w:rPr>
        <w:t xml:space="preserve"> </w:t>
      </w:r>
      <w:r w:rsidR="00AB33F2" w:rsidRPr="00754A1D">
        <w:rPr>
          <w:rFonts w:ascii="Times New Roman" w:hAnsi="Times New Roman" w:cs="Times New Roman"/>
          <w:bCs/>
          <w:i/>
          <w:sz w:val="24"/>
          <w:szCs w:val="24"/>
          <w:lang w:val="en-US"/>
        </w:rPr>
        <w:t>M. arvensis</w:t>
      </w:r>
      <w:r w:rsidR="00ED4A29" w:rsidRPr="00754A1D">
        <w:rPr>
          <w:rFonts w:ascii="Times New Roman" w:hAnsi="Times New Roman" w:cs="Times New Roman"/>
          <w:bCs/>
          <w:sz w:val="24"/>
          <w:szCs w:val="24"/>
          <w:lang w:val="en-US"/>
        </w:rPr>
        <w:t xml:space="preserve"> </w:t>
      </w:r>
      <w:r w:rsidR="00AB33F2" w:rsidRPr="00754A1D">
        <w:rPr>
          <w:rFonts w:ascii="Times New Roman" w:hAnsi="Times New Roman" w:cs="Times New Roman"/>
          <w:bCs/>
          <w:sz w:val="24"/>
          <w:szCs w:val="24"/>
          <w:lang w:val="en-US"/>
        </w:rPr>
        <w:t>EO</w:t>
      </w:r>
      <w:r w:rsidR="009749ED" w:rsidRPr="00754A1D">
        <w:rPr>
          <w:rFonts w:ascii="Times New Roman" w:hAnsi="Times New Roman" w:cs="Times New Roman"/>
          <w:bCs/>
          <w:sz w:val="24"/>
          <w:szCs w:val="24"/>
          <w:lang w:val="en-US"/>
        </w:rPr>
        <w:t>, including the nervous and muscular systems.</w:t>
      </w:r>
      <w:r w:rsidR="009A3878" w:rsidRPr="00754A1D">
        <w:rPr>
          <w:rFonts w:ascii="Times New Roman" w:hAnsi="Times New Roman" w:cs="Times New Roman"/>
          <w:bCs/>
          <w:sz w:val="24"/>
          <w:szCs w:val="24"/>
          <w:lang w:val="en-US"/>
        </w:rPr>
        <w:t xml:space="preserve"> These results </w:t>
      </w:r>
      <w:r w:rsidR="00AB33F2" w:rsidRPr="00754A1D">
        <w:rPr>
          <w:rFonts w:ascii="Times New Roman" w:hAnsi="Times New Roman" w:cs="Times New Roman"/>
          <w:bCs/>
          <w:sz w:val="24"/>
          <w:szCs w:val="24"/>
          <w:lang w:val="en-US"/>
        </w:rPr>
        <w:t>support the hypothesis</w:t>
      </w:r>
      <w:r w:rsidR="009A3878" w:rsidRPr="00754A1D">
        <w:rPr>
          <w:rFonts w:ascii="Times New Roman" w:hAnsi="Times New Roman" w:cs="Times New Roman"/>
          <w:bCs/>
          <w:sz w:val="24"/>
          <w:szCs w:val="24"/>
          <w:lang w:val="en-US"/>
        </w:rPr>
        <w:t xml:space="preserve"> that insects increase the abundance of the mitochondrial complex to improve energy efficiency and that </w:t>
      </w:r>
      <w:r w:rsidR="00B816CC" w:rsidRPr="00754A1D">
        <w:rPr>
          <w:rFonts w:ascii="Times New Roman" w:hAnsi="Times New Roman" w:cs="Times New Roman"/>
          <w:bCs/>
          <w:sz w:val="24"/>
          <w:szCs w:val="24"/>
          <w:lang w:val="en-US"/>
        </w:rPr>
        <w:t>mitochondria</w:t>
      </w:r>
      <w:r w:rsidR="009A3878" w:rsidRPr="00754A1D">
        <w:rPr>
          <w:rFonts w:ascii="Times New Roman" w:hAnsi="Times New Roman" w:cs="Times New Roman"/>
          <w:bCs/>
          <w:sz w:val="24"/>
          <w:szCs w:val="24"/>
          <w:lang w:val="en-US"/>
        </w:rPr>
        <w:t xml:space="preserve"> </w:t>
      </w:r>
      <w:r w:rsidR="00A108AA" w:rsidRPr="00754A1D">
        <w:rPr>
          <w:rFonts w:ascii="Times New Roman" w:hAnsi="Times New Roman" w:cs="Times New Roman"/>
          <w:bCs/>
          <w:sz w:val="24"/>
          <w:szCs w:val="24"/>
          <w:lang w:val="en-US"/>
        </w:rPr>
        <w:t>are involved</w:t>
      </w:r>
      <w:r w:rsidR="009A3878" w:rsidRPr="00754A1D">
        <w:rPr>
          <w:rFonts w:ascii="Times New Roman" w:hAnsi="Times New Roman" w:cs="Times New Roman"/>
          <w:bCs/>
          <w:sz w:val="24"/>
          <w:szCs w:val="24"/>
          <w:lang w:val="en-US"/>
        </w:rPr>
        <w:t xml:space="preserve"> </w:t>
      </w:r>
      <w:r w:rsidR="00A108AA" w:rsidRPr="00754A1D">
        <w:rPr>
          <w:rFonts w:ascii="Times New Roman" w:hAnsi="Times New Roman" w:cs="Times New Roman"/>
          <w:bCs/>
          <w:sz w:val="24"/>
          <w:szCs w:val="24"/>
          <w:lang w:val="en-US"/>
        </w:rPr>
        <w:t>in regulating the reprogramming of intracellular metabolism in EO-exposed insects</w:t>
      </w:r>
      <w:r w:rsidR="009A3878" w:rsidRPr="00754A1D">
        <w:rPr>
          <w:rFonts w:ascii="Times New Roman" w:hAnsi="Times New Roman" w:cs="Times New Roman"/>
          <w:bCs/>
          <w:sz w:val="24"/>
          <w:szCs w:val="24"/>
          <w:lang w:val="en-US"/>
        </w:rPr>
        <w:t xml:space="preserve"> </w:t>
      </w:r>
      <w:r w:rsidR="009A3878"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{"citationID":"tWUX7nsW","properties":{"formattedCitation":"(Liao et al. 2016)","plainCitation":"(Liao et al. 2016)","noteIndex":0},"citationItems":[{"id":715,"uris":["http://zotero.org/users/local/QcSA6amT/items/QFEXWE78"],"uri":["http://zotero.org/users/local/QcSA6amT/items/QFEXWE78"],"itemData":{"id":715,"type":"article-journal","abstract":"Background The cereal weevil, Sitophilus zeamais is one of the most destructive pests of stored cereals worldwide. Frequent use of fumigants for managing stored-product insects has led to the development of resistance in insects. Essential oils from aromatic plants including the tea oil plant, Melaleuca alternifolia may provide environmentally friendly alternatives to currently used pest control agents. However, little is known about molecular events involved in stored-product insects in response to plant essential oil fumigation. Results M. alternifolia essential oil was shown to possess the fumigant toxicity against S. zeamais. The constituent, terpinen-4-ol was the most effective compound for fumigant toxicity. M. alternifolia essential oil significantly inhibited the activity of three enzymes in S. zeamais, including two detoxifying enzymes, glutathione S-transferase (GST), and carboxylesterase (CarE), as well as a nerve conduction enzyme, acetylcholinesterase (AChE). Comparative transcriptome analysis of S. zeamais through RNA-Seq identified a total of 3,562 differentially expressed genes (DEGs), of which 2,836 and 726 were up-regulated and down-regulated in response to M. alternifolia essential oil fumigation, respectively. Based on gene ontology (GO) analysis, the majority of DEGs were involved in insecticide detoxification and mitochondrial function. Furthermore, an abundance of DEGs mapped into the metabolism pathway in the Kyoto Encyclopedia of Genes and Genomes (KEGG) pathway database were associated with respiration and metabolism of xenobiotics, including cytochrome P450s, CarEs, GSTs, and ATP-binding cassette transporters (ABC transporters). Some DEGs mapped into the proteasome and phagosome pathway were found to be significantly enriched. These results led us to propose a model of insecticide action that M. alternifolia essential oil likely directly affects the hydrogen carrier to block the electron flow and interfere energy synthesis in mitochondrial respiratory chain. Conclusion This is the first study to perform a comparative transcriptome analysis of S. zeamais in response to M. alternifolia essential oil fumigation. Our results provide new insights into the insecticidal mechanism of M. alternifolia essential oil fumigation against S. zeamais and eventually contribute to the management of this important agricultural pest.","container-title":"PLOS ONE","DOI":"10.1371/journal.pone.0167748","ISSN":"1932-6203","issue":"12","journalAbbreviation":"PLOS ONE","language":"en","page":"e0167748","source":"PLoS Journals","title":"Insecticidal Activity of Melaleuca alternifolia Essential Oil and RNA-Seq Analysis of Sitophilus zeamais Transcriptome in Response to Oil Fumigation","volume":"11","author":[{"family":"Liao","given":"Min"},{"family":"Xiao","given":"Jin-Jing"},{"family":"Zhou","given":"Li-Jun"},{"family":"Liu","given":"Yang"},{"family":"Wu","given":"Xiang-Wei"},{"family":"Hua","given":"Ri-Mao"},{"family":"Wang","given":"Gui-Rong"},{"family":"Cao","given":"Hai-Qun"}],"issued":{"date-parts":[["2016",12,9]]}}}],"schema":"https://github.com/citation-style-language/schema/raw/master/csl-citation.json"} </w:instrText>
      </w:r>
      <w:r w:rsidR="009A3878" w:rsidRPr="00754A1D">
        <w:rPr>
          <w:rFonts w:ascii="Times New Roman" w:hAnsi="Times New Roman" w:cs="Times New Roman"/>
          <w:bCs/>
          <w:sz w:val="24"/>
          <w:szCs w:val="24"/>
          <w:lang w:val="en-US"/>
        </w:rPr>
        <w:fldChar w:fldCharType="separate"/>
      </w:r>
      <w:r w:rsidR="009A3878" w:rsidRPr="00754A1D">
        <w:rPr>
          <w:rFonts w:ascii="Times New Roman" w:hAnsi="Times New Roman" w:cs="Times New Roman"/>
          <w:sz w:val="24"/>
          <w:lang w:val="en-US"/>
        </w:rPr>
        <w:t>(Liao et al. 2016)</w:t>
      </w:r>
      <w:r w:rsidR="009A3878" w:rsidRPr="00754A1D">
        <w:rPr>
          <w:rFonts w:ascii="Times New Roman" w:hAnsi="Times New Roman" w:cs="Times New Roman"/>
          <w:bCs/>
          <w:sz w:val="24"/>
          <w:szCs w:val="24"/>
          <w:lang w:val="en-US"/>
        </w:rPr>
        <w:fldChar w:fldCharType="end"/>
      </w:r>
      <w:r w:rsidR="009A3878" w:rsidRPr="00754A1D">
        <w:rPr>
          <w:rFonts w:ascii="Times New Roman" w:hAnsi="Times New Roman" w:cs="Times New Roman"/>
          <w:bCs/>
          <w:sz w:val="24"/>
          <w:szCs w:val="24"/>
          <w:lang w:val="en-US"/>
        </w:rPr>
        <w:t>.</w:t>
      </w:r>
    </w:p>
    <w:p w14:paraId="291BA9C7" w14:textId="4E3434B5" w:rsidR="00A704A8" w:rsidRPr="00754A1D" w:rsidRDefault="00A704A8" w:rsidP="00A704A8">
      <w:pPr>
        <w:spacing w:line="480" w:lineRule="auto"/>
        <w:jc w:val="both"/>
        <w:rPr>
          <w:rFonts w:ascii="Times New Roman" w:hAnsi="Times New Roman" w:cs="Times New Roman"/>
          <w:b/>
          <w:bCs/>
          <w:sz w:val="24"/>
          <w:szCs w:val="24"/>
          <w:lang w:val="en-US"/>
        </w:rPr>
      </w:pPr>
      <w:r w:rsidRPr="00754A1D">
        <w:rPr>
          <w:rFonts w:ascii="Times New Roman" w:hAnsi="Times New Roman" w:cs="Times New Roman"/>
          <w:b/>
          <w:bCs/>
          <w:sz w:val="24"/>
          <w:szCs w:val="24"/>
          <w:lang w:val="en-US"/>
        </w:rPr>
        <w:t>(Sensory) nervous system</w:t>
      </w:r>
    </w:p>
    <w:p w14:paraId="7391A6BC" w14:textId="26DA8B38" w:rsidR="006E709C" w:rsidRPr="00754A1D" w:rsidRDefault="00B816CC" w:rsidP="000C6CA0">
      <w:pPr>
        <w:spacing w:after="0"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Exposure to</w:t>
      </w:r>
      <w:r w:rsidR="00717A90" w:rsidRPr="00754A1D">
        <w:rPr>
          <w:rFonts w:ascii="Times New Roman" w:hAnsi="Times New Roman" w:cs="Times New Roman"/>
          <w:bCs/>
          <w:sz w:val="24"/>
          <w:szCs w:val="24"/>
          <w:lang w:val="en-US"/>
        </w:rPr>
        <w:t xml:space="preserve"> </w:t>
      </w:r>
      <w:r w:rsidR="00717A90" w:rsidRPr="00754A1D">
        <w:rPr>
          <w:rFonts w:ascii="Times New Roman" w:hAnsi="Times New Roman" w:cs="Times New Roman"/>
          <w:bCs/>
          <w:i/>
          <w:sz w:val="24"/>
          <w:szCs w:val="24"/>
          <w:lang w:val="en-US"/>
        </w:rPr>
        <w:t>M. arvensis</w:t>
      </w:r>
      <w:r w:rsidR="00717A90" w:rsidRPr="00754A1D">
        <w:rPr>
          <w:rFonts w:ascii="Times New Roman" w:hAnsi="Times New Roman" w:cs="Times New Roman"/>
          <w:bCs/>
          <w:sz w:val="24"/>
          <w:szCs w:val="24"/>
          <w:lang w:val="en-US"/>
        </w:rPr>
        <w:t xml:space="preserve"> EO </w:t>
      </w:r>
      <w:r w:rsidRPr="00754A1D">
        <w:rPr>
          <w:rFonts w:ascii="Times New Roman" w:hAnsi="Times New Roman" w:cs="Times New Roman"/>
          <w:bCs/>
          <w:sz w:val="24"/>
          <w:szCs w:val="24"/>
          <w:lang w:val="en-US"/>
        </w:rPr>
        <w:t>causes</w:t>
      </w:r>
      <w:r w:rsidR="00717A90" w:rsidRPr="00754A1D">
        <w:rPr>
          <w:rFonts w:ascii="Times New Roman" w:hAnsi="Times New Roman" w:cs="Times New Roman"/>
          <w:bCs/>
          <w:sz w:val="24"/>
          <w:szCs w:val="24"/>
          <w:lang w:val="en-US"/>
        </w:rPr>
        <w:t xml:space="preserve"> a significant alteration </w:t>
      </w:r>
      <w:r w:rsidR="00A108AA" w:rsidRPr="00754A1D">
        <w:rPr>
          <w:rFonts w:ascii="Times New Roman" w:hAnsi="Times New Roman" w:cs="Times New Roman"/>
          <w:bCs/>
          <w:sz w:val="24"/>
          <w:szCs w:val="24"/>
          <w:lang w:val="en-US"/>
        </w:rPr>
        <w:t xml:space="preserve">in the behavior of </w:t>
      </w:r>
      <w:r w:rsidR="00717A90" w:rsidRPr="00754A1D">
        <w:rPr>
          <w:rFonts w:ascii="Times New Roman" w:hAnsi="Times New Roman" w:cs="Times New Roman"/>
          <w:bCs/>
          <w:i/>
          <w:sz w:val="24"/>
          <w:szCs w:val="24"/>
          <w:lang w:val="en-US"/>
        </w:rPr>
        <w:t xml:space="preserve">S. </w:t>
      </w:r>
      <w:proofErr w:type="spellStart"/>
      <w:r w:rsidR="00717A90" w:rsidRPr="00754A1D">
        <w:rPr>
          <w:rFonts w:ascii="Times New Roman" w:hAnsi="Times New Roman" w:cs="Times New Roman"/>
          <w:bCs/>
          <w:i/>
          <w:sz w:val="24"/>
          <w:szCs w:val="24"/>
          <w:lang w:val="en-US"/>
        </w:rPr>
        <w:t>granarius</w:t>
      </w:r>
      <w:proofErr w:type="spellEnd"/>
      <w:r w:rsidRPr="00754A1D">
        <w:rPr>
          <w:rFonts w:ascii="Times New Roman" w:hAnsi="Times New Roman" w:cs="Times New Roman"/>
          <w:bCs/>
          <w:sz w:val="24"/>
          <w:szCs w:val="24"/>
          <w:lang w:val="en-US"/>
        </w:rPr>
        <w:t>:</w:t>
      </w:r>
      <w:r w:rsidR="00717A90" w:rsidRPr="00754A1D">
        <w:rPr>
          <w:rFonts w:ascii="Times New Roman" w:hAnsi="Times New Roman" w:cs="Times New Roman"/>
          <w:bCs/>
          <w:sz w:val="24"/>
          <w:szCs w:val="24"/>
          <w:lang w:val="en-US"/>
        </w:rPr>
        <w:t xml:space="preserve"> </w:t>
      </w:r>
      <w:r w:rsidRPr="00754A1D">
        <w:rPr>
          <w:rFonts w:ascii="Times New Roman" w:hAnsi="Times New Roman" w:cs="Times New Roman"/>
          <w:bCs/>
          <w:sz w:val="24"/>
          <w:szCs w:val="24"/>
          <w:lang w:val="en-US"/>
        </w:rPr>
        <w:t>the application of the LD</w:t>
      </w:r>
      <w:r w:rsidRPr="00754A1D">
        <w:rPr>
          <w:rFonts w:ascii="Times New Roman" w:hAnsi="Times New Roman" w:cs="Times New Roman"/>
          <w:bCs/>
          <w:sz w:val="24"/>
          <w:szCs w:val="24"/>
          <w:vertAlign w:val="subscript"/>
          <w:lang w:val="en-US"/>
        </w:rPr>
        <w:t>50</w:t>
      </w:r>
      <w:r w:rsidRPr="00754A1D">
        <w:rPr>
          <w:rFonts w:ascii="Times New Roman" w:hAnsi="Times New Roman" w:cs="Times New Roman"/>
          <w:bCs/>
          <w:sz w:val="24"/>
          <w:szCs w:val="24"/>
          <w:lang w:val="en-US"/>
        </w:rPr>
        <w:t xml:space="preserve"> leads to a rapid paralysis of the insects, </w:t>
      </w:r>
      <w:r w:rsidR="00A108AA" w:rsidRPr="00754A1D">
        <w:rPr>
          <w:rFonts w:ascii="Times New Roman" w:hAnsi="Times New Roman" w:cs="Times New Roman"/>
          <w:bCs/>
          <w:sz w:val="24"/>
          <w:szCs w:val="24"/>
          <w:lang w:val="en-US"/>
        </w:rPr>
        <w:t>which, if they survive, suffer from locomotion disorders</w:t>
      </w:r>
      <w:r w:rsidR="00717A90" w:rsidRPr="00754A1D">
        <w:rPr>
          <w:rFonts w:ascii="Times New Roman" w:hAnsi="Times New Roman" w:cs="Times New Roman"/>
          <w:bCs/>
          <w:sz w:val="24"/>
          <w:szCs w:val="24"/>
          <w:lang w:val="en-US"/>
        </w:rPr>
        <w:t xml:space="preserve">. </w:t>
      </w:r>
      <w:r w:rsidR="008C21F5" w:rsidRPr="00754A1D">
        <w:rPr>
          <w:rFonts w:ascii="Times New Roman" w:hAnsi="Times New Roman" w:cs="Times New Roman"/>
          <w:bCs/>
          <w:sz w:val="24"/>
          <w:szCs w:val="24"/>
          <w:lang w:val="en-US"/>
        </w:rPr>
        <w:t>Individuals</w:t>
      </w:r>
      <w:r w:rsidRPr="00754A1D">
        <w:rPr>
          <w:rFonts w:ascii="Times New Roman" w:hAnsi="Times New Roman" w:cs="Times New Roman"/>
          <w:bCs/>
          <w:sz w:val="24"/>
          <w:szCs w:val="24"/>
          <w:lang w:val="en-US"/>
        </w:rPr>
        <w:t xml:space="preserve"> </w:t>
      </w:r>
      <w:r w:rsidR="008C21F5" w:rsidRPr="00754A1D">
        <w:rPr>
          <w:rFonts w:ascii="Times New Roman" w:hAnsi="Times New Roman" w:cs="Times New Roman"/>
          <w:bCs/>
          <w:sz w:val="24"/>
          <w:szCs w:val="24"/>
          <w:lang w:val="en-US"/>
        </w:rPr>
        <w:t>which</w:t>
      </w:r>
      <w:r w:rsidRPr="00754A1D">
        <w:rPr>
          <w:rFonts w:ascii="Times New Roman" w:hAnsi="Times New Roman" w:cs="Times New Roman"/>
          <w:bCs/>
          <w:sz w:val="24"/>
          <w:szCs w:val="24"/>
          <w:lang w:val="en-US"/>
        </w:rPr>
        <w:t xml:space="preserve"> survived treatment</w:t>
      </w:r>
      <w:r w:rsidR="00717A90" w:rsidRPr="00754A1D">
        <w:rPr>
          <w:rFonts w:ascii="Times New Roman" w:hAnsi="Times New Roman" w:cs="Times New Roman"/>
          <w:bCs/>
          <w:sz w:val="24"/>
          <w:szCs w:val="24"/>
          <w:lang w:val="en-US"/>
        </w:rPr>
        <w:t xml:space="preserve"> </w:t>
      </w:r>
      <w:r w:rsidRPr="00754A1D">
        <w:rPr>
          <w:rFonts w:ascii="Times New Roman" w:hAnsi="Times New Roman" w:cs="Times New Roman"/>
          <w:bCs/>
          <w:sz w:val="24"/>
          <w:szCs w:val="24"/>
          <w:lang w:val="en-US"/>
        </w:rPr>
        <w:t xml:space="preserve">tend to exhibit </w:t>
      </w:r>
      <w:r w:rsidR="00717A90" w:rsidRPr="00754A1D">
        <w:rPr>
          <w:rFonts w:ascii="Times New Roman" w:hAnsi="Times New Roman" w:cs="Times New Roman"/>
          <w:bCs/>
          <w:sz w:val="24"/>
          <w:szCs w:val="24"/>
          <w:lang w:val="en-US"/>
        </w:rPr>
        <w:t>reduced locomotor activity</w:t>
      </w:r>
      <w:r w:rsidRPr="00754A1D">
        <w:rPr>
          <w:rFonts w:ascii="Times New Roman" w:hAnsi="Times New Roman" w:cs="Times New Roman"/>
          <w:bCs/>
          <w:sz w:val="24"/>
          <w:szCs w:val="24"/>
          <w:lang w:val="en-US"/>
        </w:rPr>
        <w:t>, roaming shorter distance in the arena compared to control</w:t>
      </w:r>
      <w:r w:rsidR="008C21F5" w:rsidRPr="00754A1D">
        <w:rPr>
          <w:rFonts w:ascii="Times New Roman" w:hAnsi="Times New Roman" w:cs="Times New Roman"/>
          <w:bCs/>
          <w:sz w:val="24"/>
          <w:szCs w:val="24"/>
          <w:lang w:val="en-US"/>
        </w:rPr>
        <w:t xml:space="preserve"> insects</w:t>
      </w:r>
      <w:r w:rsidRPr="00754A1D">
        <w:rPr>
          <w:rFonts w:ascii="Times New Roman" w:hAnsi="Times New Roman" w:cs="Times New Roman"/>
          <w:bCs/>
          <w:sz w:val="24"/>
          <w:szCs w:val="24"/>
          <w:lang w:val="en-US"/>
        </w:rPr>
        <w:t>.</w:t>
      </w:r>
      <w:r w:rsidR="005E5F30" w:rsidRPr="00754A1D">
        <w:rPr>
          <w:rFonts w:ascii="Times New Roman" w:hAnsi="Times New Roman" w:cs="Times New Roman"/>
          <w:bCs/>
          <w:sz w:val="24"/>
          <w:szCs w:val="24"/>
          <w:lang w:val="en-US"/>
        </w:rPr>
        <w:t xml:space="preserve"> </w:t>
      </w:r>
      <w:r w:rsidR="007D233E" w:rsidRPr="00754A1D">
        <w:rPr>
          <w:rFonts w:ascii="Times New Roman" w:hAnsi="Times New Roman" w:cs="Times New Roman"/>
          <w:bCs/>
          <w:sz w:val="24"/>
          <w:szCs w:val="24"/>
          <w:lang w:val="en-US"/>
        </w:rPr>
        <w:t xml:space="preserve">However, our results suggest that the surviving insects are gradually recovering from the treatment. Indeed, after 4 hours of paralysis, the insects tend to be more and more mobile, which seems to be correlated with the evolution of the amount of </w:t>
      </w:r>
      <w:r w:rsidR="007D233E" w:rsidRPr="00754A1D">
        <w:rPr>
          <w:rFonts w:ascii="Times New Roman" w:hAnsi="Times New Roman" w:cs="Times New Roman"/>
          <w:bCs/>
          <w:i/>
          <w:sz w:val="24"/>
          <w:szCs w:val="24"/>
          <w:lang w:val="en-US"/>
        </w:rPr>
        <w:t>M. arvensis</w:t>
      </w:r>
      <w:r w:rsidR="007D233E" w:rsidRPr="00754A1D">
        <w:rPr>
          <w:rFonts w:ascii="Times New Roman" w:hAnsi="Times New Roman" w:cs="Times New Roman"/>
          <w:bCs/>
          <w:sz w:val="24"/>
          <w:szCs w:val="24"/>
          <w:lang w:val="en-US"/>
        </w:rPr>
        <w:t xml:space="preserve"> EO found in the insects that must have evaporated and/or been partially metabolized within 24 hours after exposure. It is well known that </w:t>
      </w:r>
      <w:r w:rsidR="008C21F5" w:rsidRPr="00754A1D">
        <w:rPr>
          <w:rFonts w:ascii="Times New Roman" w:hAnsi="Times New Roman" w:cs="Times New Roman"/>
          <w:bCs/>
          <w:sz w:val="24"/>
          <w:szCs w:val="24"/>
          <w:lang w:val="en-US"/>
        </w:rPr>
        <w:t xml:space="preserve">EOs or some of their </w:t>
      </w:r>
      <w:r w:rsidR="007D233E" w:rsidRPr="00754A1D">
        <w:rPr>
          <w:rFonts w:ascii="Times New Roman" w:hAnsi="Times New Roman" w:cs="Times New Roman"/>
          <w:bCs/>
          <w:sz w:val="24"/>
          <w:szCs w:val="24"/>
          <w:lang w:val="en-US"/>
        </w:rPr>
        <w:t>components</w:t>
      </w:r>
      <w:r w:rsidR="008C21F5" w:rsidRPr="00754A1D">
        <w:rPr>
          <w:rFonts w:ascii="Times New Roman" w:hAnsi="Times New Roman" w:cs="Times New Roman"/>
          <w:bCs/>
          <w:sz w:val="24"/>
          <w:szCs w:val="24"/>
          <w:lang w:val="en-US"/>
        </w:rPr>
        <w:t xml:space="preserve"> </w:t>
      </w:r>
      <w:r w:rsidR="007D233E" w:rsidRPr="00754A1D">
        <w:rPr>
          <w:rFonts w:ascii="Times New Roman" w:hAnsi="Times New Roman" w:cs="Times New Roman"/>
          <w:bCs/>
          <w:sz w:val="24"/>
          <w:szCs w:val="24"/>
          <w:lang w:val="en-US"/>
        </w:rPr>
        <w:t>can</w:t>
      </w:r>
      <w:r w:rsidR="008C21F5" w:rsidRPr="00754A1D">
        <w:rPr>
          <w:rFonts w:ascii="Times New Roman" w:hAnsi="Times New Roman" w:cs="Times New Roman"/>
          <w:bCs/>
          <w:sz w:val="24"/>
          <w:szCs w:val="24"/>
          <w:lang w:val="en-US"/>
        </w:rPr>
        <w:t xml:space="preserve"> </w:t>
      </w:r>
      <w:r w:rsidR="007D233E" w:rsidRPr="00754A1D">
        <w:rPr>
          <w:rFonts w:ascii="Times New Roman" w:hAnsi="Times New Roman" w:cs="Times New Roman"/>
          <w:bCs/>
          <w:sz w:val="24"/>
          <w:szCs w:val="24"/>
          <w:lang w:val="en-US"/>
        </w:rPr>
        <w:t>modify</w:t>
      </w:r>
      <w:r w:rsidR="008C21F5" w:rsidRPr="00754A1D">
        <w:rPr>
          <w:rFonts w:ascii="Times New Roman" w:hAnsi="Times New Roman" w:cs="Times New Roman"/>
          <w:bCs/>
          <w:sz w:val="24"/>
          <w:szCs w:val="24"/>
          <w:lang w:val="en-US"/>
        </w:rPr>
        <w:t xml:space="preserve"> the behavior of exposed insects, </w:t>
      </w:r>
      <w:r w:rsidR="007D233E" w:rsidRPr="00754A1D">
        <w:rPr>
          <w:rFonts w:ascii="Times New Roman" w:hAnsi="Times New Roman" w:cs="Times New Roman"/>
          <w:bCs/>
          <w:sz w:val="24"/>
          <w:szCs w:val="24"/>
          <w:lang w:val="en-US"/>
        </w:rPr>
        <w:t>in particular by</w:t>
      </w:r>
      <w:r w:rsidR="008C21F5" w:rsidRPr="00754A1D">
        <w:rPr>
          <w:rFonts w:ascii="Times New Roman" w:hAnsi="Times New Roman" w:cs="Times New Roman"/>
          <w:bCs/>
          <w:sz w:val="24"/>
          <w:szCs w:val="24"/>
          <w:lang w:val="en-US"/>
        </w:rPr>
        <w:t xml:space="preserve"> influencing olfactory orientation and walking behavior</w:t>
      </w:r>
      <w:r w:rsidR="00D52BC7" w:rsidRPr="00754A1D">
        <w:rPr>
          <w:rFonts w:ascii="Times New Roman" w:hAnsi="Times New Roman" w:cs="Times New Roman"/>
          <w:bCs/>
          <w:sz w:val="24"/>
          <w:szCs w:val="24"/>
          <w:lang w:val="en-US"/>
        </w:rPr>
        <w:t xml:space="preserve"> </w:t>
      </w:r>
      <w:r w:rsidR="00D52BC7" w:rsidRPr="00754A1D">
        <w:rPr>
          <w:rFonts w:ascii="Times New Roman" w:hAnsi="Times New Roman" w:cs="Times New Roman"/>
          <w:bCs/>
          <w:sz w:val="24"/>
          <w:szCs w:val="24"/>
          <w:lang w:val="en-US"/>
        </w:rPr>
        <w:fldChar w:fldCharType="begin"/>
      </w:r>
      <w:r w:rsidR="00D52BC7" w:rsidRPr="00754A1D">
        <w:rPr>
          <w:rFonts w:ascii="Times New Roman" w:hAnsi="Times New Roman" w:cs="Times New Roman"/>
          <w:bCs/>
          <w:sz w:val="24"/>
          <w:szCs w:val="24"/>
          <w:lang w:val="en-US"/>
        </w:rPr>
        <w:instrText xml:space="preserve"> ADDIN ZOTERO_ITEM CSL_CITATION {"citationID":"eqNpCUQV","properties":{"formattedCitation":"(Deletre et al. 2016; Oliveira et al. 2018; Br\\uc0\\u252{}gger et al. 2019)","plainCitation":"(Deletre et al. 2016; Oliveira et al. 2018; Brügger et al. 2019)","noteIndex":0},"citationItems":[{"id":2630,"uris":["http://zotero.org/users/local/QcSA6amT/items/EB4DX22C"],"uri":["http://zotero.org/users/local/QcSA6amT/items/EB4DX22C"],"itemData":{"id":2630,"type":"article-journal","abstract":"BACKGROUND: In tropical countries, netting is an eﬀective sustainable tool for protecting horticultural crops against Lepidoptera, although not against small pests such as Bemisia tabaci, while smaller mesh netting can be used in temperate regions. A solution is to combine a net with a repellent. Previously we identiﬁed repellent essential oils: lemongrass (Cymbopogon citratus), cinnamon (Cinnamomum zeylanicum), cumin (Cuminum cyminum) and citronella (Cymbopogon winternarius). The present study was designed to identify the active compounds of these essential oils, characterise their biological activity and examine their potential for coating nets. We investigated the eﬃciency and toxicity of nets dipped in diﬀerent solutions. We then studied the repellent eﬀect with an olfactometer and the irritant eﬀect by videotracking.\nRESULTS: Geraniol and citronellol were the most promising net coatings owing to their repellent eﬀect. The repellency, irritancy or toxicity varied with the product and concentration, and these features were independent, indicating that the repellent and the irritant/toxic mechanisms were not the same. The combined eﬀects of these diﬀerent compounds account for the bioactivity of the mixture, suggesting interactions between the compounds.\nCONCLUSION: This new sustainable strategy for protecting vegetable crops against whiteﬂies is discussed, in addition to the use of companion plants that could produce such bioactive compounds. © 2015 Society of Chemical Industry","container-title":"Pest Management Science","DOI":"10.1002/ps.3987","ISSN":"1526498X","issue":"1","journalAbbreviation":"Pest. Manag. Sci.","language":"en","page":"179-189","source":"DOI.org (Crossref)","title":"Naturally occurring bioactive compounds from four repellent essential oils against &lt;i&gt;Bemisia tabaci&lt;/i&gt; whiteflies: Bioactive natural repellent compounds against whiteflies","title-short":"Naturally occurring bioactive compounds from four repellent essential oils against &lt;i&gt;Bemisia tabaci&lt;/i&gt; whiteflies","volume":"72","author":[{"family":"Deletre","given":"Emilie"},{"family":"Chandre","given":"Fabrice"},{"family":"Barkman","given":"Barbara"},{"family":"Menut","given":"Chantal"},{"family":"Martin","given":"Thibaud"}],"issued":{"date-parts":[["2016",1]]}}},{"id":684,"uris":["http://zotero.org/users/local/QcSA6amT/items/NH6VGKMP"],"uri":["http://zotero.org/users/local/QcSA6amT/items/NH6VGKMP"],"itemData":{"id":684,"type":"article-journal","abstract":"The maize weevil, Sitophilus zeamais (Motschulsky) (Coleoptera: Curculionidae), is the main pest of stored grains across tropical regions. An alternative strategy to the use of synthetic insecticides for the management of S. zeamais is the development of botanical insecticides based in the essential oils (EOs) from aromatic plants. In the present study, we evaluated the lethal and sublethal effects of the EO of Lippia sidoides (Cham.) and its major compounds (thymol and ρ-cymene) on different populations of S. zeamais. For this, we determined toxicity by fumigation of treatments of five populations from different Brazilian regions and assessed the lethal time and walking behavior for the most tolerant and susceptible populations. The lethal concentration required to kill 50% of S. zeamais populations ranged from 35.48 to 118.29 μL L−1 air for EO of L. sidoides, 65.00–91.23 μL L−1 air for thymol and 801.24 to 2188,83 μL L−1 air for ρ-cymene. Population from Jacarezinho was the most tolerant to treatments, while population of Rio Branco was the most susceptible one. The survival of S. zeamais populations was significantly affected by treatments and ρ-cymene showed the faster action on both Jacarezinho and Rio Branco populations (LT50 = 0.3 h). The walking behavior of maize weevil showed that the EO of L. sidoides and thymol present repellent effect, however, ρ-cymene present attractive effect. Therefore, the EO of L. sidoides and its major compound thymol are promising source to develop bioinsecticides for the management of S. zeamais populations with different levels of resistance.","container-title":"Crop Protection","DOI":"10.1016/j.cropro.2018.05.011","ISSN":"0261-2194","journalAbbreviation":"Crop Protection","page":"33-38","source":"ScienceDirect","title":"Essential oil of Lippia sidoides and its major compound thymol: Toxicity and walking response of populations of Sitophilus zeamais (Coleoptera: Curculionidae)","title-short":"Essential oil of Lippia sidoides and its major compound thymol","volume":"112","author":[{"family":"Oliveira","given":"Alexandre P."},{"family":"Santos","given":"Abraão A."},{"family":"Santana","given":"Alisson S."},{"family":"Lima","given":"Ana Paula S."},{"family":"Melo","given":"Carlisson R."},{"family":"Santana","given":"Emile D. R."},{"family":"Sampaio","given":"Taís S."},{"family":"Blank","given":"Arie F."},{"family":"Araújo","given":"Ana Paula A."},{"family":"Cristaldo","given":"Paulo F."},{"family":"Bacci","given":"Leandro"}],"issued":{"date-parts":[["2018",10,1]]}}},{"id":2631,"uris":["http://zotero.org/users/local/QcSA6amT/items/DNRM4WX4"],"uri":["http://zotero.org/users/local/QcSA6amT/items/DNRM4WX4"],"itemData":{"id":2631,"type":"article-journal","abstract":"Podisus nigrispinus Dallas (Heteroptera: Pentatomidae), released in biological control programs, is a predator of Lepidopteran and Coleopteran species. Lemongrass essential oil and its constituents can be toxic to this natural enemy. The major constituents of lemongrass essential oil are neral (31.5%), citral (26.1%), and geranyl acetate (2.27%). Six concentrations of lemongrass essential oil and of its citral and geranyl acetate constituents were applied to the thorax of P. nigrispinus nymphs and adults. The walking and respiratory behavior of the P. nigrispinus third-instar nymphs, treated with citral and geranyl acetate at the LD50 and LD90 doses, were analyzed with video and respirometer. The lemongrass essential oil toxicity increased from first- to fifth-instar P. nigrispinus nymphs. The P. nigrispinus respiration rates (μL de CO2 h−1/insect) with citral and geranyl acetate in the LD50 and LD90 differed. Nymphs exposed to the lemongrass essential oil and its constituents on treated surfaces presented irritability or were repelled. Podisus nigrispinus adults were tolerant to the lemongrass essential oil and its constituents, geranyl acetate and citral. The altered respiratory activity with geranyl acetate and the fact that they were irritated and repelled by citral suggest caution with regard to the use of the lemongrass essential oil and its constituents in integrated pest management incorporating this predator, in order to avoid diminishing its efficiency against the pests.","container-title":"Scientific Reports","DOI":"10.1038/s41598-019-44709-y","ISSN":"2045-2322","issue":"1","language":"en","note":"number: 1\npublisher: Nature Publishing Group","page":"8358","source":"www.nature.com","title":"Bioactivity of the Cymbopogon citratus (Poaceae) essential oil and its terpenoid constituents on the predatory bug, Podisus nigrispinus (Heteroptera: Pentatomidae)","title-short":"Bioactivity of the Cymbopogon citratus (Poaceae) essential oil and its terpenoid constituents on the predatory bug, Podisus nigrispinus (Heteroptera","volume":"9","author":[{"family":"Brügger","given":"Bruno Pandelo"},{"family":"Martínez","given":"Luis Carlos"},{"family":"Plata-Rueda","given":"Angelica"},{"family":"Castro","given":"Barbara Monteiro de Castro","dropping-particle":"e"},{"family":"Soares","given":"Marcus Alvarenga"},{"family":"Wilcken","given":"Carlos Frederico"},{"family":"Carvalho","given":"Amélia Guimarães"},{"family":"Serrão","given":"José Eduardo"},{"family":"Zanuncio","given":"José Cola"}],"issued":{"date-parts":[["2019",6,7]]}}}],"schema":"https://github.com/citation-style-language/schema/raw/master/csl-citation.json"} </w:instrText>
      </w:r>
      <w:r w:rsidR="00D52BC7" w:rsidRPr="00754A1D">
        <w:rPr>
          <w:rFonts w:ascii="Times New Roman" w:hAnsi="Times New Roman" w:cs="Times New Roman"/>
          <w:bCs/>
          <w:sz w:val="24"/>
          <w:szCs w:val="24"/>
          <w:lang w:val="en-US"/>
        </w:rPr>
        <w:fldChar w:fldCharType="separate"/>
      </w:r>
      <w:r w:rsidR="00D52BC7" w:rsidRPr="00754A1D">
        <w:rPr>
          <w:rFonts w:ascii="Times New Roman" w:hAnsi="Times New Roman" w:cs="Times New Roman"/>
          <w:sz w:val="24"/>
          <w:szCs w:val="24"/>
          <w:lang w:val="en-US"/>
        </w:rPr>
        <w:t>(Deletre et al. 2016; Oliveira et al. 2018; Brügger et al. 2019)</w:t>
      </w:r>
      <w:r w:rsidR="00D52BC7" w:rsidRPr="00754A1D">
        <w:rPr>
          <w:rFonts w:ascii="Times New Roman" w:hAnsi="Times New Roman" w:cs="Times New Roman"/>
          <w:bCs/>
          <w:sz w:val="24"/>
          <w:szCs w:val="24"/>
          <w:lang w:val="en-US"/>
        </w:rPr>
        <w:fldChar w:fldCharType="end"/>
      </w:r>
      <w:r w:rsidR="00D52BC7" w:rsidRPr="00754A1D">
        <w:rPr>
          <w:rFonts w:ascii="Times New Roman" w:hAnsi="Times New Roman" w:cs="Times New Roman"/>
          <w:bCs/>
          <w:sz w:val="24"/>
          <w:szCs w:val="24"/>
          <w:lang w:val="en-US"/>
        </w:rPr>
        <w:t xml:space="preserve">. </w:t>
      </w:r>
      <w:r w:rsidR="008C21F5" w:rsidRPr="00754A1D">
        <w:rPr>
          <w:rFonts w:ascii="Times New Roman" w:hAnsi="Times New Roman" w:cs="Times New Roman"/>
          <w:bCs/>
          <w:sz w:val="24"/>
          <w:szCs w:val="24"/>
          <w:lang w:val="en-US"/>
        </w:rPr>
        <w:t xml:space="preserve">Certain </w:t>
      </w:r>
      <w:r w:rsidR="0099256C" w:rsidRPr="00754A1D">
        <w:rPr>
          <w:rFonts w:ascii="Times New Roman" w:hAnsi="Times New Roman" w:cs="Times New Roman"/>
          <w:bCs/>
          <w:sz w:val="24"/>
          <w:szCs w:val="24"/>
          <w:lang w:val="en-US"/>
        </w:rPr>
        <w:t xml:space="preserve">EOs can </w:t>
      </w:r>
      <w:r w:rsidR="00D52BC7" w:rsidRPr="00754A1D">
        <w:rPr>
          <w:rFonts w:ascii="Times New Roman" w:hAnsi="Times New Roman" w:cs="Times New Roman"/>
          <w:bCs/>
          <w:sz w:val="24"/>
          <w:szCs w:val="24"/>
          <w:lang w:val="en-US"/>
        </w:rPr>
        <w:t>cause</w:t>
      </w:r>
      <w:r w:rsidR="0099256C" w:rsidRPr="00754A1D">
        <w:rPr>
          <w:rFonts w:ascii="Times New Roman" w:hAnsi="Times New Roman" w:cs="Times New Roman"/>
          <w:bCs/>
          <w:sz w:val="24"/>
          <w:szCs w:val="24"/>
          <w:lang w:val="en-US"/>
        </w:rPr>
        <w:t xml:space="preserve"> hyperactivity </w:t>
      </w:r>
      <w:r w:rsidR="00D52BC7" w:rsidRPr="00754A1D">
        <w:rPr>
          <w:rFonts w:ascii="Times New Roman" w:hAnsi="Times New Roman" w:cs="Times New Roman"/>
          <w:bCs/>
          <w:sz w:val="24"/>
          <w:szCs w:val="24"/>
          <w:lang w:val="en-US"/>
        </w:rPr>
        <w:t>in</w:t>
      </w:r>
      <w:r w:rsidR="0099256C" w:rsidRPr="00754A1D">
        <w:rPr>
          <w:rFonts w:ascii="Times New Roman" w:hAnsi="Times New Roman" w:cs="Times New Roman"/>
          <w:bCs/>
          <w:sz w:val="24"/>
          <w:szCs w:val="24"/>
          <w:lang w:val="en-US"/>
        </w:rPr>
        <w:t xml:space="preserve"> exposed insects</w:t>
      </w:r>
      <w:r w:rsidR="00D52BC7" w:rsidRPr="00754A1D">
        <w:rPr>
          <w:rFonts w:ascii="Times New Roman" w:hAnsi="Times New Roman" w:cs="Times New Roman"/>
          <w:bCs/>
          <w:sz w:val="24"/>
          <w:szCs w:val="24"/>
          <w:lang w:val="en-US"/>
        </w:rPr>
        <w:t>,</w:t>
      </w:r>
      <w:r w:rsidR="0099256C" w:rsidRPr="00754A1D">
        <w:rPr>
          <w:rFonts w:ascii="Times New Roman" w:hAnsi="Times New Roman" w:cs="Times New Roman"/>
          <w:bCs/>
          <w:sz w:val="24"/>
          <w:szCs w:val="24"/>
          <w:lang w:val="en-US"/>
        </w:rPr>
        <w:t xml:space="preserve"> followed by hyperexcitation leading to rapid knock </w:t>
      </w:r>
      <w:r w:rsidR="00A108AA" w:rsidRPr="00754A1D">
        <w:rPr>
          <w:rFonts w:ascii="Times New Roman" w:hAnsi="Times New Roman" w:cs="Times New Roman"/>
          <w:bCs/>
          <w:sz w:val="24"/>
          <w:szCs w:val="24"/>
          <w:lang w:val="en-US"/>
        </w:rPr>
        <w:t>out</w:t>
      </w:r>
      <w:r w:rsidR="0099256C" w:rsidRPr="00754A1D">
        <w:rPr>
          <w:rFonts w:ascii="Times New Roman" w:hAnsi="Times New Roman" w:cs="Times New Roman"/>
          <w:bCs/>
          <w:sz w:val="24"/>
          <w:szCs w:val="24"/>
          <w:lang w:val="en-US"/>
        </w:rPr>
        <w:t xml:space="preserve"> and immobilization </w:t>
      </w:r>
      <w:r w:rsidR="0099256C" w:rsidRPr="00754A1D">
        <w:rPr>
          <w:rFonts w:ascii="Times New Roman" w:hAnsi="Times New Roman" w:cs="Times New Roman"/>
          <w:bCs/>
          <w:sz w:val="24"/>
          <w:szCs w:val="24"/>
          <w:lang w:val="en-US"/>
        </w:rPr>
        <w:fldChar w:fldCharType="begin"/>
      </w:r>
      <w:r w:rsidR="008C21F5" w:rsidRPr="00754A1D">
        <w:rPr>
          <w:rFonts w:ascii="Times New Roman" w:hAnsi="Times New Roman" w:cs="Times New Roman"/>
          <w:bCs/>
          <w:sz w:val="24"/>
          <w:szCs w:val="24"/>
          <w:lang w:val="en-US"/>
        </w:rPr>
        <w:instrText xml:space="preserve"> ADDIN ZOTERO_ITEM CSL_CITATION {"citationID":"zW9NN8EU","properties":{"formattedCitation":"(Saroukolai et al. 2010; Rattan 2010; Plata-Rueda et al. 2018)","plainCitation":"(Saroukolai et al. 2010; Rattan 2010; Plata-Rueda et al. 2018)","noteIndex":0},"citationItems":[{"id":1972,"uris":["http://zotero.org/users/local/QcSA6amT/items/FCZ8E2XZ"],"uri":["http://zotero.org/users/local/QcSA6amT/items/FCZ8E2XZ"],"itemData":{"id":1972,"type":"article-journal","abstract":"Red flour beetle Tribolium castaneum (Herbst) and rice weevil Sitophilus oryzae (L.) are considered to be the major insect pests in storage. Essential oils from aromatic plants are recognized as proper alternatives to fumigants. Thymus persicus (Ronniger ex Rech. f.) is one of these plants that have medicinal properties and is indigenous to Iran. The essential oil was obtained from aerial parts of the plant and analyzed by GC and GC–MS. Carvacrol (44.69%) and thymol (11.05%) were the major constituents of the oil extracted. In this experiment, fumigant toxicity of the essential oil was studied against T. castaneum, S. oryzae at 27 ± 1°C and 60 ± 5% RH in dark condition. The adult insects were exposed to the concentrations of 51.9, 111.1, 207.4 and 370.4 μl/l air to estimate median lethal time (LT50) values. The fumigant toxicity was increased in response to increased essential oil concentrations. The LT50 values at the lowest and the highest concentrations tested were ranged from 28.09 to 13.47 h for T. castaneum, and 3.86 to 2.30 h for S. oryzae. It was found that S. oryzae adults were much more susceptible to the oil than T. castaneum. After 24 h of exposure, the LC50 values (95% fiducial limit) for T. castaneum and S. oryzae were estimated to be 236.9 (186.27–292.81) and 3.34 (2.62–4.28) μl/l air, respectively. These results suggest that T. persicus essential oil merits further study as potential fumigant for the management of these stored-product insects.","container-title":"Journal of Pest Science","DOI":"10.1007/s10340-009-0261-1","ISSN":"1612-4766","issue":"1","journalAbbreviation":"J Pest Sci","language":"en","page":"3-8","source":"Springer Link","title":"Insecticidal properties of Thymus persicus essential oil against Tribolium castaneum and Sitophilus oryzae","volume":"83","author":[{"family":"Saroukolai","given":"Akram Taghizadeh"},{"family":"Moharramipour","given":"Saeid"},{"family":"Meshkatalsadat","given":"Mohammad Hadi"}],"issued":{"date-parts":[["2010",2,1]]}}},{"id":1944,"uris":["http://zotero.org/users/local/QcSA6amT/items/SVZ7SICL"],"uri":["http://zotero.org/users/local/QcSA6amT/items/SVZ7SICL"],"itemData":{"id":1944,"type":"article-journal","abstract":"Insect pest management is facing the economic and ecological challenge worldwide due to the human and environmental hazards caused by majority of the synthetic pesticide chemicals. Identification of novel effective insecticidal compounds is essential to combat increasing resistance rates. Botanicals containing active insecticidal phytochemicals appear to be promising to address some of these problems. Therefore, there is a continuous need to explore new active molecules with different mechanisms of action. Secondary metabolites present in plants apparently function as defense (toxic), which inhibits reproduction and other processes. The phytochemical biomolecules could be used for maximizing the effectiveness and specificity in future insecticide design with specific or multiple target sites, while ensuring the economic and ecological sustainability. In this article, the current state of knowledge on phytochemical sources and insecticidal activity, their mechanism of action in insects, resistance, and promising advances made in phytochemical research are reviewed.","container-title":"Crop Protection","DOI":"10.1016/j.cropro.2010.05.008","ISSN":"0261-2194","issue":"9","journalAbbreviation":"Crop Protection","language":"en","page":"913-920","source":"ScienceDirect","title":"Mechanism of action of insecticidal secondary metabolites of plant origin","volume":"29","author":[{"family":"Rattan","given":"Rameshwar Singh"}],"issued":{"date-parts":[["2010",9,1]]}}},{"id":1969,"uris":["http://zotero.org/users/local/QcSA6amT/items/ATV7ZDRS"],"uri":["http://zotero.org/users/local/QcSA6amT/items/ATV7ZDRS"],"itemData":{"id":1969,"type":"article-journal","abstract":"This study evaluated toxic effects, repellency and respiration rate caused by terpenoid constituents of cinnamon and clove essential oils and against Sitophilus granarius L. (Coleoptera: Curculionidae). The lethal concentrations (LC50 and LC90), repellent effect, and behavior repellency response on adults of S. granarius after exposure to six concentrations of each essential oil and terpenoids were evaluated. The chemical composition of the cinnamon oil was also determined and primary compounds were eugenol (10.5%), trans-3-caren-2-ol (10.2%), benzyl benzoate (9.99%), caryophyllene (9.34%), eugenyl acetate (7.71%), α-phellandrene (7.41%), and α-pinene (7.14%). In clove essential oil, the primary compounds were eugenol (27.1%), caryophyllene (24.5%), caryophyllene oxide (18.3%), 2-propenoic acid (12.2%), α-humulene (10.8%), γ-cadinene (5.01%), and humulene oxide (4.84%). Cinnamon and clove essential oil was toxic to S. granarius. In toxic terpenoids compounds, eugenol has stronger contact toxicity in S. granarius than caryophyllene oxide, followed by α-pinene, α-humulene, and α-phellandrene. Insects reduced their respiratory rates after being exposed to essential oil terpenoids and avoided or reduced their mobility on terpenoid-treated surfaces. Cinnamon and clove essential oil, and their terpenoid constituents were toxic and repellent to adult S. granarius and, therefore, have the potential to prevent or retard the development of insecticide resistance.","container-title":"Ecotoxicology and Environmental Safety","DOI":"10.1016/j.ecoenv.2018.03.033","ISSN":"0147-6513","journalAbbreviation":"Ecotoxicology and Environmental Safety","language":"en","page":"263-270","source":"ScienceDirect","title":"Terpenoid constituents of cinnamon and clove essential oils cause toxic effects and behavior repellency response on granary weevil, Sitophilus granarius","volume":"156","author":[{"family":"Plata-Rueda","given":"Angelica"},{"family":"Campos","given":"Juliana Mendonça"},{"family":"Silva Rolim","given":"Gabriela","non-dropping-particle":"da"},{"family":"Martínez","given":"Luis Carlos"},{"family":"Dos Santos","given":"Marcelo Henrique"},{"family":"Fernandes","given":"Flávio Lemes"},{"family":"Serrão","given":"José Eduardo"},{"family":"Zanuncio","given":"José Cola"}],"issued":{"date-parts":[["2018",7,30]]}}}],"schema":"https://github.com/citation-style-language/schema/raw/master/csl-citation.json"} </w:instrText>
      </w:r>
      <w:r w:rsidR="0099256C" w:rsidRPr="00754A1D">
        <w:rPr>
          <w:rFonts w:ascii="Times New Roman" w:hAnsi="Times New Roman" w:cs="Times New Roman"/>
          <w:bCs/>
          <w:sz w:val="24"/>
          <w:szCs w:val="24"/>
          <w:lang w:val="en-US"/>
        </w:rPr>
        <w:fldChar w:fldCharType="separate"/>
      </w:r>
      <w:r w:rsidR="008C21F5" w:rsidRPr="00754A1D">
        <w:rPr>
          <w:rFonts w:ascii="Times New Roman" w:hAnsi="Times New Roman" w:cs="Times New Roman"/>
          <w:sz w:val="24"/>
          <w:lang w:val="en-US"/>
        </w:rPr>
        <w:t>(Saroukolai et al. 2010; Rattan 2010; Plata-Rueda et al. 2018)</w:t>
      </w:r>
      <w:r w:rsidR="0099256C" w:rsidRPr="00754A1D">
        <w:rPr>
          <w:rFonts w:ascii="Times New Roman" w:hAnsi="Times New Roman" w:cs="Times New Roman"/>
          <w:bCs/>
          <w:sz w:val="24"/>
          <w:szCs w:val="24"/>
          <w:lang w:val="en-US"/>
        </w:rPr>
        <w:fldChar w:fldCharType="end"/>
      </w:r>
      <w:r w:rsidR="0099256C" w:rsidRPr="00754A1D">
        <w:rPr>
          <w:rFonts w:ascii="Times New Roman" w:hAnsi="Times New Roman" w:cs="Times New Roman"/>
          <w:bCs/>
          <w:sz w:val="24"/>
          <w:szCs w:val="24"/>
          <w:lang w:val="en-US"/>
        </w:rPr>
        <w:t xml:space="preserve">. </w:t>
      </w:r>
      <w:r w:rsidR="007D233E" w:rsidRPr="00754A1D">
        <w:rPr>
          <w:rFonts w:ascii="Times New Roman" w:hAnsi="Times New Roman" w:cs="Times New Roman"/>
          <w:bCs/>
          <w:sz w:val="24"/>
          <w:szCs w:val="24"/>
          <w:lang w:val="en-US"/>
        </w:rPr>
        <w:t xml:space="preserve">This phase of hyperactivity is not associated with </w:t>
      </w:r>
      <w:r w:rsidR="00D52BC7" w:rsidRPr="00754A1D">
        <w:rPr>
          <w:rFonts w:ascii="Times New Roman" w:hAnsi="Times New Roman" w:cs="Times New Roman"/>
          <w:bCs/>
          <w:i/>
          <w:sz w:val="24"/>
          <w:szCs w:val="24"/>
          <w:lang w:val="en-US"/>
        </w:rPr>
        <w:t>M. arvensis</w:t>
      </w:r>
      <w:r w:rsidR="00D52BC7" w:rsidRPr="00754A1D">
        <w:rPr>
          <w:rFonts w:ascii="Times New Roman" w:hAnsi="Times New Roman" w:cs="Times New Roman"/>
          <w:bCs/>
          <w:sz w:val="24"/>
          <w:szCs w:val="24"/>
          <w:lang w:val="en-US"/>
        </w:rPr>
        <w:t xml:space="preserve"> EO</w:t>
      </w:r>
      <w:r w:rsidR="007D233E" w:rsidRPr="00754A1D">
        <w:rPr>
          <w:rFonts w:ascii="Times New Roman" w:hAnsi="Times New Roman" w:cs="Times New Roman"/>
          <w:bCs/>
          <w:sz w:val="24"/>
          <w:szCs w:val="24"/>
          <w:lang w:val="en-US"/>
        </w:rPr>
        <w:t xml:space="preserve"> on </w:t>
      </w:r>
      <w:r w:rsidR="007D233E" w:rsidRPr="00754A1D">
        <w:rPr>
          <w:rFonts w:ascii="Times New Roman" w:hAnsi="Times New Roman" w:cs="Times New Roman"/>
          <w:bCs/>
          <w:i/>
          <w:sz w:val="24"/>
          <w:szCs w:val="24"/>
          <w:lang w:val="en-US"/>
        </w:rPr>
        <w:t xml:space="preserve">S. </w:t>
      </w:r>
      <w:proofErr w:type="spellStart"/>
      <w:r w:rsidR="007D233E" w:rsidRPr="00754A1D">
        <w:rPr>
          <w:rFonts w:ascii="Times New Roman" w:hAnsi="Times New Roman" w:cs="Times New Roman"/>
          <w:bCs/>
          <w:i/>
          <w:sz w:val="24"/>
          <w:szCs w:val="24"/>
          <w:lang w:val="en-US"/>
        </w:rPr>
        <w:t>granarius</w:t>
      </w:r>
      <w:proofErr w:type="spellEnd"/>
      <w:r w:rsidR="00D52BC7" w:rsidRPr="00754A1D">
        <w:rPr>
          <w:rFonts w:ascii="Times New Roman" w:hAnsi="Times New Roman" w:cs="Times New Roman"/>
          <w:bCs/>
          <w:sz w:val="24"/>
          <w:szCs w:val="24"/>
          <w:lang w:val="en-US"/>
        </w:rPr>
        <w:t xml:space="preserve">. However, the rapid alteration of </w:t>
      </w:r>
      <w:r w:rsidR="00A108AA" w:rsidRPr="00754A1D">
        <w:rPr>
          <w:rFonts w:ascii="Times New Roman" w:hAnsi="Times New Roman" w:cs="Times New Roman"/>
          <w:bCs/>
          <w:sz w:val="24"/>
          <w:szCs w:val="24"/>
          <w:lang w:val="en-US"/>
        </w:rPr>
        <w:t>insect</w:t>
      </w:r>
      <w:r w:rsidR="00D52BC7" w:rsidRPr="00754A1D">
        <w:rPr>
          <w:rFonts w:ascii="Times New Roman" w:hAnsi="Times New Roman" w:cs="Times New Roman"/>
          <w:bCs/>
          <w:sz w:val="24"/>
          <w:szCs w:val="24"/>
          <w:lang w:val="en-US"/>
        </w:rPr>
        <w:t xml:space="preserve"> behavior </w:t>
      </w:r>
      <w:r w:rsidR="00764816" w:rsidRPr="00754A1D">
        <w:rPr>
          <w:rFonts w:ascii="Times New Roman" w:hAnsi="Times New Roman" w:cs="Times New Roman"/>
          <w:bCs/>
          <w:sz w:val="24"/>
          <w:szCs w:val="24"/>
          <w:lang w:val="en-US"/>
        </w:rPr>
        <w:t xml:space="preserve">suggests </w:t>
      </w:r>
      <w:r w:rsidR="00764816" w:rsidRPr="00754A1D">
        <w:rPr>
          <w:rFonts w:ascii="Times New Roman" w:hAnsi="Times New Roman" w:cs="Times New Roman"/>
          <w:bCs/>
          <w:sz w:val="24"/>
          <w:szCs w:val="24"/>
          <w:lang w:val="en-US"/>
        </w:rPr>
        <w:lastRenderedPageBreak/>
        <w:t xml:space="preserve">that </w:t>
      </w:r>
      <w:r w:rsidR="00764816" w:rsidRPr="00754A1D">
        <w:rPr>
          <w:rFonts w:ascii="Times New Roman" w:hAnsi="Times New Roman" w:cs="Times New Roman"/>
          <w:bCs/>
          <w:i/>
          <w:sz w:val="24"/>
          <w:szCs w:val="24"/>
          <w:lang w:val="en-US"/>
        </w:rPr>
        <w:t>M. arvensis</w:t>
      </w:r>
      <w:r w:rsidR="00764816" w:rsidRPr="00754A1D">
        <w:rPr>
          <w:rFonts w:ascii="Times New Roman" w:hAnsi="Times New Roman" w:cs="Times New Roman"/>
          <w:bCs/>
          <w:sz w:val="24"/>
          <w:szCs w:val="24"/>
          <w:lang w:val="en-US"/>
        </w:rPr>
        <w:t xml:space="preserve"> EO </w:t>
      </w:r>
      <w:r w:rsidR="00D52BC7" w:rsidRPr="00754A1D">
        <w:rPr>
          <w:rFonts w:ascii="Times New Roman" w:hAnsi="Times New Roman" w:cs="Times New Roman"/>
          <w:bCs/>
          <w:sz w:val="24"/>
          <w:szCs w:val="24"/>
          <w:lang w:val="en-US"/>
        </w:rPr>
        <w:t>elicits</w:t>
      </w:r>
      <w:r w:rsidR="00764816" w:rsidRPr="00754A1D">
        <w:rPr>
          <w:rFonts w:ascii="Times New Roman" w:hAnsi="Times New Roman" w:cs="Times New Roman"/>
          <w:bCs/>
          <w:sz w:val="24"/>
          <w:szCs w:val="24"/>
          <w:lang w:val="en-US"/>
        </w:rPr>
        <w:t xml:space="preserve"> physiological reactions, </w:t>
      </w:r>
      <w:r w:rsidR="00A108AA" w:rsidRPr="00754A1D">
        <w:rPr>
          <w:rFonts w:ascii="Times New Roman" w:hAnsi="Times New Roman" w:cs="Times New Roman"/>
          <w:bCs/>
          <w:sz w:val="24"/>
          <w:szCs w:val="24"/>
          <w:lang w:val="en-US"/>
        </w:rPr>
        <w:t>probably</w:t>
      </w:r>
      <w:r w:rsidR="00764816" w:rsidRPr="00754A1D">
        <w:rPr>
          <w:rFonts w:ascii="Times New Roman" w:hAnsi="Times New Roman" w:cs="Times New Roman"/>
          <w:bCs/>
          <w:sz w:val="24"/>
          <w:szCs w:val="24"/>
          <w:lang w:val="en-US"/>
        </w:rPr>
        <w:t xml:space="preserve"> through neurotoxic effects </w:t>
      </w:r>
      <w:r w:rsidR="00764816" w:rsidRPr="00754A1D">
        <w:rPr>
          <w:rFonts w:ascii="Times New Roman" w:hAnsi="Times New Roman" w:cs="Times New Roman"/>
          <w:bCs/>
          <w:sz w:val="24"/>
          <w:szCs w:val="24"/>
          <w:lang w:val="en-US"/>
        </w:rPr>
        <w:fldChar w:fldCharType="begin"/>
      </w:r>
      <w:r w:rsidR="008C21F5" w:rsidRPr="00754A1D">
        <w:rPr>
          <w:rFonts w:ascii="Times New Roman" w:hAnsi="Times New Roman" w:cs="Times New Roman"/>
          <w:bCs/>
          <w:sz w:val="24"/>
          <w:szCs w:val="24"/>
          <w:lang w:val="en-US"/>
        </w:rPr>
        <w:instrText xml:space="preserve"> ADDIN ZOTERO_ITEM CSL_CITATION {"citationID":"gIdIzd8Y","properties":{"formattedCitation":"(Bloomquist 2003; Enan 2005)","plainCitation":"(Bloomquist 2003; Enan 2005)","noteIndex":0},"citationItems":[{"id":693,"uris":["http://zotero.org/users/local/QcSA6amT/items/U7L7IYA6"],"uri":["http://zotero.org/users/local/QcSA6amT/items/U7L7IYA6"],"itemData":{"id":693,"type":"article-journal","abstract":"Ligand-gated chloride channels underlie inhibition in excitable membranes and are proven target sites for insecticides. The γ-aminobutyric acid (GABA1) receptor/chloride ionophore complex is the primary site of action for a number of currently used insecticides, such as lindane, endosulfan, and fipronil. These compounds act as antagonists by stabilizing nonconducting conformations of the chloride channel. Blockage of the GABA-gated chloride channel reduces neuronal inhibition, which leads to hyperexcitation of the central nervous system, convulsions, and death. We recently investigated the mode of action of the silphinenes, plant-derived natural compounds that structurally resemble picrotoxinin. These materials antagonize the action of GABA on insect neurons and block GABA-mediated chloride uptake into mouse brain synaptoneurosomes in a noncompetitive manner. In mammals, avermectins have a blocking action on the GABA-gated chloride channel consistent with a coarse tremor, whereas at longer times and higher concentrations, activation of the channel suppresses neuronal activity. Invertebrates display ataxia, paralysis, and death as the predominant signs of poisoning, with a glutamate-gated chloride channel playing a major role. Additional target sites for the avermectins or other chloride channel-directed compounds might include receptors gated by histamine, serotonin, or acetylcholine. The voltage-sensitive chloride channels form another large gene family of chloride channels. Voltage-dependent chloride channels are involved in a number of physiological processes including: maintenance of electrical excitability, chloride ion secretion and resorption, intravesicular acidification, and cell volume regulation. A subset of these channels is affected by convulsants and insecticides in mammals, although the role they play in acute lethality in insects is unclear. Given the wide range of functions that they mediate, these channels are also potential targets for insecticide development. Arch. Insect Biochem. Physiol. 54:145–156, 2003. © 2003 Wiley-Liss, Inc.","container-title":"Archives of Insect Biochemistry and Physiology","DOI":"10.1002/arch.10112","ISSN":"1520-6327","issue":"4","language":"en","page":"145-156","source":"Wiley Online Library","title":"Chloride channels as tools for developing selective insecticides","volume":"54","author":[{"family":"Bloomquist","given":"Jeffrey R."}],"issued":{"date-parts":[["2003"]]}}},{"id":701,"uris":["http://zotero.org/users/local/QcSA6amT/items/N42M8UTD"],"uri":["http://zotero.org/users/local/QcSA6amT/items/N42M8UTD"],"itemData":{"id":701,"type":"article-journal","abstract":"Octopamine receptors from American cockroach, Periplaneta americana (Pa oa1), and fruit fly, Drosophila melanogaster (OAMB), were cloned and permanently expressed in HEK-293 cells, and found to activate adenylate cyclase activity and increase [Ca2+]i levels through G-protein coupled receptor signaling pathways. Sequencing information (GenBank accession number AY333178) and functional data of Pa oa1 were recently published. Saturation binding analysis with 3H-yohimbine was performed with Pa oa(1) and OAMB expressed in COS-7 cells. The K(d) values were determined to be 28.4 and 43.0 nM, respectively. B(max) was determined to be 11.8 and 8.04 pmol receptor/mg protein, respectively. Competitive binding data using cell membranes expressing either OAMB or Pa oa1 demonstrated significantly decreased binding activity in binding assays performed in the presence of plant essential oils, eugenol, cinnamic alcohol, and trans-anethole. Eugenol decreased cAMP level in HEK-293 cells expressing Pa oa1, but trans-anethole increased cAMP in HEK-293 cells expressing OAMB. All three chemicals increased [Ca2+]i level in both cell models. Toxicity data against fruit flies and American cockroaches demonstrated species differences in response to treatment with tested plant essential oils. The toxicity of tested chemicals against wild type and octopamine mutant (iav) fly strains suggested that an octopamine receptor mediates the toxicity of cinnamic alcohol, eugenol, trans-antehole, and 2-phenethyl propionate against fruit flies. Collectively, the data suggest a correlation between cellular changes induced by tested plant essential oils and their toxicity against fruit fly and American cockroach.","container-title":"Archives of Insect Biochemistry and Physiology","DOI":"10.1002/arch.20076","ISSN":"0739-4462","issue":"3","journalAbbreviation":"Arch. Insect Biochem. Physiol.","language":"eng","note":"PMID: 15986384","page":"161-171","source":"PubMed","title":"Molecular and pharmacological analysis of an octopamine receptor from American cockroach and fruit fly in response to plant essential oils","volume":"59","author":[{"family":"Enan","given":"Essam E."}],"issued":{"date-parts":[["2005",7]]}}}],"schema":"https://github.com/citation-style-language/schema/raw/master/csl-citation.json"} </w:instrText>
      </w:r>
      <w:r w:rsidR="00764816" w:rsidRPr="00754A1D">
        <w:rPr>
          <w:rFonts w:ascii="Times New Roman" w:hAnsi="Times New Roman" w:cs="Times New Roman"/>
          <w:bCs/>
          <w:sz w:val="24"/>
          <w:szCs w:val="24"/>
          <w:lang w:val="en-US"/>
        </w:rPr>
        <w:fldChar w:fldCharType="separate"/>
      </w:r>
      <w:r w:rsidR="008C21F5" w:rsidRPr="00754A1D">
        <w:rPr>
          <w:rFonts w:ascii="Times New Roman" w:hAnsi="Times New Roman" w:cs="Times New Roman"/>
          <w:sz w:val="24"/>
          <w:lang w:val="en-US"/>
        </w:rPr>
        <w:t>(Bloomquist 2003; Enan 2005)</w:t>
      </w:r>
      <w:r w:rsidR="00764816" w:rsidRPr="00754A1D">
        <w:rPr>
          <w:rFonts w:ascii="Times New Roman" w:hAnsi="Times New Roman" w:cs="Times New Roman"/>
          <w:bCs/>
          <w:sz w:val="24"/>
          <w:szCs w:val="24"/>
          <w:lang w:val="en-US"/>
        </w:rPr>
        <w:fldChar w:fldCharType="end"/>
      </w:r>
      <w:r w:rsidR="00764816" w:rsidRPr="00754A1D">
        <w:rPr>
          <w:rFonts w:ascii="Times New Roman" w:hAnsi="Times New Roman" w:cs="Times New Roman"/>
          <w:bCs/>
          <w:sz w:val="24"/>
          <w:szCs w:val="24"/>
          <w:lang w:val="en-US"/>
        </w:rPr>
        <w:t>.</w:t>
      </w:r>
      <w:r w:rsidR="0099256C" w:rsidRPr="00754A1D">
        <w:rPr>
          <w:rFonts w:ascii="Times New Roman" w:hAnsi="Times New Roman" w:cs="Times New Roman"/>
          <w:bCs/>
          <w:sz w:val="24"/>
          <w:szCs w:val="24"/>
          <w:lang w:val="en-US"/>
        </w:rPr>
        <w:t xml:space="preserve"> </w:t>
      </w:r>
    </w:p>
    <w:p w14:paraId="501FC8D8" w14:textId="222E42F0" w:rsidR="00185BE5" w:rsidRPr="00754A1D" w:rsidRDefault="0099256C" w:rsidP="00F847E0">
      <w:pPr>
        <w:spacing w:line="480" w:lineRule="auto"/>
        <w:ind w:firstLine="708"/>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The neurotoxic properties of essential oils have been reported </w:t>
      </w:r>
      <w:r w:rsidR="008C21F5" w:rsidRPr="00754A1D">
        <w:rPr>
          <w:rFonts w:ascii="Times New Roman" w:hAnsi="Times New Roman" w:cs="Times New Roman"/>
          <w:bCs/>
          <w:sz w:val="24"/>
          <w:szCs w:val="24"/>
          <w:lang w:val="en-US"/>
        </w:rPr>
        <w:t>previously</w:t>
      </w:r>
      <w:r w:rsidRPr="00754A1D">
        <w:rPr>
          <w:rFonts w:ascii="Times New Roman" w:hAnsi="Times New Roman" w:cs="Times New Roman"/>
          <w:bCs/>
          <w:sz w:val="24"/>
          <w:szCs w:val="24"/>
          <w:lang w:val="en-US"/>
        </w:rPr>
        <w:t xml:space="preserve"> </w:t>
      </w:r>
      <w:r w:rsidRPr="00754A1D">
        <w:rPr>
          <w:rFonts w:ascii="Times New Roman" w:hAnsi="Times New Roman" w:cs="Times New Roman"/>
          <w:bCs/>
          <w:sz w:val="24"/>
          <w:szCs w:val="24"/>
          <w:lang w:val="en-US"/>
        </w:rPr>
        <w:fldChar w:fldCharType="begin"/>
      </w:r>
      <w:r w:rsidRPr="00754A1D">
        <w:rPr>
          <w:rFonts w:ascii="Times New Roman" w:hAnsi="Times New Roman" w:cs="Times New Roman"/>
          <w:bCs/>
          <w:sz w:val="24"/>
          <w:szCs w:val="24"/>
          <w:lang w:val="en-US"/>
        </w:rPr>
        <w:instrText xml:space="preserve"> ADDIN ZOTERO_ITEM CSL_CITATION {"citationID":"qLQFbPBl","properties":{"formattedCitation":"(Coats et al. 1991; L\\uc0\\u243{}pez and Pascual-Villalobos 2010; Rattan 2010; Jankowska et al. 2018)","plainCitation":"(Coats et al. 1991; López and Pascual-Villalobos 2010; Rattan 2010; Jankowska et al. 2018)","noteIndex":0},"citationItems":[{"id":2061,"uris":["http://zotero.org/users/local/QcSA6amT/items/QXISWY67"],"uri":["http://zotero.org/users/local/QcSA6amT/items/QXISWY67"],"itemData":{"id":2061,"type":"chapter","abstract":"The insecticidal activity of several monoterpenoids from essential oils was evaluated against insect pests. Toxicity tests illustrated the bioactivity of d-limonene, α-terpineol, β-myrcene, linalool, and pulegone against insects, including the house fly, the German cockroach, the rice weevil, and the western corn rootworm. Bioassays were conducted to assess their toxicity via topical application, fumigation, ingestion, and ovicidal exposures. Growth, reproduction and repellency were also evaluated in the German cockroach. Non-invasive electrophysiological recordings were used with an earthworm to investigate neurotoxic effects of the monoterpenoids. Relevant monoterpenoid bioassay results in the literature are also discussed.","collection-number":"449","collection-title":"ACS Symposium Series","container-title":"Naturally Occurring Pest Bioregulators","ISBN":"978-0-8412-1897-0","note":"DOI: 10.1021/bk-1991-0449.ch020","number-of-volumes":"0","page":"305-316","publisher":"American Chemical Society","source":"ACS Publications","title":"Toxicity and Neurotoxic Effects of Monoterpenoids","URL":"https://doi.org/10.1021/bk-1991-0449.ch020","volume":"449","author":[{"family":"Coats","given":"Joel R."},{"family":"Karr","given":"Laura L."},{"family":"Drewes","given":"Charles D."}],"accessed":{"date-parts":[["2020",3,16]]},"issued":{"date-parts":[["1991",1,9]]}}},{"id":1950,"uris":["http://zotero.org/users/local/QcSA6amT/items/NVJHNG8K"],"uri":["http://zotero.org/users/local/QcSA6amT/items/NVJHNG8K"],"itemData":{"id":1950,"type":"article-journal","abstract":"Recent studies proved that monoterpenoids could be an alternative to synthetic insecticides against stored-product pests. For that reason, it is necessary to learn the mode of action of these monoterpenoids. Inhibition of acetylcholinesterase (AChE) activity as a possible mode of action by 8 monoterpenoids which cause high mortality of three stored-product insect pests, Sitophilus oryzae L. (Coleoptera: Curculionidae), Rhyzopertha dominica Fabricius (Coleoptera: Bostrichidae) and Cryptolestes pusillus Schönherr (Coleoptera: Cucujidae) and the role of these monoterpenoids as inhibitors were examined. Inhibition of AChE was measured by colorimetric method where a chemical reaction with enzyme acetylcholinesterase, a substrate (acetylthiocoline iodide), the Ellman's reagent and each monoterpenoid as inhibitor was carried out. The majority of monoterpenoids tested inhibited the enzyme acetylcholinesterase; fenchone, S-carvone and linalool produced the highest inhibition. Furthermore, it was observed that fenchone, γ-terpinene, geraniol and linalool showed a reversible competitive inhibition at least at the enzyme's hydrophobic active site. S-carvone, estragole and camphor produced a mixed inhibition for this enzyme binding to either the free enzyme or the enzyme–substrate complex which links to a different site from the active site where the substrate binds. No inhibition of enzyme acetylcholinesterase by E-anethole was observed.","container-title":"Industrial Crops and Products","DOI":"10.1016/j.indcrop.2009.11.005","ISSN":"0926-6690","issue":"2","journalAbbreviation":"Industrial Crops and Products","language":"en","page":"284-288","source":"ScienceDirect","title":"Mode of inhibition of acetylcholinesterase by monoterpenoids and implications for pest control","volume":"31","author":[{"family":"López","given":"M. D."},{"family":"Pascual-Villalobos","given":"M. J."}],"issued":{"date-parts":[["2010",3,1]]}}},{"id":1944,"uris":["http://zotero.org/users/local/QcSA6amT/items/SVZ7SICL"],"uri":["http://zotero.org/users/local/QcSA6amT/items/SVZ7SICL"],"itemData":{"id":1944,"type":"article-journal","abstract":"Insect pest management is facing the economic and ecological challenge worldwide due to the human and environmental hazards caused by majority of the synthetic pesticide chemicals. Identification of novel effective insecticidal compounds is essential to combat increasing resistance rates. Botanicals containing active insecticidal phytochemicals appear to be promising to address some of these problems. Therefore, there is a continuous need to explore new active molecules with different mechanisms of action. Secondary metabolites present in plants apparently function as defense (toxic), which inhibits reproduction and other processes. The phytochemical biomolecules could be used for maximizing the effectiveness and specificity in future insecticide design with specific or multiple target sites, while ensuring the economic and ecological sustainability. In this article, the current state of knowledge on phytochemical sources and insecticidal activity, their mechanism of action in insects, resistance, and promising advances made in phytochemical research are reviewed.","container-title":"Crop Protection","DOI":"10.1016/j.cropro.2010.05.008","ISSN":"0261-2194","issue":"9","journalAbbreviation":"Crop Protection","language":"en","page":"913-920","source":"ScienceDirect","title":"Mechanism of action of insecticidal secondary metabolites of plant origin","volume":"29","author":[{"family":"Rattan","given":"Rameshwar Singh"}],"issued":{"date-parts":[["2010",9,1]]}}},{"id":2063,"uris":["http://zotero.org/users/local/QcSA6amT/items/4DG6SMJ4"],"uri":["http://zotero.org/users/local/QcSA6amT/items/4DG6SMJ4"],"itemData":{"id":2063,"type":"article-journal","abstract":"Essential oils (EOs) are lipophilic secondary metabolites obtained from plants; terpenoids represent the main components of them. A lot of studies showed neurotoxic actions of EOs. In insects, they cause paralysis followed by death. This feature let us consider components of EOs as potential bioinsecticides. The inhibition of acetylcholinesterase (AChE) is the one of the most investigated mecha</w:instrText>
      </w:r>
      <w:r w:rsidRPr="00754A1D">
        <w:rPr>
          <w:rFonts w:ascii="Times New Roman" w:hAnsi="Times New Roman" w:cs="Times New Roman"/>
          <w:bCs/>
          <w:sz w:val="24"/>
          <w:szCs w:val="24"/>
        </w:rPr>
        <w:instrText xml:space="preserve">nisms of action in EOs. However, EOs are rather weak inhibitors of AChE. Another proposed mechanism of EO action is a positive allosteric modulation of GABA receptors (GABArs). There are several papers that prove the potentiation of GABA effect on mammalian receptors induced by EOs. In contrast, there is lack of any data concerning the binding of EO components in insects GABArs. In insects, EOs act also via the octopaminergic system. Available data show that EOs can increase the level of both cAMP and calcium in nervous cells. Moreover, some EO components compete with octopamine in binding to its receptor. Electrophysiological experiments performed on Periplaneta americana have shown similarity in the action of EO components and octopamine. This suggests that EOs can modify neuron activity by octopamine receptors. A multitude of potential targets in the insect nervous system makes EO components interesting candidates for bio-insecticides.","container-title":"Molecules","DOI":"10.3390/molecules23010034","issue":"1","language":"en","page":"34","source":"www.mdpi.com","title":"Molecular Targets for Components of Essential Oils in the Insect Nervous System—A Review","volume":"23","author":[{"family":"Jankowska","given":"Milena"},{"family":"Rogalska","given":"Justyna"},{"family":"Wyszkowska","given":"Joanna"},{"family":"Stankiewicz","given":"Maria"}],"issued":{"date-parts":[["2018",1]]}}}],"schema":"https://github.com/citation-style-language/schema/raw/master/csl-citation.json"} </w:instrText>
      </w:r>
      <w:r w:rsidRPr="00754A1D">
        <w:rPr>
          <w:rFonts w:ascii="Times New Roman" w:hAnsi="Times New Roman" w:cs="Times New Roman"/>
          <w:bCs/>
          <w:sz w:val="24"/>
          <w:szCs w:val="24"/>
          <w:lang w:val="en-US"/>
        </w:rPr>
        <w:fldChar w:fldCharType="separate"/>
      </w:r>
      <w:r w:rsidRPr="00754A1D">
        <w:rPr>
          <w:rFonts w:ascii="Times New Roman" w:hAnsi="Times New Roman" w:cs="Times New Roman"/>
          <w:sz w:val="24"/>
          <w:szCs w:val="24"/>
        </w:rPr>
        <w:t>(Coats et al. 1991; López and Pascual-Villalobos 2010; Rattan 2010; Jankowska et al. 2018)</w:t>
      </w:r>
      <w:r w:rsidRPr="00754A1D">
        <w:rPr>
          <w:rFonts w:ascii="Times New Roman" w:hAnsi="Times New Roman" w:cs="Times New Roman"/>
          <w:bCs/>
          <w:sz w:val="24"/>
          <w:szCs w:val="24"/>
          <w:lang w:val="en-US"/>
        </w:rPr>
        <w:fldChar w:fldCharType="end"/>
      </w:r>
      <w:r w:rsidRPr="00754A1D">
        <w:rPr>
          <w:rFonts w:ascii="Times New Roman" w:hAnsi="Times New Roman" w:cs="Times New Roman"/>
          <w:bCs/>
          <w:sz w:val="24"/>
          <w:szCs w:val="24"/>
        </w:rPr>
        <w:t xml:space="preserve">. </w:t>
      </w:r>
      <w:r w:rsidRPr="00754A1D">
        <w:rPr>
          <w:rFonts w:ascii="Times New Roman" w:hAnsi="Times New Roman" w:cs="Times New Roman"/>
          <w:bCs/>
          <w:sz w:val="24"/>
          <w:szCs w:val="24"/>
          <w:lang w:val="en-US"/>
        </w:rPr>
        <w:t xml:space="preserve">In particular, </w:t>
      </w:r>
      <w:r w:rsidR="00D925A2" w:rsidRPr="00754A1D">
        <w:rPr>
          <w:rFonts w:ascii="Times New Roman" w:hAnsi="Times New Roman" w:cs="Times New Roman"/>
          <w:bCs/>
          <w:sz w:val="24"/>
          <w:szCs w:val="24"/>
          <w:lang w:val="en-US"/>
        </w:rPr>
        <w:t xml:space="preserve">EOs </w:t>
      </w:r>
      <w:r w:rsidR="00846CB4" w:rsidRPr="00754A1D">
        <w:rPr>
          <w:rFonts w:ascii="Times New Roman" w:hAnsi="Times New Roman" w:cs="Times New Roman"/>
          <w:bCs/>
          <w:sz w:val="24"/>
          <w:szCs w:val="24"/>
          <w:lang w:val="en-US"/>
        </w:rPr>
        <w:t>can inhibit the acetylcholinesterase (</w:t>
      </w:r>
      <w:proofErr w:type="spellStart"/>
      <w:r w:rsidR="00846CB4" w:rsidRPr="00754A1D">
        <w:rPr>
          <w:rFonts w:ascii="Times New Roman" w:hAnsi="Times New Roman" w:cs="Times New Roman"/>
          <w:bCs/>
          <w:sz w:val="24"/>
          <w:szCs w:val="24"/>
          <w:lang w:val="en-US"/>
        </w:rPr>
        <w:t>AChE</w:t>
      </w:r>
      <w:proofErr w:type="spellEnd"/>
      <w:r w:rsidR="00846CB4" w:rsidRPr="00754A1D">
        <w:rPr>
          <w:rFonts w:ascii="Times New Roman" w:hAnsi="Times New Roman" w:cs="Times New Roman"/>
          <w:bCs/>
          <w:sz w:val="24"/>
          <w:szCs w:val="24"/>
          <w:lang w:val="en-US"/>
        </w:rPr>
        <w:t>)</w:t>
      </w:r>
      <w:r w:rsidR="009A13D7" w:rsidRPr="00754A1D">
        <w:rPr>
          <w:rFonts w:ascii="Times New Roman" w:hAnsi="Times New Roman" w:cs="Times New Roman"/>
          <w:bCs/>
          <w:sz w:val="24"/>
          <w:szCs w:val="24"/>
          <w:lang w:val="en-US"/>
        </w:rPr>
        <w:t xml:space="preserve"> activity</w:t>
      </w:r>
      <w:r w:rsidR="008C21F5" w:rsidRPr="00754A1D">
        <w:rPr>
          <w:rFonts w:ascii="Times New Roman" w:hAnsi="Times New Roman" w:cs="Times New Roman"/>
          <w:bCs/>
          <w:sz w:val="24"/>
          <w:szCs w:val="24"/>
          <w:lang w:val="en-US"/>
        </w:rPr>
        <w:t xml:space="preserve">, </w:t>
      </w:r>
      <w:r w:rsidR="00846CB4" w:rsidRPr="00754A1D">
        <w:rPr>
          <w:rFonts w:ascii="Times New Roman" w:hAnsi="Times New Roman" w:cs="Times New Roman"/>
          <w:bCs/>
          <w:sz w:val="24"/>
          <w:szCs w:val="24"/>
          <w:lang w:val="en-US"/>
        </w:rPr>
        <w:t xml:space="preserve">interfere with the </w:t>
      </w:r>
      <w:proofErr w:type="spellStart"/>
      <w:r w:rsidR="00846CB4" w:rsidRPr="00754A1D">
        <w:rPr>
          <w:rFonts w:ascii="Times New Roman" w:hAnsi="Times New Roman" w:cs="Times New Roman"/>
          <w:bCs/>
          <w:sz w:val="24"/>
          <w:szCs w:val="24"/>
          <w:lang w:val="en-US"/>
        </w:rPr>
        <w:t>octopamenergic</w:t>
      </w:r>
      <w:proofErr w:type="spellEnd"/>
      <w:r w:rsidR="00846CB4" w:rsidRPr="00754A1D">
        <w:rPr>
          <w:rFonts w:ascii="Times New Roman" w:hAnsi="Times New Roman" w:cs="Times New Roman"/>
          <w:bCs/>
          <w:sz w:val="24"/>
          <w:szCs w:val="24"/>
          <w:lang w:val="en-US"/>
        </w:rPr>
        <w:t xml:space="preserve"> system by competing with octopamine in binding to its receptors and modulate GABA receptors </w:t>
      </w:r>
      <w:r w:rsidR="00846CB4" w:rsidRPr="00754A1D">
        <w:rPr>
          <w:rFonts w:ascii="Times New Roman" w:hAnsi="Times New Roman" w:cs="Times New Roman"/>
          <w:bCs/>
          <w:sz w:val="24"/>
          <w:szCs w:val="24"/>
          <w:lang w:val="en-US"/>
        </w:rPr>
        <w:fldChar w:fldCharType="begin"/>
      </w:r>
      <w:r w:rsidR="00D52BC7" w:rsidRPr="00754A1D">
        <w:rPr>
          <w:rFonts w:ascii="Times New Roman" w:hAnsi="Times New Roman" w:cs="Times New Roman"/>
          <w:bCs/>
          <w:sz w:val="24"/>
          <w:szCs w:val="24"/>
          <w:lang w:val="en-US"/>
        </w:rPr>
        <w:instrText xml:space="preserve"> ADDIN ZOTERO_ITEM CSL_CITATION {"citationID":"d4QXTrAx","properties":{"formattedCitation":"(Enan 2001; L\\uc0\\u243{}pez and Pascual-Villalobos 2010; Rattan 2010; Jankowska et al. 2018)","plainCitation":"(Enan 2001; López and Pascual-Villalobos 2010; Rattan 2010; Jankowska et al. 2018)","noteIndex":0},"citationItems":[{"id":2066,"uris":["http://zotero.org/users/local/QcSA6amT/items/EKDUA2L4"],"uri":["http://zotero.org/users/local/QcSA6amT/items/EKDUA2L4"],"itemData":{"id":2066,"type":"article-journal","abstract":"A study was conducted to determine the insecticidal activity and mechanism of action of three essential oils (eugenol, α-terpineol and cinnamic alcohol) and an equal part mixture (3-blend) against American cockroaches (Periplaneta americana). To address species differences in response to treatment with the test oils, Carpenter ants (Camponotus pennsylvanicus De Geer), and German cockroaches (Blattella germanica) were included in this study. Exposed American cockroaches demonstrated hyperactivity followed by hyperextension of the legs and abdomen, then fast knockdown or quick immobilization followed by death. Ants and German cockroaches showed fast immobilization/knockdown followed by mortality. The 1:1:1 mixture (3-blend) was substantially effective against all test insects. One of the most remarkable observations was the increased frequency of heartbeats of American cockroaches in response to topical application of test oils. The changes in the pattern of cAMP level was biphasic. A significant increase in the cAMP level was found in response to 1 nmol/ml of eugenol, or 3-blend or 10 nmol/ml of α-terpineol. At higher concentrations a significant decrease in cAMP level was found. Blockage of octopamine receptors binding sites was also illustrated at lower concentrations of the test chemicals as judged by the decreased binding activity of [3H]octopamine to its receptors. In conclusion: (1) test oils are neuro-insecticides and their insecticidal activity is species-dependent; (2) a synergistic effect of the three oils was found when they were equally mixed (3-blend); and (3) the octpaminergic system mediates the insecticidal activity of eugenol, α-terpienol and the 3-blend.","container-title":"Comparative Biochemistry and Physiology Part C: Toxicology &amp; Pharmacology","DOI":"10.1016/S1532-0456(01)00255-1","ISSN":"1532-0456","issue":"3","journalAbbreviation":"Comparative Biochemistry and Physiology Part C: Toxicology &amp; Pharmacology","language":"en","page":"325-337","source":"ScienceDirect","title":"Insecticidal activity of essential oils: octopaminergic sites of action","title-short":"Insecticidal activity of essential oils","volume":"130","author":[{"family":"Enan","given":"Essam"}],"issued":{"date-parts":[["2001",11,1]]}}},{"id":1950,"uris":["http://zotero.org/users/local/QcSA6amT/items/NVJHNG8K"],"uri":["http://zotero.org/users/local/QcSA6amT/items/NVJHNG8K"],"itemData":{"id":1950,"type":"article-journal","abstract":"Recent studies proved that monoterpenoids could be an alternative to synthetic insecticides against stored-product pests. For that reason, it is necessary to learn the mode of action of these monoterpenoids. Inhibition of acetylcholinesterase (AChE) activity as a possible mode of action by 8 monoterpenoids which cause high mortality of three stored-product insect pests, Sitophilus oryzae L. (Coleoptera: Curculionidae), Rhyzopertha dominica Fabricius (Coleoptera: Bostrichidae) and Cryptolestes pusillus Schönherr (Coleoptera: Cucujidae) and the role of these monoterpenoids as inhibitors were examined. Inhibition of AChE was measured by colorimetric method where a chemical reaction with enzyme acetylcholinesterase, a substrate (acetylthiocoline iodide), the Ellman's reagent and each monoterpenoid as inhibitor was carried out. The majority of monoterpenoids tested inhibited the enzyme acetylcholinesterase; fenchone, S-carvone and linalool produced the highest inhibition. Furthermore, it was observed that fenchone, γ-terpinene, geraniol and linalool showed a reversible competitive inhibition at least at the enzyme's hydrophobic active site. S-carvone, estragole and camphor produced a mixed inhibition for this enzyme binding to either the free enzyme or the enzyme–substrate complex which links to a different site from the active site where the substrate binds. No inhibition of enzyme acetylcholinesterase by E-anethole was observed.","container-title":"Industrial Crops and Products","DOI":"10.1016/j.indcrop.2009.11.005","ISSN":"0926-6690","issue":"2","journalAbbreviation":"Industrial Crops and Products","language":"en","page":"284-288","source":"ScienceDirect","title":"Mode of inhibition of acetylcholinesterase by monoterpenoids and implications for pest control","volume":"31","author":[{"family":"López","given":"M. D."},{"family":"Pascual-Villalobos","given":"M. J."}],"issued":{"date-parts":[["2010",3,1]]}}},{"id":1944,"uris":["http://zotero.org/users/local/QcSA6amT/items/SVZ7SICL"],"uri":["http://zotero.org/users/local/QcSA6amT/items/SVZ7SICL"],"itemData":{"id":1944,"type":"article-journal","abstract":"Insect pest management is facing the economic and ecological challenge worldwide due to the human and environmental hazards caused by majority of the synthetic pesticide chemicals. Identification of novel effective insecticidal compounds is essential to combat increasing resistance rates. Botanicals containing active insecticidal phytochemicals appear to be promising to address some of these problems. Therefore, there is a continuous need to explore new active molecules with different mechanisms of action. Secondary metabolites present in plants apparently function as defense (toxic), which inhibits reproduction and other processes. The phytochemical biomolecules could be used for maximizing the effectiveness and specificity in future insecticide design with specific or multiple target sites, while ensuring the economic and ecological sustainability. In this article, the current state of knowledge on phytochemical sources and insecticidal activity, their mechanism of action in insects, resistance, and promising advances made in phytochemical research are reviewed.","container-title":"Crop Protection","DOI":"10.1016/j.cropro.2010.05.008","ISSN":"0261-2194","issue":"9","journalAbbreviation":"Crop Protection","language":"en","page":"913-920","source":"ScienceDirect","title":"Mechanism of action of insecticidal secondary metabolites of plant origin","volume":"29","author":[{"family":"Rattan","given":"Rameshwar Singh"}],"issued":{"date-parts":[["2010",9,1]]}}},{"id":2063,"uris":["http://zotero.org/users/local/QcSA6amT/items/4DG6SMJ4"],"uri":["http://zotero.org/users/local/QcSA6amT/items/4DG6SMJ4"],"itemData":{"id":2063,"type":"article-journal","abstract":"Essential oils (EOs) are lipophilic secondary metabolites obtained from plants; terpenoids represent the main components of them. A lot of studies showed neurotoxic actions of EOs. In insects, they cause paralysis followed by death. This feature let us consider components of EOs as potential bioinsecticides. The inhibition of acetylcholinesterase (AChE) is the one of the most investigated mechanisms of action in EOs. However, EOs are rather weak inhibitors of AChE. Another proposed mechanism of EO action is a positive allosteric modulation of GABA receptors (GABArs). There are several papers that prove the potentiation of GABA effect on mammalian receptors induced by EOs. In contrast, there is lack of any data concerning the binding of EO components in insects GABArs. In insects, EOs act also via the octopaminergic system. Available data show that EOs can increase the level of both cAMP and calcium in nervous cells. Moreover, some EO components compete with octopamine in binding to its receptor. Electrophysiological experiments performed on Periplaneta americana have shown similarity in the action of EO components and octopamine. This suggests that EOs can modify neuron activity by octopamine receptors. A multitude of potential targets in the insect nervous system makes EO components interesting candidates for bio-insecticides.","container-title":"Molecules","DOI":"10.3390/molecules23010034","issue":"1","language":"en","page":"34","source":"www.mdpi.com","title":"Molecular Targets for Components of Essential Oils in the Insect Nervous System—A Review","volume":"23","author":[{"family":"Jankowska","given":"Milena"},{"family":"Rogalska","given":"Justyna"},{"family":"Wyszkowska","given":"Joanna"},{"family":"Stankiewicz","given":"Maria"}],"issued":{"date-parts":[["2018",1]]}}}],"schema":"https://github.com/citation-style-language/schema/raw/master/csl-citation.json"} </w:instrText>
      </w:r>
      <w:r w:rsidR="00846CB4" w:rsidRPr="00754A1D">
        <w:rPr>
          <w:rFonts w:ascii="Times New Roman" w:hAnsi="Times New Roman" w:cs="Times New Roman"/>
          <w:bCs/>
          <w:sz w:val="24"/>
          <w:szCs w:val="24"/>
          <w:lang w:val="en-US"/>
        </w:rPr>
        <w:fldChar w:fldCharType="separate"/>
      </w:r>
      <w:r w:rsidR="00D52BC7" w:rsidRPr="00754A1D">
        <w:rPr>
          <w:rFonts w:ascii="Times New Roman" w:hAnsi="Times New Roman" w:cs="Times New Roman"/>
          <w:sz w:val="24"/>
          <w:szCs w:val="24"/>
          <w:lang w:val="en-US"/>
        </w:rPr>
        <w:t>(Enan 2001; López and Pascual-Villalobos 2010; Rattan 2010; Jankowska et al. 2018)</w:t>
      </w:r>
      <w:r w:rsidR="00846CB4" w:rsidRPr="00754A1D">
        <w:rPr>
          <w:rFonts w:ascii="Times New Roman" w:hAnsi="Times New Roman" w:cs="Times New Roman"/>
          <w:bCs/>
          <w:sz w:val="24"/>
          <w:szCs w:val="24"/>
          <w:lang w:val="en-US"/>
        </w:rPr>
        <w:fldChar w:fldCharType="end"/>
      </w:r>
      <w:r w:rsidR="00846CB4" w:rsidRPr="00754A1D">
        <w:rPr>
          <w:rFonts w:ascii="Times New Roman" w:hAnsi="Times New Roman" w:cs="Times New Roman"/>
          <w:bCs/>
          <w:sz w:val="24"/>
          <w:szCs w:val="24"/>
          <w:lang w:val="en-US"/>
        </w:rPr>
        <w:t>.</w:t>
      </w:r>
      <w:r w:rsidR="004C645A" w:rsidRPr="00754A1D">
        <w:rPr>
          <w:rFonts w:ascii="Times New Roman" w:hAnsi="Times New Roman" w:cs="Times New Roman"/>
          <w:bCs/>
          <w:sz w:val="24"/>
          <w:szCs w:val="24"/>
          <w:lang w:val="en-US"/>
        </w:rPr>
        <w:t xml:space="preserve"> In the present study,</w:t>
      </w:r>
      <w:r w:rsidR="00D925A2" w:rsidRPr="00754A1D">
        <w:rPr>
          <w:rFonts w:ascii="Times New Roman" w:hAnsi="Times New Roman" w:cs="Times New Roman"/>
          <w:bCs/>
          <w:sz w:val="24"/>
          <w:szCs w:val="24"/>
          <w:lang w:val="en-US"/>
        </w:rPr>
        <w:t xml:space="preserve"> </w:t>
      </w:r>
      <w:r w:rsidR="009540E3" w:rsidRPr="00754A1D">
        <w:rPr>
          <w:rFonts w:ascii="Times New Roman" w:hAnsi="Times New Roman" w:cs="Times New Roman"/>
          <w:bCs/>
          <w:sz w:val="24"/>
          <w:szCs w:val="24"/>
          <w:lang w:val="en-US"/>
        </w:rPr>
        <w:t>many</w:t>
      </w:r>
      <w:r w:rsidR="009A3878" w:rsidRPr="00754A1D">
        <w:rPr>
          <w:rFonts w:ascii="Times New Roman" w:hAnsi="Times New Roman" w:cs="Times New Roman"/>
          <w:bCs/>
          <w:sz w:val="24"/>
          <w:szCs w:val="24"/>
          <w:lang w:val="en-US"/>
        </w:rPr>
        <w:t xml:space="preserve"> </w:t>
      </w:r>
      <w:r w:rsidR="001F3D26" w:rsidRPr="00754A1D">
        <w:rPr>
          <w:rFonts w:ascii="Times New Roman" w:hAnsi="Times New Roman" w:cs="Times New Roman"/>
          <w:bCs/>
          <w:sz w:val="24"/>
          <w:szCs w:val="24"/>
          <w:lang w:val="en-US"/>
        </w:rPr>
        <w:t xml:space="preserve">upregulated </w:t>
      </w:r>
      <w:r w:rsidR="00860B10" w:rsidRPr="00754A1D">
        <w:rPr>
          <w:rFonts w:ascii="Times New Roman" w:hAnsi="Times New Roman" w:cs="Times New Roman"/>
          <w:bCs/>
          <w:sz w:val="24"/>
          <w:szCs w:val="24"/>
          <w:lang w:val="en-US"/>
        </w:rPr>
        <w:t xml:space="preserve">proteins </w:t>
      </w:r>
      <w:r w:rsidR="001F3D26" w:rsidRPr="00754A1D">
        <w:rPr>
          <w:rFonts w:ascii="Times New Roman" w:hAnsi="Times New Roman" w:cs="Times New Roman"/>
          <w:bCs/>
          <w:sz w:val="24"/>
          <w:szCs w:val="24"/>
          <w:lang w:val="en-US"/>
        </w:rPr>
        <w:t xml:space="preserve">are </w:t>
      </w:r>
      <w:r w:rsidR="009A13D7" w:rsidRPr="00754A1D">
        <w:rPr>
          <w:rFonts w:ascii="Times New Roman" w:hAnsi="Times New Roman" w:cs="Times New Roman"/>
          <w:bCs/>
          <w:sz w:val="24"/>
          <w:szCs w:val="24"/>
          <w:lang w:val="en-US"/>
        </w:rPr>
        <w:t>linked</w:t>
      </w:r>
      <w:r w:rsidR="001F3D26" w:rsidRPr="00754A1D">
        <w:rPr>
          <w:rFonts w:ascii="Times New Roman" w:hAnsi="Times New Roman" w:cs="Times New Roman"/>
          <w:bCs/>
          <w:sz w:val="24"/>
          <w:szCs w:val="24"/>
          <w:lang w:val="en-US"/>
        </w:rPr>
        <w:t xml:space="preserve"> to the organization and </w:t>
      </w:r>
      <w:r w:rsidR="009A13D7" w:rsidRPr="00754A1D">
        <w:rPr>
          <w:rFonts w:ascii="Times New Roman" w:hAnsi="Times New Roman" w:cs="Times New Roman"/>
          <w:bCs/>
          <w:sz w:val="24"/>
          <w:szCs w:val="24"/>
          <w:lang w:val="en-US"/>
        </w:rPr>
        <w:t>function</w:t>
      </w:r>
      <w:r w:rsidR="001F3D26" w:rsidRPr="00754A1D">
        <w:rPr>
          <w:rFonts w:ascii="Times New Roman" w:hAnsi="Times New Roman" w:cs="Times New Roman"/>
          <w:bCs/>
          <w:sz w:val="24"/>
          <w:szCs w:val="24"/>
          <w:lang w:val="en-US"/>
        </w:rPr>
        <w:t xml:space="preserve"> of the nervous system</w:t>
      </w:r>
      <w:r w:rsidR="004C645A" w:rsidRPr="00754A1D">
        <w:rPr>
          <w:rFonts w:ascii="Times New Roman" w:hAnsi="Times New Roman" w:cs="Times New Roman"/>
          <w:bCs/>
          <w:sz w:val="24"/>
          <w:szCs w:val="24"/>
          <w:lang w:val="en-US"/>
        </w:rPr>
        <w:t xml:space="preserve">, </w:t>
      </w:r>
      <w:r w:rsidR="00112604" w:rsidRPr="00754A1D">
        <w:rPr>
          <w:rFonts w:ascii="Times New Roman" w:hAnsi="Times New Roman" w:cs="Times New Roman"/>
          <w:bCs/>
          <w:sz w:val="24"/>
          <w:szCs w:val="24"/>
          <w:lang w:val="en-US"/>
        </w:rPr>
        <w:t xml:space="preserve">confirming that one of the modes of action of </w:t>
      </w:r>
      <w:r w:rsidR="00112604" w:rsidRPr="00754A1D">
        <w:rPr>
          <w:rFonts w:ascii="Times New Roman" w:hAnsi="Times New Roman" w:cs="Times New Roman"/>
          <w:bCs/>
          <w:i/>
          <w:sz w:val="24"/>
          <w:szCs w:val="24"/>
          <w:lang w:val="en-US"/>
        </w:rPr>
        <w:t>M. arvensis</w:t>
      </w:r>
      <w:r w:rsidR="00112604" w:rsidRPr="00754A1D">
        <w:rPr>
          <w:rFonts w:ascii="Times New Roman" w:hAnsi="Times New Roman" w:cs="Times New Roman"/>
          <w:bCs/>
          <w:sz w:val="24"/>
          <w:szCs w:val="24"/>
          <w:lang w:val="en-US"/>
        </w:rPr>
        <w:t xml:space="preserve"> EO is to affect the nervous system</w:t>
      </w:r>
      <w:r w:rsidR="004C645A" w:rsidRPr="00754A1D">
        <w:rPr>
          <w:rFonts w:ascii="Times New Roman" w:hAnsi="Times New Roman" w:cs="Times New Roman"/>
          <w:bCs/>
          <w:sz w:val="24"/>
          <w:szCs w:val="24"/>
          <w:lang w:val="en-US"/>
        </w:rPr>
        <w:t xml:space="preserve">. </w:t>
      </w:r>
      <w:r w:rsidR="00CA4D4D" w:rsidRPr="00754A1D">
        <w:rPr>
          <w:rFonts w:ascii="Times New Roman" w:hAnsi="Times New Roman" w:cs="Times New Roman"/>
          <w:bCs/>
          <w:sz w:val="24"/>
          <w:szCs w:val="24"/>
          <w:lang w:val="en-US"/>
        </w:rPr>
        <w:t>The upregulation</w:t>
      </w:r>
      <w:r w:rsidR="004C645A" w:rsidRPr="00754A1D">
        <w:rPr>
          <w:rFonts w:ascii="Times New Roman" w:hAnsi="Times New Roman" w:cs="Times New Roman"/>
          <w:bCs/>
          <w:sz w:val="24"/>
          <w:szCs w:val="24"/>
          <w:lang w:val="en-US"/>
        </w:rPr>
        <w:t xml:space="preserve"> of </w:t>
      </w:r>
      <w:r w:rsidR="00112604" w:rsidRPr="00754A1D">
        <w:rPr>
          <w:rFonts w:ascii="Times New Roman" w:hAnsi="Times New Roman" w:cs="Times New Roman"/>
          <w:bCs/>
          <w:sz w:val="24"/>
          <w:szCs w:val="24"/>
          <w:lang w:val="en-US"/>
        </w:rPr>
        <w:t xml:space="preserve">the </w:t>
      </w:r>
      <w:r w:rsidR="004C645A" w:rsidRPr="00754A1D">
        <w:rPr>
          <w:rFonts w:ascii="Times New Roman" w:hAnsi="Times New Roman" w:cs="Times New Roman"/>
          <w:bCs/>
          <w:sz w:val="24"/>
          <w:szCs w:val="24"/>
          <w:lang w:val="en-US"/>
        </w:rPr>
        <w:t xml:space="preserve">related DEPs suggests that, within 24 h, mechanisms were </w:t>
      </w:r>
      <w:r w:rsidR="00112604" w:rsidRPr="00754A1D">
        <w:rPr>
          <w:rFonts w:ascii="Times New Roman" w:hAnsi="Times New Roman" w:cs="Times New Roman"/>
          <w:bCs/>
          <w:sz w:val="24"/>
          <w:szCs w:val="24"/>
          <w:lang w:val="en-US"/>
        </w:rPr>
        <w:t>established</w:t>
      </w:r>
      <w:r w:rsidR="004C645A" w:rsidRPr="00754A1D">
        <w:rPr>
          <w:rFonts w:ascii="Times New Roman" w:hAnsi="Times New Roman" w:cs="Times New Roman"/>
          <w:bCs/>
          <w:sz w:val="24"/>
          <w:szCs w:val="24"/>
          <w:lang w:val="en-US"/>
        </w:rPr>
        <w:t xml:space="preserve"> in surviving insects to repair the damage inflicted. </w:t>
      </w:r>
      <w:r w:rsidR="0075634A" w:rsidRPr="00754A1D">
        <w:rPr>
          <w:rFonts w:ascii="Times New Roman" w:hAnsi="Times New Roman" w:cs="Times New Roman"/>
          <w:bCs/>
          <w:sz w:val="24"/>
          <w:szCs w:val="24"/>
          <w:lang w:val="en-US"/>
        </w:rPr>
        <w:t xml:space="preserve">Many </w:t>
      </w:r>
      <w:r w:rsidR="005163D1" w:rsidRPr="00754A1D">
        <w:rPr>
          <w:rFonts w:ascii="Times New Roman" w:hAnsi="Times New Roman" w:cs="Times New Roman"/>
          <w:bCs/>
          <w:sz w:val="24"/>
          <w:szCs w:val="24"/>
          <w:lang w:val="en-US"/>
        </w:rPr>
        <w:t xml:space="preserve">upregulated proteins </w:t>
      </w:r>
      <w:r w:rsidR="0075634A" w:rsidRPr="00754A1D">
        <w:rPr>
          <w:rFonts w:ascii="Times New Roman" w:hAnsi="Times New Roman" w:cs="Times New Roman"/>
          <w:bCs/>
          <w:sz w:val="24"/>
          <w:szCs w:val="24"/>
          <w:lang w:val="en-US"/>
        </w:rPr>
        <w:t xml:space="preserve">are </w:t>
      </w:r>
      <w:r w:rsidR="00E50A97" w:rsidRPr="00754A1D">
        <w:rPr>
          <w:rFonts w:ascii="Times New Roman" w:hAnsi="Times New Roman" w:cs="Times New Roman"/>
          <w:bCs/>
          <w:sz w:val="24"/>
          <w:szCs w:val="24"/>
          <w:lang w:val="en-US"/>
        </w:rPr>
        <w:t xml:space="preserve">key effectors involved in </w:t>
      </w:r>
      <w:r w:rsidR="0075634A" w:rsidRPr="00754A1D">
        <w:rPr>
          <w:rFonts w:ascii="Times New Roman" w:hAnsi="Times New Roman" w:cs="Times New Roman"/>
          <w:bCs/>
          <w:sz w:val="24"/>
          <w:szCs w:val="24"/>
          <w:lang w:val="en-US"/>
        </w:rPr>
        <w:t xml:space="preserve">the development and functioning of the nervous system. </w:t>
      </w:r>
      <w:r w:rsidR="00E50A97" w:rsidRPr="00754A1D">
        <w:rPr>
          <w:rFonts w:ascii="Times New Roman" w:hAnsi="Times New Roman" w:cs="Times New Roman"/>
          <w:bCs/>
          <w:sz w:val="24"/>
          <w:szCs w:val="24"/>
          <w:lang w:val="en-US"/>
        </w:rPr>
        <w:t>G</w:t>
      </w:r>
      <w:r w:rsidR="0075634A" w:rsidRPr="00754A1D">
        <w:rPr>
          <w:rFonts w:ascii="Times New Roman" w:hAnsi="Times New Roman" w:cs="Times New Roman"/>
          <w:bCs/>
          <w:sz w:val="24"/>
          <w:szCs w:val="24"/>
          <w:lang w:val="en-US"/>
        </w:rPr>
        <w:t xml:space="preserve">lutamine </w:t>
      </w:r>
      <w:bookmarkStart w:id="9" w:name="_GoBack"/>
      <w:bookmarkEnd w:id="9"/>
      <w:r w:rsidR="0075634A" w:rsidRPr="00754A1D">
        <w:rPr>
          <w:rFonts w:ascii="Times New Roman" w:hAnsi="Times New Roman" w:cs="Times New Roman"/>
          <w:bCs/>
          <w:sz w:val="24"/>
          <w:szCs w:val="24"/>
          <w:lang w:val="en-US"/>
        </w:rPr>
        <w:t>synthetase 2 cytoplasmic</w:t>
      </w:r>
      <w:r w:rsidR="00E50A97" w:rsidRPr="00754A1D">
        <w:rPr>
          <w:rFonts w:ascii="Times New Roman" w:hAnsi="Times New Roman" w:cs="Times New Roman"/>
          <w:bCs/>
          <w:sz w:val="24"/>
          <w:szCs w:val="24"/>
          <w:lang w:val="en-US"/>
        </w:rPr>
        <w:t xml:space="preserve"> is vital for</w:t>
      </w:r>
      <w:r w:rsidR="007010F2" w:rsidRPr="00754A1D">
        <w:rPr>
          <w:rFonts w:ascii="Times New Roman" w:hAnsi="Times New Roman" w:cs="Times New Roman"/>
          <w:bCs/>
          <w:sz w:val="24"/>
          <w:szCs w:val="24"/>
          <w:lang w:val="en-US"/>
        </w:rPr>
        <w:t xml:space="preserve"> synaptogenesis</w:t>
      </w:r>
      <w:r w:rsidR="000B1564" w:rsidRPr="00754A1D">
        <w:rPr>
          <w:rFonts w:ascii="Times New Roman" w:hAnsi="Times New Roman" w:cs="Times New Roman"/>
          <w:bCs/>
          <w:sz w:val="24"/>
          <w:szCs w:val="24"/>
          <w:lang w:val="en-US"/>
        </w:rPr>
        <w:t>, that is, the formation of synapses between neurons in the nervous system</w:t>
      </w:r>
      <w:r w:rsidR="007010F2" w:rsidRPr="00754A1D">
        <w:rPr>
          <w:rFonts w:ascii="Times New Roman" w:hAnsi="Times New Roman" w:cs="Times New Roman"/>
          <w:bCs/>
          <w:sz w:val="24"/>
          <w:szCs w:val="24"/>
          <w:lang w:val="en-US"/>
        </w:rPr>
        <w:t xml:space="preserve"> </w:t>
      </w:r>
      <w:r w:rsidR="007010F2"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{"citationID":"4KggOPLH","properties":{"formattedCitation":"(Featherstone et al. 2002)","plainCitation":"(Featherstone et al. 2002)","noteIndex":0},"citationItems":[{"id":1974,"uris":["http://zotero.org/users/local/QcSA6amT/items/9ZQRV3HC"],"uri":["http://zotero.org/users/local/QcSA6amT/items/9ZQRV3HC"],"itemData":{"id":1974,"type":"article-journal","abstract":"We hypothesized that presynaptic glutamate regulates postsynaptic ionotropic glutamate receptor number during synaptogenesis. To test this idea, we genetically manipulated presynaptic glutamate levels at the glutamatergic Drosophila neuromuscular junction (NMJ), then microscopically and electrophysiologically measured postsynaptic glutamate receptor field size and function. Our data show that presynaptic glutamate is a strong negative regulator of postsynaptic receptor field size and function during development. Glutamate-triggered receptor downregulation was not affected by block of synaptic vesicle fusion, demonstrating that receptors are regulated by nonvesicular glutamate release. Our results reveal an elegant mechanism for receptor field regulation during synaptogenesis and reveal a nonpathological role for nonvesicular glutamate release at the synapse.","container-title":"Nature Neuroscience","DOI":"10.1038/nn789","ISSN":"1546-1726","issue":"2","language":"en","page":"141-146","source":"www.nature.com","title":"Developmental regulation of glutamate receptor field size by nonvesicular glutamate release","volume":"5","author":[{"family":"Featherstone","given":"David E."},{"family":"Rushton","given":"Emma"},{"family":"Broadie","given":"Kendal"}],"issued":{"date-parts":[["2002",2]]}}}],"schema":"https://github.com/citation-style-language/schema/raw/master/csl-citation.json"} </w:instrText>
      </w:r>
      <w:r w:rsidR="007010F2" w:rsidRPr="00754A1D">
        <w:rPr>
          <w:rFonts w:ascii="Times New Roman" w:hAnsi="Times New Roman" w:cs="Times New Roman"/>
          <w:bCs/>
          <w:sz w:val="24"/>
          <w:szCs w:val="24"/>
          <w:lang w:val="en-US"/>
        </w:rPr>
        <w:fldChar w:fldCharType="separate"/>
      </w:r>
      <w:r w:rsidR="007010F2" w:rsidRPr="00754A1D">
        <w:rPr>
          <w:rFonts w:ascii="Times New Roman" w:hAnsi="Times New Roman" w:cs="Times New Roman"/>
          <w:sz w:val="24"/>
          <w:lang w:val="en-US"/>
        </w:rPr>
        <w:t>(Featherstone et al. 2002)</w:t>
      </w:r>
      <w:r w:rsidR="007010F2" w:rsidRPr="00754A1D">
        <w:rPr>
          <w:rFonts w:ascii="Times New Roman" w:hAnsi="Times New Roman" w:cs="Times New Roman"/>
          <w:bCs/>
          <w:sz w:val="24"/>
          <w:szCs w:val="24"/>
          <w:lang w:val="en-US"/>
        </w:rPr>
        <w:fldChar w:fldCharType="end"/>
      </w:r>
      <w:r w:rsidR="00F72794" w:rsidRPr="00754A1D">
        <w:rPr>
          <w:rFonts w:ascii="Times New Roman" w:hAnsi="Times New Roman" w:cs="Times New Roman"/>
          <w:bCs/>
          <w:sz w:val="24"/>
          <w:szCs w:val="24"/>
          <w:lang w:val="en-US"/>
        </w:rPr>
        <w:t xml:space="preserve">. RNA-binding proteins (RBPs) </w:t>
      </w:r>
      <w:r w:rsidR="000B1564" w:rsidRPr="00754A1D">
        <w:rPr>
          <w:rFonts w:ascii="Times New Roman" w:hAnsi="Times New Roman" w:cs="Times New Roman"/>
          <w:bCs/>
          <w:sz w:val="24"/>
          <w:szCs w:val="24"/>
          <w:lang w:val="en-US"/>
        </w:rPr>
        <w:t>are involved in</w:t>
      </w:r>
      <w:r w:rsidR="00112604" w:rsidRPr="00754A1D">
        <w:rPr>
          <w:rFonts w:ascii="Times New Roman" w:hAnsi="Times New Roman" w:cs="Times New Roman"/>
          <w:bCs/>
          <w:sz w:val="24"/>
          <w:szCs w:val="24"/>
          <w:lang w:val="en-US"/>
        </w:rPr>
        <w:t xml:space="preserve"> the regulation of</w:t>
      </w:r>
      <w:r w:rsidR="00F72794" w:rsidRPr="00754A1D">
        <w:rPr>
          <w:rFonts w:ascii="Times New Roman" w:hAnsi="Times New Roman" w:cs="Times New Roman"/>
          <w:bCs/>
          <w:sz w:val="24"/>
          <w:szCs w:val="24"/>
          <w:lang w:val="en-US"/>
        </w:rPr>
        <w:t xml:space="preserve"> neurogenesis</w:t>
      </w:r>
      <w:r w:rsidR="000B1564" w:rsidRPr="00754A1D">
        <w:rPr>
          <w:rFonts w:ascii="Times New Roman" w:hAnsi="Times New Roman" w:cs="Times New Roman"/>
          <w:bCs/>
          <w:sz w:val="24"/>
          <w:szCs w:val="24"/>
          <w:lang w:val="en-US"/>
        </w:rPr>
        <w:t xml:space="preserve"> </w:t>
      </w:r>
      <w:r w:rsidR="00F72794"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{"citationID":"y3rTcVKg","properties":{"formattedCitation":"(Olesnicky and Wright 2018)","plainCitation":"(Olesnicky and Wright 2018)","noteIndex":0},"citationItems":[{"id":1976,"uris":["http://zotero.org/users/local/QcSA6amT/items/KA8RG6YV"],"uri":["http://zotero.org/users/local/QcSA6amT/items/KA8RG6YV"],"itemData":{"id":1976,"type":"article-journal","abstract":"An outstanding question in developmental neurobiology is how RNA processing events contribute to the regulation of neurogenesis. RNA processing events are increasingly recognized as playing fundamental roles in regulating multiple developmental events during neurogenesis, from the asymmetric divisions of neural stem cells, to the generation of complex and diverse neurite morphologies. Indeed, both asymmetric cell division and neurite morphogenesis are often achieved by mechanisms that generate asymmetric protein distributions, including post-transcriptional gene regulatory mechanisms such as the transport of translationally silent messenger RNAs (mRNAs) and local translation of mRNAs within neurites. Additionally, defects in RNA splicing have emerged as a common theme in many neurodegenerative disorders, highlighting the importance of RNA processing in maintaining neuronal circuitry. RNA-binding proteins (RBPs) play an integral role in splicing and post-transcriptional gene regulation, and mutations in RBPs have been linked with multiple neurological disorders including autism, dementia, amyotrophic lateral sclerosis (ALS), spinal muscular atrophy (SMA), Fragile X syndrome (FXS), and X-linked intellectual disability disorder. Despite their widespread nature and roles in neurological disease, the molecular mechanisms and networks of regulated target RNAs have been defined for only a small number of specific RBPs. This review aims to highlight recent studies in Drosophila that have advanced our knowledge of how RBP dysfunction contributes to neurological disease.","container-title":"Journal of Developmental Biology","DOI":"10.3390/jdb6030021","ISSN":"2221-3759","issue":"3","journalAbbreviation":"J Dev Biol","note":"PMID: 30126171\nPMCID: PMC6162566","source":"PubMed Central","title":"Drosophila as a Model for Assessing the Function of RNA-Binding Proteins during Neurogenesis and Neurological Disease","URL":"https://www.ncbi.nlm.nih.gov/pmc/articles/PMC6162566/","volume":"6","author":[{"family":"Olesnicky","given":"Eugenia C."},{"family":"Wright","given":"Ethan G."}],"accessed":{"date-parts":[["2020",3,13]]},"issued":{"date-parts":[["2018",8,18]]}}}],"schema":"https://github.com/citation-style-language/schema/raw/master/csl-citation.json"} </w:instrText>
      </w:r>
      <w:r w:rsidR="00F72794" w:rsidRPr="00754A1D">
        <w:rPr>
          <w:rFonts w:ascii="Times New Roman" w:hAnsi="Times New Roman" w:cs="Times New Roman"/>
          <w:bCs/>
          <w:sz w:val="24"/>
          <w:szCs w:val="24"/>
          <w:lang w:val="en-US"/>
        </w:rPr>
        <w:fldChar w:fldCharType="separate"/>
      </w:r>
      <w:r w:rsidR="00F72794" w:rsidRPr="00754A1D">
        <w:rPr>
          <w:rFonts w:ascii="Times New Roman" w:hAnsi="Times New Roman" w:cs="Times New Roman"/>
          <w:sz w:val="24"/>
          <w:lang w:val="en-US"/>
        </w:rPr>
        <w:t>(Olesnicky and Wright 2018)</w:t>
      </w:r>
      <w:r w:rsidR="00F72794" w:rsidRPr="00754A1D">
        <w:rPr>
          <w:rFonts w:ascii="Times New Roman" w:hAnsi="Times New Roman" w:cs="Times New Roman"/>
          <w:bCs/>
          <w:sz w:val="24"/>
          <w:szCs w:val="24"/>
          <w:lang w:val="en-US"/>
        </w:rPr>
        <w:fldChar w:fldCharType="end"/>
      </w:r>
      <w:r w:rsidR="00F72794" w:rsidRPr="00754A1D">
        <w:rPr>
          <w:rFonts w:ascii="Times New Roman" w:hAnsi="Times New Roman" w:cs="Times New Roman"/>
          <w:bCs/>
          <w:sz w:val="24"/>
          <w:szCs w:val="24"/>
          <w:lang w:val="en-US"/>
        </w:rPr>
        <w:t xml:space="preserve">. </w:t>
      </w:r>
      <w:r w:rsidR="00CA4D4D" w:rsidRPr="00754A1D">
        <w:rPr>
          <w:rFonts w:ascii="Times New Roman" w:hAnsi="Times New Roman" w:cs="Times New Roman"/>
          <w:bCs/>
          <w:sz w:val="24"/>
          <w:szCs w:val="24"/>
          <w:lang w:val="en-US"/>
        </w:rPr>
        <w:t>T</w:t>
      </w:r>
      <w:r w:rsidR="005163D1" w:rsidRPr="00754A1D">
        <w:rPr>
          <w:rFonts w:ascii="Times New Roman" w:hAnsi="Times New Roman" w:cs="Times New Roman"/>
          <w:bCs/>
          <w:sz w:val="24"/>
          <w:szCs w:val="24"/>
          <w:lang w:val="en-US"/>
        </w:rPr>
        <w:t xml:space="preserve">he </w:t>
      </w:r>
      <w:r w:rsidR="009A4F7D" w:rsidRPr="00754A1D">
        <w:rPr>
          <w:rFonts w:ascii="Times New Roman" w:hAnsi="Times New Roman" w:cs="Times New Roman"/>
          <w:bCs/>
          <w:sz w:val="24"/>
          <w:szCs w:val="24"/>
          <w:lang w:val="en-US"/>
        </w:rPr>
        <w:t>t</w:t>
      </w:r>
      <w:r w:rsidR="001A0B56" w:rsidRPr="00754A1D">
        <w:rPr>
          <w:rFonts w:ascii="Times New Roman" w:hAnsi="Times New Roman" w:cs="Times New Roman"/>
          <w:bCs/>
          <w:sz w:val="24"/>
          <w:szCs w:val="24"/>
          <w:lang w:val="en-US"/>
        </w:rPr>
        <w:t>yrosine-protein phosphatase non-receptor type 9</w:t>
      </w:r>
      <w:r w:rsidR="00E50A97" w:rsidRPr="00754A1D">
        <w:rPr>
          <w:rFonts w:ascii="Times New Roman" w:hAnsi="Times New Roman" w:cs="Times New Roman"/>
          <w:bCs/>
          <w:sz w:val="24"/>
          <w:szCs w:val="24"/>
          <w:lang w:val="en-US"/>
        </w:rPr>
        <w:t xml:space="preserve"> </w:t>
      </w:r>
      <w:r w:rsidR="001A0B56" w:rsidRPr="00754A1D">
        <w:rPr>
          <w:rFonts w:ascii="Times New Roman" w:hAnsi="Times New Roman" w:cs="Times New Roman"/>
          <w:bCs/>
          <w:sz w:val="24"/>
          <w:szCs w:val="24"/>
          <w:lang w:val="en-US"/>
        </w:rPr>
        <w:t xml:space="preserve">is </w:t>
      </w:r>
      <w:r w:rsidR="001C58D6" w:rsidRPr="00754A1D">
        <w:rPr>
          <w:rFonts w:ascii="Times New Roman" w:hAnsi="Times New Roman" w:cs="Times New Roman"/>
          <w:bCs/>
          <w:sz w:val="24"/>
          <w:szCs w:val="24"/>
          <w:lang w:val="en-US"/>
        </w:rPr>
        <w:t xml:space="preserve">known to be </w:t>
      </w:r>
      <w:r w:rsidR="001A0B56" w:rsidRPr="00754A1D">
        <w:rPr>
          <w:rFonts w:ascii="Times New Roman" w:hAnsi="Times New Roman" w:cs="Times New Roman"/>
          <w:bCs/>
          <w:sz w:val="24"/>
          <w:szCs w:val="24"/>
          <w:lang w:val="en-US"/>
        </w:rPr>
        <w:t xml:space="preserve">involved </w:t>
      </w:r>
      <w:r w:rsidR="000B5937" w:rsidRPr="00754A1D">
        <w:rPr>
          <w:rFonts w:ascii="Times New Roman" w:hAnsi="Times New Roman" w:cs="Times New Roman"/>
          <w:bCs/>
          <w:sz w:val="24"/>
          <w:szCs w:val="24"/>
          <w:lang w:val="en-US"/>
        </w:rPr>
        <w:t xml:space="preserve">in </w:t>
      </w:r>
      <w:r w:rsidR="007D2EEC" w:rsidRPr="00754A1D">
        <w:rPr>
          <w:rFonts w:ascii="Times New Roman" w:hAnsi="Times New Roman" w:cs="Times New Roman"/>
          <w:bCs/>
          <w:sz w:val="24"/>
          <w:szCs w:val="24"/>
          <w:lang w:val="en-US"/>
        </w:rPr>
        <w:t xml:space="preserve">molecular logic of neocortical projection neuron specification </w:t>
      </w:r>
      <w:r w:rsidR="001C58D6" w:rsidRPr="00754A1D">
        <w:rPr>
          <w:rFonts w:ascii="Times New Roman" w:hAnsi="Times New Roman" w:cs="Times New Roman"/>
          <w:bCs/>
          <w:sz w:val="24"/>
          <w:szCs w:val="24"/>
          <w:lang w:val="en-US"/>
        </w:rPr>
        <w:t xml:space="preserve">in mammals </w:t>
      </w:r>
      <w:r w:rsidR="001A0B56"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{"citationID":"qP2VYUIY","properties":{"formattedCitation":"(Zhang et al. 2016)","plainCitation":"(Zhang et al. 2016)","noteIndex":0},"citationItems":[{"id":1997,"uris":["http://zotero.org/users/local/QcSA6amT/items/IRWLNTCQ"],"uri":["http://zotero.org/users/local/QcSA6amT/items/IRWLNTCQ"],"itemData":{"id":1997,"type":"article-journal","abstract":"Protein tyrosine phosphatase MEG2 (PTP-MEG2) is a unique nonreceptor tyrosine phosphatase associated with transport vesicles, where it facilitates membrane trafficking by dephosphorylation of the N-ethylmaleimide-sensitive fusion factor. In this study, we identify the neurotrophin receptor TrkA as a novel cargo whose transport to the cell surface requires PTP-MEG2 activity. In addition, TrkA is also a novel substrate of PTP-MEG2, which dephosphorylates both Tyr-490 and Tyr-674/Tyr-675 of TrkA. As a result, overexpression of PTP-MEG2 down-regulates NGF/TrkA signaling and blocks neurite outgrowth and differentiation in PC12 cells and cortical neurons.","container-title":"The Journal of Biological Chemistry","DOI":"10.1074/jbc.M116.728550","ISSN":"1083-351X","issue":"46","journalAbbreviation":"J. Biol. Chem.","language":"eng","note":"PMID: 27655914\nPMCID: PMC5104914","page":"23895-23905","source":"PubMed","title":"The Protein Tyrosine Phosphatase MEG2 Regulates the Transport and Signal Transduction of Tropomyosin Receptor Kinase A","volume":"291","author":[{"family":"Zhang","given":"Dongmei"},{"family":"Marlin","given":"M. Caleb"},{"family":"Liang","given":"Zhimin"},{"family":"Ahmad","given":"Mohiuddin"},{"family":"Ashpole","given":"Nicole M."},{"family":"Sonntag","given":"William E."},{"family":"Zhao","given":"Zhizhuang Joe"},{"family":"Li","given":"Guangpu"}],"issued":{"date-parts":[["2016",11,11]]}}}],"schema":"https://github.com/citation-style-language/schema/raw/master/csl-citation.json"} </w:instrText>
      </w:r>
      <w:r w:rsidR="001A0B56" w:rsidRPr="00754A1D">
        <w:rPr>
          <w:rFonts w:ascii="Times New Roman" w:hAnsi="Times New Roman" w:cs="Times New Roman"/>
          <w:bCs/>
          <w:sz w:val="24"/>
          <w:szCs w:val="24"/>
          <w:lang w:val="en-US"/>
        </w:rPr>
        <w:fldChar w:fldCharType="separate"/>
      </w:r>
      <w:r w:rsidR="001A0B56" w:rsidRPr="00754A1D">
        <w:rPr>
          <w:rFonts w:ascii="Times New Roman" w:hAnsi="Times New Roman" w:cs="Times New Roman"/>
          <w:sz w:val="24"/>
          <w:lang w:val="en-US"/>
        </w:rPr>
        <w:t>(Zhang et al. 2016)</w:t>
      </w:r>
      <w:r w:rsidR="001A0B56" w:rsidRPr="00754A1D">
        <w:rPr>
          <w:rFonts w:ascii="Times New Roman" w:hAnsi="Times New Roman" w:cs="Times New Roman"/>
          <w:bCs/>
          <w:sz w:val="24"/>
          <w:szCs w:val="24"/>
          <w:lang w:val="en-US"/>
        </w:rPr>
        <w:fldChar w:fldCharType="end"/>
      </w:r>
      <w:r w:rsidR="004C645A" w:rsidRPr="00754A1D">
        <w:rPr>
          <w:rFonts w:ascii="Times New Roman" w:hAnsi="Times New Roman" w:cs="Times New Roman"/>
          <w:bCs/>
          <w:sz w:val="24"/>
          <w:szCs w:val="24"/>
          <w:lang w:val="en-US"/>
        </w:rPr>
        <w:t xml:space="preserve">. </w:t>
      </w:r>
      <w:r w:rsidR="00CA4D4D" w:rsidRPr="00754A1D">
        <w:rPr>
          <w:rFonts w:ascii="Times New Roman" w:hAnsi="Times New Roman" w:cs="Times New Roman"/>
          <w:bCs/>
          <w:sz w:val="24"/>
          <w:szCs w:val="24"/>
          <w:lang w:val="en-US"/>
        </w:rPr>
        <w:t xml:space="preserve">Poorly described in insects, this protein probably plays a similar role in these animals. </w:t>
      </w:r>
      <w:r w:rsidR="0007180E" w:rsidRPr="00754A1D">
        <w:rPr>
          <w:rFonts w:ascii="Times New Roman" w:hAnsi="Times New Roman" w:cs="Times New Roman"/>
          <w:bCs/>
          <w:sz w:val="24"/>
          <w:szCs w:val="24"/>
          <w:lang w:val="en-US"/>
        </w:rPr>
        <w:t xml:space="preserve">In </w:t>
      </w:r>
      <w:r w:rsidR="0007180E" w:rsidRPr="00754A1D">
        <w:rPr>
          <w:rFonts w:ascii="Times New Roman" w:hAnsi="Times New Roman" w:cs="Times New Roman"/>
          <w:bCs/>
          <w:i/>
          <w:sz w:val="24"/>
          <w:szCs w:val="24"/>
          <w:lang w:val="en-US"/>
        </w:rPr>
        <w:t>D. melanogaster</w:t>
      </w:r>
      <w:r w:rsidR="0007180E" w:rsidRPr="00754A1D">
        <w:rPr>
          <w:rFonts w:ascii="Times New Roman" w:hAnsi="Times New Roman" w:cs="Times New Roman"/>
          <w:bCs/>
          <w:sz w:val="24"/>
          <w:szCs w:val="24"/>
          <w:lang w:val="en-US"/>
        </w:rPr>
        <w:t xml:space="preserve">, F-BAR and double SH3 domains protein 2 (also called Protein nervous wreck) </w:t>
      </w:r>
      <w:r w:rsidR="005163D1" w:rsidRPr="00754A1D">
        <w:rPr>
          <w:rFonts w:ascii="Times New Roman" w:hAnsi="Times New Roman" w:cs="Times New Roman"/>
          <w:bCs/>
          <w:sz w:val="24"/>
          <w:szCs w:val="24"/>
          <w:lang w:val="en-US"/>
        </w:rPr>
        <w:t xml:space="preserve">helps regulate the polymerization </w:t>
      </w:r>
      <w:r w:rsidR="0007180E" w:rsidRPr="00754A1D">
        <w:rPr>
          <w:rFonts w:ascii="Times New Roman" w:hAnsi="Times New Roman" w:cs="Times New Roman"/>
          <w:bCs/>
          <w:sz w:val="24"/>
          <w:szCs w:val="24"/>
          <w:lang w:val="en-US"/>
        </w:rPr>
        <w:t>of actin filament</w:t>
      </w:r>
      <w:r w:rsidR="00213D3F" w:rsidRPr="00754A1D">
        <w:rPr>
          <w:rFonts w:ascii="Times New Roman" w:hAnsi="Times New Roman" w:cs="Times New Roman"/>
          <w:bCs/>
          <w:sz w:val="24"/>
          <w:szCs w:val="24"/>
          <w:lang w:val="en-US"/>
        </w:rPr>
        <w:t>s</w:t>
      </w:r>
      <w:r w:rsidR="0007180E" w:rsidRPr="00754A1D">
        <w:rPr>
          <w:rFonts w:ascii="Times New Roman" w:hAnsi="Times New Roman" w:cs="Times New Roman"/>
          <w:bCs/>
          <w:sz w:val="24"/>
          <w:szCs w:val="24"/>
          <w:lang w:val="en-US"/>
        </w:rPr>
        <w:t xml:space="preserve"> during synaptic growth </w:t>
      </w:r>
      <w:r w:rsidR="0007180E"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{"citationID":"FKQkOoPg","properties":{"formattedCitation":"(O\\uc0\\u8217{}Connor-Giles et al. 2008; Rodal et al. 2008)","plainCitation":"(O’Connor-Giles et al. 2008; Rodal et al. 2008)","noteIndex":0},"citationItems":[{"id":2013,"uris":["http://zotero.org/users/local/QcSA6amT/items/6NTXQWYL"],"uri":["http://zotero.org/users/local/QcSA6amT/items/6NTXQWYL"],"itemData":{"id":2013,"type":"article-journal","abstract":"Regulation of synaptic growth is fundamental to the formation and plasticity of neural circuits. Here, we demonstrate that Nervous wreck (Nwk), a negative regulator of synaptic growth at Drosophila NMJs, interacts functionally and physically with components of the endocytic machinery, including dynamin and Dap160/intersectin, and negatively regulates retrograde BMP growth signaling through a direct interaction with the BMP receptor, thickveins. Synaptic overgrowth in nwk is sensitive to BMP signaling levels, and loss of Nwk facilitates BMP-induced overgrowth. Conversely, Nwk overexpression suppresses BMP-induced synaptic overgrowth. We observe analogous genetic interactions between dap160 and the BMP pathway, confirming that endocytosis regulates BMP signaling at NMJs. Finally, we demonstrate a correlation between synaptic growth and pMAD levels and show that Nwk regulates these levels. We propose that Nwk functions at the interface of endocytosis and BMP signaling to ensure proper synaptic growth by negatively regulating Tkv to set limits on this positive growth signal.","container-title":"Neuron","DOI":"10.1016/j.neuron.2008.03.007","ISSN":"0896-6273","issue":"4","journalAbbreviation":"Neuron","language":"en","page":"507-518","source":"ScienceDirect","title":"Nervous Wreck Interacts with Thickveins and the Endocytic Machinery to Attenuate Retrograde BMP Signaling during Synaptic Growth","volume":"58","author":[{"family":"O'Connor-Giles","given":"Kate M."},{"family":"Ho","given":"Ling Ling"},{"family":"Ganetzky","given":"Barry"}],"issued":{"date-parts":[["2008",5,22]]}}},{"id":2010,"uris":["http://zotero.org/users/local/QcSA6amT/items/U7UR4G3Q"],"uri":["http://zotero.org/users/local/QcSA6amT/items/U7UR4G3Q"],"itemData":{"id":2010,"type":"article-journal","abstract":"Regulation of synaptic morphology depends on endocytosis of activated growth signal receptors, but the mechanisms regulating this membrane-trafficking event are unclear. Actin polymerization mediated by Wiskott-Aldrich syndrome protein (WASp) and the actin-related protein 2/3 complex generates forces at multiple stages of endocytosis. FCH-BIN amphiphysin RVS (F-BAR)/SH3 domain proteins play key roles in this process by coordinating membrane deformation with WASp-dependent actin polymerization. However, it is not known how other WASp ligands, such as the small GTPase Cdc42, coordinate with F-BAR/SH3 proteins to regulate actin polymerization at membranes. Nervous Wreck (Nwk) is a conserved neuronal F-BAR/SH3 protein that localizes to periactive zones at the Drosophila larval neuromuscular junction (NMJ) and is required for regulation of synaptic growth via bone morphogenic protein signaling. Here, we show that Nwk interacts with the endocytic proteins dynamin and Dap160 and functions together with Cdc42 to promote WASp-mediated actin polymerization in vitro and to regulate synaptic growth in vivo. Cdc42 function is associated with Rab11-dependent recycling endosomes, and we show that Rab11 colocalizes with Nwk at the NMJ. Together, our results suggest that synaptic growth activated by growth factor signaling is controlled at an endosomal compartment via coordinated Nwk and Cdc42-dependent actin assembly.","container-title":"Journal of Neuroscience","DOI":"10.1523/JNEUROSCI.2304-08.2008","ISSN":"0270-6474, 1529-2401","issue":"33","journalAbbreviation":"J. Neurosci.","language":"en","note":"PMID: 18701694","page":"8316-8325","source":"www.jneurosci.org","title":"Nervous Wreck and Cdc42 Cooperate to Regulate Endocytic Actin Assembly during Synaptic Growth","volume":"28","author":[{"family":"Rodal","given":"Avital A."},{"family":"Motola-Barnes","given":"Rebecca N."},{"family":"Littleton","given":"J. Troy"}],"issued":{"date-parts":[["2008",8,13]]}}}],"schema":"https://github.com/citation-style-language/schema/raw/master/csl-citation.json"} </w:instrText>
      </w:r>
      <w:r w:rsidR="0007180E" w:rsidRPr="00754A1D">
        <w:rPr>
          <w:rFonts w:ascii="Times New Roman" w:hAnsi="Times New Roman" w:cs="Times New Roman"/>
          <w:bCs/>
          <w:sz w:val="24"/>
          <w:szCs w:val="24"/>
          <w:lang w:val="en-US"/>
        </w:rPr>
        <w:fldChar w:fldCharType="separate"/>
      </w:r>
      <w:r w:rsidR="0007180E" w:rsidRPr="00754A1D">
        <w:rPr>
          <w:rFonts w:ascii="Times New Roman" w:hAnsi="Times New Roman" w:cs="Times New Roman"/>
          <w:sz w:val="24"/>
          <w:szCs w:val="24"/>
          <w:lang w:val="en-US"/>
        </w:rPr>
        <w:t>(O’Connor-Giles et al. 2008; Rodal et al. 2008)</w:t>
      </w:r>
      <w:r w:rsidR="0007180E" w:rsidRPr="00754A1D">
        <w:rPr>
          <w:rFonts w:ascii="Times New Roman" w:hAnsi="Times New Roman" w:cs="Times New Roman"/>
          <w:bCs/>
          <w:sz w:val="24"/>
          <w:szCs w:val="24"/>
          <w:lang w:val="en-US"/>
        </w:rPr>
        <w:fldChar w:fldCharType="end"/>
      </w:r>
      <w:r w:rsidR="0007180E" w:rsidRPr="00754A1D">
        <w:rPr>
          <w:rFonts w:ascii="Times New Roman" w:hAnsi="Times New Roman" w:cs="Times New Roman"/>
          <w:bCs/>
          <w:sz w:val="24"/>
          <w:szCs w:val="24"/>
          <w:lang w:val="en-US"/>
        </w:rPr>
        <w:t xml:space="preserve">. </w:t>
      </w:r>
      <w:r w:rsidR="00257249" w:rsidRPr="00754A1D">
        <w:rPr>
          <w:rFonts w:ascii="Times New Roman" w:hAnsi="Times New Roman" w:cs="Times New Roman"/>
          <w:bCs/>
          <w:sz w:val="24"/>
          <w:szCs w:val="24"/>
          <w:lang w:val="en-US"/>
        </w:rPr>
        <w:t>The p</w:t>
      </w:r>
      <w:r w:rsidR="00FE3DEB" w:rsidRPr="00754A1D">
        <w:rPr>
          <w:rFonts w:ascii="Times New Roman" w:hAnsi="Times New Roman" w:cs="Times New Roman"/>
          <w:bCs/>
          <w:sz w:val="24"/>
          <w:szCs w:val="24"/>
          <w:lang w:val="en-US"/>
        </w:rPr>
        <w:t>rotein hu-li tai shao</w:t>
      </w:r>
      <w:r w:rsidR="00913305" w:rsidRPr="00754A1D">
        <w:rPr>
          <w:rFonts w:ascii="Times New Roman" w:hAnsi="Times New Roman" w:cs="Times New Roman"/>
          <w:bCs/>
          <w:sz w:val="24"/>
          <w:szCs w:val="24"/>
          <w:lang w:val="en-US"/>
        </w:rPr>
        <w:t xml:space="preserve">, </w:t>
      </w:r>
      <w:r w:rsidR="00B74C5E" w:rsidRPr="00754A1D">
        <w:rPr>
          <w:rFonts w:ascii="Times New Roman" w:hAnsi="Times New Roman" w:cs="Times New Roman"/>
          <w:bCs/>
          <w:sz w:val="24"/>
          <w:szCs w:val="24"/>
          <w:lang w:val="en-US"/>
        </w:rPr>
        <w:t xml:space="preserve">the only </w:t>
      </w:r>
      <w:r w:rsidR="001F3D26" w:rsidRPr="00754A1D">
        <w:rPr>
          <w:rFonts w:ascii="Times New Roman" w:hAnsi="Times New Roman" w:cs="Times New Roman"/>
          <w:bCs/>
          <w:sz w:val="24"/>
          <w:szCs w:val="24"/>
          <w:lang w:val="en-US"/>
        </w:rPr>
        <w:t>down</w:t>
      </w:r>
      <w:r w:rsidR="00B74C5E" w:rsidRPr="00754A1D">
        <w:rPr>
          <w:rFonts w:ascii="Times New Roman" w:hAnsi="Times New Roman" w:cs="Times New Roman"/>
          <w:bCs/>
          <w:sz w:val="24"/>
          <w:szCs w:val="24"/>
          <w:lang w:val="en-US"/>
        </w:rPr>
        <w:t xml:space="preserve">regulated protein in insects exposed to </w:t>
      </w:r>
      <w:r w:rsidR="00B74C5E" w:rsidRPr="00754A1D">
        <w:rPr>
          <w:rFonts w:ascii="Times New Roman" w:hAnsi="Times New Roman" w:cs="Times New Roman"/>
          <w:bCs/>
          <w:i/>
          <w:sz w:val="24"/>
          <w:szCs w:val="24"/>
          <w:lang w:val="en-US"/>
        </w:rPr>
        <w:t>M. arvensis</w:t>
      </w:r>
      <w:r w:rsidR="00B74C5E" w:rsidRPr="00754A1D">
        <w:rPr>
          <w:rFonts w:ascii="Times New Roman" w:hAnsi="Times New Roman" w:cs="Times New Roman"/>
          <w:bCs/>
          <w:sz w:val="24"/>
          <w:szCs w:val="24"/>
          <w:lang w:val="en-US"/>
        </w:rPr>
        <w:t xml:space="preserve"> </w:t>
      </w:r>
      <w:r w:rsidR="007D2EEC" w:rsidRPr="00754A1D">
        <w:rPr>
          <w:rFonts w:ascii="Times New Roman" w:hAnsi="Times New Roman" w:cs="Times New Roman"/>
          <w:bCs/>
          <w:sz w:val="24"/>
          <w:szCs w:val="24"/>
          <w:lang w:val="en-US"/>
        </w:rPr>
        <w:t>EO</w:t>
      </w:r>
      <w:r w:rsidR="00913305" w:rsidRPr="00754A1D">
        <w:rPr>
          <w:rFonts w:ascii="Times New Roman" w:hAnsi="Times New Roman" w:cs="Times New Roman"/>
          <w:bCs/>
          <w:sz w:val="24"/>
          <w:szCs w:val="24"/>
          <w:lang w:val="en-US"/>
        </w:rPr>
        <w:t>,</w:t>
      </w:r>
      <w:r w:rsidR="00B74C5E" w:rsidRPr="00754A1D">
        <w:rPr>
          <w:rFonts w:ascii="Times New Roman" w:hAnsi="Times New Roman" w:cs="Times New Roman"/>
          <w:bCs/>
          <w:sz w:val="24"/>
          <w:szCs w:val="24"/>
          <w:lang w:val="en-US"/>
        </w:rPr>
        <w:t xml:space="preserve"> </w:t>
      </w:r>
      <w:r w:rsidR="00723B0D" w:rsidRPr="00754A1D">
        <w:rPr>
          <w:rFonts w:ascii="Times New Roman" w:hAnsi="Times New Roman" w:cs="Times New Roman"/>
          <w:bCs/>
          <w:sz w:val="24"/>
          <w:szCs w:val="24"/>
          <w:lang w:val="en-US"/>
        </w:rPr>
        <w:t xml:space="preserve">is </w:t>
      </w:r>
      <w:r w:rsidR="000B5937" w:rsidRPr="00754A1D">
        <w:rPr>
          <w:rFonts w:ascii="Times New Roman" w:hAnsi="Times New Roman" w:cs="Times New Roman"/>
          <w:bCs/>
          <w:sz w:val="24"/>
          <w:szCs w:val="24"/>
          <w:lang w:val="en-US"/>
        </w:rPr>
        <w:t xml:space="preserve">crucial for normal neuromotor function </w:t>
      </w:r>
      <w:r w:rsidR="000B5937"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{"citationID":"BA6LfD1y","properties":{"formattedCitation":"(Ohler et al. 2011)","plainCitation":"(Ohler et al. 2011)","noteIndex":0},"citationItems":[{"id":1989,"uris":["http://zotero.org/users/local/QcSA6amT/items/SQ33WJUN"],"uri":["http://zotero.org/users/local/QcSA6amT/items/SQ33WJUN"],"itemData":{"id":1989,"type":"article-journal","abstract":"Neurons steer their axons towards their proper targets during development. Molecularly, a number of guidance receptors have been identified. The transmembrane protein Golden goal (Gogo) was reported previously to guide photoreceptor (R) axons in the Drosophila visual system. Here, we show that Hts, the Drosophila homologue of Adducin, physically interacts with Gogo's cytoplasmic domain via its head-neck domain. hts null mutants show similar defects in R axon guidance as do gogo mutants. Rescue experiments suggest that the C-terminal tail but not the MARCKS homology domain of Hts is required. Overexpression of either gogo or hts causes abnormally thick swellings of R8 axons in the medulla, but if both are co-overexpressed, R8 axons appear normal and the amount of excessive Hts is reduced. Our results fit with a model where Gogo both positively and negatively regulates Hts that affects the Actin-Spectrin cytoskeleton in growth cone filopodia, thereby guiding R axons.","container-title":"Developmental Dynamics: An Official Publication of the American Association of Anatomists","DOI":"10.1002/dvdy.22515","ISSN":"1097-0177","issue":"1","journalAbbreviation":"Dev. Dyn.","language":"eng","note":"PMID: 21128303","page":"135-148","source":"PubMed","title":"Hts, the Drosophila homologue of Adducin, physically interacts with the transmembrane receptor Golden goal to guide photoreceptor axons","volume":"240","author":[{"family":"Ohler","given":"Stephan"},{"family":"Hakeda-Suzuki","given":"Satoko"},{"family":"Suzuki","given":"Takashi"}],"issued":{"date-parts":[["2011",1]]}}}],"schema":"https://github.com/citation-style-language/schema/raw/master/csl-citation.json"} </w:instrText>
      </w:r>
      <w:r w:rsidR="000B5937" w:rsidRPr="00754A1D">
        <w:rPr>
          <w:rFonts w:ascii="Times New Roman" w:hAnsi="Times New Roman" w:cs="Times New Roman"/>
          <w:bCs/>
          <w:sz w:val="24"/>
          <w:szCs w:val="24"/>
          <w:lang w:val="en-US"/>
        </w:rPr>
        <w:fldChar w:fldCharType="separate"/>
      </w:r>
      <w:r w:rsidR="000B5937" w:rsidRPr="00754A1D">
        <w:rPr>
          <w:rFonts w:ascii="Times New Roman" w:hAnsi="Times New Roman" w:cs="Times New Roman"/>
          <w:sz w:val="24"/>
          <w:lang w:val="en-US"/>
        </w:rPr>
        <w:t>(Ohler et al. 2011)</w:t>
      </w:r>
      <w:r w:rsidR="000B5937" w:rsidRPr="00754A1D">
        <w:rPr>
          <w:rFonts w:ascii="Times New Roman" w:hAnsi="Times New Roman" w:cs="Times New Roman"/>
          <w:bCs/>
          <w:sz w:val="24"/>
          <w:szCs w:val="24"/>
          <w:lang w:val="en-US"/>
        </w:rPr>
        <w:fldChar w:fldCharType="end"/>
      </w:r>
      <w:r w:rsidR="00913305" w:rsidRPr="00754A1D">
        <w:rPr>
          <w:rFonts w:ascii="Times New Roman" w:hAnsi="Times New Roman" w:cs="Times New Roman"/>
          <w:bCs/>
          <w:sz w:val="24"/>
          <w:szCs w:val="24"/>
          <w:lang w:val="en-US"/>
        </w:rPr>
        <w:t xml:space="preserve"> </w:t>
      </w:r>
      <w:r w:rsidR="00257249" w:rsidRPr="00754A1D">
        <w:rPr>
          <w:rFonts w:ascii="Times New Roman" w:hAnsi="Times New Roman" w:cs="Times New Roman"/>
          <w:bCs/>
          <w:sz w:val="24"/>
          <w:szCs w:val="24"/>
          <w:lang w:val="en-US"/>
        </w:rPr>
        <w:t>and</w:t>
      </w:r>
      <w:r w:rsidR="001F3D26" w:rsidRPr="00754A1D">
        <w:rPr>
          <w:rFonts w:ascii="Times New Roman" w:hAnsi="Times New Roman" w:cs="Times New Roman"/>
          <w:bCs/>
          <w:sz w:val="24"/>
          <w:szCs w:val="24"/>
          <w:lang w:val="en-US"/>
        </w:rPr>
        <w:t xml:space="preserve"> </w:t>
      </w:r>
      <w:r w:rsidR="001C58D6" w:rsidRPr="00754A1D">
        <w:rPr>
          <w:rFonts w:ascii="Times New Roman" w:hAnsi="Times New Roman" w:cs="Times New Roman"/>
          <w:bCs/>
          <w:sz w:val="24"/>
          <w:szCs w:val="24"/>
          <w:lang w:val="en-US"/>
        </w:rPr>
        <w:t>is involved</w:t>
      </w:r>
      <w:r w:rsidR="001F3D26" w:rsidRPr="00754A1D">
        <w:rPr>
          <w:rFonts w:ascii="Times New Roman" w:hAnsi="Times New Roman" w:cs="Times New Roman"/>
          <w:bCs/>
          <w:sz w:val="24"/>
          <w:szCs w:val="24"/>
          <w:lang w:val="en-US"/>
        </w:rPr>
        <w:t xml:space="preserve"> </w:t>
      </w:r>
      <w:r w:rsidR="00723B0D" w:rsidRPr="00754A1D">
        <w:rPr>
          <w:rFonts w:ascii="Times New Roman" w:hAnsi="Times New Roman" w:cs="Times New Roman"/>
          <w:bCs/>
          <w:sz w:val="24"/>
          <w:szCs w:val="24"/>
          <w:lang w:val="en-US"/>
        </w:rPr>
        <w:t xml:space="preserve">in </w:t>
      </w:r>
      <w:r w:rsidR="00DC6A5D" w:rsidRPr="00754A1D">
        <w:rPr>
          <w:rFonts w:ascii="Times New Roman" w:hAnsi="Times New Roman" w:cs="Times New Roman"/>
          <w:bCs/>
          <w:sz w:val="24"/>
          <w:szCs w:val="24"/>
          <w:lang w:val="en-US"/>
        </w:rPr>
        <w:t>various</w:t>
      </w:r>
      <w:r w:rsidR="00723B0D" w:rsidRPr="00754A1D">
        <w:rPr>
          <w:rFonts w:ascii="Times New Roman" w:hAnsi="Times New Roman" w:cs="Times New Roman"/>
          <w:bCs/>
          <w:sz w:val="24"/>
          <w:szCs w:val="24"/>
          <w:lang w:val="en-US"/>
        </w:rPr>
        <w:t xml:space="preserve"> </w:t>
      </w:r>
      <w:r w:rsidR="001F3D26" w:rsidRPr="00754A1D">
        <w:rPr>
          <w:rFonts w:ascii="Times New Roman" w:hAnsi="Times New Roman" w:cs="Times New Roman"/>
          <w:bCs/>
          <w:sz w:val="24"/>
          <w:szCs w:val="24"/>
          <w:lang w:val="en-US"/>
        </w:rPr>
        <w:t xml:space="preserve">other </w:t>
      </w:r>
      <w:r w:rsidR="00723B0D" w:rsidRPr="00754A1D">
        <w:rPr>
          <w:rFonts w:ascii="Times New Roman" w:hAnsi="Times New Roman" w:cs="Times New Roman"/>
          <w:bCs/>
          <w:sz w:val="24"/>
          <w:szCs w:val="24"/>
          <w:lang w:val="en-US"/>
        </w:rPr>
        <w:t xml:space="preserve">biological processes, including oogenesis and </w:t>
      </w:r>
      <w:r w:rsidR="00112604" w:rsidRPr="00754A1D">
        <w:rPr>
          <w:rFonts w:ascii="Times New Roman" w:hAnsi="Times New Roman" w:cs="Times New Roman"/>
          <w:bCs/>
          <w:sz w:val="24"/>
          <w:szCs w:val="24"/>
          <w:lang w:val="en-US"/>
        </w:rPr>
        <w:t>cytoskeletal</w:t>
      </w:r>
      <w:r w:rsidR="00257249" w:rsidRPr="00754A1D">
        <w:rPr>
          <w:rFonts w:ascii="Times New Roman" w:hAnsi="Times New Roman" w:cs="Times New Roman"/>
          <w:bCs/>
          <w:sz w:val="24"/>
          <w:szCs w:val="24"/>
          <w:lang w:val="en-US"/>
        </w:rPr>
        <w:t xml:space="preserve"> organization </w:t>
      </w:r>
      <w:r w:rsidR="00913305" w:rsidRPr="00754A1D">
        <w:rPr>
          <w:rFonts w:ascii="Times New Roman" w:hAnsi="Times New Roman" w:cs="Times New Roman"/>
          <w:bCs/>
          <w:sz w:val="24"/>
          <w:szCs w:val="24"/>
          <w:lang w:val="en-US"/>
        </w:rPr>
        <w:t xml:space="preserve">for </w:t>
      </w:r>
      <w:r w:rsidR="00257249" w:rsidRPr="00754A1D">
        <w:rPr>
          <w:rFonts w:ascii="Times New Roman" w:hAnsi="Times New Roman" w:cs="Times New Roman"/>
          <w:bCs/>
          <w:sz w:val="24"/>
          <w:szCs w:val="24"/>
          <w:lang w:val="en-US"/>
        </w:rPr>
        <w:t xml:space="preserve">the </w:t>
      </w:r>
      <w:r w:rsidR="00913305" w:rsidRPr="00754A1D">
        <w:rPr>
          <w:rFonts w:ascii="Times New Roman" w:hAnsi="Times New Roman" w:cs="Times New Roman"/>
          <w:bCs/>
          <w:sz w:val="24"/>
          <w:szCs w:val="24"/>
          <w:lang w:val="en-US"/>
        </w:rPr>
        <w:t>development</w:t>
      </w:r>
      <w:r w:rsidR="00257249" w:rsidRPr="00754A1D">
        <w:rPr>
          <w:rFonts w:ascii="Times New Roman" w:hAnsi="Times New Roman" w:cs="Times New Roman"/>
          <w:bCs/>
          <w:sz w:val="24"/>
          <w:szCs w:val="24"/>
          <w:lang w:val="en-US"/>
        </w:rPr>
        <w:t xml:space="preserve"> of sarcomeres </w:t>
      </w:r>
      <w:r w:rsidR="00251722"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{"citationID":"xfI62cGg","properties":{"formattedCitation":"(Schnorrer et al. 2010; Pokrywka et al. 2014)","plainCitation":"(Schnorrer et al. 2010; Pokrywka et al. 2014)","noteIndex":0},"citationItems":[{"id":1994,"uris":["http://zotero.org/users/local/QcSA6amT/items/NRVDXL3S"],"uri":["http://zotero.org/users/local/QcSA6amT/items/NRVDXL3S"],"itemData":{"id":1994,"type":"article-journal","container-title":"Nature","DOI":"10.1038/nature08799","ISSN":"0028-0836, 1476-4687","issue":"7286","journalAbbreviation":"Nature","language":"en","page":"287-291","source":"DOI.org (Crossref)","title":"Systematic genetic analysis of muscle morphogenesis and function in Drosophila","volume":"464","author":[{"family":"Schnorrer","given":"Frank"},{"family":"Schönbauer","given":"Cornelia"},{"family":"Langer","given":"Christoph C. H."},{"family":"Dietzl","given":"Georg"},{"family":"Novatchkova","given":"Maria"},{"family":"Schernhuber","given":"Katharina"},{"family":"Fellner","given":"Michaela"},{"family":"Azaryan","given":"Anna"},{"family":"Radolf","given":"Martin"},{"family":"Stark","given":"Alexander"},{"family":"Keleman","given":"Krystyna"},{"family":"Dickson","given":"Barry J."}],"issued":{"date-parts":[["2010",3]]}}},{"id":1991,"uris":["http://zotero.org/users/local/QcSA6amT/items/PS7D92FW"],"uri":["http://zotero.org/users/local/QcSA6amT/items/PS7D92FW"],"itemData":{"id":1991,"type":"article-journal","abstract":"BACKGROUND: Cytoskeletal organization is essential for localization of developmentally significant molecules during Drosophila oogenesis. Swallow (Swa) and an isoform of Hu li tai shao (Ovhts-RC) have been implicated in the organization of actin filaments in developing oocytes but their precise roles have been obscured by the dependence of hts RNA localization on swa function. The functional significance of hts RNA localization in the oocyte has not been established.\nRESULTS: In this study we examine Ovhts-RC distribution and cytoskeletal organization under conditions in which Swa protein and/or hts RNA localization are perturbed. We find Swa is required for overall actin organization and for the maintenance of a distinct subset of microtubules in the oocyte. hts RNA localization modulates the distribution of Ovhts-RC in the oocyte and, in turn, local actin filament proliferation.\nCONCLUSIONS: Our results support separate contributions of Swa and hts RNA localization to actin organization during oogenesis. Swa is crucial for the organization of actin networks that lead to the formation of a specialized microtubule population, while Ovhts-RC acts to modulate spatially restricted actin filament growth at the oocyte cortex. This suggests RNA localization can lead to modifications of both the actin and microtubule cytoskeletons at specific subcellular locales.","container-title":"Developmental Dynamics: An Official Publication of the American Association of Anatomists","DOI":"10.1002/dvdy.24132","ISSN":"1097-0177","issue":"7","journalAbbreviation":"Dev. Dyn.","language":"eng","note":"PMID: 24677508","page":"906-916","source":"PubMed","title":"Distinct roles for hu li tai shao and swallow in cytoskeletal organization during Drosophila oogenesis","volume":"243","author":[{"family":"Pokrywka","given":"Nancy Jo"},{"family":"Zhang","given":"Huadi"},{"family":"Raley-Susman","given":"Kathleen"}],"issued":{"date-parts":[["2014",7]]}}}],"schema":"https://github.com/citation-style-language/schema/raw/master/csl-citation.json"} </w:instrText>
      </w:r>
      <w:r w:rsidR="00251722" w:rsidRPr="00754A1D">
        <w:rPr>
          <w:rFonts w:ascii="Times New Roman" w:hAnsi="Times New Roman" w:cs="Times New Roman"/>
          <w:bCs/>
          <w:sz w:val="24"/>
          <w:szCs w:val="24"/>
          <w:lang w:val="en-US"/>
        </w:rPr>
        <w:fldChar w:fldCharType="separate"/>
      </w:r>
      <w:r w:rsidR="00B74C5E" w:rsidRPr="00754A1D">
        <w:rPr>
          <w:rFonts w:ascii="Times New Roman" w:hAnsi="Times New Roman" w:cs="Times New Roman"/>
          <w:sz w:val="24"/>
          <w:lang w:val="en-US"/>
        </w:rPr>
        <w:t>(Schnorrer et al. 2010; Pokrywka et al. 2014)</w:t>
      </w:r>
      <w:r w:rsidR="00251722" w:rsidRPr="00754A1D">
        <w:rPr>
          <w:rFonts w:ascii="Times New Roman" w:hAnsi="Times New Roman" w:cs="Times New Roman"/>
          <w:bCs/>
          <w:sz w:val="24"/>
          <w:szCs w:val="24"/>
          <w:lang w:val="en-US"/>
        </w:rPr>
        <w:fldChar w:fldCharType="end"/>
      </w:r>
      <w:r w:rsidR="00251722" w:rsidRPr="00754A1D">
        <w:rPr>
          <w:rFonts w:ascii="Times New Roman" w:hAnsi="Times New Roman" w:cs="Times New Roman"/>
          <w:bCs/>
          <w:sz w:val="24"/>
          <w:szCs w:val="24"/>
          <w:lang w:val="en-US"/>
        </w:rPr>
        <w:t xml:space="preserve">. </w:t>
      </w:r>
      <w:r w:rsidR="00112604" w:rsidRPr="00754A1D">
        <w:rPr>
          <w:rFonts w:ascii="Times New Roman" w:hAnsi="Times New Roman" w:cs="Times New Roman"/>
          <w:bCs/>
          <w:sz w:val="24"/>
          <w:szCs w:val="24"/>
          <w:lang w:val="en-US"/>
        </w:rPr>
        <w:t xml:space="preserve">In addition </w:t>
      </w:r>
      <w:r w:rsidR="00C97D79" w:rsidRPr="00754A1D">
        <w:rPr>
          <w:rFonts w:ascii="Times New Roman" w:hAnsi="Times New Roman" w:cs="Times New Roman"/>
          <w:bCs/>
          <w:sz w:val="24"/>
          <w:szCs w:val="24"/>
          <w:lang w:val="en-US"/>
        </w:rPr>
        <w:t>to this</w:t>
      </w:r>
      <w:r w:rsidR="00112604" w:rsidRPr="00754A1D">
        <w:rPr>
          <w:rFonts w:ascii="Times New Roman" w:hAnsi="Times New Roman" w:cs="Times New Roman"/>
          <w:bCs/>
          <w:sz w:val="24"/>
          <w:szCs w:val="24"/>
          <w:lang w:val="en-US"/>
        </w:rPr>
        <w:t>, there is</w:t>
      </w:r>
      <w:r w:rsidR="00C97D79" w:rsidRPr="00754A1D">
        <w:rPr>
          <w:rFonts w:ascii="Times New Roman" w:hAnsi="Times New Roman" w:cs="Times New Roman"/>
          <w:bCs/>
          <w:sz w:val="24"/>
          <w:szCs w:val="24"/>
          <w:lang w:val="en-US"/>
        </w:rPr>
        <w:t xml:space="preserve"> the upregulation </w:t>
      </w:r>
      <w:r w:rsidR="00DC6A5D" w:rsidRPr="00754A1D">
        <w:rPr>
          <w:rFonts w:ascii="Times New Roman" w:hAnsi="Times New Roman" w:cs="Times New Roman"/>
          <w:bCs/>
          <w:sz w:val="24"/>
          <w:szCs w:val="24"/>
          <w:lang w:val="en-US"/>
        </w:rPr>
        <w:t xml:space="preserve">of </w:t>
      </w:r>
      <w:r w:rsidR="00EA26DF" w:rsidRPr="00754A1D">
        <w:rPr>
          <w:rFonts w:ascii="Times New Roman" w:hAnsi="Times New Roman" w:cs="Times New Roman"/>
          <w:bCs/>
          <w:sz w:val="24"/>
          <w:szCs w:val="24"/>
          <w:lang w:val="en-US"/>
        </w:rPr>
        <w:t xml:space="preserve">key effectors </w:t>
      </w:r>
      <w:r w:rsidR="00F67571" w:rsidRPr="00754A1D">
        <w:rPr>
          <w:rFonts w:ascii="Times New Roman" w:hAnsi="Times New Roman" w:cs="Times New Roman"/>
          <w:bCs/>
          <w:sz w:val="24"/>
          <w:szCs w:val="24"/>
          <w:lang w:val="en-US"/>
        </w:rPr>
        <w:t xml:space="preserve">involved in the development and functioning of the </w:t>
      </w:r>
      <w:r w:rsidR="00F67571" w:rsidRPr="00754A1D">
        <w:rPr>
          <w:rFonts w:ascii="Times New Roman" w:hAnsi="Times New Roman" w:cs="Times New Roman"/>
          <w:bCs/>
          <w:sz w:val="24"/>
          <w:szCs w:val="24"/>
          <w:lang w:val="en-US"/>
        </w:rPr>
        <w:lastRenderedPageBreak/>
        <w:t>sensory nervous system</w:t>
      </w:r>
      <w:r w:rsidR="00C97D79" w:rsidRPr="00754A1D">
        <w:rPr>
          <w:rFonts w:ascii="Times New Roman" w:hAnsi="Times New Roman" w:cs="Times New Roman"/>
          <w:bCs/>
          <w:sz w:val="24"/>
          <w:szCs w:val="24"/>
          <w:lang w:val="en-US"/>
        </w:rPr>
        <w:t xml:space="preserve">. </w:t>
      </w:r>
      <w:r w:rsidR="0017758C" w:rsidRPr="00754A1D">
        <w:rPr>
          <w:rFonts w:ascii="Times New Roman" w:hAnsi="Times New Roman" w:cs="Times New Roman"/>
          <w:bCs/>
          <w:sz w:val="24"/>
          <w:szCs w:val="24"/>
          <w:lang w:val="en-US"/>
        </w:rPr>
        <w:t>These include</w:t>
      </w:r>
      <w:r w:rsidR="00C97D79" w:rsidRPr="00754A1D">
        <w:rPr>
          <w:rFonts w:ascii="Times New Roman" w:hAnsi="Times New Roman" w:cs="Times New Roman"/>
          <w:bCs/>
          <w:sz w:val="24"/>
          <w:szCs w:val="24"/>
          <w:lang w:val="en-US"/>
        </w:rPr>
        <w:t xml:space="preserve"> </w:t>
      </w:r>
      <w:r w:rsidR="00A31DDB" w:rsidRPr="00754A1D">
        <w:rPr>
          <w:rFonts w:ascii="Times New Roman" w:hAnsi="Times New Roman" w:cs="Times New Roman"/>
          <w:bCs/>
          <w:sz w:val="24"/>
          <w:szCs w:val="24"/>
          <w:lang w:val="en-US"/>
        </w:rPr>
        <w:t>COP9 sign</w:t>
      </w:r>
      <w:r w:rsidR="00C97D79" w:rsidRPr="00754A1D">
        <w:rPr>
          <w:rFonts w:ascii="Times New Roman" w:hAnsi="Times New Roman" w:cs="Times New Roman"/>
          <w:bCs/>
          <w:sz w:val="24"/>
          <w:szCs w:val="24"/>
          <w:lang w:val="en-US"/>
        </w:rPr>
        <w:t xml:space="preserve">alosome complex subunit </w:t>
      </w:r>
      <w:r w:rsidR="00913305" w:rsidRPr="00754A1D">
        <w:rPr>
          <w:rFonts w:ascii="Times New Roman" w:hAnsi="Times New Roman" w:cs="Times New Roman"/>
          <w:bCs/>
          <w:sz w:val="24"/>
          <w:szCs w:val="24"/>
          <w:lang w:val="en-US"/>
        </w:rPr>
        <w:t>1</w:t>
      </w:r>
      <w:r w:rsidR="00C97D79" w:rsidRPr="00754A1D">
        <w:rPr>
          <w:rFonts w:ascii="Times New Roman" w:hAnsi="Times New Roman" w:cs="Times New Roman"/>
          <w:bCs/>
          <w:sz w:val="24"/>
          <w:szCs w:val="24"/>
          <w:lang w:val="en-US"/>
        </w:rPr>
        <w:t xml:space="preserve"> </w:t>
      </w:r>
      <w:r w:rsidR="00D70FC9" w:rsidRPr="00754A1D">
        <w:rPr>
          <w:rFonts w:ascii="Times New Roman" w:hAnsi="Times New Roman" w:cs="Times New Roman"/>
          <w:bCs/>
          <w:sz w:val="24"/>
          <w:szCs w:val="24"/>
          <w:lang w:val="en-US"/>
        </w:rPr>
        <w:t xml:space="preserve">which </w:t>
      </w:r>
      <w:r w:rsidR="00C97D79" w:rsidRPr="00754A1D">
        <w:rPr>
          <w:rFonts w:ascii="Times New Roman" w:hAnsi="Times New Roman" w:cs="Times New Roman"/>
          <w:bCs/>
          <w:sz w:val="24"/>
          <w:szCs w:val="24"/>
          <w:lang w:val="en-US"/>
        </w:rPr>
        <w:t xml:space="preserve">is </w:t>
      </w:r>
      <w:r w:rsidR="00A31DDB" w:rsidRPr="00754A1D">
        <w:rPr>
          <w:rFonts w:ascii="Times New Roman" w:hAnsi="Times New Roman" w:cs="Times New Roman"/>
          <w:bCs/>
          <w:sz w:val="24"/>
          <w:szCs w:val="24"/>
          <w:lang w:val="en-US"/>
        </w:rPr>
        <w:t xml:space="preserve">involved </w:t>
      </w:r>
      <w:r w:rsidR="00C97D79" w:rsidRPr="00754A1D">
        <w:rPr>
          <w:rFonts w:ascii="Times New Roman" w:hAnsi="Times New Roman" w:cs="Times New Roman"/>
          <w:bCs/>
          <w:sz w:val="24"/>
          <w:szCs w:val="24"/>
          <w:lang w:val="en-US"/>
        </w:rPr>
        <w:t xml:space="preserve">in </w:t>
      </w:r>
      <w:proofErr w:type="spellStart"/>
      <w:r w:rsidR="00A31DDB" w:rsidRPr="00754A1D">
        <w:rPr>
          <w:rFonts w:ascii="Times New Roman" w:hAnsi="Times New Roman" w:cs="Times New Roman"/>
          <w:bCs/>
          <w:sz w:val="24"/>
          <w:szCs w:val="24"/>
          <w:lang w:val="en-US"/>
        </w:rPr>
        <w:t>axonogenesis</w:t>
      </w:r>
      <w:proofErr w:type="spellEnd"/>
      <w:r w:rsidR="00A31DDB" w:rsidRPr="00754A1D">
        <w:rPr>
          <w:rFonts w:ascii="Times New Roman" w:hAnsi="Times New Roman" w:cs="Times New Roman"/>
          <w:bCs/>
          <w:sz w:val="24"/>
          <w:szCs w:val="24"/>
          <w:lang w:val="en-US"/>
        </w:rPr>
        <w:t xml:space="preserve"> and </w:t>
      </w:r>
      <w:r w:rsidR="00112604" w:rsidRPr="00754A1D">
        <w:rPr>
          <w:rFonts w:ascii="Times New Roman" w:hAnsi="Times New Roman" w:cs="Times New Roman"/>
          <w:bCs/>
          <w:sz w:val="24"/>
          <w:szCs w:val="24"/>
          <w:lang w:val="en-US"/>
        </w:rPr>
        <w:t xml:space="preserve">differentiation of </w:t>
      </w:r>
      <w:r w:rsidR="004F44D0" w:rsidRPr="00754A1D">
        <w:rPr>
          <w:rFonts w:ascii="Times New Roman" w:hAnsi="Times New Roman" w:cs="Times New Roman"/>
          <w:bCs/>
          <w:sz w:val="24"/>
          <w:szCs w:val="24"/>
          <w:lang w:val="en-US"/>
        </w:rPr>
        <w:t>photoreceptor cell</w:t>
      </w:r>
      <w:r w:rsidR="00112604" w:rsidRPr="00754A1D">
        <w:rPr>
          <w:rFonts w:ascii="Times New Roman" w:hAnsi="Times New Roman" w:cs="Times New Roman"/>
          <w:bCs/>
          <w:sz w:val="24"/>
          <w:szCs w:val="24"/>
          <w:lang w:val="en-US"/>
        </w:rPr>
        <w:t xml:space="preserve">s </w:t>
      </w:r>
      <w:r w:rsidR="00221BEA"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{"citationID":"OCrUpQI5","properties":{"formattedCitation":"(Suh et al. 2002; Wei and Deng 2003)","plainCitation":"(Suh et al. 2002; Wei and Deng 2003)","noteIndex":0},"citationItems":[{"id":2108,"uris":["http://zotero.org/users/local/QcSA6amT/items/SVYCY86G"],"uri":["http://zotero.org/users/local/QcSA6amT/items/SVYCY86G"],"itemData":{"id":2108,"type":"article-journal","abstract":"Different classes of photoreceptor neurons (R cells) in the Drosophila compound eye form connections in different optic ganglia. The R1-R6 subclass connects to the first optic ganglion, the lamina, and relies upon glial cells as intermediate targets. Conversely, R cells promote glial cell development including migration of glial cells into the target region. Here, we show that the JAB1/CSN5 subunit of the COP9 signalosome complex is expressed in R cells, accumulates in the developing optic lobe neuropil, and through the analysis of a unique set of missense mutations, is required in R cells to induce lamina glial cell migration. In these CSN5 alleles, R1-R6 targeting is disrupted. Genetic analysis of protein null alleles further revealed that the COP9 signalosome is required at an earlier stage of development for R cell differentiation.","container-title":"Neuron","DOI":"10.1016/S0896-6273(01)00576-1","ISSN":"0896-6273","issue":"1","journalAbbreviation":"Neuron","language":"en","page":"35-46","source":"ScienceDirect","title":"Drosophila JAB1/CSN5 Acts in Photoreceptor Cells to Induce Glial Cells","volume":"33","author":[{"family":"Suh","given":"Greg S. B."},{"family":"Poeck","given":"Burkhard"},{"family":"Chouard","given":"Tanguy"},{"family":"Oron","given":"Efrat"},{"family":"Segal","given":"Daniel"},{"family":"Chamovitz","given":"Daniel A."},{"family":"Zipursky","given":"S. Lawrence"}],"issued":{"date-parts":[["2002",1,3]]}}},{"id":2111,"uris":["http://zotero.org/users/local/QcSA6amT/items/SVY4GEAA"],"uri":["http://zotero.org/users/local/QcSA6amT/items/SVY4GEAA"],"itemData":{"id":2111,"type":"article-journal","abstract":"The COP9 signalosome (CSN) is composed of eight distinct subunits and is highly homologous to the lid sub-complex of the 26S proteasome. CSN was initially defined as a repressor of photomorphogenesis in Arabidopsis, and it has now been found to participate in diverse cellular and developmental processes in various eukaryotic organisms. Recently, CSN was revealed to have a metalloprotease activity centered in the CSN5/Jab1 subunit, which removes the post-translational modification of a ubiquitin-like protein, Nedd8/Rub1, from the cullin component of SCF ubiquitin E3 ligase (i.e., de-neddylation). In addition, CSN is associated with de-ubiquitination activity and protein kinase activities capable of phosphorylating important signaling regulators. The involvement of CSN in a number of cellular and developmental processes has been attributed to its control over ubiquitin-proteasome-mediated protein degradation.","container-title":"Annual Review of Cell and Developmental Biology","DOI":"10.1146/annurev.cellbio.19.111301.112449","issue":"1","note":"PMID: 14570571","page":"261-286","source":"Annual Reviews","title":"The COP9 Signalosome","volume":"19","author":[{"family":"Wei","given":"Ning"},{"family":"Deng","given":"Xing Wang"}],"issued":{"date-parts":[["2003"]]}}}],"schema":"https://github.com/citation-style-language/schema/raw/master/csl-citation.json"} </w:instrText>
      </w:r>
      <w:r w:rsidR="00221BEA" w:rsidRPr="00754A1D">
        <w:rPr>
          <w:rFonts w:ascii="Times New Roman" w:hAnsi="Times New Roman" w:cs="Times New Roman"/>
          <w:bCs/>
          <w:sz w:val="24"/>
          <w:szCs w:val="24"/>
          <w:lang w:val="en-US"/>
        </w:rPr>
        <w:fldChar w:fldCharType="separate"/>
      </w:r>
      <w:r w:rsidR="00221BEA" w:rsidRPr="00754A1D">
        <w:rPr>
          <w:rFonts w:ascii="Times New Roman" w:hAnsi="Times New Roman" w:cs="Times New Roman"/>
          <w:sz w:val="24"/>
          <w:lang w:val="en-US"/>
        </w:rPr>
        <w:t>(Suh et al. 2002; Wei and Deng 2003)</w:t>
      </w:r>
      <w:r w:rsidR="00221BEA" w:rsidRPr="00754A1D">
        <w:rPr>
          <w:rFonts w:ascii="Times New Roman" w:hAnsi="Times New Roman" w:cs="Times New Roman"/>
          <w:bCs/>
          <w:sz w:val="24"/>
          <w:szCs w:val="24"/>
          <w:lang w:val="en-US"/>
        </w:rPr>
        <w:fldChar w:fldCharType="end"/>
      </w:r>
      <w:r w:rsidR="00A31DDB" w:rsidRPr="00754A1D">
        <w:rPr>
          <w:rFonts w:ascii="Times New Roman" w:hAnsi="Times New Roman" w:cs="Times New Roman"/>
          <w:bCs/>
          <w:sz w:val="24"/>
          <w:szCs w:val="24"/>
          <w:lang w:val="en-US"/>
        </w:rPr>
        <w:t>.</w:t>
      </w:r>
      <w:r w:rsidR="007B3B0F" w:rsidRPr="00754A1D">
        <w:rPr>
          <w:rFonts w:ascii="Times New Roman" w:hAnsi="Times New Roman" w:cs="Times New Roman"/>
          <w:bCs/>
          <w:sz w:val="24"/>
          <w:szCs w:val="24"/>
          <w:lang w:val="en-US"/>
        </w:rPr>
        <w:t xml:space="preserve"> </w:t>
      </w:r>
      <w:r w:rsidR="00D70FC9" w:rsidRPr="00754A1D">
        <w:rPr>
          <w:rFonts w:ascii="Times New Roman" w:hAnsi="Times New Roman" w:cs="Times New Roman"/>
          <w:bCs/>
          <w:sz w:val="24"/>
          <w:szCs w:val="24"/>
          <w:lang w:val="en-US"/>
        </w:rPr>
        <w:t>The g</w:t>
      </w:r>
      <w:r w:rsidR="00913305" w:rsidRPr="00754A1D">
        <w:rPr>
          <w:rFonts w:ascii="Times New Roman" w:hAnsi="Times New Roman" w:cs="Times New Roman"/>
          <w:bCs/>
          <w:sz w:val="24"/>
          <w:szCs w:val="24"/>
          <w:lang w:val="en-US"/>
        </w:rPr>
        <w:t xml:space="preserve">uanine nucleotide-binding protein G(o) subunit alpha </w:t>
      </w:r>
      <w:r w:rsidR="007D2EEC" w:rsidRPr="00754A1D">
        <w:rPr>
          <w:rFonts w:ascii="Times New Roman" w:hAnsi="Times New Roman" w:cs="Times New Roman"/>
          <w:bCs/>
          <w:sz w:val="24"/>
          <w:szCs w:val="24"/>
          <w:lang w:val="en-US"/>
        </w:rPr>
        <w:t xml:space="preserve">was also upregulated. It is </w:t>
      </w:r>
      <w:r w:rsidR="001C301D" w:rsidRPr="00754A1D">
        <w:rPr>
          <w:rFonts w:ascii="Times New Roman" w:hAnsi="Times New Roman" w:cs="Times New Roman"/>
          <w:bCs/>
          <w:sz w:val="24"/>
          <w:szCs w:val="24"/>
          <w:lang w:val="en-US"/>
        </w:rPr>
        <w:t>one of</w:t>
      </w:r>
      <w:r w:rsidR="005F3057" w:rsidRPr="00754A1D">
        <w:rPr>
          <w:rFonts w:ascii="Times New Roman" w:hAnsi="Times New Roman" w:cs="Times New Roman"/>
          <w:bCs/>
          <w:sz w:val="24"/>
          <w:szCs w:val="24"/>
          <w:lang w:val="en-US"/>
        </w:rPr>
        <w:t xml:space="preserve"> </w:t>
      </w:r>
      <w:r w:rsidR="007B3B0F" w:rsidRPr="00754A1D">
        <w:rPr>
          <w:rFonts w:ascii="Times New Roman" w:hAnsi="Times New Roman" w:cs="Times New Roman"/>
          <w:bCs/>
          <w:sz w:val="24"/>
          <w:szCs w:val="24"/>
          <w:lang w:val="en-US"/>
        </w:rPr>
        <w:t>the most abundant G protein in nervous tissue</w:t>
      </w:r>
      <w:r w:rsidR="00112604" w:rsidRPr="00754A1D">
        <w:rPr>
          <w:rFonts w:ascii="Times New Roman" w:hAnsi="Times New Roman" w:cs="Times New Roman"/>
          <w:bCs/>
          <w:sz w:val="24"/>
          <w:szCs w:val="24"/>
          <w:lang w:val="en-US"/>
        </w:rPr>
        <w:t>s</w:t>
      </w:r>
      <w:r w:rsidR="007B3B0F" w:rsidRPr="00754A1D">
        <w:rPr>
          <w:rFonts w:ascii="Times New Roman" w:hAnsi="Times New Roman" w:cs="Times New Roman"/>
          <w:bCs/>
          <w:sz w:val="24"/>
          <w:szCs w:val="24"/>
          <w:lang w:val="en-US"/>
        </w:rPr>
        <w:t xml:space="preserve"> and is involved in neurodevelopment, hea</w:t>
      </w:r>
      <w:r w:rsidR="001C301D" w:rsidRPr="00754A1D">
        <w:rPr>
          <w:rFonts w:ascii="Times New Roman" w:hAnsi="Times New Roman" w:cs="Times New Roman"/>
          <w:bCs/>
          <w:sz w:val="24"/>
          <w:szCs w:val="24"/>
          <w:lang w:val="en-US"/>
        </w:rPr>
        <w:t xml:space="preserve">rt morphogenesis and </w:t>
      </w:r>
      <w:r w:rsidR="00A60CA2" w:rsidRPr="00754A1D">
        <w:rPr>
          <w:rFonts w:ascii="Times New Roman" w:hAnsi="Times New Roman" w:cs="Times New Roman"/>
          <w:bCs/>
          <w:sz w:val="24"/>
          <w:szCs w:val="24"/>
          <w:lang w:val="en-US"/>
        </w:rPr>
        <w:t xml:space="preserve">the </w:t>
      </w:r>
      <w:r w:rsidR="007B3B0F" w:rsidRPr="00754A1D">
        <w:rPr>
          <w:rFonts w:ascii="Times New Roman" w:hAnsi="Times New Roman" w:cs="Times New Roman"/>
          <w:bCs/>
          <w:sz w:val="24"/>
          <w:szCs w:val="24"/>
          <w:lang w:val="en-US"/>
        </w:rPr>
        <w:t xml:space="preserve">sensory perception of sweet taste </w:t>
      </w:r>
      <w:r w:rsidR="007B3B0F"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{"citationID":"rXKCuahg","properties":{"formattedCitation":"(Yi et al. 2008; Bredendiek et al. 2011; Koon and Budnik 2012)","plainCitation":"(Yi et al. 2008; Bredendiek et al. 2011; Koon and Budnik 2012)","noteIndex":0},"citationItems":[{"id":2172,"uris":["http://zotero.org/users/local/QcSA6amT/items/BKKUCLAR"],"uri":["http://zotero.org/users/local/QcSA6amT/items/BKKUCLAR"],"itemData":{"id":2172,"type":"article-journal","abstract":"The gene networks regulating heart morphology and cardiac integrity are largely unknown. We previously reported a role for the heterotrimeric G protein gamma subunit 1 (Ggamma1) in mediating cardial-pericardial cell adhesion in Drosophila. Here we show G-oalpha47A and Gbeta13F cooperate with Ggamma1 to maintain cardiac integrity. Cardial-pericardial cell adhesion also relies on the septate junction (SJ) proteins Neurexin-IV (Nrx-IV), Sinuous, Coracle, and Nervana2, which together function in a common pathway with Ggamma1. Furthermore, Ggamma1 signaling is required for proper SJ protein localization, and loss of at least one SJ protein, Nrx-IV, induces cardiac lumen collapse. These results are surprising because the embryonic heart lacks SJs and suggest that SJ proteins perform noncanonical functions to maintain cardiac integrity in Drosophila. Our findings unveil the components of a previously unrecognized network of genes that couple G protein signaling with structural constituents of the heart.","container-title":"Developmental Cell","DOI":"10.1016/j.devcel.2008.10.001","ISSN":"1878-1551","issue":"5","journalAbbreviation":"Dev. Cell","language":"eng","note":"PMID: 19000835\nPMCID: PMC2736786","page":"704-713","source":"PubMed","title":"Heterotrimeric G proteins regulate a noncanonical function of septate junction proteins to maintain cardiac integrity in Drosophila","volume":"15","author":[{"family":"Yi","given":"Peng"},{"family":"Johnson","given":"Aaron N."},{"family":"Han","given":"Zhe"},{"family":"Wu","given":"Jiang"},{"family":"Olson","given":"Eric N."}],"issued":{"date-parts":[["2008",11]]}}},{"id":2169,"uris":["http://zotero.org/users/local/QcSA6amT/items/9Q9DEGFX"],"uri":["http://zotero.org/users/local/QcSA6amT/items/9Q9DEGFX"],"itemData":{"id":2169,"type":"article-journal","abstract":"Detection of chemical compounds in food sources is based on the activation of 7 transmembrane gustatory receptors (GRs) in mammals and in insects such as Drosophila, although the receptors are not conserved between the classes. Different combinations of Drosophila GRs are involved in the detection of sugars, but the activated signaling cascades are largely unknown. Because 7 transmembrane receptors usually couple to G-proteins, we tried to unravel the intracellular signaling cascade in taste neurons by screening heterotrimeric G-protein mutant flies for gustatory deficits. We found the subunit Goα to be involved in feeding behavior and cell excitability by different transgenic and pharmacological approaches. Goα is involved in the detection of sucrose, glucose, and fructose, but not with trehalose and maltose. Our studies reveal that Goα plays an important role in the perception of some sweet tastants. Because the perception of other sweet stimuli was not affected by mutations in Goα, we also found strong indication for the existence of multiple signaling pathways in the insect gustatory system.","container-title":"Chemical Senses","DOI":"10.1093/chemse/bjq100","ISSN":"1464-3553","issue":"1","journalAbbreviation":"Chem. Senses","language":"eng","note":"PMID: 20940344","page":"69-81","source":"PubMed","title":"Go α is involved in sugar perception in Drosophila","volume":"36","author":[{"family":"Bredendiek","given":"Nico"},{"family":"Hütte","given":"Jan"},{"family":"Steingräber","given":"Annika"},{"family":"Hatt","given":"Hanns"},{"family":"Gisselmann","given":"Günter"},{"family":"Neuhaus","given":"Eva M."}],"issued":{"date-parts":[["2011",1]]}}},{"id":2165,"uris":["http://zotero.org/users/local/QcSA6amT/items/JSKCAHYQ"],"uri":["http://zotero.org/users/local/QcSA6amT/items/JSKCAHYQ"],"itemData":{"id":2165,"type":"article-journal","abstract":"Adrenergic receptors and their ligands are important regulators of synaptic plasticity and metaplasticity, but the exact mechanisms underlying their action are still poorly understood. Octopamine, the invertebrate homolog of mammalian adrenaline or noradrenaline, plays important roles in modulating behavior and synaptic functions. We previously uncovered an octopaminergic positive-feedback mechanism to regulate structural synaptic plasticity during development and in response to starvation. Under this mechanism, activation of Octß2R autoreceptors by octopamine at octopaminergic neurons initiated a cAMP-dependent cascade that stimulated the development of new synaptic boutons at the Drosophila larval neuromuscular junction (NMJ). However, the regulatory mechanisms that served to brake such positive feedback were not known. Here, we report the presence of an alternative octopamine autoreceptor, Octß1R, with antagonistic functions on synaptic growth. Mutations in octß1r result in the overgrowth of both glutamatergic and octopaminergic NMJs, suggesting that Octß1R is a negative regulator of synaptic expansion. As Octß2R, Octß1R functioned in a cell-autonomous manner at presynaptic motorneurons. However, unlike Octß2R, which activated a cAMP pathway, Octß1R likely inhibited cAMP production through inhibitory Goα. Despite its inhibitory role, Octß1R was required for acute changes in synaptic structure in response to octopamine and for starvation-induced increase in locomotor speed. These results demonstrate the dual action of octopamine on synaptic growth and behavioral plasticity, and highlight the important role of inhibitory influences for normal responses to physiological stimuli.","container-title":"Journal of Neuroscience","DOI":"10.1523/JNEUROSCI.6517-11.2012","ISSN":"0270-6474, 1529-2401","issue":"18","journalAbbreviation":"J. Neurosci.","language":"en","note":"PMID: 22553037","page":"6312-6322","source":"www.jneurosci.org","title":"Inhibitory Control of Synaptic and Behavioral Plasticity by Octopaminergic Signaling","volume":"32","author":[{"family":"Koon","given":"Alex C."},{"family":"Budnik","given":"Vivian"}],"issued":{"date-parts":[["2012",5,2]]}}}],"schema":"https://github.com/citation-style-language/schema/raw/master/csl-citation.json"} </w:instrText>
      </w:r>
      <w:r w:rsidR="007B3B0F" w:rsidRPr="00754A1D">
        <w:rPr>
          <w:rFonts w:ascii="Times New Roman" w:hAnsi="Times New Roman" w:cs="Times New Roman"/>
          <w:bCs/>
          <w:sz w:val="24"/>
          <w:szCs w:val="24"/>
          <w:lang w:val="en-US"/>
        </w:rPr>
        <w:fldChar w:fldCharType="separate"/>
      </w:r>
      <w:r w:rsidR="007B3B0F" w:rsidRPr="00754A1D">
        <w:rPr>
          <w:rFonts w:ascii="Times New Roman" w:hAnsi="Times New Roman" w:cs="Times New Roman"/>
          <w:sz w:val="24"/>
          <w:lang w:val="en-US"/>
        </w:rPr>
        <w:t>(Yi et al. 2008; Bredendiek et al. 2011; Koon and Budnik 2012)</w:t>
      </w:r>
      <w:r w:rsidR="007B3B0F" w:rsidRPr="00754A1D">
        <w:rPr>
          <w:rFonts w:ascii="Times New Roman" w:hAnsi="Times New Roman" w:cs="Times New Roman"/>
          <w:bCs/>
          <w:sz w:val="24"/>
          <w:szCs w:val="24"/>
          <w:lang w:val="en-US"/>
        </w:rPr>
        <w:fldChar w:fldCharType="end"/>
      </w:r>
      <w:r w:rsidR="007B3B0F" w:rsidRPr="00754A1D">
        <w:rPr>
          <w:rFonts w:ascii="Times New Roman" w:hAnsi="Times New Roman" w:cs="Times New Roman"/>
          <w:bCs/>
          <w:sz w:val="24"/>
          <w:szCs w:val="24"/>
          <w:lang w:val="en-US"/>
        </w:rPr>
        <w:t xml:space="preserve">. </w:t>
      </w:r>
      <w:r w:rsidR="00185BE5" w:rsidRPr="00754A1D">
        <w:rPr>
          <w:rFonts w:ascii="Times New Roman" w:hAnsi="Times New Roman" w:cs="Times New Roman"/>
          <w:bCs/>
          <w:sz w:val="24"/>
          <w:szCs w:val="24"/>
          <w:lang w:val="en-US"/>
        </w:rPr>
        <w:t xml:space="preserve">Taken together, these results reveal </w:t>
      </w:r>
      <w:r w:rsidR="00F847E0" w:rsidRPr="00754A1D">
        <w:rPr>
          <w:rFonts w:ascii="Times New Roman" w:hAnsi="Times New Roman" w:cs="Times New Roman"/>
          <w:bCs/>
          <w:sz w:val="24"/>
          <w:szCs w:val="24"/>
          <w:lang w:val="en-US"/>
        </w:rPr>
        <w:t xml:space="preserve">the neurotoxic properties of </w:t>
      </w:r>
      <w:r w:rsidR="00F847E0" w:rsidRPr="00754A1D">
        <w:rPr>
          <w:rFonts w:ascii="Times New Roman" w:hAnsi="Times New Roman" w:cs="Times New Roman"/>
          <w:bCs/>
          <w:i/>
          <w:sz w:val="24"/>
          <w:szCs w:val="24"/>
          <w:lang w:val="en-US"/>
        </w:rPr>
        <w:t>M. arvensis</w:t>
      </w:r>
      <w:r w:rsidR="00F847E0" w:rsidRPr="00754A1D">
        <w:rPr>
          <w:rFonts w:ascii="Times New Roman" w:hAnsi="Times New Roman" w:cs="Times New Roman"/>
          <w:bCs/>
          <w:sz w:val="24"/>
          <w:szCs w:val="24"/>
          <w:lang w:val="en-US"/>
        </w:rPr>
        <w:t xml:space="preserve"> EO </w:t>
      </w:r>
      <w:r w:rsidR="00185BE5" w:rsidRPr="00754A1D">
        <w:rPr>
          <w:rFonts w:ascii="Times New Roman" w:hAnsi="Times New Roman" w:cs="Times New Roman"/>
          <w:bCs/>
          <w:sz w:val="24"/>
          <w:szCs w:val="24"/>
          <w:lang w:val="en-US"/>
        </w:rPr>
        <w:t xml:space="preserve">and shed light on a </w:t>
      </w:r>
      <w:r w:rsidR="00A60CA2" w:rsidRPr="00754A1D">
        <w:rPr>
          <w:rFonts w:ascii="Times New Roman" w:hAnsi="Times New Roman" w:cs="Times New Roman"/>
          <w:bCs/>
          <w:sz w:val="24"/>
          <w:szCs w:val="24"/>
          <w:lang w:val="en-US"/>
        </w:rPr>
        <w:t>range</w:t>
      </w:r>
      <w:r w:rsidR="00185BE5" w:rsidRPr="00754A1D">
        <w:rPr>
          <w:rFonts w:ascii="Times New Roman" w:hAnsi="Times New Roman" w:cs="Times New Roman"/>
          <w:bCs/>
          <w:sz w:val="24"/>
          <w:szCs w:val="24"/>
          <w:lang w:val="en-US"/>
        </w:rPr>
        <w:t xml:space="preserve"> of effectors involved in the insect's response to the product.</w:t>
      </w:r>
      <w:r w:rsidR="00591862" w:rsidRPr="00754A1D">
        <w:rPr>
          <w:rFonts w:ascii="Times New Roman" w:hAnsi="Times New Roman" w:cs="Times New Roman"/>
          <w:bCs/>
          <w:sz w:val="24"/>
          <w:szCs w:val="24"/>
          <w:lang w:val="en-US"/>
        </w:rPr>
        <w:t xml:space="preserve"> </w:t>
      </w:r>
    </w:p>
    <w:p w14:paraId="556689C2" w14:textId="791A46A4" w:rsidR="00965636" w:rsidRPr="00754A1D" w:rsidRDefault="00965636" w:rsidP="00965636">
      <w:pPr>
        <w:spacing w:line="480" w:lineRule="auto"/>
        <w:jc w:val="both"/>
        <w:rPr>
          <w:rFonts w:ascii="Times New Roman" w:hAnsi="Times New Roman" w:cs="Times New Roman"/>
          <w:b/>
          <w:bCs/>
          <w:sz w:val="24"/>
          <w:szCs w:val="24"/>
          <w:lang w:val="en-US"/>
        </w:rPr>
      </w:pPr>
      <w:r w:rsidRPr="00754A1D">
        <w:rPr>
          <w:rFonts w:ascii="Times New Roman" w:hAnsi="Times New Roman" w:cs="Times New Roman"/>
          <w:b/>
          <w:bCs/>
          <w:sz w:val="24"/>
          <w:szCs w:val="24"/>
          <w:lang w:val="en-US"/>
        </w:rPr>
        <w:t>Muscular system</w:t>
      </w:r>
    </w:p>
    <w:p w14:paraId="57A88671" w14:textId="4F9CAF9F" w:rsidR="00A26858" w:rsidRPr="00754A1D" w:rsidRDefault="00185BE5" w:rsidP="00965636">
      <w:pPr>
        <w:spacing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Insects exposed to </w:t>
      </w:r>
      <w:r w:rsidRPr="00754A1D">
        <w:rPr>
          <w:rFonts w:ascii="Times New Roman" w:hAnsi="Times New Roman" w:cs="Times New Roman"/>
          <w:bCs/>
          <w:i/>
          <w:sz w:val="24"/>
          <w:szCs w:val="24"/>
          <w:lang w:val="en-US"/>
        </w:rPr>
        <w:t>M. arvensis</w:t>
      </w:r>
      <w:r w:rsidRPr="00754A1D">
        <w:rPr>
          <w:rFonts w:ascii="Times New Roman" w:hAnsi="Times New Roman" w:cs="Times New Roman"/>
          <w:bCs/>
          <w:sz w:val="24"/>
          <w:szCs w:val="24"/>
          <w:lang w:val="en-US"/>
        </w:rPr>
        <w:t xml:space="preserve"> EO suffer from paralysis and behavioral </w:t>
      </w:r>
      <w:r w:rsidR="00BF4094" w:rsidRPr="00754A1D">
        <w:rPr>
          <w:rFonts w:ascii="Times New Roman" w:hAnsi="Times New Roman" w:cs="Times New Roman"/>
          <w:bCs/>
          <w:sz w:val="24"/>
          <w:szCs w:val="24"/>
          <w:lang w:val="en-US"/>
        </w:rPr>
        <w:t>disorders</w:t>
      </w:r>
      <w:r w:rsidRPr="00754A1D">
        <w:rPr>
          <w:rFonts w:ascii="Times New Roman" w:hAnsi="Times New Roman" w:cs="Times New Roman"/>
          <w:bCs/>
          <w:sz w:val="24"/>
          <w:szCs w:val="24"/>
          <w:lang w:val="en-US"/>
        </w:rPr>
        <w:t xml:space="preserve">, which suggests that the muscular system is affected. </w:t>
      </w:r>
      <w:r w:rsidR="006F56AE" w:rsidRPr="00754A1D">
        <w:rPr>
          <w:rFonts w:ascii="Times New Roman" w:hAnsi="Times New Roman" w:cs="Times New Roman"/>
          <w:bCs/>
          <w:sz w:val="24"/>
          <w:szCs w:val="24"/>
          <w:lang w:val="en-US"/>
        </w:rPr>
        <w:t xml:space="preserve">This is confirmed by the </w:t>
      </w:r>
      <w:r w:rsidR="00BF4094" w:rsidRPr="00754A1D">
        <w:rPr>
          <w:rFonts w:ascii="Times New Roman" w:hAnsi="Times New Roman" w:cs="Times New Roman"/>
          <w:bCs/>
          <w:sz w:val="24"/>
          <w:szCs w:val="24"/>
          <w:lang w:val="en-US"/>
        </w:rPr>
        <w:t xml:space="preserve">upregulation of effector proteins involved in the development and functioning of this system. </w:t>
      </w:r>
      <w:r w:rsidR="0030088F" w:rsidRPr="00754A1D">
        <w:rPr>
          <w:rFonts w:ascii="Times New Roman" w:hAnsi="Times New Roman" w:cs="Times New Roman"/>
          <w:bCs/>
          <w:sz w:val="24"/>
          <w:szCs w:val="24"/>
          <w:lang w:val="en-US"/>
        </w:rPr>
        <w:t xml:space="preserve">Troponin-C and troponin-T are parts of the troponin complex </w:t>
      </w:r>
      <w:r w:rsidR="00A556EA" w:rsidRPr="00754A1D">
        <w:rPr>
          <w:rFonts w:ascii="Times New Roman" w:hAnsi="Times New Roman" w:cs="Times New Roman"/>
          <w:bCs/>
          <w:sz w:val="24"/>
          <w:szCs w:val="24"/>
          <w:lang w:val="en-US"/>
        </w:rPr>
        <w:t>that</w:t>
      </w:r>
      <w:r w:rsidR="0030088F" w:rsidRPr="00754A1D">
        <w:rPr>
          <w:rFonts w:ascii="Times New Roman" w:hAnsi="Times New Roman" w:cs="Times New Roman"/>
          <w:bCs/>
          <w:sz w:val="24"/>
          <w:szCs w:val="24"/>
          <w:lang w:val="en-US"/>
        </w:rPr>
        <w:t xml:space="preserve"> regulates the Ca</w:t>
      </w:r>
      <w:r w:rsidR="0030088F" w:rsidRPr="00754A1D">
        <w:rPr>
          <w:rFonts w:ascii="Times New Roman" w:hAnsi="Times New Roman" w:cs="Times New Roman"/>
          <w:bCs/>
          <w:sz w:val="24"/>
          <w:szCs w:val="24"/>
          <w:vertAlign w:val="superscript"/>
          <w:lang w:val="en-US"/>
        </w:rPr>
        <w:t>2+-</w:t>
      </w:r>
      <w:r w:rsidR="0030088F" w:rsidRPr="00754A1D">
        <w:rPr>
          <w:rFonts w:ascii="Times New Roman" w:hAnsi="Times New Roman" w:cs="Times New Roman"/>
          <w:bCs/>
          <w:sz w:val="24"/>
          <w:szCs w:val="24"/>
          <w:lang w:val="en-US"/>
        </w:rPr>
        <w:t>activation of myofilaments during contraction and relaxation</w:t>
      </w:r>
      <w:r w:rsidR="006F56AE" w:rsidRPr="00754A1D">
        <w:rPr>
          <w:rFonts w:ascii="Times New Roman" w:hAnsi="Times New Roman" w:cs="Times New Roman"/>
          <w:bCs/>
          <w:sz w:val="24"/>
          <w:szCs w:val="24"/>
          <w:lang w:val="en-US"/>
        </w:rPr>
        <w:t xml:space="preserve"> striated muscle</w:t>
      </w:r>
      <w:r w:rsidR="0030088F" w:rsidRPr="00754A1D">
        <w:rPr>
          <w:rFonts w:ascii="Times New Roman" w:hAnsi="Times New Roman" w:cs="Times New Roman"/>
          <w:bCs/>
          <w:sz w:val="24"/>
          <w:szCs w:val="24"/>
          <w:lang w:val="en-US"/>
        </w:rPr>
        <w:t xml:space="preserve">, and plays a key role in contraction of flight muscles </w:t>
      </w:r>
      <w:r w:rsidR="0030088F"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{"citationID":"N29da3cD","properties":{"formattedCitation":"(Domingo et al. 1998; Cao et al. 2020)","plainCitation":"(Domingo et al. 1998; Cao et al. 2020)","noteIndex":0},"citationItems":[{"id":1939,"uris":["http://zotero.org/users/local/QcSA6amT/items/YKTXNYSF"],"uri":["http://zotero.org/users/local/QcSA6amT/items/YKTXNYSF"],"itemData":{"id":1939,"type":"article-journal","abstract":"Two sets of muscle polypeptides showing calcium-binding capacity and intense labelling in vivo with 32P were purified and characterized from Drosophila melanogaster adult extracts. The polypeptides exhibit crossed immunoreactivity and share similar biochemical properties such as those involved in purification. They have been identified as isoforms of troponin-T (TnT) by sequence analysis of a cDNA clone isolated from an embryonic library. The two sets of TnT polypeptides correspond to the fibrillar and non-fibrillar muscle isoforms, respectively. The non-fibrillar muscle isoforms separate into two bands which are differentially expressed during development. Analysis of TnT isoforms in bee thoraces indicates that the expression of the fibrillar muscle isoform correlates with the acquisition of functional flight capability. In vivo labelling experiments reveal that the two TnT sets are readily phosphorylated. The Drosophila TnTs show calcium-binding properties by three different types of assays. Our results suggest that this property could be specific to insect TnTs and may be related to the long, extremely acidic polyglutamic carboxy-terminus present in these polypeptides, which does not occur in non-arthropod TnTs.","container-title":"Journal of Muscle Research and Cell Motility","DOI":"10.1023/a:1005349704790","ISSN":"0142-4319","issue":"4","journalAbbreviation":"J. Muscle Res. Cell. Motil.","language":"eng","note":"PMID: 9635282","page":"393-403","source":"PubMed","title":"Troponin-T is a calcium-binding protein in insect muscle: in vivo phosphorylation, muscle-specific isoforms and developmental profile in Drosophila melanogaster","title-short":"Troponin-T is a calcium-binding protein in insect muscle","volume":"19","author":[{"family":"Domingo","given":"A."},{"family":"González-Jurado","given":"J."},{"family":"Maroto","given":"M."},{"family":"Díaz","given":"C."},{"family":"Vinós","given":"J."},{"family":"Carrasco","given":"C."},{"family":"Cervera","given":"M."},{"family":"Marco","given":"R."}],"issued":{"date-parts":[["1998",5]]}}},{"id":2019,"uris":["http://zotero.org/users/local/QcSA6amT/items/G3YEYPED"],"uri":["http://zotero.org/users/local/QcSA6amT/items/G3YEYPED"],"itemData":{"id":2019,"type":"article-journal","abstract":"The troponin complex regulates the Ca2+-activation of myofilaments during striated muscle contraction and relaxation. Troponin genes emerged 500-700 million years ago during early animal evolution. Troponin T (TnT) is the thin filament-anchoring subunit of troponin. Vertebrate and invertebrate TnTs have conserved core structures, reflecting conserved functions in regulating muscle contraction, and also contain significantly diverged structures, reflecting muscle type- and species-specific adaptations. TnT in insects contains a highly diverged structure consisting of a long glutamic acid-rich C-terminal extension of ~70 residues with unknown function. We found here that C-terminally truncated Drosophila TnT (TpnT-CD70) retains binding of tropomyosin, troponin I, and troponin C, indicating a preserved core structure of TnT. However, the mutant TpnTCD70 gene residing on the X chromosome resulted in lethality in male flies. We demonstrate that this X-linked mutation produces dominant-negative phenotypes, including decreased flying and climbing abilities, in heterozygous female flies. Immunoblot quantification with a TpnT-specific monoclonal antibody indicated expression of TpnT-CD70 in vivo and normal stoichiometry of total TnT in myofilaments of heterozygous female flies. Light and electron microscopy examinations revealed primarily normal sarcomere structures in female heterozygous animals, whereas Z-band streaming could be observed in the jump muscle of these flies. Although TpnT-CD70-expressing flies exhibited lower resistance to cardiac stress, their hearts were significantly more tolerant to Ca2+ overloading induced by high-frequency electrical pacing. Our findings suggest that the Glu-rich long C-terminal extension of insect TnT functions as a myofilament Ca2+buffer/reservoir, potentially critical to the high-frequency asynchronous contraction of flight muscles.","container-title":"Journal of Biological Chemistry","DOI":"10.1074/jbc.RA119.012014","ISSN":"0021-9258, 1083-351X","journalAbbreviation":"J. Biol. Chem.","language":"en","note":"PMID: 32024695","page":"jbc.RA119.012014","source":"www.jbc.org","title":"The glutamic acid-rich long C-terminal extension of troponin T has a critical role in insect muscle functions","author":[{"family":"Cao","given":"Tianxin"},{"family":"Sujkowski","given":"Alyson"},{"family":"Cobb","given":"Tyler"},{"family":"Wessells","given":"Robert J."},{"family":"Jin","given":"Jian-Ping"}],"issued":{"date-parts":[["2020",2,5]]}}}],"schema":"https://github.com/citation-style-language/schema/raw/master/csl-citation.json"} </w:instrText>
      </w:r>
      <w:r w:rsidR="0030088F" w:rsidRPr="00754A1D">
        <w:rPr>
          <w:rFonts w:ascii="Times New Roman" w:hAnsi="Times New Roman" w:cs="Times New Roman"/>
          <w:bCs/>
          <w:sz w:val="24"/>
          <w:szCs w:val="24"/>
          <w:lang w:val="en-US"/>
        </w:rPr>
        <w:fldChar w:fldCharType="separate"/>
      </w:r>
      <w:r w:rsidR="0030088F" w:rsidRPr="00754A1D">
        <w:rPr>
          <w:rFonts w:ascii="Times New Roman" w:hAnsi="Times New Roman" w:cs="Times New Roman"/>
          <w:sz w:val="24"/>
          <w:lang w:val="en-US"/>
        </w:rPr>
        <w:t>(Domingo et al. 1998; Cao et al. 2020)</w:t>
      </w:r>
      <w:r w:rsidR="0030088F" w:rsidRPr="00754A1D">
        <w:rPr>
          <w:rFonts w:ascii="Times New Roman" w:hAnsi="Times New Roman" w:cs="Times New Roman"/>
          <w:bCs/>
          <w:sz w:val="24"/>
          <w:szCs w:val="24"/>
          <w:lang w:val="en-US"/>
        </w:rPr>
        <w:fldChar w:fldCharType="end"/>
      </w:r>
      <w:r w:rsidR="0030088F" w:rsidRPr="00754A1D">
        <w:rPr>
          <w:rFonts w:ascii="Times New Roman" w:hAnsi="Times New Roman" w:cs="Times New Roman"/>
          <w:bCs/>
          <w:sz w:val="24"/>
          <w:szCs w:val="24"/>
          <w:lang w:val="en-US"/>
        </w:rPr>
        <w:t>. Tropomyosin plays a central role in the calcium dependent regulation of muscle contraction</w:t>
      </w:r>
      <w:r w:rsidR="006F56AE" w:rsidRPr="00754A1D">
        <w:rPr>
          <w:rFonts w:ascii="Times New Roman" w:hAnsi="Times New Roman" w:cs="Times New Roman"/>
          <w:bCs/>
          <w:sz w:val="24"/>
          <w:szCs w:val="24"/>
          <w:lang w:val="en-US"/>
        </w:rPr>
        <w:t>,</w:t>
      </w:r>
      <w:r w:rsidR="0030088F" w:rsidRPr="00754A1D">
        <w:rPr>
          <w:rFonts w:ascii="Times New Roman" w:hAnsi="Times New Roman" w:cs="Times New Roman"/>
          <w:bCs/>
          <w:sz w:val="24"/>
          <w:szCs w:val="24"/>
          <w:lang w:val="en-US"/>
        </w:rPr>
        <w:t xml:space="preserve"> in association with the troponin complex </w:t>
      </w:r>
      <w:r w:rsidR="0030088F"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{"citationID":"QAzA5DaH","properties":{"formattedCitation":"(Zot and Potter 1987)","plainCitation":"(Zot and Potter 1987)","noteIndex":0},"citationItems":[{"id":2048,"uris":["http://zotero.org/users/local/QcSA6amT/items/XTCNRJEL"],"uri":["http://zotero.org/users/local/QcSA6amT/items/XTCNRJEL"],"itemData":{"id":2048,"type":"article-journal","container-title":"Annual Review of Biophysics and Biophysical Chemistry","DOI":"10.1146/annurev.bb.16.060187.002535","issue":"1","note":"PMID: 2954560","page":"535-559","source":"Annual Reviews","title":"Structural Aspects of Troponin-Tropomyosin Regulation of Skeletal Muscle Contraction","volume":"16","author":[{"family":"Zot","given":"Anita S."},{"family":"Potter","given":"James D."}],"issued":{"date-parts":[["1987"]]}}}],"schema":"https://github.com/citation-style-language/schema/raw/master/csl-citation.json"} </w:instrText>
      </w:r>
      <w:r w:rsidR="0030088F" w:rsidRPr="00754A1D">
        <w:rPr>
          <w:rFonts w:ascii="Times New Roman" w:hAnsi="Times New Roman" w:cs="Times New Roman"/>
          <w:bCs/>
          <w:sz w:val="24"/>
          <w:szCs w:val="24"/>
          <w:lang w:val="en-US"/>
        </w:rPr>
        <w:fldChar w:fldCharType="separate"/>
      </w:r>
      <w:r w:rsidR="0030088F" w:rsidRPr="00754A1D">
        <w:rPr>
          <w:rFonts w:ascii="Times New Roman" w:hAnsi="Times New Roman" w:cs="Times New Roman"/>
          <w:sz w:val="24"/>
          <w:lang w:val="en-US"/>
        </w:rPr>
        <w:t>(Zot and Potter 1987)</w:t>
      </w:r>
      <w:r w:rsidR="0030088F" w:rsidRPr="00754A1D">
        <w:rPr>
          <w:rFonts w:ascii="Times New Roman" w:hAnsi="Times New Roman" w:cs="Times New Roman"/>
          <w:bCs/>
          <w:sz w:val="24"/>
          <w:szCs w:val="24"/>
          <w:lang w:val="en-US"/>
        </w:rPr>
        <w:fldChar w:fldCharType="end"/>
      </w:r>
      <w:r w:rsidR="0030088F" w:rsidRPr="00754A1D">
        <w:rPr>
          <w:rFonts w:ascii="Times New Roman" w:hAnsi="Times New Roman" w:cs="Times New Roman"/>
          <w:bCs/>
          <w:sz w:val="24"/>
          <w:szCs w:val="24"/>
          <w:lang w:val="en-US"/>
        </w:rPr>
        <w:t xml:space="preserve">. </w:t>
      </w:r>
      <w:r w:rsidR="004C20E1" w:rsidRPr="00754A1D">
        <w:rPr>
          <w:rFonts w:ascii="Times New Roman" w:hAnsi="Times New Roman" w:cs="Times New Roman"/>
          <w:bCs/>
          <w:sz w:val="24"/>
          <w:szCs w:val="24"/>
          <w:lang w:val="en-US"/>
        </w:rPr>
        <w:t>Tropomyosin</w:t>
      </w:r>
      <w:r w:rsidR="0030088F" w:rsidRPr="00754A1D">
        <w:rPr>
          <w:rFonts w:ascii="Times New Roman" w:hAnsi="Times New Roman" w:cs="Times New Roman"/>
          <w:bCs/>
          <w:sz w:val="24"/>
          <w:szCs w:val="24"/>
          <w:lang w:val="en-US"/>
        </w:rPr>
        <w:t xml:space="preserve"> is involved in </w:t>
      </w:r>
      <w:r w:rsidR="00774F3D" w:rsidRPr="00754A1D">
        <w:rPr>
          <w:rFonts w:ascii="Times New Roman" w:hAnsi="Times New Roman" w:cs="Times New Roman"/>
          <w:bCs/>
          <w:sz w:val="24"/>
          <w:szCs w:val="24"/>
          <w:lang w:val="en-US"/>
        </w:rPr>
        <w:t>myogenesis</w:t>
      </w:r>
      <w:r w:rsidR="0030088F" w:rsidRPr="00754A1D">
        <w:rPr>
          <w:rFonts w:ascii="Times New Roman" w:hAnsi="Times New Roman" w:cs="Times New Roman"/>
          <w:bCs/>
          <w:sz w:val="24"/>
          <w:szCs w:val="24"/>
          <w:lang w:val="en-US"/>
        </w:rPr>
        <w:t xml:space="preserve"> and muscle contraction, but also in other biological processes</w:t>
      </w:r>
      <w:r w:rsidR="00A556EA" w:rsidRPr="00754A1D">
        <w:rPr>
          <w:rFonts w:ascii="Times New Roman" w:hAnsi="Times New Roman" w:cs="Times New Roman"/>
          <w:bCs/>
          <w:sz w:val="24"/>
          <w:szCs w:val="24"/>
          <w:lang w:val="en-US"/>
        </w:rPr>
        <w:t>,</w:t>
      </w:r>
      <w:r w:rsidR="0030088F" w:rsidRPr="00754A1D">
        <w:rPr>
          <w:rFonts w:ascii="Times New Roman" w:hAnsi="Times New Roman" w:cs="Times New Roman"/>
          <w:bCs/>
          <w:sz w:val="24"/>
          <w:szCs w:val="24"/>
          <w:lang w:val="en-US"/>
        </w:rPr>
        <w:t xml:space="preserve"> </w:t>
      </w:r>
      <w:r w:rsidR="00A556EA" w:rsidRPr="00754A1D">
        <w:rPr>
          <w:rFonts w:ascii="Times New Roman" w:hAnsi="Times New Roman" w:cs="Times New Roman"/>
          <w:bCs/>
          <w:sz w:val="24"/>
          <w:szCs w:val="24"/>
          <w:lang w:val="en-US"/>
        </w:rPr>
        <w:t xml:space="preserve">including </w:t>
      </w:r>
      <w:r w:rsidR="0030088F" w:rsidRPr="00754A1D">
        <w:rPr>
          <w:rFonts w:ascii="Times New Roman" w:hAnsi="Times New Roman" w:cs="Times New Roman"/>
          <w:bCs/>
          <w:sz w:val="24"/>
          <w:szCs w:val="24"/>
          <w:lang w:val="en-US"/>
        </w:rPr>
        <w:t xml:space="preserve">dendrite morphogenesis, oogenesis and response to hypoxia </w:t>
      </w:r>
      <w:r w:rsidR="0030088F"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{"citationID":"wvzBHoXF","properties":{"formattedCitation":"(Tetzlaff et al. 1996; Li and Gao 2003; Jan and Jan 2010; Zhao et al. 2010)","plainCitation":"(Tetzlaff et al. 1996; Li and Gao 2003; Jan and Jan 2010; Zhao et al. 2010)","noteIndex":0},"citationItems":[{"id":2056,"uris":["http://zotero.org/users/local/QcSA6amT/items/7D47A9R2"],"uri":["http://zotero.org/users/local/QcSA6amT/items/7D47A9R2"],"itemData":{"id":2056,"type":"article-journal","abstract":"Drosophila encodes five muscle and one cytoskeletal isoform of the actin-binding protein tropomyosin. We have identified a lack-of-function mutation in the cytoskeletal isoform (cTmII). Zygotic mutant embryos show a defect in head morphogenesis, while embryos lacking maternal cTmII are defective in germ cell formation but otherwise give rise to viable adults. oskar mRNA, which is required for both germ cell formation and abdominal segmentation, fails to accumulate at the posterior pole in these embryos. nanos mRNA, however, which is required exclusively for abdominal segmentation, is localized at wild-type levels. These results indicate that head morphogenesis and the accumulation of high levels of oskar mRNA necessary for germ cell formation require tropomyosin-dependent cytoskeleton.","container-title":"The EMBO Journal","DOI":"10.1002/j.1460-2075.1996.tb00466.x","ISSN":"0261-4189","issue":"6","journalAbbreviation":"The EMBO Journal","page":"1247-1254","source":"embopress.org (Atypon)","title":"Lack of Drosophila cytoskeletal tropomyosin affects head morphogenesis and the accumulation of oskar mRNA required for germ cell formation.","volume":"15","author":[{"family":"Tetzlaff","given":"M. T."},{"family":"Jäckle","given":"H."},{"family":"Pankratz","given":"M. J."}],"issued":{"date-parts":[["1996",3,1]]}}},{"id":2049,"uris":["http://zotero.org/users/local/QcSA6amT/items/L3JF3RBJ"],"uri":["http://zotero.org/users/local/QcSA6amT/items/L3JF3RBJ"],"itemData":{"id":2049,"type":"article-journal","abstract":"Dendritic arbors of different neuronal subtypes cover distinct spatial territories, known as dendritic fields, to receive specific inputs in a nervous system. How the size of dendritic fields is determined by cell-intrinsic factors during development remains primarily unknown. To address this issue, we used the Drosophila embryonic peripheral nervous system. In each hemisegment, six dorsal cluster dendritic arborization (DA) neurons elaborate stereotypic dendritic branching patterns underneath the epidermis. Here we report the identification of loss-of-function mutations in the tropomyosin II gene (TmII) that result in expanded dendritic fields of DA neurons. Mosaic analysis with a repressible cell marker demonstrated that TmII functions in a cell-autonomous manner to control the formation of dendritic fields. Furthermore, we show that TmII genetically interacted with flamingo, a gene encoding a membrane receptor-like molecule that affects dendritic growth. TmII encodes multiple isoforms of a protein that stabilizes actin filaments. Our findings suggest that tropomyosin helps control the size of dendritic fields by regulating actin cytoskeletal dynamics.","container-title":"The Journal of Neuroscience: The Official Journal of the Society for Neuroscience","ISSN":"1529-2401","issue":"15","journalAbbreviation":"J. Neurosci.","language":"eng","note":"PMID: 12867499\nPMCID: PMC6740560","page":"6171-6175","source":"PubMed","title":"Actin filament-stabilizing protein tropomyosin regulates the size of dendritic fields","volume":"23","author":[{"family":"Li","given":"Wenjun"},{"family":"Gao","given":"Fen-Biao"}],"issued":{"date-parts":[["2003",7,16]]}}},{"id":2053,"uris":["http://zotero.org/users/local/QcSA6amT/items/XDE2IX6M"],"uri":["http://zotero.org/users/local/QcSA6amT/items/XDE2IX6M"],"itemData":{"id":2053,"type":"article-journal","abstract":"Jan and Jan discuss various mechanisms by which neurons acquire their type-specific dendrite morphology. These have largely emerged from studies inDrosophila melanogaster, but are broadly applicable to vertebrates. The possible contribution of defects in dendrite morphogenesis to mental disorders such as autism is also considered.","container-title":"Nature Reviews Neuroscience","DOI":"10.1038/nrn2836","ISSN":"1471-0048","issue":"5","language":"en","page":"316-328","source":"www.nature.com","title":"Branching out: mechanisms of dendritic arborization","title-short":"Branching out","volume":"11","author":[{"family":"Jan","given":"Yuh-Nung"},{"family":"Jan","given":"Lily Yeh"}],"issued":{"date-parts":[["2010",5]]}}},{"id":2058,"uris":["http://zotero.org/users/local/QcSA6amT/items/HAHUDLES"],"uri":["http://zotero.org/users/local/QcSA6amT/items/HAHUDLES"],"itemData":{"id":2058,"type":"article-journal","abstract":"Although oxidative stress is deleterious to mammals, the mechanisms underlying oxidant susceptibility or tolerance remain to be elucidated. In this study, through a long-term laboratory selection over many generations, we generated a Drosophila melanogaster strain that can live and reproduce in very high O(2) environments (90% O(2)), a lethal condition to naïve flies. We demonstrated that tolerance to hyperoxia was heritable in these flies and that these hyperoxia-selected flies exhibited phenotypic differences from naïve flies, such as a larger body size and increased weight by 20%. Gene expression profiling revealed that 227 genes were significantly altered in expression and two third of these genes were down-regulated. Using a mutant screen strategy, we studied the role of some altered genes (up- or down-regulated in the microarrays) by testing the survival of available corresponding P-element or UAS construct lines under hyperoxic conditions. We report that down-regulation of several candidate genes including Tropomyosin 1, Glycerol 3 phosphate dehydrogenase, CG33129, and UGP as well as up-regulation of Diptericin and Attacin conferred tolerance to severe hyperoxia. In conclusion, we identified several genes that were not only altered in hyperoxia-selected flies but we also prove that these play an important role in hyperoxia survival. Thus our study provides a molecular basis for understanding the mechanisms of hyperoxia tolerance.","container-title":"PloS One","DOI":"10.1371/journal.pone.0011701","ISSN":"1932-6203","issue":"7","journalAbbreviation":"PLoS ONE","language":"eng","note":"PMID: 20668515\nPMCID: PMC2909141","page":"e11701","source":"PubMed","title":"Experimental selection for Drosophila survival in extremely high O2 environments","volume":"5","author":[{"family":"Zhao","given":"Huiwen W."},{"family":"Zhou","given":"Dan"},{"family":"Nizet","given":"Victor"},{"family":"Haddad","given":"Gabriel G."}],"issued":{"date-parts":[["2010",7,23]]}}}],"schema":"https://github.com/citation-style-language/schema/raw/master/csl-citation.json"} </w:instrText>
      </w:r>
      <w:r w:rsidR="0030088F" w:rsidRPr="00754A1D">
        <w:rPr>
          <w:rFonts w:ascii="Times New Roman" w:hAnsi="Times New Roman" w:cs="Times New Roman"/>
          <w:bCs/>
          <w:sz w:val="24"/>
          <w:szCs w:val="24"/>
          <w:lang w:val="en-US"/>
        </w:rPr>
        <w:fldChar w:fldCharType="separate"/>
      </w:r>
      <w:r w:rsidR="0030088F" w:rsidRPr="00754A1D">
        <w:rPr>
          <w:rFonts w:ascii="Times New Roman" w:hAnsi="Times New Roman" w:cs="Times New Roman"/>
          <w:sz w:val="24"/>
          <w:lang w:val="en-US"/>
        </w:rPr>
        <w:t>(Tetzlaff et al. 1996; Li and Gao 2003; Jan and Jan 2010; Zhao et al. 2010)</w:t>
      </w:r>
      <w:r w:rsidR="0030088F" w:rsidRPr="00754A1D">
        <w:rPr>
          <w:rFonts w:ascii="Times New Roman" w:hAnsi="Times New Roman" w:cs="Times New Roman"/>
          <w:bCs/>
          <w:sz w:val="24"/>
          <w:szCs w:val="24"/>
          <w:lang w:val="en-US"/>
        </w:rPr>
        <w:fldChar w:fldCharType="end"/>
      </w:r>
      <w:r w:rsidR="0030088F" w:rsidRPr="00754A1D">
        <w:rPr>
          <w:rFonts w:ascii="Times New Roman" w:hAnsi="Times New Roman" w:cs="Times New Roman"/>
          <w:bCs/>
          <w:sz w:val="24"/>
          <w:szCs w:val="24"/>
          <w:lang w:val="en-US"/>
        </w:rPr>
        <w:t xml:space="preserve">. </w:t>
      </w:r>
      <w:r w:rsidR="00774F3D" w:rsidRPr="00754A1D">
        <w:rPr>
          <w:rFonts w:ascii="Times New Roman" w:hAnsi="Times New Roman" w:cs="Times New Roman"/>
          <w:bCs/>
          <w:sz w:val="24"/>
          <w:szCs w:val="24"/>
          <w:lang w:val="en-US"/>
        </w:rPr>
        <w:t xml:space="preserve">In </w:t>
      </w:r>
      <w:r w:rsidR="00774F3D" w:rsidRPr="00754A1D">
        <w:rPr>
          <w:rFonts w:ascii="Times New Roman" w:hAnsi="Times New Roman" w:cs="Times New Roman"/>
          <w:bCs/>
          <w:i/>
          <w:sz w:val="24"/>
          <w:szCs w:val="24"/>
          <w:lang w:val="en-US"/>
        </w:rPr>
        <w:t>D. melanogaster</w:t>
      </w:r>
      <w:r w:rsidR="00A556EA" w:rsidRPr="00754A1D">
        <w:rPr>
          <w:rFonts w:ascii="Times New Roman" w:hAnsi="Times New Roman" w:cs="Times New Roman"/>
          <w:bCs/>
          <w:sz w:val="24"/>
          <w:szCs w:val="24"/>
          <w:lang w:val="en-US"/>
        </w:rPr>
        <w:t>,</w:t>
      </w:r>
      <w:r w:rsidR="00774F3D" w:rsidRPr="00754A1D">
        <w:rPr>
          <w:rFonts w:ascii="Times New Roman" w:hAnsi="Times New Roman" w:cs="Times New Roman"/>
          <w:bCs/>
          <w:sz w:val="24"/>
          <w:szCs w:val="24"/>
          <w:lang w:val="en-US"/>
        </w:rPr>
        <w:t xml:space="preserve"> the muscle LIM protein Mlp84B</w:t>
      </w:r>
      <w:r w:rsidR="00BF4094" w:rsidRPr="00754A1D">
        <w:rPr>
          <w:rFonts w:ascii="Times New Roman" w:hAnsi="Times New Roman" w:cs="Times New Roman"/>
          <w:bCs/>
          <w:sz w:val="24"/>
          <w:szCs w:val="24"/>
          <w:lang w:val="en-US"/>
        </w:rPr>
        <w:t>, here upregulated,</w:t>
      </w:r>
      <w:r w:rsidR="00774F3D" w:rsidRPr="00754A1D">
        <w:rPr>
          <w:rFonts w:ascii="Times New Roman" w:hAnsi="Times New Roman" w:cs="Times New Roman"/>
          <w:bCs/>
          <w:sz w:val="24"/>
          <w:szCs w:val="24"/>
          <w:lang w:val="en-US"/>
        </w:rPr>
        <w:t xml:space="preserve"> </w:t>
      </w:r>
      <w:r w:rsidR="006F56AE" w:rsidRPr="00754A1D">
        <w:rPr>
          <w:rFonts w:ascii="Times New Roman" w:hAnsi="Times New Roman" w:cs="Times New Roman"/>
          <w:bCs/>
          <w:sz w:val="24"/>
          <w:szCs w:val="24"/>
          <w:lang w:val="en-US"/>
        </w:rPr>
        <w:t>helps maintain</w:t>
      </w:r>
      <w:r w:rsidR="00B36FC1" w:rsidRPr="00754A1D">
        <w:rPr>
          <w:rFonts w:ascii="Times New Roman" w:hAnsi="Times New Roman" w:cs="Times New Roman"/>
          <w:bCs/>
          <w:sz w:val="24"/>
          <w:szCs w:val="24"/>
          <w:lang w:val="en-US"/>
        </w:rPr>
        <w:t xml:space="preserve"> </w:t>
      </w:r>
      <w:r w:rsidR="00774F3D" w:rsidRPr="00754A1D">
        <w:rPr>
          <w:rFonts w:ascii="Times New Roman" w:hAnsi="Times New Roman" w:cs="Times New Roman"/>
          <w:bCs/>
          <w:sz w:val="24"/>
          <w:szCs w:val="24"/>
          <w:lang w:val="en-US"/>
        </w:rPr>
        <w:t xml:space="preserve">muscle integrity </w:t>
      </w:r>
      <w:r w:rsidR="00774F3D"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{"citationID":"XYTSZ1c0","properties":{"formattedCitation":"(Clark et al. 2007)","plainCitation":"(Clark et al. 2007)","noteIndex":0},"citationItems":[{"id":1907,"uris":["http://zotero.org/users/local/QcSA6amT/items/9EB986XH"],"uri":["http://zotero.org/users/local/QcSA6amT/items/9EB986XH"],"itemData":{"id":1907,"type":"article-journal","abstract":"Skip to Next Section\nMuscle LIM protein (MLP) is a cytoskeletal LIM-only protein expressed in striated muscle. Mutations in human MLP are associated with cardiomyopathy; however, the molecular mechanism by which MLP functions is not established. A Drosophila MLP homolog, mlp84B, displays many of the same features as the vertebrate protein, illustrating the utility of the fly for the study of MLP function. Animals lacking Mlp84B develop into larvae with a morphologically intact musculature, but the mutants arrest during pupation with impaired muscle function. Mlp84B displays muscle-specific expression and is a component of the Z-disc and nucleus. Preventing nuclear retention of Mlp84B does not affect its function, indicating that Mlp84B site of action is likely to be at the Z-disc. Within the Z-disc, Mlp84B is colocalized with the N-terminus of D-titin, a protein crucial for sarcomere organization and stretch mechanics. The mlp84B mutants phenotypically resemble weak D-titin mutants. Furthermore, reducing D-titin activity in the mlp84B background leads to pronounced enhancement of the mlp84B muscle defects and loss of muscle structural integrity. The genetic interactions between mlp84B and D-titin reveal a role for Mlp84B in maintaining muscle structural integrity that was not obvious from analysis of the mlp84B mutants themselves, and suggest Mlp84B and D-titin cooperate to stabilize muscle sarcomeres.","container-title":"Journal of Cell Science","DOI":"10.1242/jcs.000695","ISSN":"0021-9533, 1477-9137","issue":"12","language":"en","note":"PMID: 17535853","page":"2066-2077","source":"jcs.biologists.org","title":"The Drosophila muscle LIM protein, Mlp84B, cooperates with D-titin to maintain muscle structural integrity","volume":"120","author":[{"family":"Clark","given":"Kathleen A."},{"family":"Bland","given":"Jennifer M."},{"family":"Beckerle","given":"Mary C."}],"issued":{"date-parts":[["2007",6,15]]}}}],"schema":"https://github.com/citation-style-language/schema/raw/master/csl-citation.json"} </w:instrText>
      </w:r>
      <w:r w:rsidR="00774F3D" w:rsidRPr="00754A1D">
        <w:rPr>
          <w:rFonts w:ascii="Times New Roman" w:hAnsi="Times New Roman" w:cs="Times New Roman"/>
          <w:bCs/>
          <w:sz w:val="24"/>
          <w:szCs w:val="24"/>
          <w:lang w:val="en-US"/>
        </w:rPr>
        <w:fldChar w:fldCharType="separate"/>
      </w:r>
      <w:r w:rsidR="00774F3D" w:rsidRPr="00754A1D">
        <w:rPr>
          <w:rFonts w:ascii="Times New Roman" w:hAnsi="Times New Roman" w:cs="Times New Roman"/>
          <w:sz w:val="24"/>
          <w:lang w:val="en-US"/>
        </w:rPr>
        <w:t>(Clark et al. 2007)</w:t>
      </w:r>
      <w:r w:rsidR="00774F3D" w:rsidRPr="00754A1D">
        <w:rPr>
          <w:rFonts w:ascii="Times New Roman" w:hAnsi="Times New Roman" w:cs="Times New Roman"/>
          <w:bCs/>
          <w:sz w:val="24"/>
          <w:szCs w:val="24"/>
          <w:lang w:val="en-US"/>
        </w:rPr>
        <w:fldChar w:fldCharType="end"/>
      </w:r>
      <w:r w:rsidR="00774F3D" w:rsidRPr="00754A1D">
        <w:rPr>
          <w:rFonts w:ascii="Times New Roman" w:hAnsi="Times New Roman" w:cs="Times New Roman"/>
          <w:bCs/>
          <w:sz w:val="24"/>
          <w:szCs w:val="24"/>
          <w:lang w:val="en-US"/>
        </w:rPr>
        <w:t>.</w:t>
      </w:r>
      <w:r w:rsidR="00E4760A" w:rsidRPr="00754A1D">
        <w:rPr>
          <w:rFonts w:ascii="Times New Roman" w:hAnsi="Times New Roman" w:cs="Times New Roman"/>
          <w:bCs/>
          <w:sz w:val="24"/>
          <w:szCs w:val="24"/>
          <w:lang w:val="en-US"/>
        </w:rPr>
        <w:t xml:space="preserve"> </w:t>
      </w:r>
      <w:r w:rsidR="00A556EA" w:rsidRPr="00754A1D">
        <w:rPr>
          <w:rFonts w:ascii="Times New Roman" w:hAnsi="Times New Roman" w:cs="Times New Roman"/>
          <w:bCs/>
          <w:sz w:val="24"/>
          <w:szCs w:val="24"/>
          <w:lang w:val="en-US"/>
        </w:rPr>
        <w:t xml:space="preserve">Finally, </w:t>
      </w:r>
      <w:r w:rsidR="00301F56" w:rsidRPr="00754A1D">
        <w:rPr>
          <w:rFonts w:ascii="Times New Roman" w:hAnsi="Times New Roman" w:cs="Times New Roman"/>
          <w:bCs/>
          <w:sz w:val="24"/>
          <w:szCs w:val="24"/>
          <w:lang w:val="en-US"/>
        </w:rPr>
        <w:t xml:space="preserve">PDZ and LIM domain protein </w:t>
      </w:r>
      <w:proofErr w:type="spellStart"/>
      <w:r w:rsidR="00301F56" w:rsidRPr="00754A1D">
        <w:rPr>
          <w:rFonts w:ascii="Times New Roman" w:hAnsi="Times New Roman" w:cs="Times New Roman"/>
          <w:bCs/>
          <w:sz w:val="24"/>
          <w:szCs w:val="24"/>
          <w:lang w:val="en-US"/>
        </w:rPr>
        <w:t>Zasp</w:t>
      </w:r>
      <w:proofErr w:type="spellEnd"/>
      <w:r w:rsidR="00C53862" w:rsidRPr="00754A1D">
        <w:rPr>
          <w:rFonts w:ascii="Times New Roman" w:hAnsi="Times New Roman" w:cs="Times New Roman"/>
          <w:bCs/>
          <w:sz w:val="24"/>
          <w:szCs w:val="24"/>
          <w:lang w:val="en-US"/>
        </w:rPr>
        <w:t xml:space="preserve"> and </w:t>
      </w:r>
      <w:r w:rsidR="00301F56" w:rsidRPr="00754A1D">
        <w:rPr>
          <w:rFonts w:ascii="Times New Roman" w:hAnsi="Times New Roman" w:cs="Times New Roman"/>
          <w:bCs/>
          <w:sz w:val="24"/>
          <w:szCs w:val="24"/>
          <w:lang w:val="en-US"/>
        </w:rPr>
        <w:t>of Muscle-specific protein 20</w:t>
      </w:r>
      <w:r w:rsidR="00E4760A" w:rsidRPr="00754A1D">
        <w:rPr>
          <w:rFonts w:ascii="Times New Roman" w:hAnsi="Times New Roman" w:cs="Times New Roman"/>
          <w:bCs/>
          <w:sz w:val="24"/>
          <w:szCs w:val="24"/>
          <w:lang w:val="en-US"/>
        </w:rPr>
        <w:t xml:space="preserve"> </w:t>
      </w:r>
      <w:r w:rsidR="00B36FC1" w:rsidRPr="00754A1D">
        <w:rPr>
          <w:rFonts w:ascii="Times New Roman" w:hAnsi="Times New Roman" w:cs="Times New Roman"/>
          <w:bCs/>
          <w:sz w:val="24"/>
          <w:szCs w:val="24"/>
          <w:lang w:val="en-US"/>
        </w:rPr>
        <w:t xml:space="preserve">are both involved in myogenesis </w:t>
      </w:r>
      <w:r w:rsidR="00C53862"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{"citationID":"hia0e3Z6","properties":{"formattedCitation":"(Benna et al. 2009; Bataill\\uc0\\u233{} et al. 2010)","plainCitation":"(Benna et al. 2009; Bataillé et al. 2010)","noteIndex":0},"citationItems":[{"id":2181,"uris":["http://zotero.org/users/local/QcSA6amT/items/U4JFAEJA"],"uri":["http://zotero.org/users/local/QcSA6amT/items/U4JFAEJA"],"itemData":{"id":2181,"type":"article-journal","abstract":"In humans, mutations in ZASP (the gene for Z-band alternatively spliced PDZ-motif protein) are associated with dilated cardiomyopathy and left ventricular non-compaction. In particular, mutations in or around the Zasp motif seem to be related to myofibrillar myopathy. Thus, “zaspopathies” include symptoms such as Z-line disgregation, proximal and distal muscle weakness, cardiomyopathies, and peripheral neuropathies. In order to understand the role of ZASP in muscle structure and function, we have performed a molecular characterization of the Drosophila ortholog of human ZASP and a functional analysis following the post-transcriptional silencing of the Drosophila gene. Transcriptional analysis of dzasp has revealed six additional exons, with respect to the known 16, and multiple splice variants. We have produced transgenic lines harboring constructs that, through the use of the UAS/Gal4 binary system, have enabled us to drive dsRNA interference of dzasp in a tissue-specific manner. Knockdown individuals show locomotor defects associated with alterations of muscle structure and ultrastructure, consistent with a role of dzasp specifically in the maintenance of muscular integrity.","container-title":"Cell and Tissue Research","DOI":"10.1007/s00441-009-0813-y","ISSN":"1432-0878","issue":"3","journalAbbreviation":"Cell Tissue Res","language":"en","page":"463-476","source":"Springer Link","title":"Post-transcriptional silencing of the Drosophila homolog of human ZASP: a molecular and functional analysis","title-short":"Post-transcriptional silencing of the Drosophila homolog of human ZASP","volume":"337","author":[{"family":"Benna","given":"Clara"},{"family":"Peron","given":"Samantha"},{"family":"Rizzo","given":"Giorgia"},{"family":"Faulkner","given":"Georgine"},{"family":"Megighian","given":"Aram"},{"family":"Perini","given":"Giuliana"},{"family":"Tognon","given":"Giuseppe"},{"family":"Valle","given":"Giorgio"},{"family":"Reggiani","given":"Carlo"},{"family":"Costa","given":"Rodolfo"},{"family":"Zordan","given":"Mauro A."}],"issued":{"date-parts":[["2009",9,1]]}}},{"id":2183,"uris":["http://zotero.org/users/local/QcSA6amT/items/X2URM4GP"],"uri":["http://zotero.org/users/local/QcSA6amT/items/X2URM4GP"],"itemData":{"id":2183,"type":"article-journal","abstract":"In all metazoan organisms, the diversification of cell types involves determination of cell fates and subsequent execution of specific differentiation programs. During Drosophila myogenesis, identity genes specify the fates of founder myoblasts, from which derive all individual larval muscles. Here, to understand how cell fate information residing within founders is translated during differentiation, we focus on three identity genes, eve, lb, and slou, and how they control the size of individual muscles by regulating the number of fusion events. They achieve this by setting expression levels of Mp20, Pax, and mspo, three genes that regulate actin dynamics and cell adhesion and, as we show here, modulate the fusion process in a muscle-specific manner. Thus, these data show how the identity information implemented by transcription factors is translated via target genes into cell-type-specific programs of differentiation.","container-title":"Developmental Cell","DOI":"10.1016/j.devcel.2010.07.008","ISSN":"1534-5807","issue":"2","journalAbbreviation":"Developmental Cell","language":"en","page":"317-328","source":"ScienceDirect","title":"Downstream of Identity Genes: Muscle-Type-Specific Regulation of the Fusion Process","title-short":"Downstream of Identity Genes","volume":"19","author":[{"family":"Bataillé","given":"Laetitia"},{"family":"Delon","given":"Isabelle"},{"family":"Da Ponte","given":"Jean Philippe"},{"family":"Brown","given":"Nicholas H."},{"family":"Jagla","given":"Krzysztof"}],"issued":{"date-parts":[["2010",8,17]]}}}],"schema":"https://github.com/citation-style-language/schema/raw/master/csl-citation.json"} </w:instrText>
      </w:r>
      <w:r w:rsidR="00C53862" w:rsidRPr="00754A1D">
        <w:rPr>
          <w:rFonts w:ascii="Times New Roman" w:hAnsi="Times New Roman" w:cs="Times New Roman"/>
          <w:bCs/>
          <w:sz w:val="24"/>
          <w:szCs w:val="24"/>
          <w:lang w:val="en-US"/>
        </w:rPr>
        <w:fldChar w:fldCharType="separate"/>
      </w:r>
      <w:r w:rsidR="00C53862" w:rsidRPr="00754A1D">
        <w:rPr>
          <w:rFonts w:ascii="Times New Roman" w:hAnsi="Times New Roman" w:cs="Times New Roman"/>
          <w:sz w:val="24"/>
          <w:szCs w:val="24"/>
          <w:lang w:val="en-US"/>
        </w:rPr>
        <w:t>(Benna et al. 2009; Bataillé et al. 2010)</w:t>
      </w:r>
      <w:r w:rsidR="00C53862" w:rsidRPr="00754A1D">
        <w:rPr>
          <w:rFonts w:ascii="Times New Roman" w:hAnsi="Times New Roman" w:cs="Times New Roman"/>
          <w:bCs/>
          <w:sz w:val="24"/>
          <w:szCs w:val="24"/>
          <w:lang w:val="en-US"/>
        </w:rPr>
        <w:fldChar w:fldCharType="end"/>
      </w:r>
      <w:r w:rsidR="00C53862" w:rsidRPr="00754A1D">
        <w:rPr>
          <w:rFonts w:ascii="Times New Roman" w:hAnsi="Times New Roman" w:cs="Times New Roman"/>
          <w:bCs/>
          <w:sz w:val="24"/>
          <w:szCs w:val="24"/>
          <w:lang w:val="en-US"/>
        </w:rPr>
        <w:t xml:space="preserve">. </w:t>
      </w:r>
    </w:p>
    <w:p w14:paraId="043445D9" w14:textId="5709BD7E" w:rsidR="001901A2" w:rsidRPr="00754A1D" w:rsidRDefault="001901A2" w:rsidP="001901A2">
      <w:pPr>
        <w:spacing w:line="480" w:lineRule="auto"/>
        <w:jc w:val="both"/>
        <w:rPr>
          <w:rFonts w:ascii="Times New Roman" w:hAnsi="Times New Roman" w:cs="Times New Roman"/>
          <w:b/>
          <w:bCs/>
          <w:sz w:val="24"/>
          <w:szCs w:val="24"/>
          <w:lang w:val="en-US"/>
        </w:rPr>
      </w:pPr>
      <w:r w:rsidRPr="00754A1D">
        <w:rPr>
          <w:rFonts w:ascii="Times New Roman" w:hAnsi="Times New Roman" w:cs="Times New Roman"/>
          <w:b/>
          <w:bCs/>
          <w:sz w:val="24"/>
          <w:szCs w:val="24"/>
          <w:lang w:val="en-US"/>
        </w:rPr>
        <w:t xml:space="preserve">A systemic response involving multiple biological processes </w:t>
      </w:r>
    </w:p>
    <w:p w14:paraId="4638EC22" w14:textId="319EC597" w:rsidR="009C54A4" w:rsidRPr="00754A1D" w:rsidRDefault="00BF4094" w:rsidP="00A835A2">
      <w:pPr>
        <w:spacing w:after="0"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lastRenderedPageBreak/>
        <w:t xml:space="preserve">The molecular upheaval due to </w:t>
      </w:r>
      <w:r w:rsidRPr="00754A1D">
        <w:rPr>
          <w:rFonts w:ascii="Times New Roman" w:hAnsi="Times New Roman" w:cs="Times New Roman"/>
          <w:bCs/>
          <w:i/>
          <w:sz w:val="24"/>
          <w:szCs w:val="24"/>
          <w:lang w:val="en-US"/>
        </w:rPr>
        <w:t>M. arvensis</w:t>
      </w:r>
      <w:r w:rsidRPr="00754A1D">
        <w:rPr>
          <w:rFonts w:ascii="Times New Roman" w:hAnsi="Times New Roman" w:cs="Times New Roman"/>
          <w:bCs/>
          <w:sz w:val="24"/>
          <w:szCs w:val="24"/>
          <w:lang w:val="en-US"/>
        </w:rPr>
        <w:t xml:space="preserve"> EO do</w:t>
      </w:r>
      <w:r w:rsidR="001E0882" w:rsidRPr="00754A1D">
        <w:rPr>
          <w:rFonts w:ascii="Times New Roman" w:hAnsi="Times New Roman" w:cs="Times New Roman"/>
          <w:bCs/>
          <w:sz w:val="24"/>
          <w:szCs w:val="24"/>
          <w:lang w:val="en-US"/>
        </w:rPr>
        <w:t>es</w:t>
      </w:r>
      <w:r w:rsidRPr="00754A1D">
        <w:rPr>
          <w:rFonts w:ascii="Times New Roman" w:hAnsi="Times New Roman" w:cs="Times New Roman"/>
          <w:bCs/>
          <w:sz w:val="24"/>
          <w:szCs w:val="24"/>
          <w:lang w:val="en-US"/>
        </w:rPr>
        <w:t xml:space="preserve"> not stop </w:t>
      </w:r>
      <w:r w:rsidR="001E0882" w:rsidRPr="00754A1D">
        <w:rPr>
          <w:rFonts w:ascii="Times New Roman" w:hAnsi="Times New Roman" w:cs="Times New Roman"/>
          <w:bCs/>
          <w:sz w:val="24"/>
          <w:szCs w:val="24"/>
          <w:lang w:val="en-US"/>
        </w:rPr>
        <w:t>at</w:t>
      </w:r>
      <w:r w:rsidRPr="00754A1D">
        <w:rPr>
          <w:rFonts w:ascii="Times New Roman" w:hAnsi="Times New Roman" w:cs="Times New Roman"/>
          <w:bCs/>
          <w:sz w:val="24"/>
          <w:szCs w:val="24"/>
          <w:lang w:val="en-US"/>
        </w:rPr>
        <w:t xml:space="preserve"> the nervous and muscular systems</w:t>
      </w:r>
      <w:r w:rsidR="001E0882" w:rsidRPr="00754A1D">
        <w:rPr>
          <w:rFonts w:ascii="Times New Roman" w:hAnsi="Times New Roman" w:cs="Times New Roman"/>
          <w:bCs/>
          <w:sz w:val="24"/>
          <w:szCs w:val="24"/>
          <w:lang w:val="en-US"/>
        </w:rPr>
        <w:t>,</w:t>
      </w:r>
      <w:r w:rsidRPr="00754A1D">
        <w:rPr>
          <w:rFonts w:ascii="Times New Roman" w:hAnsi="Times New Roman" w:cs="Times New Roman"/>
          <w:bCs/>
          <w:sz w:val="24"/>
          <w:szCs w:val="24"/>
          <w:lang w:val="en-US"/>
        </w:rPr>
        <w:t xml:space="preserve"> since proteins which are at the crossroads of multiple biological processes were upregulated</w:t>
      </w:r>
      <w:r w:rsidR="00F146C2" w:rsidRPr="00754A1D">
        <w:rPr>
          <w:rFonts w:ascii="Times New Roman" w:hAnsi="Times New Roman" w:cs="Times New Roman"/>
          <w:bCs/>
          <w:sz w:val="24"/>
          <w:szCs w:val="24"/>
          <w:lang w:val="en-US"/>
        </w:rPr>
        <w:t xml:space="preserve">. </w:t>
      </w:r>
      <w:r w:rsidR="00CA74ED" w:rsidRPr="00754A1D">
        <w:rPr>
          <w:rFonts w:ascii="Times New Roman" w:hAnsi="Times New Roman" w:cs="Times New Roman"/>
          <w:bCs/>
          <w:sz w:val="24"/>
          <w:szCs w:val="24"/>
          <w:lang w:val="en-US"/>
        </w:rPr>
        <w:t xml:space="preserve">For example, we </w:t>
      </w:r>
      <w:r w:rsidRPr="00754A1D">
        <w:rPr>
          <w:rFonts w:ascii="Times New Roman" w:hAnsi="Times New Roman" w:cs="Times New Roman"/>
          <w:bCs/>
          <w:sz w:val="24"/>
          <w:szCs w:val="24"/>
          <w:lang w:val="en-US"/>
        </w:rPr>
        <w:t>found an</w:t>
      </w:r>
      <w:r w:rsidR="00CA74ED" w:rsidRPr="00754A1D">
        <w:rPr>
          <w:rFonts w:ascii="Times New Roman" w:hAnsi="Times New Roman" w:cs="Times New Roman"/>
          <w:bCs/>
          <w:sz w:val="24"/>
          <w:szCs w:val="24"/>
          <w:lang w:val="en-US"/>
        </w:rPr>
        <w:t xml:space="preserve"> upregulation </w:t>
      </w:r>
      <w:r w:rsidR="00B4231F" w:rsidRPr="00754A1D">
        <w:rPr>
          <w:rFonts w:ascii="Times New Roman" w:hAnsi="Times New Roman" w:cs="Times New Roman"/>
          <w:bCs/>
          <w:sz w:val="24"/>
          <w:szCs w:val="24"/>
          <w:lang w:val="en-US"/>
        </w:rPr>
        <w:t>of high mobility group protein DSP1</w:t>
      </w:r>
      <w:r w:rsidR="00B66FB8" w:rsidRPr="00754A1D">
        <w:rPr>
          <w:rFonts w:ascii="Times New Roman" w:hAnsi="Times New Roman" w:cs="Times New Roman"/>
          <w:bCs/>
          <w:sz w:val="24"/>
          <w:szCs w:val="24"/>
          <w:lang w:val="en-US"/>
        </w:rPr>
        <w:t xml:space="preserve">, an HMG-like protein </w:t>
      </w:r>
      <w:r w:rsidR="001E0882" w:rsidRPr="00754A1D">
        <w:rPr>
          <w:rFonts w:ascii="Times New Roman" w:hAnsi="Times New Roman" w:cs="Times New Roman"/>
          <w:bCs/>
          <w:sz w:val="24"/>
          <w:szCs w:val="24"/>
          <w:lang w:val="en-US"/>
        </w:rPr>
        <w:t>that</w:t>
      </w:r>
      <w:r w:rsidR="00B4231F" w:rsidRPr="00754A1D">
        <w:rPr>
          <w:rFonts w:ascii="Times New Roman" w:hAnsi="Times New Roman" w:cs="Times New Roman"/>
          <w:bCs/>
          <w:sz w:val="24"/>
          <w:szCs w:val="24"/>
          <w:lang w:val="en-US"/>
        </w:rPr>
        <w:t xml:space="preserve"> plays multiple roles in </w:t>
      </w:r>
      <w:r w:rsidR="007D2EEC" w:rsidRPr="00754A1D">
        <w:rPr>
          <w:rFonts w:ascii="Times New Roman" w:hAnsi="Times New Roman" w:cs="Times New Roman"/>
          <w:bCs/>
          <w:sz w:val="24"/>
          <w:szCs w:val="24"/>
          <w:lang w:val="en-US"/>
        </w:rPr>
        <w:t xml:space="preserve">insect </w:t>
      </w:r>
      <w:r w:rsidR="00B4231F" w:rsidRPr="00754A1D">
        <w:rPr>
          <w:rFonts w:ascii="Times New Roman" w:hAnsi="Times New Roman" w:cs="Times New Roman"/>
          <w:bCs/>
          <w:sz w:val="24"/>
          <w:szCs w:val="24"/>
          <w:lang w:val="en-US"/>
        </w:rPr>
        <w:t xml:space="preserve">development </w:t>
      </w:r>
      <w:r w:rsidR="00B66FB8" w:rsidRPr="00754A1D">
        <w:rPr>
          <w:rFonts w:ascii="Times New Roman" w:hAnsi="Times New Roman" w:cs="Times New Roman"/>
          <w:bCs/>
          <w:sz w:val="24"/>
          <w:szCs w:val="24"/>
          <w:lang w:val="en-US"/>
        </w:rPr>
        <w:t xml:space="preserve">by regulating homeotic genes </w:t>
      </w:r>
      <w:r w:rsidR="00B4231F"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{"citationID":"mx3xhbaE","properties":{"formattedCitation":"(Mosrin-Huaman et al. 1998; Decoville et al. 2001)","plainCitation":"(Mosrin-Huaman et al. 1998; Decoville et al. 2001)","noteIndex":0},"citationItems":[{"id":2253,"uris":["http://zotero.org/users/local/QcSA6amT/items/7UFCTJRD"],"uri":["http://zotero.org/users/local/QcSA6amT/items/7UFCTJRD"],"itemData":{"id":2253,"type":"article-journal","abstract":"DSP1 is an HMG-box containing protein of Drosophila melanogaster which was first identified as a co-repressor of the Dorsal protein. Recently, the analysis of the structure of the gene has led us to propose that DSP1 is the Drosophila equivalent of the ubiquitous vertebrate HMG 1/2 proteins. In the present paper, the patterns of expression of DSP1 protein and RNA in adult flies and during development are reported. In the adults DSP1 protein is located in nurse cells of ovaries and in brain. During eggs development uniform expression of DSP1 protein persists until the end of germband retraction. At later stages, expression is restricted to the ventral nerve chord and brain. Using P-element mutagenesis, we have isolated a mutant deficient in DSP1 functions. Genetic studies of this mutant show that DSP1 protein is essential for the growth and the development of Drosophila. In addition to be a co-repressor of the transcriptional activator Dorsal our results provide compelling evidence that DSP1 is a regulator involved in several pathways necessary for the development of the fly.","container-title":"Developmental Genetics","DOI":"10.1002/(SICI)1520-6408(1998)23:4&lt;324::AID-DVG7&gt;3.0.CO;2-T","ISSN":"0192-253X","issue":"4","journalAbbreviation":"Dev. Genet.","language":"eng","note":"PMID: 9883584","page":"324-334","source":"PubMed","title":"DSP1 gene of Drosophila melanogaster encodes an HMG-domain protein that plays multiple roles in development","volume":"23","author":[{"family":"Mosrin-Huaman","given":"C."},{"family":"Canaple","given":"L."},{"family":"Locker","given":"D."},{"family":"Decoville","given":"M."}],"issued":{"date-parts":[["1998"]]}}},{"id":2255,"uris":["http://zotero.org/users/local/QcSA6amT/items/3ASVRWLU"],"uri":["http://zotero.org/users/local/QcSA6amT/items/3ASVRWLU"],"itemData":{"id":2255,"type":"article-journal","abstract":"The Drosophila dsp1 gene, which encodes an HMG-like protein, was originally identified in a screen for corepressors of Dorsal. Here we report that loss of dsp1 function causes homeotic transformations resembling those associated with loss of function in the homeotic genes Sex combs reduced (Scr), Ultrabithorax (Ubx), and Abdominal-B. The expression pattern of Scr is altered in dsp1 mutant imaginal discs, indicating that dsp1 is required for normal expression of this gene. Genetic interaction studies reveal that a null allele of dsp1 enhances trithorax-group gene (trx-G) mutations and partially suppresses Polycomb-group gene (Pc-G) mutations. On the contrary, overexpression of dsp1 induces an enhancement of the transformation of wings into halteres and of the extra sex comb phenotype of Pc. In addition, dsp1 male mutants exhibit a mild transformation of A4 into A5. Comparison of the chromatin structure at the Mcp locus in wild-type and dsp1 mutant embryos reveals that the 300-bp DNase I hypersensitive region is absent in a dsp1 mutant context. We propose that DSP1 protein is a chromatin remodeling factor, acting as a trx-G or a Pc-G protein depending on the considered function.","container-title":"Genetics","ISSN":"0016-6731","issue":"1","journalAbbreviation":"Genetics","note":"PMID: 11139505\nPMCID: PMC1461500","page":"237-244","source":"PubMed Central","title":"DSP1, an HMG-like protein, is involved in the regulation of homeotic genes.","volume":"157","author":[{"family":"Decoville","given":"M"},{"family":"Giacomello","given":"E"},{"family":"Leng","given":"M"},{"family":"Locker","given":"D"}],"issued":{"date-parts":[["2001",1]]}}}],"schema":"https://github.com/citation-style-language/schema/raw/master/csl-citation.json"} </w:instrText>
      </w:r>
      <w:r w:rsidR="00B4231F" w:rsidRPr="00754A1D">
        <w:rPr>
          <w:rFonts w:ascii="Times New Roman" w:hAnsi="Times New Roman" w:cs="Times New Roman"/>
          <w:bCs/>
          <w:sz w:val="24"/>
          <w:szCs w:val="24"/>
          <w:lang w:val="en-US"/>
        </w:rPr>
        <w:fldChar w:fldCharType="separate"/>
      </w:r>
      <w:r w:rsidR="00B66FB8" w:rsidRPr="00754A1D">
        <w:rPr>
          <w:rFonts w:ascii="Times New Roman" w:hAnsi="Times New Roman" w:cs="Times New Roman"/>
          <w:sz w:val="24"/>
          <w:lang w:val="en-US"/>
        </w:rPr>
        <w:t>(Mosrin-Huaman et al. 1998; Decoville et al. 2001)</w:t>
      </w:r>
      <w:r w:rsidR="00B4231F" w:rsidRPr="00754A1D">
        <w:rPr>
          <w:rFonts w:ascii="Times New Roman" w:hAnsi="Times New Roman" w:cs="Times New Roman"/>
          <w:bCs/>
          <w:sz w:val="24"/>
          <w:szCs w:val="24"/>
          <w:lang w:val="en-US"/>
        </w:rPr>
        <w:fldChar w:fldCharType="end"/>
      </w:r>
      <w:r w:rsidR="00CA74ED" w:rsidRPr="00754A1D">
        <w:rPr>
          <w:rFonts w:ascii="Times New Roman" w:hAnsi="Times New Roman" w:cs="Times New Roman"/>
          <w:bCs/>
          <w:sz w:val="24"/>
          <w:szCs w:val="24"/>
          <w:lang w:val="en-US"/>
        </w:rPr>
        <w:t xml:space="preserve">. </w:t>
      </w:r>
      <w:bookmarkStart w:id="10" w:name="_Hlk66452912"/>
      <w:r w:rsidR="00B10A10" w:rsidRPr="00754A1D">
        <w:rPr>
          <w:rFonts w:ascii="Times New Roman" w:hAnsi="Times New Roman" w:cs="Times New Roman"/>
          <w:bCs/>
          <w:sz w:val="24"/>
          <w:szCs w:val="24"/>
          <w:lang w:val="en-US"/>
        </w:rPr>
        <w:t xml:space="preserve">Actin-5C is involved in various biological processes including chromatin remodeling and mitotic cytokinesis </w:t>
      </w:r>
      <w:r w:rsidR="00B10A10" w:rsidRPr="00754A1D">
        <w:rPr>
          <w:rFonts w:ascii="Times New Roman" w:hAnsi="Times New Roman" w:cs="Times New Roman"/>
          <w:bCs/>
          <w:sz w:val="24"/>
          <w:szCs w:val="24"/>
          <w:lang w:val="en-US"/>
        </w:rPr>
        <w:fldChar w:fldCharType="begin"/>
      </w:r>
      <w:r w:rsidR="00B10A10" w:rsidRPr="00754A1D">
        <w:rPr>
          <w:rFonts w:ascii="Times New Roman" w:hAnsi="Times New Roman" w:cs="Times New Roman"/>
          <w:bCs/>
          <w:sz w:val="24"/>
          <w:szCs w:val="24"/>
          <w:lang w:val="en-US"/>
        </w:rPr>
        <w:instrText xml:space="preserve"> ADDIN ZOTERO_ITEM CSL_CITATION {"citationID":"adNyCBRz","properties":{"formattedCitation":"(Echard et al. 2004; Klymenko et al. 2006)","plainCitation":"(Echard et al. 2004; Klymenko et al. 2006)","noteIndex":0},"citationItems":[{"id":2188,"uris":["http://zotero.org/users/local/QcSA6amT/items/XM6JHEAP"],"uri":["http://zotero.org/users/local/QcSA6amT/items/XM6JHEAP"],"itemData":{"id":2188,"type":"article-journal","abstract":"Much of our understanding of animal cell cytokinesis centers on the regulation of the equatorial acto-myosin contractile ring that drives the rapid ingression of a deep cleavage furrow. However, the central part of the mitotic spindle collapses to a dense structure that impedes the furrow and keeps the daughter cells connected via an intercellular bridge. Factors involved in the formation, maintenance, and resolution of this bridge are largely unknown. Using a library of 7,216 double-stranded RNAs (dsRNAs) representing the conserved genes of Drosophila, we performed an RNA interference (RNAi) screen for cytokinesis genes in Schneider's S2 cells. We identified both familiar and novel genes whose inactivation induced a multi-nucleate phenotype. Using live video microscopy, we show that three genes: anillin, citron-kinase (CG10522), and soluble N-ethylmaleimide sensitive factor (NSF) attachment protein (alpha-SNAP), are essential for the terminal (post-furrowing) events of cytokinesis. anillin RNAi caused gradual disruption of the intercellular bridge after furrowing; citron-kinase RNAi destabilized the bridge at a later stage; alpha-SNAP RNAi caused sister cells to fuse many hours later and by a different mechanism. We have shown that the stability of the intercellular bridge is essential for successful cytokinesis and have defined genes contributing to this stability.","container-title":"Current biology: CB","DOI":"10.1016/j.cub.2004.08.063","ISSN":"0960-9822","issue":"18","journalAbbreviation":"Curr. Biol.","language":"eng","note":"PMID: 15380073\nPMCID: PMC2899696","page":"1685-1693","source":"PubMed","title":"Terminal cytokinesis events uncovered after an RNAi screen","volume":"14","author":[{"family":"Echard","given":"Arnaud"},{"family":"Hickson","given":"Gilles R. X."},{"family":"Foley","given":"Edan"},{"family":"O'Farrell","given":"Patrick H."}],"issued":{"date-parts":[["2004",9,21]]}}},{"id":2190,"uris":["http://zotero.org/users/local/QcSA6amT/items/NBAY849S"],"uri":["http://zotero.org/users/local/QcSA6amT/items/NBAY849S"],"itemData":{"id":2190,"type":"article-journal","abstract":"Polycomb response elements (PREs) are specific cis-regulatory sequences needed for transcriptional repression of HOX and other target genes by Polycomb group (PcG) proteins. Among the many PcG proteins known in Drosophila, Pho is the only sequence-specific DNA-binding protein. To gain insight into the function of Pho, we purified Pho protein complexes from Drosophila embryos and found that Pho exists in two distinct protein assemblies: a Pho-dINO80 complex containing the Drosophila INO80 nucleosome-remodeling complex, and a Pho-repressive complex (PhoRC) containing the uncharacterized gene product dSfmbt. Analysis of PhoRC reveals that dSfmbt is a novel PcG protein that is essential for HOX gene repression in Drosophila. PhoRC is bound at HOX gene PREs in vivo, and this targeting strictly depends on Pho-binding sites. Characterization of dSfmbt protein shows that its MBT repeats have unique discriminatory binding activity for methylated lysine residues in histones H3 and H4; the MBT repeats bind mono- and di-methylated H3-K9 and H4-K20 but fail to interact with these residues if they are unmodified or tri-methylated. Our results establish PhoRC as a novel Drosophila PcG protein complex that combines DNA-targeting activity (Pho) with a unique modified histone-binding activity (dSfmbt). We propose that PRE-tethered PhoRC selectively interacts with methylated histones in the chromatin flanking PREs to maintain a Polycomb-repressed chromatin state.","container-title":"Genes &amp; Development","DOI":"10.1101/gad.377406","ISSN":"0890-9369","issue":"9","journalAbbreviation":"Genes Dev.","language":"eng","note":"PMID: 16618800\nPMCID: PMC1472471","page":"1110-1122","source":"PubMed","title":"A Polycomb group protein complex with sequence-specific DNA-binding and selective methyl-lysine-binding activities","volume":"20","author":[{"family":"Klymenko","given":"Tetyana"},{"family":"Papp","given":"Bernadett"},{"family":"Fischle","given":"Wolfgang"},{"family":"Köcher","given":"Thomas"},{"family":"Schelder","given":"Malgorzata"},{"family":"Fritsch","given":"Cornelia"},{"family":"Wild","given":"Brigitte"},{"family":"Wilm","given":"Matthias"},{"family":"Müller","given":"Jürg"}],"issued":{"date-parts":[["2006",5,1]]}}}],"schema":"https://github.com/citation-style-language/schema/raw/master/csl-citation.json"} </w:instrText>
      </w:r>
      <w:r w:rsidR="00B10A10" w:rsidRPr="00754A1D">
        <w:rPr>
          <w:rFonts w:ascii="Times New Roman" w:hAnsi="Times New Roman" w:cs="Times New Roman"/>
          <w:bCs/>
          <w:sz w:val="24"/>
          <w:szCs w:val="24"/>
          <w:lang w:val="en-US"/>
        </w:rPr>
        <w:fldChar w:fldCharType="separate"/>
      </w:r>
      <w:r w:rsidR="00B10A10" w:rsidRPr="00754A1D">
        <w:rPr>
          <w:rFonts w:ascii="Times New Roman" w:hAnsi="Times New Roman" w:cs="Times New Roman"/>
          <w:sz w:val="24"/>
          <w:lang w:val="en-US"/>
        </w:rPr>
        <w:t>(Echard et al. 2004; Klymenko et al. 2006)</w:t>
      </w:r>
      <w:r w:rsidR="00B10A10" w:rsidRPr="00754A1D">
        <w:rPr>
          <w:rFonts w:ascii="Times New Roman" w:hAnsi="Times New Roman" w:cs="Times New Roman"/>
          <w:bCs/>
          <w:sz w:val="24"/>
          <w:szCs w:val="24"/>
          <w:lang w:val="en-US"/>
        </w:rPr>
        <w:fldChar w:fldCharType="end"/>
      </w:r>
      <w:r w:rsidR="00B10A10" w:rsidRPr="00754A1D">
        <w:rPr>
          <w:rFonts w:ascii="Times New Roman" w:hAnsi="Times New Roman" w:cs="Times New Roman"/>
          <w:bCs/>
          <w:sz w:val="24"/>
          <w:szCs w:val="24"/>
          <w:lang w:val="en-US"/>
        </w:rPr>
        <w:t xml:space="preserve">. </w:t>
      </w:r>
      <w:bookmarkEnd w:id="10"/>
      <w:r w:rsidR="00B66FB8" w:rsidRPr="00754A1D">
        <w:rPr>
          <w:rFonts w:ascii="Times New Roman" w:hAnsi="Times New Roman" w:cs="Times New Roman"/>
          <w:bCs/>
          <w:sz w:val="24"/>
          <w:szCs w:val="24"/>
          <w:lang w:val="en-US"/>
        </w:rPr>
        <w:t>T</w:t>
      </w:r>
      <w:r w:rsidR="00F146C2" w:rsidRPr="00754A1D">
        <w:rPr>
          <w:rFonts w:ascii="Times New Roman" w:hAnsi="Times New Roman" w:cs="Times New Roman"/>
          <w:bCs/>
          <w:sz w:val="24"/>
          <w:szCs w:val="24"/>
          <w:lang w:val="en-US"/>
        </w:rPr>
        <w:t xml:space="preserve">he calcium transmembrane transporter </w:t>
      </w:r>
      <w:r w:rsidR="00B66FB8" w:rsidRPr="00754A1D">
        <w:rPr>
          <w:rFonts w:ascii="Times New Roman" w:hAnsi="Times New Roman" w:cs="Times New Roman"/>
          <w:bCs/>
          <w:sz w:val="24"/>
          <w:szCs w:val="24"/>
          <w:lang w:val="en-US"/>
        </w:rPr>
        <w:t>c</w:t>
      </w:r>
      <w:r w:rsidR="00F146C2" w:rsidRPr="00754A1D">
        <w:rPr>
          <w:rFonts w:ascii="Times New Roman" w:hAnsi="Times New Roman" w:cs="Times New Roman"/>
          <w:bCs/>
          <w:sz w:val="24"/>
          <w:szCs w:val="24"/>
          <w:lang w:val="en-US"/>
        </w:rPr>
        <w:t xml:space="preserve">alcium-transporting ATPase sarcoplasmic/endoplasmic reticulum type </w:t>
      </w:r>
      <w:r w:rsidR="00B66FB8" w:rsidRPr="00754A1D">
        <w:rPr>
          <w:rFonts w:ascii="Times New Roman" w:hAnsi="Times New Roman" w:cs="Times New Roman"/>
          <w:bCs/>
          <w:sz w:val="24"/>
          <w:szCs w:val="24"/>
          <w:lang w:val="en-US"/>
        </w:rPr>
        <w:t xml:space="preserve">also </w:t>
      </w:r>
      <w:r w:rsidR="001E0882" w:rsidRPr="00754A1D">
        <w:rPr>
          <w:rFonts w:ascii="Times New Roman" w:hAnsi="Times New Roman" w:cs="Times New Roman"/>
          <w:bCs/>
          <w:sz w:val="24"/>
          <w:szCs w:val="24"/>
          <w:lang w:val="en-US"/>
        </w:rPr>
        <w:t>performs</w:t>
      </w:r>
      <w:r w:rsidR="00B66FB8" w:rsidRPr="00754A1D">
        <w:rPr>
          <w:rFonts w:ascii="Times New Roman" w:hAnsi="Times New Roman" w:cs="Times New Roman"/>
          <w:bCs/>
          <w:sz w:val="24"/>
          <w:szCs w:val="24"/>
          <w:lang w:val="en-US"/>
        </w:rPr>
        <w:t xml:space="preserve"> multiple functions including regulation of</w:t>
      </w:r>
      <w:r w:rsidR="00F146C2" w:rsidRPr="00754A1D">
        <w:rPr>
          <w:rFonts w:ascii="Times New Roman" w:hAnsi="Times New Roman" w:cs="Times New Roman"/>
          <w:bCs/>
          <w:sz w:val="24"/>
          <w:szCs w:val="24"/>
          <w:lang w:val="en-US"/>
        </w:rPr>
        <w:t xml:space="preserve"> </w:t>
      </w:r>
      <w:r w:rsidR="00E97ABD" w:rsidRPr="00754A1D">
        <w:rPr>
          <w:rFonts w:ascii="Times New Roman" w:hAnsi="Times New Roman" w:cs="Times New Roman"/>
          <w:bCs/>
          <w:sz w:val="24"/>
          <w:szCs w:val="24"/>
          <w:lang w:val="en-US"/>
        </w:rPr>
        <w:t>adaptive</w:t>
      </w:r>
      <w:r w:rsidR="00F146C2" w:rsidRPr="00754A1D">
        <w:rPr>
          <w:rFonts w:ascii="Times New Roman" w:hAnsi="Times New Roman" w:cs="Times New Roman"/>
          <w:bCs/>
          <w:sz w:val="24"/>
          <w:szCs w:val="24"/>
          <w:lang w:val="en-US"/>
        </w:rPr>
        <w:t xml:space="preserve"> thermogenesis, heart contraction, neuromuscular </w:t>
      </w:r>
      <w:r w:rsidR="00E97ABD" w:rsidRPr="00754A1D">
        <w:rPr>
          <w:rFonts w:ascii="Times New Roman" w:hAnsi="Times New Roman" w:cs="Times New Roman"/>
          <w:bCs/>
          <w:sz w:val="24"/>
          <w:szCs w:val="24"/>
          <w:lang w:val="en-US"/>
        </w:rPr>
        <w:t>synaptic</w:t>
      </w:r>
      <w:r w:rsidR="00F146C2" w:rsidRPr="00754A1D">
        <w:rPr>
          <w:rFonts w:ascii="Times New Roman" w:hAnsi="Times New Roman" w:cs="Times New Roman"/>
          <w:bCs/>
          <w:sz w:val="24"/>
          <w:szCs w:val="24"/>
          <w:lang w:val="en-US"/>
        </w:rPr>
        <w:t xml:space="preserve"> transmission</w:t>
      </w:r>
      <w:r w:rsidR="009049F2" w:rsidRPr="00754A1D">
        <w:rPr>
          <w:rFonts w:ascii="Times New Roman" w:hAnsi="Times New Roman" w:cs="Times New Roman"/>
          <w:bCs/>
          <w:sz w:val="24"/>
          <w:szCs w:val="24"/>
          <w:lang w:val="en-US"/>
        </w:rPr>
        <w:t xml:space="preserve">, fatty acid beta-oxidation, </w:t>
      </w:r>
      <w:r w:rsidR="00F146C2" w:rsidRPr="00754A1D">
        <w:rPr>
          <w:rFonts w:ascii="Times New Roman" w:hAnsi="Times New Roman" w:cs="Times New Roman"/>
          <w:bCs/>
          <w:sz w:val="24"/>
          <w:szCs w:val="24"/>
          <w:lang w:val="en-US"/>
        </w:rPr>
        <w:t>flight behavior</w:t>
      </w:r>
      <w:r w:rsidR="00B66FB8" w:rsidRPr="00754A1D">
        <w:rPr>
          <w:rFonts w:ascii="Times New Roman" w:hAnsi="Times New Roman" w:cs="Times New Roman"/>
          <w:bCs/>
          <w:sz w:val="24"/>
          <w:szCs w:val="24"/>
          <w:lang w:val="en-US"/>
        </w:rPr>
        <w:t xml:space="preserve"> and many other biological processes</w:t>
      </w:r>
      <w:r w:rsidR="00F146C2" w:rsidRPr="00754A1D">
        <w:rPr>
          <w:rFonts w:ascii="Times New Roman" w:hAnsi="Times New Roman" w:cs="Times New Roman"/>
          <w:bCs/>
          <w:sz w:val="24"/>
          <w:szCs w:val="24"/>
          <w:lang w:val="en-US"/>
        </w:rPr>
        <w:t xml:space="preserve"> </w:t>
      </w:r>
      <w:r w:rsidR="00F146C2"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{"citationID":"ew1PG7v5","properties":{"formattedCitation":"(Sanyal et al. 2005; Banerjee et al. 2006; Abraham and Wolf 2013; Bi et al. 2014; Moraru et al. 2017)","plainCitation":"(Sanyal et al. 2005; Banerjee et al. 2006; Abraham and Wolf 2013; Bi et al. 2014; Moraru et al. 2017)","noteIndex":0},"citationItems":[{"id":2229,"uris":["http://zotero.org/users/local/QcSA6amT/items/85A6NY8Y"],"uri":["http://zotero.org/users/local/QcSA6amT/items/85A6NY8Y"],"itemData":{"id":2229,"type":"article-journal","abstract":"Individual contributions made by different calcium release and sequestration mechanisms to various aspects of excitable cell physiology are incompletely understood. SERCA, a sarco-endoplasmic reticulum calcium ATPase, being the main agent for calcium uptake into the ER, plays a central role in this process. By isolation and extensive characterization of conditional mutations in the Drosophila SERCA gene, we describe novel roles of this key protein in neuromuscular physiology and enable a genetic analysis of SERCA function. At motor nerve terminals, SERCA inhibition retards calcium sequestration and reduces the amplitude of evoked excitatory junctional currents. This suggests a direct contribution of store-derived calcium in determining the quantal content of evoked release. Conditional paralysis of SERCA mutants is also marked by prolonged neural activity-driven muscle contraction, thus reflecting the phylogenetically conserved role of SERCA in terminating contraction. Further analysis of ionic currents from mutants uncovers SERCA-dependent mechanisms regulating voltage-gated calcium channels and calcium-activated potassium channels that together control muscle excitability. Finally, our identification of dominant loss-of-function mutations in SERCA indicates novel intra- and intermolecular interactions for SERCA in vivo, overlooked by current structural models.","container-title":"Genetics","DOI":"10.1534/genetics.104.031930","ISSN":"0016-6731","issue":"2","journalAbbreviation":"Genetics","language":"eng","note":"PMID: 15520268\nPMCID: PMC1449089","page":"737-750","source":"PubMed","title":"Analysis of conditional paralytic mutants in Drosophila sarco-endoplasmic reticulum calcium ATPase reveals novel mechanisms for regulating membrane excitability","volume":"169","author":[{"family":"Sanyal","given":"S."},{"family":"Consoulas","given":"C."},{"family":"Kuromi","given":"H."},{"family":"Basole","given":"A."},{"family":"Mukai","given":"L."},{"family":"Kidokoro","given":"Y."},{"family":"Krishnan","given":"K. S."},{"family":"Ramaswami","given":"M."}],"issued":{"date-parts":[["2005",2]]}}},{"id":2223,"uris":["http://zotero.org/users/local/QcSA6amT/items/EF3GMGPC"],"uri":["http://zotero.org/users/local/QcSA6amT/items/EF3GMGPC"],"itemData":{"id":2223,"type":"article-journal","abstract":"Ionic Ca2+ functions as a second messenger to control several intracellular processes. It also influences intercellular communication. The release of Ca2+ from intracellular stores through the inositol 1,4,5-trisphosphate receptor (InsP3R) occurs in both excitable and nonexcitable cells. In Drosophila, InsP3R activity is required in aminergic interneurons during pupal development for normal flight behavior. By altering intracellular Ca2+ and InsP3 levels through genetic means, we now show that signaling through the InsP3R is required at multiple steps for generating the neural circuit required in air puff-stimulated Drosophila flight. Decreased Ca2+ release in aminergic neurons during development of the flight circuit can be compensated by reducing Ca2+ uptake from the cytosol to intracellular stores. However, this mode of increasing intracellular Ca2+ is insufficient for maintenance of flight patterns over time periods necessary for normal flight. Our study suggests that processes such as maintenance of wing posture and formation of the flight circuit require InsP3 receptor function at a slow timescale and can thus be modulated by altering levels of cytosolic Ca2+ and InsP3. In contrast, maintenance of flight patterns probably requires fast modulation of Ca2+ levels, in which the intrinsic properties of the InsP3R play a pivotal role.","container-title":"Journal of Neuroscience","DOI":"10.1523/JNEUROSCI.1231-06.2006","ISSN":"0270-6474, 1529-2401","issue":"32","journalAbbreviation":"J. Neurosci.","language":"en","note":"PMID: 16899722","page":"8278-8288","source":"www.jneurosci.org","title":"Compensation of Inositol 1,4,5-Trisphosphate Receptor Function by Altering Sarco-Endoplasmic Reticulum Calcium ATPase Activity in the Drosophila Flight Circuit","volume":"26","author":[{"family":"Banerjee","given":"Santanu"},{"family":"Joshi","given":"Rohit"},{"family":"Venkiteswaran","given":"Gayatri"},{"family":"Agrawal","given":"Neha"},{"family":"Srikanth","given":"Sonal"},{"family":"Alam","given":"Farhan"},{"family":"Hasan","given":"Gaiti"}],"issued":{"date-parts":[["2006",8,9]]}}},{"id":2233,"uris":["http://zotero.org/users/local/QcSA6amT/items/AXELDH6K"],"uri":["http://zotero.org/users/local/QcSA6amT/items/AXELDH6K"],"itemData":{"id":2233,"type":"article-journal","abstract":"Abnormal sarcoendoplasmic reticulum Calcium ATPase (SERCA) function has been associated with poor cardiac function in humans. While modifiers of SERCA function have been identified and studied using animal models, further investigation has been limited by the absence of a model system that is amenable to large-scale genetic screens. Drosophila melanogaster is an ideal model system for the investigation of SERCA function due to the significant homology to human SERCA and the availability of versatile genetic screening tools. To further the use of Drosophila as a model for examining the role of SERCA in cardiac function, we examined cardiac function in adult flies. Using optical coherence tomography (OCT) imaging in awake, adult Drosophila, we have been able to characterize cardiac chamber dimensions in flies with disrupted in Drosophila SERCA (CaP60A). We found that the best studied CaP60A mutant, the conditional paralytic mutant CaP60A(kum170), develops marked bradycardia and chamber enlargement that is closely linked to the onset of paralysis and dependent on extra cardiac CaP60A. In contrast to prior work, we show that disruption of CaP60A in a cardiac specific manner results in cardiac dilation and dysfunction rather than alteration in heart rate. In addition, the co-expression of a calcium release channel mutation with CaP60A (kum170) is sufficient to rescue the cardiac phenotype but not paralysis. Finally, we show that CaP60A overexpression is able to rescue cardiac function in a model of Drosophila cardiac dysfunction similar to what is observed in mammals. Thus, we present a cardiac phenotype associated with Drosophila SERCA dysfunction that would serve as additional phenotyping for further large-scale genetic screens for novel modifiers of SERCA function.","container-title":"PloS One","DOI":"10.1371/journal.pone.0077785","ISSN":"1932-6203","issue":"10","journalAbbreviation":"PLoS ONE","language":"eng","note":"PMID: 24098595\nPMCID: PMC3789689","page":"e77785","source":"PubMed","title":"Disruption of sarcoendoplasmic reticulum calcium ATPase function in Drosophila leads to cardiac dysfunction","volume":"8","author":[{"family":"Abraham","given":"Dennis M."},{"family":"Wolf","given":"Matthew J."}],"issued":{"date-parts":[["2013"]]}}},{"id":2236,"uris":["http://zotero.org/users/local/QcSA6amT/items/3HQSSU4K"],"uri":["http://zotero.org/users/local/QcSA6amT/items/3HQSSU4K"],"itemData":{"id":2236,"type":"article-journal","abstract":"Adipose tissue is central to the regulation of lipid metabolism. Berardinelli-Seip congenital lipodystrophy type 2 (BSCL2), one of the most severe lipodystrophy diseases, is caused by mutation of the Seipin gene. Seipin plays an important role in adipocyte differentiation and lipid homeostasis, but its exact molecular functions are still unknown. Here, we show that Seipin physically interacts with the sarco/endoplasmic reticulum Ca(2+)-ATPase (SERCA) in both Drosophila and man. SERCA, an endoplasmic reticulum (ER) calcium pump, is solely responsible for transporting cytosolic calcium into the ER lumen. Like dSeipin, dSERCA cell-autonomously promotes lipid storage in Drosophila fat cells. dSeipin affects dSERCA activity and modulates intracellular calcium homeostasis. Adipose tissue-specific knockdown of the ER-to-cytosol calcium release channel ryanodine receptor (RyR) partially restores fat storage in dSeipin mutants. Our results reveal that Seipin promotes adipose tissue fat storage by regulating intracellular calcium homeostasis.","container-title":"Cell Metabolism","DOI":"10.1016/j.cmet.2014.03.028","ISSN":"1932-7420","issue":"5","journalAbbreviation":"Cell Metab.","language":"eng","note":"PMID: 24807223","page":"861-871","source":"PubMed","title":"Seipin promotes adipose tissue fat storage through the ER Ca²⁺-ATPase SERCA","volume":"19","author":[{"family":"Bi","given":"Junfeng"},{"family":"Wang","given":"Wei"},{"family":"Liu","given":"Zhonghua"},{"family":"Huang","given":"Xiahe"},{"family":"Jiang","given":"Qingqing"},{"family":"Liu","given":"George"},{"family":"Wang","given":"Yingchun"},{"family":"Huang","given":"Xun"}],"issued":{"date-parts":[["2014",5,6]]}}},{"id":2218,"uris":["http://zotero.org/users/local/QcSA6amT/items/MMWCP38D"],"uri":["http://zotero.org/users/local/QcSA6amT/items/MMWCP38D"],"itemData":{"id":2218,"type":"article-journal","abstract":"Human susceptibility to obesity is mainly genetic, yet the underlying evolutionary drivers causing variation from person to person are not clear. One theory rationalizes that populations that have adapted to warmer climates have reduced their metabolic rates, thereby increasing their propensity to store energy. We uncover here the function of a gene that supports this theory. THADA is one of the </w:instrText>
      </w:r>
      <w:r w:rsidR="009364F5" w:rsidRPr="00754A1D">
        <w:rPr>
          <w:rFonts w:ascii="Times New Roman" w:hAnsi="Times New Roman" w:cs="Times New Roman"/>
          <w:bCs/>
          <w:sz w:val="24"/>
          <w:szCs w:val="24"/>
        </w:rPr>
        <w:instrText xml:space="preserve">genes most strongly selected during evolution as humans settled in different climates. We report here that THADA knockout flies are obese, hyperphagic, have reduced energy production, and are sensitive to the cold. THADA binds the sarco/ER Ca2+ ATPase (SERCA) and acts on it as an uncoupler. Reducing SERCA activity in THADA mutant flies rescues their obesity, pinpointing SERCA as a key effector of THADA function. In sum, this identifies THADA as a regulator of the balance between energy consumption and energy storage, which was selected during human evolution.","container-title":"Developmental Cell","DOI":"10.1016/j.devcel.2017.03.016","ISSN":"1878-1551","issue":"1","journalAbbreviation":"Dev. Cell","language":"eng","note":"PMID: 28399403\nPMCID: PMC5392496","page":"72-81.e6","source":"PubMed","title":"THADA Regulates the Organismal Balance between Energy Storage and Heat Production","volume":"41","author":[{"family":"Moraru","given":"Alexandra"},{"family":"Cakan-Akdogan","given":"Gulcin"},{"family":"Strassburger","given":"Katrin"},{"family":"Males","given":"Matilda"},{"family":"Mueller","given":"Sandra"},{"family":"Jabs","given":"Markus"},{"family":"Muelleder","given":"Michael"},{"family":"Frejno","given":"Martin"},{"family":"Braeckman","given":"Bart P."},{"family":"Ralser","given":"Markus"},{"family":"Teleman","given":"Aurelio A."}],"issued":{"date-parts":[["2017"]],"season":"10"}}}],"schema":"https://github.com/citation-style-language/schema/raw/master/csl-citation.json"} </w:instrText>
      </w:r>
      <w:r w:rsidR="00F146C2" w:rsidRPr="00754A1D">
        <w:rPr>
          <w:rFonts w:ascii="Times New Roman" w:hAnsi="Times New Roman" w:cs="Times New Roman"/>
          <w:bCs/>
          <w:sz w:val="24"/>
          <w:szCs w:val="24"/>
          <w:lang w:val="en-US"/>
        </w:rPr>
        <w:fldChar w:fldCharType="separate"/>
      </w:r>
      <w:r w:rsidR="009049F2" w:rsidRPr="00754A1D">
        <w:rPr>
          <w:rFonts w:ascii="Times New Roman" w:hAnsi="Times New Roman" w:cs="Times New Roman"/>
          <w:sz w:val="24"/>
        </w:rPr>
        <w:t>(Sanyal et al. 2005; Banerjee et al. 2006; Abraham and Wolf 2013; Bi et al. 2014; Moraru et al. 2017)</w:t>
      </w:r>
      <w:r w:rsidR="00F146C2" w:rsidRPr="00754A1D">
        <w:rPr>
          <w:rFonts w:ascii="Times New Roman" w:hAnsi="Times New Roman" w:cs="Times New Roman"/>
          <w:bCs/>
          <w:sz w:val="24"/>
          <w:szCs w:val="24"/>
          <w:lang w:val="en-US"/>
        </w:rPr>
        <w:fldChar w:fldCharType="end"/>
      </w:r>
      <w:r w:rsidR="00F146C2" w:rsidRPr="00754A1D">
        <w:rPr>
          <w:rFonts w:ascii="Times New Roman" w:hAnsi="Times New Roman" w:cs="Times New Roman"/>
          <w:bCs/>
          <w:sz w:val="24"/>
          <w:szCs w:val="24"/>
        </w:rPr>
        <w:t xml:space="preserve">. </w:t>
      </w:r>
      <w:r w:rsidR="001E0882" w:rsidRPr="00754A1D">
        <w:rPr>
          <w:rFonts w:ascii="Times New Roman" w:hAnsi="Times New Roman" w:cs="Times New Roman"/>
          <w:bCs/>
          <w:sz w:val="24"/>
          <w:szCs w:val="24"/>
          <w:lang w:val="en-US"/>
        </w:rPr>
        <w:t>The a</w:t>
      </w:r>
      <w:r w:rsidR="009049F2" w:rsidRPr="00754A1D">
        <w:rPr>
          <w:rFonts w:ascii="Times New Roman" w:hAnsi="Times New Roman" w:cs="Times New Roman"/>
          <w:bCs/>
          <w:sz w:val="24"/>
          <w:szCs w:val="24"/>
          <w:lang w:val="en-US"/>
        </w:rPr>
        <w:t xml:space="preserve">lanine aminotransferase </w:t>
      </w:r>
      <w:r w:rsidR="007E7888" w:rsidRPr="00754A1D">
        <w:rPr>
          <w:rFonts w:ascii="Times New Roman" w:hAnsi="Times New Roman" w:cs="Times New Roman"/>
          <w:bCs/>
          <w:sz w:val="24"/>
          <w:szCs w:val="24"/>
          <w:lang w:val="en-US"/>
        </w:rPr>
        <w:t>is involved</w:t>
      </w:r>
      <w:r w:rsidR="00CA709B" w:rsidRPr="00754A1D">
        <w:rPr>
          <w:rFonts w:ascii="Times New Roman" w:hAnsi="Times New Roman" w:cs="Times New Roman"/>
          <w:bCs/>
          <w:sz w:val="24"/>
          <w:szCs w:val="24"/>
          <w:lang w:val="en-US"/>
        </w:rPr>
        <w:t xml:space="preserve"> </w:t>
      </w:r>
      <w:r w:rsidR="007E7888" w:rsidRPr="00754A1D">
        <w:rPr>
          <w:rFonts w:ascii="Times New Roman" w:hAnsi="Times New Roman" w:cs="Times New Roman"/>
          <w:bCs/>
          <w:sz w:val="24"/>
          <w:szCs w:val="24"/>
          <w:lang w:val="en-US"/>
        </w:rPr>
        <w:t xml:space="preserve">in </w:t>
      </w:r>
      <w:r w:rsidR="00CA709B" w:rsidRPr="00754A1D">
        <w:rPr>
          <w:rFonts w:ascii="Times New Roman" w:hAnsi="Times New Roman" w:cs="Times New Roman"/>
          <w:bCs/>
          <w:sz w:val="24"/>
          <w:szCs w:val="24"/>
          <w:lang w:val="en-US"/>
        </w:rPr>
        <w:t xml:space="preserve">gluconeogenesis, amino acid metabolism, nitrogen use efficiency and </w:t>
      </w:r>
      <w:r w:rsidR="001E0882" w:rsidRPr="00754A1D">
        <w:rPr>
          <w:rFonts w:ascii="Times New Roman" w:hAnsi="Times New Roman" w:cs="Times New Roman"/>
          <w:bCs/>
          <w:sz w:val="24"/>
          <w:szCs w:val="24"/>
          <w:lang w:val="en-US"/>
        </w:rPr>
        <w:t xml:space="preserve">detoxification of </w:t>
      </w:r>
      <w:r w:rsidR="00CA709B" w:rsidRPr="00754A1D">
        <w:rPr>
          <w:rFonts w:ascii="Times New Roman" w:hAnsi="Times New Roman" w:cs="Times New Roman"/>
          <w:bCs/>
          <w:sz w:val="24"/>
          <w:szCs w:val="24"/>
          <w:lang w:val="en-US"/>
        </w:rPr>
        <w:t xml:space="preserve">nitrogen waste </w:t>
      </w:r>
      <w:r w:rsidR="00CA709B"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{"citationID":"77azJm7J","properties":{"formattedCitation":"(Wan et al. 2015)","plainCitation":"(Wan et al. 2015)","noteIndex":0},"citationItems":[{"id":2239,"uris":["http://zotero.org/users/local/QcSA6amT/items/YBAJDDYL"],"uri":["http://zotero.org/users/local/QcSA6amT/items/YBAJDDYL"],"itemData":{"id":2239,"type":"article-journal","abstract":"Alanine aminotransferase (ALT) plays important physiological and biochemical roles in insect. In this study, a full-length Ldalt cDNA was cloned from Leptinotarsa decemlineata. It was ubiquitously expressed in the eggs, larvae, pupae and adults. In the adults, Ldalt mRNA was widely distributed in thorax muscles, fat body, midgut, foregut, hindgut, Malpighian tubules, ventral ganglion and epidermis, with the expression levels from the highest to the lowest. Two double-stranded RNAs (dsRNAs) (dsLdalt1 and dsLdalt2) targeting Ldalt were constructed and bacterially expressed. After adults fed on dsLdalt1- and dsLdalt2-immersed foliage for 3 day, Ldalt mRNA abundance was significantly decreased by 79.5 and 71.1 %, and ALT activities were significantly reduced by 64.5 and 67.6 %, respectively. Moreover, silencing Ldalt affected free amino acid contents. Lysine was decreased by 100.0 and 100.0 %, and arginine was reduced by 87.5 and 89.4 %, respectively, in the hemolymph from dsLdalt1- and dsLdalt2-ingested beetles, compared with control ones. In contrast, proline was increased by 88.7 and 96.4 %. Furthermore, ingestion of dsLdalt1 and dsLdalt2 significantly decreased flight speed, shortened flight duration time and flight distance. In addition, knocking down Ldalt significantly increased adult mortality. These data imply that LdALT plays important roles in amino acid metabolism and in flight in L. decemlineata.","container-title":"Amino Acids","DOI":"10.1007/s00726-015-1978-1","ISSN":"1438-2199","issue":"7","journalAbbreviation":"Amino Acids","language":"en","page":"1445-1454","source":"Springer Link","title":"Knockdown of a putative alanine aminotransferase gene affects amino acid content and flight capacity in the Colorado potato beetle Leptinotarsa decemlineata","volume":"47","author":[{"family":"Wan","given":"Pin-Jun"},{"family":"Fu","given":"Kai-Yun"},{"family":"Lü","given":"Feng-Gong"},{"family":"Guo","given":"Wen-Chao"},{"family":"Li","given":"Guo-Qing"}],"issued":{"date-parts":[["2015",7,1]]}}}],"schema":"https://github.com/citation-style-language/schema/raw/master/csl-citation.json"} </w:instrText>
      </w:r>
      <w:r w:rsidR="00CA709B" w:rsidRPr="00754A1D">
        <w:rPr>
          <w:rFonts w:ascii="Times New Roman" w:hAnsi="Times New Roman" w:cs="Times New Roman"/>
          <w:bCs/>
          <w:sz w:val="24"/>
          <w:szCs w:val="24"/>
          <w:lang w:val="en-US"/>
        </w:rPr>
        <w:fldChar w:fldCharType="separate"/>
      </w:r>
      <w:r w:rsidR="00CA709B" w:rsidRPr="00754A1D">
        <w:rPr>
          <w:rFonts w:ascii="Times New Roman" w:hAnsi="Times New Roman" w:cs="Times New Roman"/>
          <w:sz w:val="24"/>
          <w:lang w:val="en-US"/>
        </w:rPr>
        <w:t>(Wan et al. 2015)</w:t>
      </w:r>
      <w:r w:rsidR="00CA709B" w:rsidRPr="00754A1D">
        <w:rPr>
          <w:rFonts w:ascii="Times New Roman" w:hAnsi="Times New Roman" w:cs="Times New Roman"/>
          <w:bCs/>
          <w:sz w:val="24"/>
          <w:szCs w:val="24"/>
          <w:lang w:val="en-US"/>
        </w:rPr>
        <w:fldChar w:fldCharType="end"/>
      </w:r>
      <w:r w:rsidR="00CA709B" w:rsidRPr="00754A1D">
        <w:rPr>
          <w:rFonts w:ascii="Times New Roman" w:hAnsi="Times New Roman" w:cs="Times New Roman"/>
          <w:bCs/>
          <w:sz w:val="24"/>
          <w:szCs w:val="24"/>
          <w:lang w:val="en-US"/>
        </w:rPr>
        <w:t xml:space="preserve">. </w:t>
      </w:r>
      <w:r w:rsidR="001E0882" w:rsidRPr="00754A1D">
        <w:rPr>
          <w:rFonts w:ascii="Times New Roman" w:hAnsi="Times New Roman" w:cs="Times New Roman"/>
          <w:bCs/>
          <w:sz w:val="24"/>
          <w:szCs w:val="24"/>
          <w:lang w:val="en-US"/>
        </w:rPr>
        <w:t>The c</w:t>
      </w:r>
      <w:r w:rsidR="00BC6870" w:rsidRPr="00754A1D">
        <w:rPr>
          <w:rFonts w:ascii="Times New Roman" w:hAnsi="Times New Roman" w:cs="Times New Roman"/>
          <w:bCs/>
          <w:sz w:val="24"/>
          <w:szCs w:val="24"/>
          <w:lang w:val="en-US"/>
        </w:rPr>
        <w:t xml:space="preserve">oatomer subunit delta is a part of a complex involved in </w:t>
      </w:r>
      <w:r w:rsidR="001E0882" w:rsidRPr="00754A1D">
        <w:rPr>
          <w:rFonts w:ascii="Times New Roman" w:hAnsi="Times New Roman" w:cs="Times New Roman"/>
          <w:bCs/>
          <w:sz w:val="24"/>
          <w:szCs w:val="24"/>
          <w:lang w:val="en-US"/>
        </w:rPr>
        <w:t xml:space="preserve">the morphogenesis of </w:t>
      </w:r>
      <w:r w:rsidR="00BC6870" w:rsidRPr="00754A1D">
        <w:rPr>
          <w:rFonts w:ascii="Times New Roman" w:hAnsi="Times New Roman" w:cs="Times New Roman"/>
          <w:bCs/>
          <w:sz w:val="24"/>
          <w:szCs w:val="24"/>
          <w:lang w:val="en-US"/>
        </w:rPr>
        <w:t>salivary gland</w:t>
      </w:r>
      <w:r w:rsidR="001E0882" w:rsidRPr="00754A1D">
        <w:rPr>
          <w:rFonts w:ascii="Times New Roman" w:hAnsi="Times New Roman" w:cs="Times New Roman"/>
          <w:bCs/>
          <w:sz w:val="24"/>
          <w:szCs w:val="24"/>
          <w:lang w:val="en-US"/>
        </w:rPr>
        <w:t>s</w:t>
      </w:r>
      <w:r w:rsidR="00BC6870" w:rsidRPr="00754A1D">
        <w:rPr>
          <w:rFonts w:ascii="Times New Roman" w:hAnsi="Times New Roman" w:cs="Times New Roman"/>
          <w:bCs/>
          <w:sz w:val="24"/>
          <w:szCs w:val="24"/>
          <w:lang w:val="en-US"/>
        </w:rPr>
        <w:t xml:space="preserve">, </w:t>
      </w:r>
      <w:r w:rsidR="002D3B19" w:rsidRPr="00754A1D">
        <w:rPr>
          <w:rFonts w:ascii="Times New Roman" w:hAnsi="Times New Roman" w:cs="Times New Roman"/>
          <w:bCs/>
          <w:sz w:val="24"/>
          <w:szCs w:val="24"/>
          <w:lang w:val="en-US"/>
        </w:rPr>
        <w:t>protein secretion</w:t>
      </w:r>
      <w:r w:rsidR="00BC6870" w:rsidRPr="00754A1D">
        <w:rPr>
          <w:rFonts w:ascii="Times New Roman" w:hAnsi="Times New Roman" w:cs="Times New Roman"/>
          <w:bCs/>
          <w:sz w:val="24"/>
          <w:szCs w:val="24"/>
          <w:lang w:val="en-US"/>
        </w:rPr>
        <w:t xml:space="preserve"> and open</w:t>
      </w:r>
      <w:r w:rsidR="00035C82" w:rsidRPr="00754A1D">
        <w:rPr>
          <w:rFonts w:ascii="Times New Roman" w:hAnsi="Times New Roman" w:cs="Times New Roman"/>
          <w:bCs/>
          <w:sz w:val="24"/>
          <w:szCs w:val="24"/>
          <w:lang w:val="en-US"/>
        </w:rPr>
        <w:t>ing</w:t>
      </w:r>
      <w:r w:rsidR="00BC6870" w:rsidRPr="00754A1D">
        <w:rPr>
          <w:rFonts w:ascii="Times New Roman" w:hAnsi="Times New Roman" w:cs="Times New Roman"/>
          <w:bCs/>
          <w:sz w:val="24"/>
          <w:szCs w:val="24"/>
          <w:lang w:val="en-US"/>
        </w:rPr>
        <w:t xml:space="preserve"> of the tracheal system </w:t>
      </w:r>
      <w:r w:rsidR="002D3B19"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{"citationID":"giEN1S09","properties":{"formattedCitation":"(Jayaram et al. 2008)","plainCitation":"(Jayaram et al. 2008)","noteIndex":0},"citationItems":[{"id":2250,"uris":["http://zotero.org/users/local/QcSA6amT/items/6FHD7GJ4"],"uri":["http://zotero.org/users/local/QcSA6amT/items/6FHD7GJ4"],"itemData":{"id":2250,"type":"article-journal","abstract":"BackgroundTube expansion defects like stenoses and atresias cause devastating human diseases. Luminal expansion during organogenesis begins to be elucidated in several systems but we still lack a mechanistic view of the process in many organs. The Drosophila tracheal respiratory system provides an amenable model to study tube size regulation. In the trachea, COPII anterograde transport of luminal proteins is required for extracellular matrix assembly and the concurrent tube expansion.Principal FindingsWe identified and analyzed Drosophila COPI retrograde transport mutants with narrow tracheal tubes. γCOP mutants fail to efficiently secrete luminal components and assemble the luminal chitinous matrix during tracheal tube expansion. Likewise, tube extension is defective in salivary glands, where it also coincides with a failure in the luminal deposition and assembly of a distinct, transient intraluminal matrix. Drosophila γCOP colocalizes with cis-Golgi markers and in γCOP mutant embryos the ER and Golgi structures are severely disrupted. Analysis of γCOP and Sar1 double mutants suggests that bidirectional ER-Golgi traffic maintains the ER and Golgi compartments and is required for secretion and assembly of luminal matrixes during tube expansion.Conclusions/SignificanceOur results demonstrate the function of COPI components in organ morphogenesis and highlight the common role of apical secretion and assembly of transient organotypic matrices in tube expansion. Intraluminal matrices have been detected in the notochord of ascidians and zebrafish COPI mutants show defects in notochord expansion. Thus, the programmed deposition and growth of distinct luminal molds may provide distending forces during tube expansion in diverse organs.","container-title":"PLOS ONE","DOI":"10.1371/journal.pone.0001964","ISSN":"1932-6203","issue":"4","journalAbbreviation":"PLOS ONE","language":"en","page":"e1964","source":"PLoS Journals","title":"COPI Vesicle Transport Is a Common Requirement for Tube Expansion in Drosophila","volume":"3","author":[{"family":"Jayaram","given":"Satish Arcot"},{"family":"Senti","given":"Kirsten-André"},{"family":"Tiklová","given":"Katarína"},{"family":"Tsarouhas","given":"Vasilios"},{"family":"Hemphälä","given":"Johanna"},{"family":"Samakovlis","given":"Christos"}],"issued":{"date-parts":[["2008",4,9]]}}}],"schema":"https://github.com/citation-style-language/schema/raw/master/csl-citation.json"} </w:instrText>
      </w:r>
      <w:r w:rsidR="002D3B19" w:rsidRPr="00754A1D">
        <w:rPr>
          <w:rFonts w:ascii="Times New Roman" w:hAnsi="Times New Roman" w:cs="Times New Roman"/>
          <w:bCs/>
          <w:sz w:val="24"/>
          <w:szCs w:val="24"/>
          <w:lang w:val="en-US"/>
        </w:rPr>
        <w:fldChar w:fldCharType="separate"/>
      </w:r>
      <w:r w:rsidR="002D3B19" w:rsidRPr="00754A1D">
        <w:rPr>
          <w:rFonts w:ascii="Times New Roman" w:hAnsi="Times New Roman" w:cs="Times New Roman"/>
          <w:sz w:val="24"/>
          <w:lang w:val="en-US"/>
        </w:rPr>
        <w:t>(Jayaram et al. 2008)</w:t>
      </w:r>
      <w:r w:rsidR="002D3B19" w:rsidRPr="00754A1D">
        <w:rPr>
          <w:rFonts w:ascii="Times New Roman" w:hAnsi="Times New Roman" w:cs="Times New Roman"/>
          <w:bCs/>
          <w:sz w:val="24"/>
          <w:szCs w:val="24"/>
          <w:lang w:val="en-US"/>
        </w:rPr>
        <w:fldChar w:fldCharType="end"/>
      </w:r>
      <w:r w:rsidR="002D3B19" w:rsidRPr="00754A1D">
        <w:rPr>
          <w:rFonts w:ascii="Times New Roman" w:hAnsi="Times New Roman" w:cs="Times New Roman"/>
          <w:bCs/>
          <w:sz w:val="24"/>
          <w:szCs w:val="24"/>
          <w:lang w:val="en-US"/>
        </w:rPr>
        <w:t xml:space="preserve">. </w:t>
      </w:r>
      <w:r w:rsidR="001C2330" w:rsidRPr="00754A1D">
        <w:rPr>
          <w:rFonts w:ascii="Times New Roman" w:hAnsi="Times New Roman" w:cs="Times New Roman"/>
          <w:bCs/>
          <w:sz w:val="24"/>
          <w:szCs w:val="24"/>
          <w:lang w:val="en-US"/>
        </w:rPr>
        <w:t xml:space="preserve">Dynein light chain 1 regulates dynamin-mediated F-actin assembly during oogenesis and spermatogenesis </w:t>
      </w:r>
      <w:r w:rsidR="001C2330"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{"citationID":"JYRBiDLk","properties":{"formattedCitation":"(Dick et al. 1996; Ghosh-Roy et al. 2005)","plainCitation":"(Dick et al. 1996; Ghosh-Roy et al. 2005)","noteIndex":0},"citationItems":[{"id":2035,"uris":["http://zotero.org/users/local/QcSA6amT/items/XBJ9ICGA"],"uri":["http://zotero.org/users/local/QcSA6amT/items/XBJ9ICGA"],"itemData":{"id":2035,"type":"article-journal","abstract":"We report the molecular and genetic characterization of the cytoplasmic dynein light-chain gene, ddlc1, from Drosophila melanogaster. ddlc1 encodes the first cytoplasmic dynein light chain identified, and its genetic analysis represents the first in vivo characterization of cytoplasmic dynein function in higher eucaryotes. The ddlc1 gene maps to 4E1-2 and encodes an 89-amino-acid polypeptide with a high similarity to the axonemal 8-kDa outer-arm dynein light chain from Chlamydomonas flagella. Developmental Northern (RNA) blot analysis and ovary and embryo RNA in situ hybridizations indicate that the ddlc1 gene is expressed ubiquitously. Anti-DDLC1 antibody analyses show that the DDLC1 protein is localized in the cytoplasm. P-element-induced partial-loss-of-function mutations cause pleiotropic morphogenetic defects in bristle and wing development, as well as in oogenesis, and hence result in female sterility. The morphological abnormalities found in the ovaries are always associated with a loss of cellular shape and structure, as visualized by a disorganization of the actin cytoskeleton. Total-loss-of-function mutations cause lethality. A large proportion of mutant animals degenerate during embryogenesis, and the dying cells show morphological changes characteristic of apoptosis, namely, cell and nuclear condensation and fragmentation, as well as DNA degradation. Cloning of the human homolog of the ddlc1 gene, hdlc1, demonstrates that the dynein light-chain 1 is highly conserved in flies and humans. Northern blot analysis and epitope tagging show that the hdlc1 gene is ubiquitously expressed and that the human dynein light chain 1 is localized in the cytoplasm. hdlc1 maps to 14q24.","container-title":"Molecular and Cellular Biology","ISSN":"0270-7306","issue":"5","journalAbbreviation":"Mol Cell Biol","note":"PMID: 8628263\nPMCID: PMC231184","page":"1966-1977","source":"PubMed Central","title":"Cytoplasmic dynein (ddlc1) mutations cause morphogenetic defects and apoptotic cell death in Drosophila melanogaster.","volume":"16","author":[{"family":"Dick","given":"T"},{"family":"Ray","given":"K"},{"family":"Salz","given":"H K"},{"family":"Chia","given":"W"}],"issued":{"date-parts":[["1996",5]]}}},{"id":2032,"uris":["http://zotero.org/users/local/QcSA6amT/items/AM9WUY4M"],"uri":["http://zotero.org/users/local/QcSA6amT/items/AM9WUY4M"],"itemData":{"id":2032,"type":"article-journal","abstract":"Toward the end of spermiogenesis, spermatid nuclei are compacted and the clonally related spermatids individualize to become mature and active sperm. Studies in Drosophila showed that caudal end-directed movement of a microfilament-rich structure, called investment cone, expels the cytoplasmic contents of individual spermatids. F-actin dynamics plays an important role in this process. Here we report that the dynein light chain 1 (DLC1) of Drosophila is involved in two separate cellular processes during sperm individualization. It is enriched around spermatid nuclei during postelongation stages and plays an important role in the dynein-dynactin–dependent rostral retention of the nuclei during this period. In addition, DDLC1 colocalizes with dynamin along investment cones and regulates F-actin assembly at this organelle by retaining dynamin along the cones. Interestingly, we found that this process does not require the other subunits of cytoplasmic dynein-dynactin complex. Altogether, these observations suggest that DLC1 could independently regulate multiple cellular functions and established a novel role of this protein in F-actin assembly in Drosophila.","container-title":"Molecular Biology of the Cell","DOI":"10.1091/mbc.e05-02-0103","ISSN":"1059-1524","issue":"7","journalAbbreviation":"MBoC","page":"3107-3116","source":"molbiolcell.org (Atypon)","title":"Dynein Light Chain 1 Regulates Dynamin-mediated F-Actin Assembly during Sperm Individualization in Drosophila","volume":"16","author":[{"family":"Ghosh-Roy","given":"Anindya"},{"family":"Desai","given":"Bela S."},{"family":"Ray","given":"Krishanu"}],"issued":{"date-parts":[["2005",4,13]]}}}],"schema":"https://github.com/citation-style-language/schema/raw/master/csl-citation.json"} </w:instrText>
      </w:r>
      <w:r w:rsidR="001C2330" w:rsidRPr="00754A1D">
        <w:rPr>
          <w:rFonts w:ascii="Times New Roman" w:hAnsi="Times New Roman" w:cs="Times New Roman"/>
          <w:bCs/>
          <w:sz w:val="24"/>
          <w:szCs w:val="24"/>
          <w:lang w:val="en-US"/>
        </w:rPr>
        <w:fldChar w:fldCharType="separate"/>
      </w:r>
      <w:r w:rsidR="001C2330" w:rsidRPr="00754A1D">
        <w:rPr>
          <w:rFonts w:ascii="Times New Roman" w:hAnsi="Times New Roman" w:cs="Times New Roman"/>
          <w:sz w:val="24"/>
          <w:lang w:val="en-US"/>
        </w:rPr>
        <w:t>(Dick et al. 1996; Ghosh-Roy et al. 2005)</w:t>
      </w:r>
      <w:r w:rsidR="001C2330" w:rsidRPr="00754A1D">
        <w:rPr>
          <w:rFonts w:ascii="Times New Roman" w:hAnsi="Times New Roman" w:cs="Times New Roman"/>
          <w:bCs/>
          <w:sz w:val="24"/>
          <w:szCs w:val="24"/>
          <w:lang w:val="en-US"/>
        </w:rPr>
        <w:fldChar w:fldCharType="end"/>
      </w:r>
      <w:r w:rsidR="001C2330" w:rsidRPr="00754A1D">
        <w:rPr>
          <w:rFonts w:ascii="Times New Roman" w:hAnsi="Times New Roman" w:cs="Times New Roman"/>
          <w:bCs/>
          <w:sz w:val="24"/>
          <w:szCs w:val="24"/>
          <w:lang w:val="en-US"/>
        </w:rPr>
        <w:t xml:space="preserve">. </w:t>
      </w:r>
      <w:r w:rsidR="00B66FB8" w:rsidRPr="00754A1D">
        <w:rPr>
          <w:rFonts w:ascii="Times New Roman" w:hAnsi="Times New Roman" w:cs="Times New Roman"/>
          <w:bCs/>
          <w:sz w:val="24"/>
          <w:szCs w:val="24"/>
          <w:lang w:val="en-US"/>
        </w:rPr>
        <w:t>Final</w:t>
      </w:r>
      <w:r w:rsidR="00D75F1A" w:rsidRPr="00754A1D">
        <w:rPr>
          <w:rFonts w:ascii="Times New Roman" w:hAnsi="Times New Roman" w:cs="Times New Roman"/>
          <w:bCs/>
          <w:sz w:val="24"/>
          <w:szCs w:val="24"/>
          <w:lang w:val="en-US"/>
        </w:rPr>
        <w:t>l</w:t>
      </w:r>
      <w:r w:rsidR="00B66FB8" w:rsidRPr="00754A1D">
        <w:rPr>
          <w:rFonts w:ascii="Times New Roman" w:hAnsi="Times New Roman" w:cs="Times New Roman"/>
          <w:bCs/>
          <w:sz w:val="24"/>
          <w:szCs w:val="24"/>
          <w:lang w:val="en-US"/>
        </w:rPr>
        <w:t xml:space="preserve">y, </w:t>
      </w:r>
      <w:r w:rsidR="00C979C7" w:rsidRPr="00754A1D">
        <w:rPr>
          <w:rFonts w:ascii="Times New Roman" w:hAnsi="Times New Roman" w:cs="Times New Roman"/>
          <w:bCs/>
          <w:sz w:val="24"/>
          <w:szCs w:val="24"/>
          <w:lang w:val="en-US"/>
        </w:rPr>
        <w:t xml:space="preserve">polyubiquitin can </w:t>
      </w:r>
      <w:r w:rsidR="001E0882" w:rsidRPr="00754A1D">
        <w:rPr>
          <w:rFonts w:ascii="Times New Roman" w:hAnsi="Times New Roman" w:cs="Times New Roman"/>
          <w:bCs/>
          <w:sz w:val="24"/>
          <w:szCs w:val="24"/>
          <w:lang w:val="en-US"/>
        </w:rPr>
        <w:t>perform</w:t>
      </w:r>
      <w:r w:rsidR="00C979C7" w:rsidRPr="00754A1D">
        <w:rPr>
          <w:rFonts w:ascii="Times New Roman" w:hAnsi="Times New Roman" w:cs="Times New Roman"/>
          <w:bCs/>
          <w:sz w:val="24"/>
          <w:szCs w:val="24"/>
          <w:lang w:val="en-US"/>
        </w:rPr>
        <w:t xml:space="preserve"> </w:t>
      </w:r>
      <w:r w:rsidR="001E0882" w:rsidRPr="00754A1D">
        <w:rPr>
          <w:rFonts w:ascii="Times New Roman" w:hAnsi="Times New Roman" w:cs="Times New Roman"/>
          <w:bCs/>
          <w:sz w:val="24"/>
          <w:szCs w:val="24"/>
          <w:lang w:val="en-US"/>
        </w:rPr>
        <w:t>various</w:t>
      </w:r>
      <w:r w:rsidR="00C979C7" w:rsidRPr="00754A1D">
        <w:rPr>
          <w:rFonts w:ascii="Times New Roman" w:hAnsi="Times New Roman" w:cs="Times New Roman"/>
          <w:bCs/>
          <w:sz w:val="24"/>
          <w:szCs w:val="24"/>
          <w:lang w:val="en-US"/>
        </w:rPr>
        <w:t xml:space="preserve"> functions including </w:t>
      </w:r>
      <w:r w:rsidR="005D70CB" w:rsidRPr="00754A1D">
        <w:rPr>
          <w:rFonts w:ascii="Times New Roman" w:hAnsi="Times New Roman" w:cs="Times New Roman"/>
          <w:bCs/>
          <w:sz w:val="24"/>
          <w:szCs w:val="24"/>
          <w:lang w:val="en-US"/>
        </w:rPr>
        <w:t xml:space="preserve">DNA repair and </w:t>
      </w:r>
      <w:r w:rsidR="001E0882" w:rsidRPr="00754A1D">
        <w:rPr>
          <w:rFonts w:ascii="Times New Roman" w:hAnsi="Times New Roman" w:cs="Times New Roman"/>
          <w:bCs/>
          <w:sz w:val="24"/>
          <w:szCs w:val="24"/>
          <w:lang w:val="en-US"/>
        </w:rPr>
        <w:t xml:space="preserve">the </w:t>
      </w:r>
      <w:r w:rsidR="005D70CB" w:rsidRPr="00754A1D">
        <w:rPr>
          <w:rFonts w:ascii="Times New Roman" w:hAnsi="Times New Roman" w:cs="Times New Roman"/>
          <w:bCs/>
          <w:sz w:val="24"/>
          <w:szCs w:val="24"/>
          <w:lang w:val="en-US"/>
        </w:rPr>
        <w:t xml:space="preserve">regulation of </w:t>
      </w:r>
      <w:r w:rsidR="00D75F1A" w:rsidRPr="00754A1D">
        <w:rPr>
          <w:rFonts w:ascii="Times New Roman" w:hAnsi="Times New Roman" w:cs="Times New Roman"/>
          <w:bCs/>
          <w:sz w:val="24"/>
          <w:szCs w:val="24"/>
          <w:lang w:val="en-US"/>
        </w:rPr>
        <w:t xml:space="preserve">autophagy and programmed cell death </w:t>
      </w:r>
      <w:r w:rsidR="00D75F1A"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{"citationID":"tUfVcRPc","properties":{"formattedCitation":"(Li and Ye 2008; Zhou et al. 2013)","plainCitation":"(Li and Ye 2008; Zhou et al. 2013)","noteIndex":0},"citationItems":[{"id":2269,"uris":["http://zotero.org/users/local/QcSA6amT/items/L2YU99H4"],"uri":["http://zotero.org/users/local/QcSA6amT/items/L2YU99H4"],"itemData":{"id":2269,"type":"article-journal","abstract":"Ubiquitin is a highly conserved 76-amino acid polypeptide that is found throughout the eukaryotic kingdom. The covalent conjugation of ubiquitin (often in the form of polymers) to substrates governs a variety of biological processes ranging from proteolysis to DNA damage tolerance. The functional flexibility of this post-translational modification roots in the existence of a large number of ubiquitinating enzymes that catalyze the formation of distinct ubiquitin polymers, which in turn encode different signals. This review summarizes the recent advances in the field with an emphasis on the non-canonical functions of polyubiquitination. We also discuss the potential mechanism of chain linkage specification as well as how structural disparity in ubiquitin polymers may be distinguished by ubiquitin receptors to translate the versatile ubiquitin signals into various cellular functions.","container-title":"Cellular and molecular life sciences : CMLS","DOI":"10.1007/s00018-008-8090-6","ISSN":"1420-682X","issue":"15","journalAbbreviation":"Cell Mol Life Sci","note":"PMID: 18438605\nPMCID: PMC2700825","page":"2397-2406","source":"PubMed Central","title":"Polyubiquitin chains: functions, structures, and mechanisms","title-short":"Polyubiquitin chains","volume":"65","author":[{"family":"Li","given":"Wei"},{"family":"Ye","given":"Yihong"}],"issued":{"date-parts":[["2008",8]]}}},{"id":2258,"uris":["http://zotero.org/users/local/QcSA6amT/items/2LFBFSHU"],"uri":["http://zotero.org/users/local/QcSA6amT/items/2LFBFSHU"],"itemData":{"id":2258,"type":"article-journal","abstract":"Morgue is a unique ubiquitination protein that influences programmed cell death and circadian rhythms in Drosophila. We have found that over-expression of wild-type Morgue results in organismal lethality. This over-expression phenotype was used as the basis for an in vivo functional assay to investigate the importance of the Morgue zinc finger, F box, Ubiquitin E2 Conjugase Variant (UEV) domain, and active site Glycine residue. Removal of the zinc finger or UEV domain reduced Morgue’s ability to induce lethality and enhance cell death. In contrast, lack of the F box as well as several different substitutions of the active site Glycine did not alter Morgue-induced lethality or cell death enhancement. To further characterize Morgue functions, a Flag:Morgue protein was used to isolate Morgue-associated proteins from whole adult Drosophila. Mass spectrometry analysis of the Morgue-associated proteins identified SkpA as well as a ubiquitin multimer. The identification of SkpA is consistent with previous in vitro studies and further suggests Morgue acts in an SCF-type ubiquitin E3 ligase complex. The identification of poly-ubiquitin was unexpected and this interaction had not been previously identified. The associated poly-ubiquitin was found to exhibit a Lys-48 topology, consistent with distinct functions of Morgue in proteasome-mediated protein turnover. Multiple regions of Morgue were subsequently shown to be required for poly-ubiquitin binding. Overall, Morgue is a novel multi-functional ubiquitin-binding protein.","container-title":"PLOS ONE","DOI":"10.1371/journal.pone.0074860","ISSN":"1932-6203","issue":"9","journalAbbreviation":"PLOS ONE","language":"en","page":"e74860","source":"PLoS Journals","title":"Drosophila Morgue Associates with SkpA and Polyubiquitin In Vivo","volume":"8","author":[{"family":"Zhou","given":"Ying"},{"family":"Wang","given":"Yiqin"},{"family":"Schreader","given":"Barbara A."},{"family":"Nambu","given":"John R."}],"issued":{"date-parts":[["2013",9,30]]}}}],"schema":"https://github.com/citation-style-language/schema/raw/master/csl-citation.json"} </w:instrText>
      </w:r>
      <w:r w:rsidR="00D75F1A" w:rsidRPr="00754A1D">
        <w:rPr>
          <w:rFonts w:ascii="Times New Roman" w:hAnsi="Times New Roman" w:cs="Times New Roman"/>
          <w:bCs/>
          <w:sz w:val="24"/>
          <w:szCs w:val="24"/>
          <w:lang w:val="en-US"/>
        </w:rPr>
        <w:fldChar w:fldCharType="separate"/>
      </w:r>
      <w:r w:rsidR="005D70CB" w:rsidRPr="00754A1D">
        <w:rPr>
          <w:rFonts w:ascii="Times New Roman" w:hAnsi="Times New Roman" w:cs="Times New Roman"/>
          <w:sz w:val="24"/>
          <w:lang w:val="en-US"/>
        </w:rPr>
        <w:t>(Li and Ye 2008; Zhou et al. 2013)</w:t>
      </w:r>
      <w:r w:rsidR="00D75F1A" w:rsidRPr="00754A1D">
        <w:rPr>
          <w:rFonts w:ascii="Times New Roman" w:hAnsi="Times New Roman" w:cs="Times New Roman"/>
          <w:bCs/>
          <w:sz w:val="24"/>
          <w:szCs w:val="24"/>
          <w:lang w:val="en-US"/>
        </w:rPr>
        <w:fldChar w:fldCharType="end"/>
      </w:r>
      <w:r w:rsidR="00D75F1A" w:rsidRPr="00754A1D">
        <w:rPr>
          <w:rFonts w:ascii="Times New Roman" w:hAnsi="Times New Roman" w:cs="Times New Roman"/>
          <w:bCs/>
          <w:sz w:val="24"/>
          <w:szCs w:val="24"/>
          <w:lang w:val="en-US"/>
        </w:rPr>
        <w:t>.</w:t>
      </w:r>
      <w:r w:rsidR="00CA74ED" w:rsidRPr="00754A1D">
        <w:rPr>
          <w:rFonts w:ascii="Times New Roman" w:hAnsi="Times New Roman" w:cs="Times New Roman"/>
          <w:bCs/>
          <w:sz w:val="24"/>
          <w:szCs w:val="24"/>
          <w:lang w:val="en-US"/>
        </w:rPr>
        <w:t xml:space="preserve"> </w:t>
      </w:r>
      <w:r w:rsidR="00A93079" w:rsidRPr="00754A1D">
        <w:rPr>
          <w:rFonts w:ascii="Times New Roman" w:hAnsi="Times New Roman" w:cs="Times New Roman"/>
          <w:bCs/>
          <w:sz w:val="24"/>
          <w:szCs w:val="24"/>
          <w:lang w:val="en-US"/>
        </w:rPr>
        <w:t xml:space="preserve">Upregulation of all these proteins </w:t>
      </w:r>
      <w:r w:rsidR="007E7888" w:rsidRPr="00754A1D">
        <w:rPr>
          <w:rFonts w:ascii="Times New Roman" w:hAnsi="Times New Roman" w:cs="Times New Roman"/>
          <w:bCs/>
          <w:sz w:val="24"/>
          <w:szCs w:val="24"/>
          <w:lang w:val="en-US"/>
        </w:rPr>
        <w:t xml:space="preserve">indicates that the </w:t>
      </w:r>
      <w:r w:rsidR="007D77DD" w:rsidRPr="00754A1D">
        <w:rPr>
          <w:rFonts w:ascii="Times New Roman" w:hAnsi="Times New Roman" w:cs="Times New Roman"/>
          <w:bCs/>
          <w:sz w:val="24"/>
          <w:szCs w:val="24"/>
          <w:lang w:val="en-US"/>
        </w:rPr>
        <w:t xml:space="preserve">response of </w:t>
      </w:r>
      <w:r w:rsidR="007E7888" w:rsidRPr="00754A1D">
        <w:rPr>
          <w:rFonts w:ascii="Times New Roman" w:hAnsi="Times New Roman" w:cs="Times New Roman"/>
          <w:bCs/>
          <w:i/>
          <w:sz w:val="24"/>
          <w:szCs w:val="24"/>
          <w:lang w:val="en-US"/>
        </w:rPr>
        <w:t xml:space="preserve">S. </w:t>
      </w:r>
      <w:proofErr w:type="spellStart"/>
      <w:r w:rsidR="007E7888" w:rsidRPr="00754A1D">
        <w:rPr>
          <w:rFonts w:ascii="Times New Roman" w:hAnsi="Times New Roman" w:cs="Times New Roman"/>
          <w:bCs/>
          <w:i/>
          <w:sz w:val="24"/>
          <w:szCs w:val="24"/>
          <w:lang w:val="en-US"/>
        </w:rPr>
        <w:t>granarius</w:t>
      </w:r>
      <w:proofErr w:type="spellEnd"/>
      <w:r w:rsidR="007E7888" w:rsidRPr="00754A1D">
        <w:rPr>
          <w:rFonts w:ascii="Times New Roman" w:hAnsi="Times New Roman" w:cs="Times New Roman"/>
          <w:bCs/>
          <w:sz w:val="24"/>
          <w:szCs w:val="24"/>
          <w:lang w:val="en-US"/>
        </w:rPr>
        <w:t xml:space="preserve"> </w:t>
      </w:r>
      <w:r w:rsidR="00B45ED7" w:rsidRPr="00754A1D">
        <w:rPr>
          <w:rFonts w:ascii="Times New Roman" w:hAnsi="Times New Roman" w:cs="Times New Roman"/>
          <w:bCs/>
          <w:sz w:val="24"/>
          <w:szCs w:val="24"/>
          <w:lang w:val="en-US"/>
        </w:rPr>
        <w:t xml:space="preserve">to </w:t>
      </w:r>
      <w:r w:rsidR="00B45ED7" w:rsidRPr="00754A1D">
        <w:rPr>
          <w:rFonts w:ascii="Times New Roman" w:hAnsi="Times New Roman" w:cs="Times New Roman"/>
          <w:bCs/>
          <w:i/>
          <w:sz w:val="24"/>
          <w:szCs w:val="24"/>
          <w:lang w:val="en-US"/>
        </w:rPr>
        <w:t>M. arvensis</w:t>
      </w:r>
      <w:r w:rsidR="00B45ED7" w:rsidRPr="00754A1D">
        <w:rPr>
          <w:rFonts w:ascii="Times New Roman" w:hAnsi="Times New Roman" w:cs="Times New Roman"/>
          <w:bCs/>
          <w:sz w:val="24"/>
          <w:szCs w:val="24"/>
          <w:lang w:val="en-US"/>
        </w:rPr>
        <w:t xml:space="preserve"> EO </w:t>
      </w:r>
      <w:r w:rsidR="007E7888" w:rsidRPr="00754A1D">
        <w:rPr>
          <w:rFonts w:ascii="Times New Roman" w:hAnsi="Times New Roman" w:cs="Times New Roman"/>
          <w:bCs/>
          <w:sz w:val="24"/>
          <w:szCs w:val="24"/>
          <w:lang w:val="en-US"/>
        </w:rPr>
        <w:t xml:space="preserve">is systemic and involved many </w:t>
      </w:r>
      <w:r w:rsidR="00A93079" w:rsidRPr="00754A1D">
        <w:rPr>
          <w:rFonts w:ascii="Times New Roman" w:hAnsi="Times New Roman" w:cs="Times New Roman"/>
          <w:bCs/>
          <w:sz w:val="24"/>
          <w:szCs w:val="24"/>
          <w:lang w:val="en-US"/>
        </w:rPr>
        <w:t>biological processes.</w:t>
      </w:r>
    </w:p>
    <w:p w14:paraId="3E42A006" w14:textId="150EC075" w:rsidR="00354594" w:rsidRPr="00754A1D" w:rsidRDefault="00540799" w:rsidP="00540799">
      <w:pPr>
        <w:spacing w:line="480" w:lineRule="auto"/>
        <w:ind w:firstLine="708"/>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Surprisingly,</w:t>
      </w:r>
      <w:r w:rsidR="00F53F2F" w:rsidRPr="00754A1D">
        <w:rPr>
          <w:rFonts w:ascii="Times New Roman" w:hAnsi="Times New Roman" w:cs="Times New Roman"/>
          <w:bCs/>
          <w:sz w:val="24"/>
          <w:szCs w:val="24"/>
          <w:lang w:val="en-US"/>
        </w:rPr>
        <w:t xml:space="preserve"> </w:t>
      </w:r>
      <w:r w:rsidR="00277514" w:rsidRPr="00754A1D">
        <w:rPr>
          <w:rFonts w:ascii="Times New Roman" w:hAnsi="Times New Roman" w:cs="Times New Roman"/>
          <w:bCs/>
          <w:sz w:val="24"/>
          <w:szCs w:val="24"/>
          <w:lang w:val="en-US"/>
        </w:rPr>
        <w:t xml:space="preserve">we found </w:t>
      </w:r>
      <w:r w:rsidR="007E7888" w:rsidRPr="00754A1D">
        <w:rPr>
          <w:rFonts w:ascii="Times New Roman" w:hAnsi="Times New Roman" w:cs="Times New Roman"/>
          <w:bCs/>
          <w:sz w:val="24"/>
          <w:szCs w:val="24"/>
          <w:lang w:val="en-US"/>
        </w:rPr>
        <w:t>relatively</w:t>
      </w:r>
      <w:r w:rsidR="00277514" w:rsidRPr="00754A1D">
        <w:rPr>
          <w:rFonts w:ascii="Times New Roman" w:hAnsi="Times New Roman" w:cs="Times New Roman"/>
          <w:bCs/>
          <w:sz w:val="24"/>
          <w:szCs w:val="24"/>
          <w:lang w:val="en-US"/>
        </w:rPr>
        <w:t xml:space="preserve"> few DEPs associated with detoxification</w:t>
      </w:r>
      <w:r w:rsidRPr="00754A1D">
        <w:rPr>
          <w:rFonts w:ascii="Times New Roman" w:hAnsi="Times New Roman" w:cs="Times New Roman"/>
          <w:bCs/>
          <w:sz w:val="24"/>
          <w:szCs w:val="24"/>
          <w:lang w:val="en-US"/>
        </w:rPr>
        <w:t xml:space="preserve"> compared to previous “</w:t>
      </w:r>
      <w:proofErr w:type="spellStart"/>
      <w:r w:rsidRPr="00754A1D">
        <w:rPr>
          <w:rFonts w:ascii="Times New Roman" w:hAnsi="Times New Roman" w:cs="Times New Roman"/>
          <w:bCs/>
          <w:sz w:val="24"/>
          <w:szCs w:val="24"/>
          <w:lang w:val="en-US"/>
        </w:rPr>
        <w:t>omic</w:t>
      </w:r>
      <w:proofErr w:type="spellEnd"/>
      <w:r w:rsidRPr="00754A1D">
        <w:rPr>
          <w:rFonts w:ascii="Times New Roman" w:hAnsi="Times New Roman" w:cs="Times New Roman"/>
          <w:bCs/>
          <w:sz w:val="24"/>
          <w:szCs w:val="24"/>
          <w:lang w:val="en-US"/>
        </w:rPr>
        <w:t xml:space="preserve">” studies </w:t>
      </w:r>
      <w:r w:rsidRPr="00754A1D">
        <w:rPr>
          <w:rFonts w:ascii="Times New Roman" w:hAnsi="Times New Roman" w:cs="Times New Roman"/>
          <w:bCs/>
          <w:sz w:val="24"/>
          <w:szCs w:val="24"/>
          <w:lang w:val="en-US"/>
        </w:rPr>
        <w:fldChar w:fldCharType="begin"/>
      </w:r>
      <w:r w:rsidRPr="00754A1D">
        <w:rPr>
          <w:rFonts w:ascii="Times New Roman" w:hAnsi="Times New Roman" w:cs="Times New Roman"/>
          <w:bCs/>
          <w:sz w:val="24"/>
          <w:szCs w:val="24"/>
          <w:lang w:val="en-US"/>
        </w:rPr>
        <w:instrText xml:space="preserve"> ADDIN ZOTERO_ITEM CSL_CITATION {"citationID":"VvGQp6rr","properties":{"formattedCitation":"(Liao et al. 2016; Tak et al. 2017; Huang et al. 2019)","plainCitation":"(Liao et al. 2016; Tak et al. 2017; Huang et al. 2019)","noteIndex":0},"citationItems":[{"id":715,"uris":["http://zotero.org/users/local/QcSA6amT/items/QFEXWE78"],"uri":["http://zotero.org/users/local/QcSA6amT/items/QFEXWE78"],"itemData":{"id":715,"type":"article-journal","abstract":"Background The cereal weevil, Sitophilus zeamais is one of the most destructive pests of stored cereals worldwide. Frequent use of fumigants for managing stored-product insects has led to the development of resistance in insects. Essential oils from aromatic plants including the tea oil plant, Melaleuca alternifolia may provide environmentally friendly alternatives to currently used pest control agents. However, little is known about molecular events involved in stored-product insects in response to plant essential oil fumigation. Results M. alternifolia essential oil was shown to possess the fumigant toxicity against S. zeamais. The constituent, terpinen-4-ol was the most effective compound for fumigant toxicity. M. alternifolia essential oil significantly inhibited the activity of three enzymes in S. zeamais, including two detoxifying enzymes, glutathione S-transferase (GST), and carboxylesterase (CarE), as well as a nerve conduction enzyme, acetylcholinesterase (AChE). Comparative transcriptome analysis of S. zeamais through RNA-Seq identified a total of 3,562 differentially expressed genes (DEGs), of which 2,836 and 726 were up-regulated and down-regulated in response to M. alternifolia essential oil fumigation, respectively. Based on gene ontology (GO) analysis, the majority of DEGs were involved in insecticide detoxification and mitochondrial function. Furthermore, an abundance of DEGs mapped into the metabolism pathway in the Kyoto Encyclopedia of Genes and Genomes (KEGG) pathway database were associated with respiration and metabolism of xenobiotics, including cytochrome P450s, CarEs, GSTs, and ATP-binding cassette transporters (ABC transporters). Some DEGs mapped into the proteasome and phagosome pathway were found to be significantly enriched. These results led us to propose a model of insecticide action that M. alternifolia essential oil likely directly affects the hydrogen carrier to block the electron flow and interfere energy synthesis in mitochondrial respiratory chain. Conclusion This is the first study to perform a comparative transcriptome analysis of S. zeamais in response to M. alternifolia essential oil fumigation. Our results provide new insights into the insecticidal mechanism of M. alternifolia essential oil fumigation against S. zeamais and eventually contribute to the management of this important agricultural pest.","container-title":"PLOS ONE","DOI":"10.1371/journal.pone.0167748","ISSN":"1932-6203","issue":"12","journalAbbreviation":"PLOS ONE","language":"en","page":"e0167748","source":"PLoS Journals","title":"Insecticidal Activity of Melaleuca alternifolia Essential Oil and RNA-Seq Analysis of Sitophilus zeamais Transcriptome in Response to Oil Fumigation","volume":"11","author":[{"family":"Liao","given":"Min"},{"family":"Xiao","given":"Jin-Jing"},{"family":"Zhou","given":"Li-Jun"},{"family":"Liu","given":"Yang"},{"family":"Wu","given":"Xiang-Wei"},{"family":"Hua","given":"Ri-Mao"},{"family":"Wang","given":"Gui-Rong"},{"family":"Cao","given":"Hai-Qun"}],"issued":{"date-parts":[["2016",12,9]]}}},{"id":2210,"uris":["http://zotero.org/users/local/QcSA6amT/items/YKEZU7SI"],"uri":["http://zotero.org/users/local/QcSA6amT/items/YKEZU7SI"],"itemData":{"id":2210,"type":"article-journal","abstract":"Although there have been many reports on the synergistic interactions among the major constituents of plant essential oils regarding insecticidal activity, their underlying mechanism of synergy is poorly understood. In our previous studies, we found each of the two most abundant constituents of rosemary (Rosmarinus officinalis L.), thyme (Thymus vulgaris L.) and lemongrass (Cymbopogon citratus Stapf.) essential oils can be synergistic against the larvae of the cabbage looper, Trichoplusia ni at their natural proportion or equivalent blending ratios. In the present study, we investigated whether the enhanced toxicity between the major constituents could be the result of inhibited enzyme activity of cytochrome P450s, general esterases or glutathione S-transferases which are highly related to the development of insecticide resistance. Overall, although some combinations showed mild inhibitory activity, at least for these essential oils and their major constituents, inhibition of detoxication enzyme activity is unlikely to be a direct cause of increased toxicity in the cabbage looper. The results point to other factors, such as multiple modes-of-action or enhanced penetration through the cuticular layer, playing important roles in the elevated insecticidal activity. Moreover, application of enzyme inhibitors sometimes resulted in decreased activity when mixed with the target compounds, but these antagonistic interactions disappeared when they were applied separately, suggesting that the enzyme inhibitors can sometimes influence the penetrations of toxicants.","container-title":"Pesticide Biochemistry and Physiology","DOI":"10.1016/j.pestbp.2017.01.012","ISSN":"0048-3575","journalAbbreviation":"Pesticide Biochemistry and Physiology","language":"en","page":"9-16","source":"ScienceDirect","title":"Effects of rosemary, thyme and lemongrass oils and their major constituents on detoxifying enzyme activity and insecticidal activity in Trichoplusia ni","volume":"140","author":[{"family":"Tak","given":"Jun-Hyung"},{"family":"Jovel","given":"Eduardo"},{"family":"Isman","given":"Murray B."}],"issued":{"date-parts":[["2017",8,1]]}}},{"id":717,"uris":["http://zotero.org/users/local/QcSA6amT/items/KYNFFXN8"],"uri":["http://zotero.org/users/local/QcSA6amT/items/KYNFFXN8"],"itemData":{"id":717,"type":"article-journal","abstract":"BACKGROUND Terpinen-4-ol has high insecticidal activity towards the stored-grain pest Sitophilus zeamais, a key pest of cereals worldwide. Comparative proteomic analysis can identify proteins related to the response to terpinen-4-ol fumigation in S. zeamais, improving our understanding of the mechanisms behind the insecticidal activity and the detoxification of terpinen-4-ol in insects. RESULTS Using an isobaric tags for relative and absolute quantification (iTRAQ)-based strategy, 2761 proteins were obtained from S. zeamais adults. Comparative proteomic analysis showed that 215 proteins were upregulated and 129 were downregulated after exposure to terpinen-4-ol. Based on functional classifications, differentially expressed proteins (DEPs) were enriched in the carbohydrate, energy and xenobiotics metabolism pathways. DEPs associated with lactose, sucrose and starch metabolism were identified, including alcohol dehydrogenase, aldose reductase, β-galactosidase, maltase, and myrosinase. Among detoxification-related proteins, the levels of 14 cytochrome P450s, seven glutathione S-transferases, and three UDP-glucuronosyltransferases were altered, most of which were upregulated after exposure to terpinen-4-ol. CONCLUSION Metabolic changes indicated that terpinen-4-ol could affect the energy supply and potentially be metabolized and detoxified by various enzymes in S. zeamais. The results provide a foundation for further functional studies of key proteins mediated by terpinen-4-ol. © 2018 Society of Chemical Industry","container-title":"Pest Management Science","DOI":"10.1002/ps.5135","ISSN":"1526-4998","issue":"2","language":"en","page":"444-451","source":"Wiley Online Library","title":"iTRAQ-based quantitative proteome revealed metabolic changes of Sitophilus zeamais in response to terpinen-4-ol fumigation","volume":"75","author":[{"family":"Huang","given":"Yong"},{"family":"Liao","given":"Min"},{"family":"Yang","given":"Qianqian"},{"family":"Xiao","given":"Jinjing"},{"family":"Hu","given":"Zhaoyin"},{"family":"Cao","given":"Haiqun"}],"issued":{"date-parts":[["2019"]]}}}],"schema":"https://github.com/citation-style-language/schema/raw/master/csl-citation.json"} </w:instrText>
      </w:r>
      <w:r w:rsidRPr="00754A1D">
        <w:rPr>
          <w:rFonts w:ascii="Times New Roman" w:hAnsi="Times New Roman" w:cs="Times New Roman"/>
          <w:bCs/>
          <w:sz w:val="24"/>
          <w:szCs w:val="24"/>
          <w:lang w:val="en-US"/>
        </w:rPr>
        <w:fldChar w:fldCharType="separate"/>
      </w:r>
      <w:r w:rsidRPr="00754A1D">
        <w:rPr>
          <w:rFonts w:ascii="Times New Roman" w:hAnsi="Times New Roman" w:cs="Times New Roman"/>
          <w:sz w:val="24"/>
          <w:lang w:val="en-US"/>
        </w:rPr>
        <w:t>(Liao et al. 2016; Tak et al. 2017; Huang et al. 2019)</w:t>
      </w:r>
      <w:r w:rsidRPr="00754A1D">
        <w:rPr>
          <w:rFonts w:ascii="Times New Roman" w:hAnsi="Times New Roman" w:cs="Times New Roman"/>
          <w:bCs/>
          <w:sz w:val="24"/>
          <w:szCs w:val="24"/>
          <w:lang w:val="en-US"/>
        </w:rPr>
        <w:fldChar w:fldCharType="end"/>
      </w:r>
      <w:r w:rsidR="00354594" w:rsidRPr="00754A1D">
        <w:rPr>
          <w:rFonts w:ascii="Times New Roman" w:hAnsi="Times New Roman" w:cs="Times New Roman"/>
          <w:bCs/>
          <w:sz w:val="24"/>
          <w:szCs w:val="24"/>
          <w:lang w:val="en-US"/>
        </w:rPr>
        <w:t>. Only S-</w:t>
      </w:r>
      <w:proofErr w:type="spellStart"/>
      <w:r w:rsidR="00354594" w:rsidRPr="00754A1D">
        <w:rPr>
          <w:rFonts w:ascii="Times New Roman" w:hAnsi="Times New Roman" w:cs="Times New Roman"/>
          <w:bCs/>
          <w:sz w:val="24"/>
          <w:szCs w:val="24"/>
          <w:lang w:val="en-US"/>
        </w:rPr>
        <w:t>formylgluthatione</w:t>
      </w:r>
      <w:proofErr w:type="spellEnd"/>
      <w:r w:rsidR="00354594" w:rsidRPr="00754A1D">
        <w:rPr>
          <w:rFonts w:ascii="Times New Roman" w:hAnsi="Times New Roman" w:cs="Times New Roman"/>
          <w:bCs/>
          <w:sz w:val="24"/>
          <w:szCs w:val="24"/>
          <w:lang w:val="en-US"/>
        </w:rPr>
        <w:t xml:space="preserve"> hydrolase, a serine hydrolase involved in the detoxification of formaldehyde, was</w:t>
      </w:r>
      <w:r w:rsidR="007D2EEC" w:rsidRPr="00754A1D">
        <w:rPr>
          <w:rFonts w:ascii="Times New Roman" w:hAnsi="Times New Roman" w:cs="Times New Roman"/>
          <w:bCs/>
          <w:sz w:val="24"/>
          <w:szCs w:val="24"/>
          <w:lang w:val="en-US"/>
        </w:rPr>
        <w:t xml:space="preserve"> </w:t>
      </w:r>
      <w:r w:rsidR="00354594" w:rsidRPr="00754A1D">
        <w:rPr>
          <w:rFonts w:ascii="Times New Roman" w:hAnsi="Times New Roman" w:cs="Times New Roman"/>
          <w:bCs/>
          <w:sz w:val="24"/>
          <w:szCs w:val="24"/>
          <w:lang w:val="en-US"/>
        </w:rPr>
        <w:t xml:space="preserve">upregulated. Formaldehyde is </w:t>
      </w:r>
      <w:r w:rsidR="007D77DD" w:rsidRPr="00754A1D">
        <w:rPr>
          <w:rFonts w:ascii="Times New Roman" w:hAnsi="Times New Roman" w:cs="Times New Roman"/>
          <w:bCs/>
          <w:sz w:val="24"/>
          <w:szCs w:val="24"/>
          <w:lang w:val="en-US"/>
        </w:rPr>
        <w:t xml:space="preserve">produced </w:t>
      </w:r>
      <w:r w:rsidR="00354594" w:rsidRPr="00754A1D">
        <w:rPr>
          <w:rFonts w:ascii="Times New Roman" w:hAnsi="Times New Roman" w:cs="Times New Roman"/>
          <w:bCs/>
          <w:sz w:val="24"/>
          <w:szCs w:val="24"/>
          <w:lang w:val="en-US"/>
        </w:rPr>
        <w:t xml:space="preserve">endogenously in all living organisms as a result of metabolism of amino acids and oxidative demethylation of DNA and RNA </w:t>
      </w:r>
      <w:r w:rsidR="00354594"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{"citationID":"lbCV2HCV","properties":{"formattedCitation":"(Gonzalez et al. 2006)","plainCitation":"(Gonzalez et al. 2006)","noteIndex":0},"citationItems":[{"id":2212,"uris":["http://zotero.org/users/local/QcSA6amT/items/2J6QWXQJ"],"uri":["http://zotero.org/users/local/QcSA6amT/items/2J6QWXQJ"],"itemData":{"id":2212,"type":"article-journal","abstract":"The Escherichia coli genes frmB (yaiM) and yeiG encode two uncharacterized proteins that share 54% sequence identity and contain a serine esterase motif. We demonstrated that purified FrmB and YeiG have high carboxylesterase activity against the model substrates, p-nitrophenyl esters of fatty acids (C2-C6) and α-naphthyl acetate. However, both proteins had the highest hydrolytic activity toward S-formylglutathione, an intermediate of the glutathione-dependent pathway of formaldehyde detoxification. With this substrate, both proteins had similar affinity (Km = 0.41-0.43 mm), but FrmB was almost 5 times more active. Alanine replacement mutagenesis of YeiG demonstrated that Ser145, Asp233, and His256 are absolutely required for activity, indicating that these residues represent a serine hydrolase catalytic triad in this protein and in other S-formylglutathione hydrolases. This was confirmed by inspecting the crystal structure of the Saccharomyces cerevisiae S-formylglutathione hydrolase YJG8 (Protein Data Bank code 1pv1), which has 45% sequence identity to YeiG. The structure revealed a canonical α/β-hydrolase fold and a classical serine hydrolase catalytic triad (Ser161, His276, Asp241). In E. coli cells, the expression of frmB was stimulated 45-75 times by the addition of formaldehyde to the growth medium, whereas YeiG was found to be a constitutive enzyme. The simultaneous deletion of both frmB and yeiG genes was required to increase the sensitivity of the growth of E. coli cells to formaldehyde, suggesting that both FrmB and YeiG contribute to the detoxification of formaldehyde. Thus, FrmB and YeiG are S-formylglutathione hydrolases with a Ser-His-Asp catalytic triad involved in the detoxification of formaldehyde in E. coli.","container-title":"Journal of Biological Chemistry","DOI":"10.1074/jbc.M600996200","ISSN":"0021-9258, 1083-351X","issue":"20","journalAbbreviation":"J. Biol. Chem.","language":"en","note":"PMID: 16567800","page":"14514-14522","source":"www.jbc.org","title":"Molecular Basis of Formaldehyde Detoxification CHARACTERIZATION OF TWO S-FORMYLGLUTATHIONE HYDROLASES FROM ESCHERICHIA COLI, FrmB AND YeiG","volume":"281","author":[{"family":"Gonzalez","given":"Claudio F."},{"family":"Proudfoot","given":"Michael"},{"family":"Brown","given":"Greg"},{"family":"Korniyenko","given":"Yurij"},{"family":"Mori","given":"Hirotada"},{"family":"Savchenko","given":"Alexei V."},{"family":"Yakunin","given":"Alexander F."}],"issued":{"date-parts":[["2006",5,19]]}}}],"schema":"https://github.com/citation-style-language/schema/raw/master/csl-citation.json"} </w:instrText>
      </w:r>
      <w:r w:rsidR="00354594" w:rsidRPr="00754A1D">
        <w:rPr>
          <w:rFonts w:ascii="Times New Roman" w:hAnsi="Times New Roman" w:cs="Times New Roman"/>
          <w:bCs/>
          <w:sz w:val="24"/>
          <w:szCs w:val="24"/>
          <w:lang w:val="en-US"/>
        </w:rPr>
        <w:fldChar w:fldCharType="separate"/>
      </w:r>
      <w:r w:rsidR="00354594" w:rsidRPr="00754A1D">
        <w:rPr>
          <w:rFonts w:ascii="Times New Roman" w:hAnsi="Times New Roman" w:cs="Times New Roman"/>
          <w:sz w:val="24"/>
          <w:lang w:val="en-US"/>
        </w:rPr>
        <w:t xml:space="preserve">(Gonzalez et al. </w:t>
      </w:r>
      <w:r w:rsidR="00354594" w:rsidRPr="00754A1D">
        <w:rPr>
          <w:rFonts w:ascii="Times New Roman" w:hAnsi="Times New Roman" w:cs="Times New Roman"/>
          <w:sz w:val="24"/>
          <w:lang w:val="en-US"/>
        </w:rPr>
        <w:lastRenderedPageBreak/>
        <w:t>2006)</w:t>
      </w:r>
      <w:r w:rsidR="00354594" w:rsidRPr="00754A1D">
        <w:rPr>
          <w:rFonts w:ascii="Times New Roman" w:hAnsi="Times New Roman" w:cs="Times New Roman"/>
          <w:bCs/>
          <w:sz w:val="24"/>
          <w:szCs w:val="24"/>
          <w:lang w:val="en-US"/>
        </w:rPr>
        <w:fldChar w:fldCharType="end"/>
      </w:r>
      <w:r w:rsidR="00067A35" w:rsidRPr="00754A1D">
        <w:rPr>
          <w:rFonts w:ascii="Times New Roman" w:hAnsi="Times New Roman" w:cs="Times New Roman"/>
          <w:bCs/>
          <w:sz w:val="24"/>
          <w:szCs w:val="24"/>
          <w:lang w:val="en-US"/>
        </w:rPr>
        <w:t xml:space="preserve">. However, </w:t>
      </w:r>
      <w:r w:rsidR="007E7888" w:rsidRPr="00754A1D">
        <w:rPr>
          <w:rFonts w:ascii="Times New Roman" w:hAnsi="Times New Roman" w:cs="Times New Roman"/>
          <w:bCs/>
          <w:sz w:val="24"/>
          <w:szCs w:val="24"/>
          <w:lang w:val="en-US"/>
        </w:rPr>
        <w:t xml:space="preserve">too high a concentration of </w:t>
      </w:r>
      <w:r w:rsidR="00354594" w:rsidRPr="00754A1D">
        <w:rPr>
          <w:rFonts w:ascii="Times New Roman" w:hAnsi="Times New Roman" w:cs="Times New Roman"/>
          <w:bCs/>
          <w:sz w:val="24"/>
          <w:szCs w:val="24"/>
          <w:lang w:val="en-US"/>
        </w:rPr>
        <w:t xml:space="preserve">formaldehyde leads to DNA and protein damage </w:t>
      </w:r>
      <w:r w:rsidR="00354594"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{"citationID":"QizW7QgX","properties":{"formattedCitation":"(Chen et al. 2016)","plainCitation":"(Chen et al. 2016)","noteIndex":0},"citationItems":[{"id":2216,"uris":["http://zotero.org/users/local/QcSA6amT/items/UYFHVNUE"],"uri":["http://zotero.org/users/local/QcSA6amT/items/UYFHVNUE"],"itemData":{"id":2216,"type":"article-journal","abstract":"Formaldehyde is the simplest of all aldehydes and is highly cytotoxic. Its use and associated dangers from environmental exposure have been well documented. Detoxification systems for formaldehyde are found throughout the biological world and they are especially important in methylotrophic bacteria, which generate this compound as part of their metabolism of methanol. Formaldehyde metabolizing systems can be divided into those dependent upon pterin cofactors, sugar phosphates and those dependent upon glutathione. The more prevalent thiol-dependent formaldehyde detoxification system is found in many bacterial pathogens, almost all of which do not metabolize methane or methanol. This review describes the endogenous and exogenous sources of formaldehyde, its toxic effects and mechanisms of detoxification. The methods of formaldehyde sensing are also described with a focus on the formaldehyde responsive transcription factors HxlR, FrmR and NmlR. Finally, the physiological relevance of detoxification systems for formaldehyde in bacterial pathogens is discussed.","container-title":"Frontiers in Microbiology","DOI":"10.3389/fmicb.2016.00257","ISSN":"1664-302X","journalAbbreviation":"Front. Microbiol.","language":"English","source":"Frontiers","title":"Formaldehyde Stress Responses in Bacterial Pathogens","URL":"https://www.frontiersin.org/articles/10.3389/fmicb.2016.00257/full","volume":"7","author":[{"family":"Chen","given":"Nathan H."},{"family":"Djoko","given":"Karrera Y."},{"family":"Veyrier","given":"Frédéric J."},{"family":"McEwan","given":"Alastair G."}],"accessed":{"date-parts":[["2020",3,20]]},"issued":{"date-parts":[["2016"]]}}}],"schema":"https://github.com/citation-style-language/schema/raw/master/csl-citation.json"} </w:instrText>
      </w:r>
      <w:r w:rsidR="00354594" w:rsidRPr="00754A1D">
        <w:rPr>
          <w:rFonts w:ascii="Times New Roman" w:hAnsi="Times New Roman" w:cs="Times New Roman"/>
          <w:bCs/>
          <w:sz w:val="24"/>
          <w:szCs w:val="24"/>
          <w:lang w:val="en-US"/>
        </w:rPr>
        <w:fldChar w:fldCharType="separate"/>
      </w:r>
      <w:r w:rsidR="00354594" w:rsidRPr="00754A1D">
        <w:rPr>
          <w:rFonts w:ascii="Times New Roman" w:hAnsi="Times New Roman" w:cs="Times New Roman"/>
          <w:sz w:val="24"/>
          <w:lang w:val="en-US"/>
        </w:rPr>
        <w:t>(Chen et al. 2016)</w:t>
      </w:r>
      <w:r w:rsidR="00354594" w:rsidRPr="00754A1D">
        <w:rPr>
          <w:rFonts w:ascii="Times New Roman" w:hAnsi="Times New Roman" w:cs="Times New Roman"/>
          <w:bCs/>
          <w:sz w:val="24"/>
          <w:szCs w:val="24"/>
          <w:lang w:val="en-US"/>
        </w:rPr>
        <w:fldChar w:fldCharType="end"/>
      </w:r>
      <w:r w:rsidR="00354594" w:rsidRPr="00754A1D">
        <w:rPr>
          <w:rFonts w:ascii="Times New Roman" w:hAnsi="Times New Roman" w:cs="Times New Roman"/>
          <w:bCs/>
          <w:sz w:val="24"/>
          <w:szCs w:val="24"/>
          <w:lang w:val="en-US"/>
        </w:rPr>
        <w:t xml:space="preserve">. </w:t>
      </w:r>
      <w:r w:rsidR="00067A35" w:rsidRPr="00754A1D">
        <w:rPr>
          <w:rFonts w:ascii="Times New Roman" w:hAnsi="Times New Roman" w:cs="Times New Roman"/>
          <w:bCs/>
          <w:sz w:val="24"/>
          <w:szCs w:val="24"/>
          <w:lang w:val="en-US"/>
        </w:rPr>
        <w:t>The upregulation of S-</w:t>
      </w:r>
      <w:proofErr w:type="spellStart"/>
      <w:r w:rsidR="00067A35" w:rsidRPr="00754A1D">
        <w:rPr>
          <w:rFonts w:ascii="Times New Roman" w:hAnsi="Times New Roman" w:cs="Times New Roman"/>
          <w:bCs/>
          <w:sz w:val="24"/>
          <w:szCs w:val="24"/>
          <w:lang w:val="en-US"/>
        </w:rPr>
        <w:t>formylgluthatione</w:t>
      </w:r>
      <w:proofErr w:type="spellEnd"/>
      <w:r w:rsidR="00067A35" w:rsidRPr="00754A1D">
        <w:rPr>
          <w:rFonts w:ascii="Times New Roman" w:hAnsi="Times New Roman" w:cs="Times New Roman"/>
          <w:bCs/>
          <w:sz w:val="24"/>
          <w:szCs w:val="24"/>
          <w:lang w:val="en-US"/>
        </w:rPr>
        <w:t xml:space="preserve"> hydrolase </w:t>
      </w:r>
      <w:r w:rsidR="00277514" w:rsidRPr="00754A1D">
        <w:rPr>
          <w:rFonts w:ascii="Times New Roman" w:hAnsi="Times New Roman" w:cs="Times New Roman"/>
          <w:bCs/>
          <w:sz w:val="24"/>
          <w:szCs w:val="24"/>
          <w:lang w:val="en-US"/>
        </w:rPr>
        <w:t>suggest</w:t>
      </w:r>
      <w:r w:rsidR="00067A35" w:rsidRPr="00754A1D">
        <w:rPr>
          <w:rFonts w:ascii="Times New Roman" w:hAnsi="Times New Roman" w:cs="Times New Roman"/>
          <w:bCs/>
          <w:sz w:val="24"/>
          <w:szCs w:val="24"/>
          <w:lang w:val="en-US"/>
        </w:rPr>
        <w:t>s</w:t>
      </w:r>
      <w:r w:rsidR="00277514" w:rsidRPr="00754A1D">
        <w:rPr>
          <w:rFonts w:ascii="Times New Roman" w:hAnsi="Times New Roman" w:cs="Times New Roman"/>
          <w:bCs/>
          <w:sz w:val="24"/>
          <w:szCs w:val="24"/>
          <w:lang w:val="en-US"/>
        </w:rPr>
        <w:t xml:space="preserve"> that </w:t>
      </w:r>
      <w:r w:rsidR="00277514" w:rsidRPr="00754A1D">
        <w:rPr>
          <w:rFonts w:ascii="Times New Roman" w:hAnsi="Times New Roman" w:cs="Times New Roman"/>
          <w:bCs/>
          <w:i/>
          <w:sz w:val="24"/>
          <w:szCs w:val="24"/>
          <w:lang w:val="en-US"/>
        </w:rPr>
        <w:t>M. arvensis</w:t>
      </w:r>
      <w:r w:rsidR="00277514" w:rsidRPr="00754A1D">
        <w:rPr>
          <w:rFonts w:ascii="Times New Roman" w:hAnsi="Times New Roman" w:cs="Times New Roman"/>
          <w:bCs/>
          <w:sz w:val="24"/>
          <w:szCs w:val="24"/>
          <w:lang w:val="en-US"/>
        </w:rPr>
        <w:t xml:space="preserve"> </w:t>
      </w:r>
      <w:r w:rsidR="007D2EEC" w:rsidRPr="00754A1D">
        <w:rPr>
          <w:rFonts w:ascii="Times New Roman" w:hAnsi="Times New Roman" w:cs="Times New Roman"/>
          <w:bCs/>
          <w:sz w:val="24"/>
          <w:szCs w:val="24"/>
          <w:lang w:val="en-US"/>
        </w:rPr>
        <w:t>EO</w:t>
      </w:r>
      <w:r w:rsidR="00277514" w:rsidRPr="00754A1D">
        <w:rPr>
          <w:rFonts w:ascii="Times New Roman" w:hAnsi="Times New Roman" w:cs="Times New Roman"/>
          <w:bCs/>
          <w:sz w:val="24"/>
          <w:szCs w:val="24"/>
          <w:lang w:val="en-US"/>
        </w:rPr>
        <w:t xml:space="preserve"> induced an accumulation of formaldehyde </w:t>
      </w:r>
      <w:r w:rsidR="007D77DD" w:rsidRPr="00754A1D">
        <w:rPr>
          <w:rFonts w:ascii="Times New Roman" w:hAnsi="Times New Roman" w:cs="Times New Roman"/>
          <w:bCs/>
          <w:sz w:val="24"/>
          <w:szCs w:val="24"/>
          <w:lang w:val="en-US"/>
        </w:rPr>
        <w:t>that</w:t>
      </w:r>
      <w:r w:rsidR="00277514" w:rsidRPr="00754A1D">
        <w:rPr>
          <w:rFonts w:ascii="Times New Roman" w:hAnsi="Times New Roman" w:cs="Times New Roman"/>
          <w:bCs/>
          <w:sz w:val="24"/>
          <w:szCs w:val="24"/>
          <w:lang w:val="en-US"/>
        </w:rPr>
        <w:t xml:space="preserve"> may have caused </w:t>
      </w:r>
      <w:r w:rsidR="00067A35" w:rsidRPr="00754A1D">
        <w:rPr>
          <w:rFonts w:ascii="Times New Roman" w:hAnsi="Times New Roman" w:cs="Times New Roman"/>
          <w:bCs/>
          <w:sz w:val="24"/>
          <w:szCs w:val="24"/>
          <w:lang w:val="en-US"/>
        </w:rPr>
        <w:t>proteins and DNA</w:t>
      </w:r>
      <w:r w:rsidR="007D77DD" w:rsidRPr="00754A1D">
        <w:rPr>
          <w:rFonts w:ascii="Times New Roman" w:hAnsi="Times New Roman" w:cs="Times New Roman"/>
          <w:bCs/>
          <w:sz w:val="24"/>
          <w:szCs w:val="24"/>
          <w:lang w:val="en-US"/>
        </w:rPr>
        <w:t xml:space="preserve"> damage</w:t>
      </w:r>
      <w:r w:rsidR="00277514" w:rsidRPr="00754A1D">
        <w:rPr>
          <w:rFonts w:ascii="Times New Roman" w:hAnsi="Times New Roman" w:cs="Times New Roman"/>
          <w:bCs/>
          <w:sz w:val="24"/>
          <w:szCs w:val="24"/>
          <w:lang w:val="en-US"/>
        </w:rPr>
        <w:t>.</w:t>
      </w:r>
    </w:p>
    <w:p w14:paraId="4C591DF5" w14:textId="129B9261" w:rsidR="00540799" w:rsidRPr="00754A1D" w:rsidRDefault="00540799" w:rsidP="00540799">
      <w:pPr>
        <w:spacing w:line="480" w:lineRule="auto"/>
        <w:jc w:val="both"/>
        <w:rPr>
          <w:rFonts w:ascii="Times New Roman" w:hAnsi="Times New Roman" w:cs="Times New Roman"/>
          <w:b/>
          <w:bCs/>
          <w:sz w:val="24"/>
          <w:szCs w:val="24"/>
          <w:lang w:val="en-US"/>
        </w:rPr>
      </w:pPr>
      <w:r w:rsidRPr="00754A1D">
        <w:rPr>
          <w:rFonts w:ascii="Times New Roman" w:hAnsi="Times New Roman" w:cs="Times New Roman"/>
          <w:b/>
          <w:bCs/>
          <w:sz w:val="24"/>
          <w:szCs w:val="24"/>
          <w:lang w:val="en-US"/>
        </w:rPr>
        <w:t>Tegument and symbiotic system</w:t>
      </w:r>
    </w:p>
    <w:p w14:paraId="43DA19E2" w14:textId="77777777" w:rsidR="00871517" w:rsidRPr="00754A1D" w:rsidRDefault="007B5755" w:rsidP="00850B5C">
      <w:pPr>
        <w:spacing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Weevils are </w:t>
      </w:r>
      <w:r w:rsidR="004C17F2" w:rsidRPr="00754A1D">
        <w:rPr>
          <w:rFonts w:ascii="Times New Roman" w:hAnsi="Times New Roman" w:cs="Times New Roman"/>
          <w:bCs/>
          <w:sz w:val="24"/>
          <w:szCs w:val="24"/>
          <w:lang w:val="en-US"/>
        </w:rPr>
        <w:t xml:space="preserve">shielded </w:t>
      </w:r>
      <w:r w:rsidRPr="00754A1D">
        <w:rPr>
          <w:rFonts w:ascii="Times New Roman" w:hAnsi="Times New Roman" w:cs="Times New Roman"/>
          <w:bCs/>
          <w:sz w:val="24"/>
          <w:szCs w:val="24"/>
          <w:lang w:val="en-US"/>
        </w:rPr>
        <w:t xml:space="preserve">with hard cuticle, which </w:t>
      </w:r>
      <w:r w:rsidR="00354594" w:rsidRPr="00754A1D">
        <w:rPr>
          <w:rFonts w:ascii="Times New Roman" w:hAnsi="Times New Roman" w:cs="Times New Roman"/>
          <w:bCs/>
          <w:sz w:val="24"/>
          <w:szCs w:val="24"/>
          <w:lang w:val="en-US"/>
        </w:rPr>
        <w:t xml:space="preserve">is the first and major barrier protecting the insect from penetration of external compounds </w:t>
      </w:r>
      <w:r w:rsidR="00354594"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{"citationID":"LE8VvnjW","properties":{"formattedCitation":"(Balabanidou et al. 2018)","plainCitation":"(Balabanidou et al. 2018)","noteIndex":0},"citationItems":[{"id":2272,"uris":["http://zotero.org/users/local/QcSA6amT/items/NBXEFIZF"],"uri":["http://zotero.org/users/local/QcSA6amT/items/NBXEFIZF"],"itemData":{"id":2272,"type":"article-journal","abstract":"Intense use of insecticides has resulted in the selection of extreme levels of resistance in insect populations. Therefore understanding the molecular basis of insecticide resistance mechanisms becomes critical. Penetration resistance refers to modifications in the cuticle that will eventually slow down the penetration of insecticide molecules within insects’ body. So far, two mechanisms of penetration resistance have been described, the cuticle thickening and the altering of cuticle composition. Cuticular modifications are attributed to the over-expression of diversified genes or proteins, which belong to structural components (cuticular proteins mainly), enzymes that catalyze enzymatic reactions (CYP4G16 and laccase 2) or ABC transporters that promote cuticular translocation. In the present review we summarize recent studies and discuss future perspectives.","collection-title":"Pests and resistance * Behavioural ecology","container-title":"Current Opinion in Insect Science","DOI":"10.1016/j.cois.2018.03.001","ISSN":"2214-5745","journalAbbreviation":"Current Opinion in Insect Science","language":"en","page":"68-74","source":"ScienceDirect","title":"Insect cuticle: a critical determinant of insecticide resistance","title-short":"Insect cuticle","volume":"27","author":[{"family":"Balabanidou","given":"Vasileia"},{"family":"Grigoraki","given":"Linda"},{"family":"Vontas","given":"John"}],"issued":{"date-parts":[["2018",6,1]]}}}],"schema":"https://github.com/citation-style-language/schema/raw/master/csl-citation.json"} </w:instrText>
      </w:r>
      <w:r w:rsidR="00354594" w:rsidRPr="00754A1D">
        <w:rPr>
          <w:rFonts w:ascii="Times New Roman" w:hAnsi="Times New Roman" w:cs="Times New Roman"/>
          <w:bCs/>
          <w:sz w:val="24"/>
          <w:szCs w:val="24"/>
          <w:lang w:val="en-US"/>
        </w:rPr>
        <w:fldChar w:fldCharType="separate"/>
      </w:r>
      <w:r w:rsidR="00354594" w:rsidRPr="00754A1D">
        <w:rPr>
          <w:rFonts w:ascii="Times New Roman" w:hAnsi="Times New Roman" w:cs="Times New Roman"/>
          <w:sz w:val="24"/>
          <w:lang w:val="en-US"/>
        </w:rPr>
        <w:t>(Balabanidou et al. 2018)</w:t>
      </w:r>
      <w:r w:rsidR="00354594" w:rsidRPr="00754A1D">
        <w:rPr>
          <w:rFonts w:ascii="Times New Roman" w:hAnsi="Times New Roman" w:cs="Times New Roman"/>
          <w:bCs/>
          <w:sz w:val="24"/>
          <w:szCs w:val="24"/>
          <w:lang w:val="en-US"/>
        </w:rPr>
        <w:fldChar w:fldCharType="end"/>
      </w:r>
      <w:r w:rsidR="00354594" w:rsidRPr="00754A1D">
        <w:rPr>
          <w:rFonts w:ascii="Times New Roman" w:hAnsi="Times New Roman" w:cs="Times New Roman"/>
          <w:bCs/>
          <w:sz w:val="24"/>
          <w:szCs w:val="24"/>
          <w:lang w:val="en-US"/>
        </w:rPr>
        <w:t xml:space="preserve">. </w:t>
      </w:r>
      <w:r w:rsidR="000760AE" w:rsidRPr="00754A1D">
        <w:rPr>
          <w:rFonts w:ascii="Times New Roman" w:hAnsi="Times New Roman" w:cs="Times New Roman"/>
          <w:bCs/>
          <w:sz w:val="24"/>
          <w:szCs w:val="24"/>
          <w:lang w:val="en-US"/>
        </w:rPr>
        <w:t xml:space="preserve">Interestingly, </w:t>
      </w:r>
      <w:r w:rsidR="00354594" w:rsidRPr="00754A1D">
        <w:rPr>
          <w:rFonts w:ascii="Times New Roman" w:hAnsi="Times New Roman" w:cs="Times New Roman"/>
          <w:bCs/>
          <w:i/>
          <w:sz w:val="24"/>
          <w:szCs w:val="24"/>
          <w:lang w:val="en-US"/>
        </w:rPr>
        <w:t>M. arvensis</w:t>
      </w:r>
      <w:r w:rsidR="00354594" w:rsidRPr="00754A1D">
        <w:rPr>
          <w:rFonts w:ascii="Times New Roman" w:hAnsi="Times New Roman" w:cs="Times New Roman"/>
          <w:bCs/>
          <w:sz w:val="24"/>
          <w:szCs w:val="24"/>
          <w:lang w:val="en-US"/>
        </w:rPr>
        <w:t xml:space="preserve"> </w:t>
      </w:r>
      <w:r w:rsidR="007D2EEC" w:rsidRPr="00754A1D">
        <w:rPr>
          <w:rFonts w:ascii="Times New Roman" w:hAnsi="Times New Roman" w:cs="Times New Roman"/>
          <w:bCs/>
          <w:sz w:val="24"/>
          <w:szCs w:val="24"/>
          <w:lang w:val="en-US"/>
        </w:rPr>
        <w:t>EO</w:t>
      </w:r>
      <w:r w:rsidR="00354594" w:rsidRPr="00754A1D">
        <w:rPr>
          <w:rFonts w:ascii="Times New Roman" w:hAnsi="Times New Roman" w:cs="Times New Roman"/>
          <w:bCs/>
          <w:sz w:val="24"/>
          <w:szCs w:val="24"/>
          <w:lang w:val="en-US"/>
        </w:rPr>
        <w:t xml:space="preserve"> </w:t>
      </w:r>
      <w:r w:rsidR="007D77DD" w:rsidRPr="00754A1D">
        <w:rPr>
          <w:rFonts w:ascii="Times New Roman" w:hAnsi="Times New Roman" w:cs="Times New Roman"/>
          <w:bCs/>
          <w:sz w:val="24"/>
          <w:szCs w:val="24"/>
          <w:lang w:val="en-US"/>
        </w:rPr>
        <w:t xml:space="preserve">has </w:t>
      </w:r>
      <w:r w:rsidR="00354594" w:rsidRPr="00754A1D">
        <w:rPr>
          <w:rFonts w:ascii="Times New Roman" w:hAnsi="Times New Roman" w:cs="Times New Roman"/>
          <w:bCs/>
          <w:sz w:val="24"/>
          <w:szCs w:val="24"/>
          <w:lang w:val="en-US"/>
        </w:rPr>
        <w:t xml:space="preserve">induced upregulation of </w:t>
      </w:r>
      <w:r w:rsidR="007D6E61" w:rsidRPr="00754A1D">
        <w:rPr>
          <w:rFonts w:ascii="Times New Roman" w:hAnsi="Times New Roman" w:cs="Times New Roman"/>
          <w:bCs/>
          <w:sz w:val="24"/>
          <w:szCs w:val="24"/>
          <w:lang w:val="en-US"/>
        </w:rPr>
        <w:t xml:space="preserve">Yellow </w:t>
      </w:r>
      <w:r w:rsidR="000760AE" w:rsidRPr="00754A1D">
        <w:rPr>
          <w:rFonts w:ascii="Times New Roman" w:hAnsi="Times New Roman" w:cs="Times New Roman"/>
          <w:bCs/>
          <w:sz w:val="24"/>
          <w:szCs w:val="24"/>
          <w:lang w:val="en-US"/>
        </w:rPr>
        <w:t>p</w:t>
      </w:r>
      <w:r w:rsidR="007D6E61" w:rsidRPr="00754A1D">
        <w:rPr>
          <w:rFonts w:ascii="Times New Roman" w:hAnsi="Times New Roman" w:cs="Times New Roman"/>
          <w:bCs/>
          <w:sz w:val="24"/>
          <w:szCs w:val="24"/>
          <w:lang w:val="en-US"/>
        </w:rPr>
        <w:t>rotein</w:t>
      </w:r>
      <w:r w:rsidR="00354594" w:rsidRPr="00754A1D">
        <w:rPr>
          <w:rFonts w:ascii="Times New Roman" w:hAnsi="Times New Roman" w:cs="Times New Roman"/>
          <w:bCs/>
          <w:sz w:val="24"/>
          <w:szCs w:val="24"/>
          <w:lang w:val="en-US"/>
        </w:rPr>
        <w:t xml:space="preserve">, a protein </w:t>
      </w:r>
      <w:r w:rsidR="00936DAB" w:rsidRPr="00754A1D">
        <w:rPr>
          <w:rFonts w:ascii="Times New Roman" w:hAnsi="Times New Roman" w:cs="Times New Roman"/>
          <w:bCs/>
          <w:sz w:val="24"/>
          <w:szCs w:val="24"/>
          <w:lang w:val="en-US"/>
        </w:rPr>
        <w:t>essential for the pigmentation</w:t>
      </w:r>
      <w:r w:rsidR="000760AE" w:rsidRPr="00754A1D">
        <w:rPr>
          <w:rFonts w:ascii="Times New Roman" w:hAnsi="Times New Roman" w:cs="Times New Roman"/>
          <w:bCs/>
          <w:sz w:val="24"/>
          <w:szCs w:val="24"/>
          <w:lang w:val="en-US"/>
        </w:rPr>
        <w:t xml:space="preserve"> </w:t>
      </w:r>
      <w:r w:rsidR="00936DAB" w:rsidRPr="00754A1D">
        <w:rPr>
          <w:rFonts w:ascii="Times New Roman" w:hAnsi="Times New Roman" w:cs="Times New Roman"/>
          <w:bCs/>
          <w:sz w:val="24"/>
          <w:szCs w:val="24"/>
          <w:lang w:val="en-US"/>
        </w:rPr>
        <w:t>of the</w:t>
      </w:r>
      <w:r w:rsidR="000760AE" w:rsidRPr="00754A1D">
        <w:rPr>
          <w:rFonts w:ascii="Times New Roman" w:hAnsi="Times New Roman" w:cs="Times New Roman"/>
          <w:bCs/>
          <w:sz w:val="24"/>
          <w:szCs w:val="24"/>
          <w:lang w:val="en-US"/>
        </w:rPr>
        <w:t xml:space="preserve"> body wall cuticle </w:t>
      </w:r>
      <w:r w:rsidR="00462586" w:rsidRPr="00754A1D">
        <w:rPr>
          <w:rFonts w:ascii="Times New Roman" w:hAnsi="Times New Roman" w:cs="Times New Roman"/>
          <w:bCs/>
          <w:sz w:val="24"/>
          <w:szCs w:val="24"/>
          <w:lang w:val="en-US"/>
        </w:rPr>
        <w:t>of adult insects</w:t>
      </w:r>
      <w:r w:rsidR="000760AE" w:rsidRPr="00754A1D">
        <w:rPr>
          <w:rFonts w:ascii="Times New Roman" w:hAnsi="Times New Roman" w:cs="Times New Roman"/>
          <w:bCs/>
          <w:sz w:val="24"/>
          <w:szCs w:val="24"/>
          <w:lang w:val="en-US"/>
        </w:rPr>
        <w:t xml:space="preserve"> </w:t>
      </w:r>
      <w:r w:rsidR="007D6E61"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{"citationID":"Y0sT9oKu","properties":{"formattedCitation":"(Wittkopp et al. 2002; True 2003)","plainCitation":"(Wittkopp et al. 2002; True 2003)","noteIndex":0},"citationItems":[{"id":2038,"uris":["http://zotero.org/users/local/QcSA6amT/items/6LEZBFVP"],"uri":["http://zotero.org/users/local/QcSA6amT/items/6LEZBFVP"],"itemData":{"id":2038,"type":"article-journal","abstract":"Body coloration affects how animals interact with the environment. In insects, the rapid evolution of black and brown melanin patterns suggests that these are adaptive traits. The developmental and molecular mechanisms that generate these pigment patterns are largely unknown. We demonstrate that the regulation and function of the yellow and ebony genes in Drosophila melanogaster play crucial roles in this process. The Yellow protein is required to produce black melanin, and is expressed in a pattern that correlates with the distribution of this pigment. Conversely, Ebony is required to suppress some melanin formation, and is expressed in cells that will produce both melanized and non-melanized cuticle. Ectopic expression of Ebony inhibits melanin formation, but increasing Yellow expression can overcome this effect. In addition, ectopic expression of Yellow is sufficient to induce melanin formation, but only in the absence of Ebony. These results suggest that the patterns and levels of Yellow and Ebony expression together determine the pattern and intensity of melanization. Based on their functions in Drosophila melanogaster, we propose that changes in the expression of Yellow and/or Ebony may have evolved with melanin patterns. Consistent with our hypothesis, we find that Yellow and Ebony are expressed in complementary spatial patterns that correlate with the formation of an evolutionary novel, male-specific pigment pattern in Drosophila biarmipes wings. These findings provide a developmental and genetic framework for understanding the evolution of melanin patterns.","container-title":"Development (Cambridge, England)","ISSN":"0950-1991","issue":"8","journalAbbreviation":"Development","language":"eng","note":"PMID: 11934851","page":"1849-1858","source":"PubMed","title":"Reciprocal functions of the Drosophila yellow and ebony proteins in the development and evolution of pigment patterns","volume":"129","author":[{"family":"Wittkopp","given":"Patricia J."},{"family":"True","given":"John R."},{"family":"Carroll","given":"Sean B."}],"issued":{"date-parts":[["2002",4]]}}},{"id":2040,"uris":["http://zotero.org/users/local/QcSA6amT/items/V28RFBB9"],"uri":["http://zotero.org/users/local/QcSA6amT/items/V28RFBB9"],"itemData":{"id":2040,"type":"article-journal","abstract":"Insect melanism, especially in the peppered moth Biston betularia, has long been a textbook case of evolution in action. Hypotheses of the role of natural selection in maintaining melanic polymorphisms have implicated a wide range of explanations in various species, but to understand fully the ecology of melanism, we need to understand its molecular and developmental genetic basis. Because developmental genes often affect more than one trait, identifying the genes responsible for melanism is crucial for a thorough understanding of the fitnesses and selective responses of melanic alleles in nature. Molecular genetic information is also vital for elucidating the evolutionary history and possible mechanistic diversity of melanism among species. Recent studies of the developmental genetics of melanin pigmentation in Drosophila, and of the genetics of pigmentation differences among other insect species, have provided valuable insights into the underpinnings of this important source of polymorphism throughout the Insecta.","container-title":"Trends in Ecology &amp; Evolution","DOI":"10.1016/j.tree.2003.09.006","ISSN":"0169-5347","issue":"12","journalAbbreviation":"Trends in Ecology &amp; Evolution","language":"en","page":"640-647","source":"ScienceDirect","title":"Insect melanism: the molecules matter","title-short":"Insect melanism","volume":"18","author":[{"family":"True","given":"John R."}],"issued":{"date-parts":[["2003",12,1]]}}}],"schema":"https://github.com/citation-style-language/schema/raw/master/csl-citation.json"} </w:instrText>
      </w:r>
      <w:r w:rsidR="007D6E61" w:rsidRPr="00754A1D">
        <w:rPr>
          <w:rFonts w:ascii="Times New Roman" w:hAnsi="Times New Roman" w:cs="Times New Roman"/>
          <w:bCs/>
          <w:sz w:val="24"/>
          <w:szCs w:val="24"/>
          <w:lang w:val="en-US"/>
        </w:rPr>
        <w:fldChar w:fldCharType="separate"/>
      </w:r>
      <w:r w:rsidR="007D6E61" w:rsidRPr="00754A1D">
        <w:rPr>
          <w:rFonts w:ascii="Times New Roman" w:hAnsi="Times New Roman" w:cs="Times New Roman"/>
          <w:sz w:val="24"/>
          <w:lang w:val="en-US"/>
        </w:rPr>
        <w:t>(Wittkopp et al. 2002; True 2003)</w:t>
      </w:r>
      <w:r w:rsidR="007D6E61" w:rsidRPr="00754A1D">
        <w:rPr>
          <w:rFonts w:ascii="Times New Roman" w:hAnsi="Times New Roman" w:cs="Times New Roman"/>
          <w:bCs/>
          <w:sz w:val="24"/>
          <w:szCs w:val="24"/>
          <w:lang w:val="en-US"/>
        </w:rPr>
        <w:fldChar w:fldCharType="end"/>
      </w:r>
      <w:r w:rsidR="00354594" w:rsidRPr="00754A1D">
        <w:rPr>
          <w:rFonts w:ascii="Times New Roman" w:hAnsi="Times New Roman" w:cs="Times New Roman"/>
          <w:bCs/>
          <w:sz w:val="24"/>
          <w:szCs w:val="24"/>
          <w:lang w:val="en-US"/>
        </w:rPr>
        <w:t xml:space="preserve"> and </w:t>
      </w:r>
      <w:r w:rsidR="004C17F2" w:rsidRPr="00754A1D">
        <w:rPr>
          <w:rFonts w:ascii="Times New Roman" w:hAnsi="Times New Roman" w:cs="Times New Roman"/>
          <w:bCs/>
          <w:sz w:val="24"/>
          <w:szCs w:val="24"/>
          <w:lang w:val="en-US"/>
        </w:rPr>
        <w:t xml:space="preserve">which is </w:t>
      </w:r>
      <w:r w:rsidRPr="00754A1D">
        <w:rPr>
          <w:rFonts w:ascii="Times New Roman" w:hAnsi="Times New Roman" w:cs="Times New Roman"/>
          <w:bCs/>
          <w:sz w:val="24"/>
          <w:szCs w:val="24"/>
          <w:lang w:val="en-US"/>
        </w:rPr>
        <w:t xml:space="preserve">associated with an anti-dehydration function </w:t>
      </w:r>
      <w:r w:rsidR="004C17F2" w:rsidRPr="00754A1D">
        <w:rPr>
          <w:rFonts w:ascii="Times New Roman" w:hAnsi="Times New Roman" w:cs="Times New Roman"/>
          <w:bCs/>
          <w:sz w:val="24"/>
          <w:szCs w:val="24"/>
          <w:lang w:val="en-US"/>
        </w:rPr>
        <w:t xml:space="preserve">by </w:t>
      </w:r>
      <w:r w:rsidR="007D77DD" w:rsidRPr="00754A1D">
        <w:rPr>
          <w:rFonts w:ascii="Times New Roman" w:hAnsi="Times New Roman" w:cs="Times New Roman"/>
          <w:bCs/>
          <w:sz w:val="24"/>
          <w:szCs w:val="24"/>
          <w:lang w:val="en-US"/>
        </w:rPr>
        <w:t>rendering</w:t>
      </w:r>
      <w:r w:rsidR="004C17F2" w:rsidRPr="00754A1D">
        <w:rPr>
          <w:rFonts w:ascii="Times New Roman" w:hAnsi="Times New Roman" w:cs="Times New Roman"/>
          <w:bCs/>
          <w:sz w:val="24"/>
          <w:szCs w:val="24"/>
          <w:lang w:val="en-US"/>
        </w:rPr>
        <w:t xml:space="preserve"> the cuticle waterproof </w:t>
      </w:r>
      <w:r w:rsidR="006E4352"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{"citationID":"YpdgYq2N","properties":{"formattedCitation":"(Noh et al. 2015)","plainCitation":"(Noh et al. 2015)","noteIndex":0},"citationItems":[{"id":2043,"uris":["http://zotero.org/users/local/QcSA6amT/items/5J3C8UU6"],"uri":["http://zotero.org/users/local/QcSA6amT/items/5J3C8UU6"],"itemData":{"id":2043,"type":"article-journal","abstract":"Yellow protein (dopachrome conversion enzyme, DCE) is involved in the melanin biosynthetic pathway that significantly accelerates pigmentation reactions in insects. Recent studies have suggested that the insect yellow genes represent a rapidly evolving gene family generating functionally diverse paralogs, but the exact physiological functions of several yellow genes are still not understood. To study the function(s) of one of the yellow genes, yellow-e (TcY-e), in the red flour beetle, Tribolium castaneum, we performed real-time PCR to analyze its developmental and tissue-specific expression, and utilized immunohistochemistry to identify the localization of the TcY-e protein in adult cuticle. Injection of double-stranded RNA for TcY-e (dsTcY-e) into late instar larvae had no effect on larval–pupal molting or pupal development. The pupal cuticle, including that lining the setae, gin traps and urogomphi, underwent normal tanning. Adult cuticle tanning including that of the head, mandibles and legs viewed through the translucent pupal cuticle was initiated on schedule (pupal days 4–5), indicating that TcY-e is not required for pupal or pharate adult cuticle pigmentation in T. castaneum. The subsequent pupal–adult molt, however, was adversely affected. Although pupal cuticle apolysis and slippage were evident, some of the adults (~25%) were unable to shed their exuvium and died entrapped in their pupal cuticle. In addition, the resulting adults rapidly became highly desiccated. Interestingly, both the failure of the pupal–adult molt and desiccation-induced mortality were prevented by maintaining the dsTcY-e-treated insects at 100% relative humidity (rh). However, when the high humidity-rescued adults were removed from 100% rh and transferred to 50% rh, they rapidly dehydrated and died, whereas untreated beetles thrived throughout development at 50% rh. We also observed that the body color of the high humidity-rescued dsTcY-e-adults was slightly darker than that of control animals. These results support the hypothesis that TcY-e has a role not only in normal body pigmentation in T. castaneum adults but also has a vital waterproofing function.","container-title":"Developmental Biology","DOI":"10.1016/j.ydbio.2015.01.009","ISSN":"0012-1606","issue":"2","journalAbbreviation":"Developmental Biology","language":"en","page":"315-324","source":"ScienceDirect","title":"Loss of function of the yellow-e gene causes dehydration-induced mortality of adult Tribolium castaneum","volume":"399","author":[{"family":"Noh","given":"Mi Young"},{"family":"Kramer","given":"Karl J."},{"family":"Muthukrishnan","given":"Subbaratnam"},{"family":"Beeman","given":"Richard W."},{"family":"Kanost","given":"Michael R."},{"family":"Arakane","given":"Yasuyuki"}],"issued":{"date-parts":[["2015",3,15]]}}}],"schema":"https://github.com/citation-style-language/schema/raw/master/csl-citation.json"} </w:instrText>
      </w:r>
      <w:r w:rsidR="006E4352" w:rsidRPr="00754A1D">
        <w:rPr>
          <w:rFonts w:ascii="Times New Roman" w:hAnsi="Times New Roman" w:cs="Times New Roman"/>
          <w:bCs/>
          <w:sz w:val="24"/>
          <w:szCs w:val="24"/>
          <w:lang w:val="en-US"/>
        </w:rPr>
        <w:fldChar w:fldCharType="separate"/>
      </w:r>
      <w:r w:rsidR="006E4352" w:rsidRPr="00754A1D">
        <w:rPr>
          <w:rFonts w:ascii="Times New Roman" w:hAnsi="Times New Roman" w:cs="Times New Roman"/>
          <w:sz w:val="24"/>
          <w:lang w:val="en-US"/>
        </w:rPr>
        <w:t>(Noh et al. 2015)</w:t>
      </w:r>
      <w:r w:rsidR="006E4352" w:rsidRPr="00754A1D">
        <w:rPr>
          <w:rFonts w:ascii="Times New Roman" w:hAnsi="Times New Roman" w:cs="Times New Roman"/>
          <w:bCs/>
          <w:sz w:val="24"/>
          <w:szCs w:val="24"/>
          <w:lang w:val="en-US"/>
        </w:rPr>
        <w:fldChar w:fldCharType="end"/>
      </w:r>
      <w:r w:rsidR="006E4352" w:rsidRPr="00754A1D">
        <w:rPr>
          <w:rFonts w:ascii="Times New Roman" w:hAnsi="Times New Roman" w:cs="Times New Roman"/>
          <w:bCs/>
          <w:sz w:val="24"/>
          <w:szCs w:val="24"/>
          <w:lang w:val="en-US"/>
        </w:rPr>
        <w:t xml:space="preserve">. </w:t>
      </w:r>
      <w:r w:rsidR="004C17F2" w:rsidRPr="00754A1D">
        <w:rPr>
          <w:rFonts w:ascii="Times New Roman" w:hAnsi="Times New Roman" w:cs="Times New Roman"/>
          <w:bCs/>
          <w:sz w:val="24"/>
          <w:szCs w:val="24"/>
          <w:lang w:val="en-US"/>
        </w:rPr>
        <w:t>T</w:t>
      </w:r>
      <w:r w:rsidR="00BB39B1" w:rsidRPr="00754A1D">
        <w:rPr>
          <w:rFonts w:ascii="Times New Roman" w:hAnsi="Times New Roman" w:cs="Times New Roman"/>
          <w:bCs/>
          <w:sz w:val="24"/>
          <w:szCs w:val="24"/>
          <w:lang w:val="en-US"/>
        </w:rPr>
        <w:t xml:space="preserve">he flagellar transcriptional activator </w:t>
      </w:r>
      <w:proofErr w:type="spellStart"/>
      <w:r w:rsidR="00BB39B1" w:rsidRPr="00754A1D">
        <w:rPr>
          <w:rFonts w:ascii="Times New Roman" w:hAnsi="Times New Roman" w:cs="Times New Roman"/>
          <w:bCs/>
          <w:sz w:val="24"/>
          <w:szCs w:val="24"/>
          <w:lang w:val="en-US"/>
        </w:rPr>
        <w:t>FlhD</w:t>
      </w:r>
      <w:proofErr w:type="spellEnd"/>
      <w:r w:rsidR="00BB39B1" w:rsidRPr="00754A1D">
        <w:rPr>
          <w:rFonts w:ascii="Times New Roman" w:hAnsi="Times New Roman" w:cs="Times New Roman"/>
          <w:bCs/>
          <w:sz w:val="24"/>
          <w:szCs w:val="24"/>
          <w:lang w:val="en-US"/>
        </w:rPr>
        <w:t xml:space="preserve"> </w:t>
      </w:r>
      <w:r w:rsidR="007D77DD" w:rsidRPr="00754A1D">
        <w:rPr>
          <w:rFonts w:ascii="Times New Roman" w:hAnsi="Times New Roman" w:cs="Times New Roman"/>
          <w:bCs/>
          <w:sz w:val="24"/>
          <w:szCs w:val="24"/>
          <w:lang w:val="en-US"/>
        </w:rPr>
        <w:t>has also been shown</w:t>
      </w:r>
      <w:r w:rsidR="00BB39B1" w:rsidRPr="00754A1D">
        <w:rPr>
          <w:rFonts w:ascii="Times New Roman" w:hAnsi="Times New Roman" w:cs="Times New Roman"/>
          <w:bCs/>
          <w:sz w:val="24"/>
          <w:szCs w:val="24"/>
          <w:lang w:val="en-US"/>
        </w:rPr>
        <w:t xml:space="preserve"> </w:t>
      </w:r>
      <w:r w:rsidR="004C17F2" w:rsidRPr="00754A1D">
        <w:rPr>
          <w:rFonts w:ascii="Times New Roman" w:hAnsi="Times New Roman" w:cs="Times New Roman"/>
          <w:bCs/>
          <w:sz w:val="24"/>
          <w:szCs w:val="24"/>
          <w:lang w:val="en-US"/>
        </w:rPr>
        <w:t xml:space="preserve">to be </w:t>
      </w:r>
      <w:r w:rsidR="00BB39B1" w:rsidRPr="00754A1D">
        <w:rPr>
          <w:rFonts w:ascii="Times New Roman" w:hAnsi="Times New Roman" w:cs="Times New Roman"/>
          <w:bCs/>
          <w:sz w:val="24"/>
          <w:szCs w:val="24"/>
          <w:lang w:val="en-US"/>
        </w:rPr>
        <w:t xml:space="preserve">upregulated. This protein </w:t>
      </w:r>
      <w:r w:rsidR="00F26880" w:rsidRPr="00754A1D">
        <w:rPr>
          <w:rFonts w:ascii="Times New Roman" w:hAnsi="Times New Roman" w:cs="Times New Roman"/>
          <w:bCs/>
          <w:sz w:val="24"/>
          <w:szCs w:val="24"/>
          <w:lang w:val="en-US"/>
        </w:rPr>
        <w:t>is expressed</w:t>
      </w:r>
      <w:r w:rsidR="00BB39B1" w:rsidRPr="00754A1D">
        <w:rPr>
          <w:rFonts w:ascii="Times New Roman" w:hAnsi="Times New Roman" w:cs="Times New Roman"/>
          <w:bCs/>
          <w:sz w:val="24"/>
          <w:szCs w:val="24"/>
          <w:lang w:val="en-US"/>
        </w:rPr>
        <w:t xml:space="preserve"> </w:t>
      </w:r>
      <w:r w:rsidR="00F26880" w:rsidRPr="00754A1D">
        <w:rPr>
          <w:rFonts w:ascii="Times New Roman" w:hAnsi="Times New Roman" w:cs="Times New Roman"/>
          <w:bCs/>
          <w:sz w:val="24"/>
          <w:szCs w:val="24"/>
          <w:lang w:val="en-US"/>
        </w:rPr>
        <w:t xml:space="preserve">by </w:t>
      </w:r>
      <w:proofErr w:type="spellStart"/>
      <w:r w:rsidRPr="00754A1D">
        <w:rPr>
          <w:rFonts w:ascii="Times New Roman" w:hAnsi="Times New Roman" w:cs="Times New Roman"/>
          <w:bCs/>
          <w:i/>
          <w:sz w:val="24"/>
          <w:szCs w:val="24"/>
          <w:lang w:val="en-US"/>
        </w:rPr>
        <w:t>Sodalis</w:t>
      </w:r>
      <w:proofErr w:type="spellEnd"/>
      <w:r w:rsidRPr="00754A1D">
        <w:rPr>
          <w:rFonts w:ascii="Times New Roman" w:hAnsi="Times New Roman" w:cs="Times New Roman"/>
          <w:bCs/>
          <w:i/>
          <w:sz w:val="24"/>
          <w:szCs w:val="24"/>
          <w:lang w:val="en-US"/>
        </w:rPr>
        <w:t xml:space="preserve"> </w:t>
      </w:r>
      <w:proofErr w:type="spellStart"/>
      <w:r w:rsidRPr="00754A1D">
        <w:rPr>
          <w:rFonts w:ascii="Times New Roman" w:hAnsi="Times New Roman" w:cs="Times New Roman"/>
          <w:bCs/>
          <w:i/>
          <w:sz w:val="24"/>
          <w:szCs w:val="24"/>
          <w:lang w:val="en-US"/>
        </w:rPr>
        <w:t>pierantonius</w:t>
      </w:r>
      <w:proofErr w:type="spellEnd"/>
      <w:r w:rsidR="00B85705" w:rsidRPr="00754A1D">
        <w:rPr>
          <w:rFonts w:ascii="Times New Roman" w:hAnsi="Times New Roman" w:cs="Times New Roman"/>
          <w:bCs/>
          <w:sz w:val="24"/>
          <w:szCs w:val="24"/>
          <w:lang w:val="en-US"/>
        </w:rPr>
        <w:t xml:space="preserve">, </w:t>
      </w:r>
      <w:r w:rsidR="007D2EEC" w:rsidRPr="00754A1D">
        <w:rPr>
          <w:rFonts w:ascii="Times New Roman" w:hAnsi="Times New Roman" w:cs="Times New Roman"/>
          <w:bCs/>
          <w:sz w:val="24"/>
          <w:szCs w:val="24"/>
          <w:lang w:val="en-US"/>
        </w:rPr>
        <w:t xml:space="preserve">the obligate endosymbiont of weevils. This bacterial associate </w:t>
      </w:r>
      <w:r w:rsidRPr="00754A1D">
        <w:rPr>
          <w:rFonts w:ascii="Times New Roman" w:hAnsi="Times New Roman" w:cs="Times New Roman"/>
          <w:bCs/>
          <w:sz w:val="24"/>
          <w:szCs w:val="24"/>
          <w:lang w:val="en-US"/>
        </w:rPr>
        <w:t>provide</w:t>
      </w:r>
      <w:r w:rsidR="00B85705" w:rsidRPr="00754A1D">
        <w:rPr>
          <w:rFonts w:ascii="Times New Roman" w:hAnsi="Times New Roman" w:cs="Times New Roman"/>
          <w:bCs/>
          <w:sz w:val="24"/>
          <w:szCs w:val="24"/>
          <w:lang w:val="en-US"/>
        </w:rPr>
        <w:t>s</w:t>
      </w:r>
      <w:r w:rsidRPr="00754A1D">
        <w:rPr>
          <w:rFonts w:ascii="Times New Roman" w:hAnsi="Times New Roman" w:cs="Times New Roman"/>
          <w:bCs/>
          <w:sz w:val="24"/>
          <w:szCs w:val="24"/>
          <w:lang w:val="en-US"/>
        </w:rPr>
        <w:t xml:space="preserve"> the insect with many </w:t>
      </w:r>
      <w:r w:rsidR="004E457C" w:rsidRPr="00754A1D">
        <w:rPr>
          <w:rFonts w:ascii="Times New Roman" w:hAnsi="Times New Roman" w:cs="Times New Roman"/>
          <w:bCs/>
          <w:sz w:val="24"/>
          <w:szCs w:val="24"/>
          <w:lang w:val="en-US"/>
        </w:rPr>
        <w:t>nutrients</w:t>
      </w:r>
      <w:r w:rsidRPr="00754A1D">
        <w:rPr>
          <w:rFonts w:ascii="Times New Roman" w:hAnsi="Times New Roman" w:cs="Times New Roman"/>
          <w:bCs/>
          <w:sz w:val="24"/>
          <w:szCs w:val="24"/>
          <w:lang w:val="en-US"/>
        </w:rPr>
        <w:t xml:space="preserve"> that are poorly </w:t>
      </w:r>
      <w:r w:rsidR="009F179B" w:rsidRPr="00754A1D">
        <w:rPr>
          <w:rFonts w:ascii="Times New Roman" w:hAnsi="Times New Roman" w:cs="Times New Roman"/>
          <w:bCs/>
          <w:sz w:val="24"/>
          <w:szCs w:val="24"/>
          <w:lang w:val="en-US"/>
        </w:rPr>
        <w:t>present</w:t>
      </w:r>
      <w:r w:rsidRPr="00754A1D">
        <w:rPr>
          <w:rFonts w:ascii="Times New Roman" w:hAnsi="Times New Roman" w:cs="Times New Roman"/>
          <w:bCs/>
          <w:sz w:val="24"/>
          <w:szCs w:val="24"/>
          <w:lang w:val="en-US"/>
        </w:rPr>
        <w:t xml:space="preserve"> in wheat grains</w:t>
      </w:r>
      <w:r w:rsidR="007D77DD" w:rsidRPr="00754A1D">
        <w:rPr>
          <w:rFonts w:ascii="Times New Roman" w:hAnsi="Times New Roman" w:cs="Times New Roman"/>
          <w:bCs/>
          <w:sz w:val="24"/>
          <w:szCs w:val="24"/>
          <w:lang w:val="en-US"/>
        </w:rPr>
        <w:t>,</w:t>
      </w:r>
      <w:r w:rsidRPr="00754A1D">
        <w:rPr>
          <w:rFonts w:ascii="Times New Roman" w:hAnsi="Times New Roman" w:cs="Times New Roman"/>
          <w:bCs/>
          <w:sz w:val="24"/>
          <w:szCs w:val="24"/>
          <w:lang w:val="en-US"/>
        </w:rPr>
        <w:t xml:space="preserve"> including </w:t>
      </w:r>
      <w:r w:rsidR="004C17F2" w:rsidRPr="00754A1D">
        <w:rPr>
          <w:rFonts w:ascii="Times New Roman" w:hAnsi="Times New Roman" w:cs="Times New Roman"/>
          <w:bCs/>
          <w:sz w:val="24"/>
          <w:szCs w:val="24"/>
          <w:lang w:val="en-US"/>
        </w:rPr>
        <w:t xml:space="preserve">the amino acids </w:t>
      </w:r>
      <w:r w:rsidRPr="00754A1D">
        <w:rPr>
          <w:rFonts w:ascii="Times New Roman" w:hAnsi="Times New Roman" w:cs="Times New Roman"/>
          <w:bCs/>
          <w:sz w:val="24"/>
          <w:szCs w:val="24"/>
          <w:lang w:val="en-US"/>
        </w:rPr>
        <w:t>tyrosine</w:t>
      </w:r>
      <w:r w:rsidR="00B85705" w:rsidRPr="00754A1D">
        <w:rPr>
          <w:rFonts w:ascii="Times New Roman" w:hAnsi="Times New Roman" w:cs="Times New Roman"/>
          <w:bCs/>
          <w:sz w:val="24"/>
          <w:szCs w:val="24"/>
          <w:lang w:val="en-US"/>
        </w:rPr>
        <w:t xml:space="preserve"> and phenylalanine</w:t>
      </w:r>
      <w:r w:rsidR="007D2EEC" w:rsidRPr="00754A1D">
        <w:rPr>
          <w:rFonts w:ascii="Times New Roman" w:hAnsi="Times New Roman" w:cs="Times New Roman"/>
          <w:bCs/>
          <w:sz w:val="24"/>
          <w:szCs w:val="24"/>
          <w:lang w:val="en-US"/>
        </w:rPr>
        <w:t xml:space="preserve"> which are </w:t>
      </w:r>
      <w:r w:rsidR="00B85705" w:rsidRPr="00754A1D">
        <w:rPr>
          <w:rFonts w:ascii="Times New Roman" w:hAnsi="Times New Roman" w:cs="Times New Roman"/>
          <w:bCs/>
          <w:sz w:val="24"/>
          <w:szCs w:val="24"/>
          <w:lang w:val="en-US"/>
        </w:rPr>
        <w:t xml:space="preserve">precursors of </w:t>
      </w:r>
      <w:proofErr w:type="spellStart"/>
      <w:r w:rsidR="00F26880" w:rsidRPr="00754A1D">
        <w:rPr>
          <w:rFonts w:ascii="Times New Roman" w:hAnsi="Times New Roman" w:cs="Times New Roman"/>
          <w:bCs/>
          <w:sz w:val="24"/>
          <w:szCs w:val="24"/>
          <w:lang w:val="en-US"/>
        </w:rPr>
        <w:t>dihydroxyphenylalanine</w:t>
      </w:r>
      <w:proofErr w:type="spellEnd"/>
      <w:r w:rsidR="00F26880" w:rsidRPr="00754A1D">
        <w:rPr>
          <w:rFonts w:ascii="Times New Roman" w:hAnsi="Times New Roman" w:cs="Times New Roman"/>
          <w:bCs/>
          <w:sz w:val="24"/>
          <w:szCs w:val="24"/>
          <w:lang w:val="en-US"/>
        </w:rPr>
        <w:t xml:space="preserve"> (DOPA), </w:t>
      </w:r>
      <w:r w:rsidR="007D77DD" w:rsidRPr="00754A1D">
        <w:rPr>
          <w:rFonts w:ascii="Times New Roman" w:hAnsi="Times New Roman" w:cs="Times New Roman"/>
          <w:bCs/>
          <w:sz w:val="24"/>
          <w:szCs w:val="24"/>
          <w:lang w:val="en-US"/>
        </w:rPr>
        <w:t xml:space="preserve">itself </w:t>
      </w:r>
      <w:r w:rsidR="009F179B" w:rsidRPr="00754A1D">
        <w:rPr>
          <w:rFonts w:ascii="Times New Roman" w:hAnsi="Times New Roman" w:cs="Times New Roman"/>
          <w:bCs/>
          <w:sz w:val="24"/>
          <w:szCs w:val="24"/>
          <w:lang w:val="en-US"/>
        </w:rPr>
        <w:t>a precursor</w:t>
      </w:r>
      <w:r w:rsidR="00B85705" w:rsidRPr="00754A1D">
        <w:rPr>
          <w:rFonts w:ascii="Times New Roman" w:hAnsi="Times New Roman" w:cs="Times New Roman"/>
          <w:bCs/>
          <w:sz w:val="24"/>
          <w:szCs w:val="24"/>
          <w:lang w:val="en-US"/>
        </w:rPr>
        <w:t xml:space="preserve"> </w:t>
      </w:r>
      <w:r w:rsidR="007D77DD" w:rsidRPr="00754A1D">
        <w:rPr>
          <w:rFonts w:ascii="Times New Roman" w:hAnsi="Times New Roman" w:cs="Times New Roman"/>
          <w:bCs/>
          <w:sz w:val="24"/>
          <w:szCs w:val="24"/>
          <w:lang w:val="en-US"/>
        </w:rPr>
        <w:t>in</w:t>
      </w:r>
      <w:r w:rsidR="00B85705" w:rsidRPr="00754A1D">
        <w:rPr>
          <w:rFonts w:ascii="Times New Roman" w:hAnsi="Times New Roman" w:cs="Times New Roman"/>
          <w:bCs/>
          <w:sz w:val="24"/>
          <w:szCs w:val="24"/>
          <w:lang w:val="en-US"/>
        </w:rPr>
        <w:t xml:space="preserve"> the </w:t>
      </w:r>
      <w:r w:rsidR="00871AF7" w:rsidRPr="00754A1D">
        <w:rPr>
          <w:rFonts w:ascii="Times New Roman" w:hAnsi="Times New Roman" w:cs="Times New Roman"/>
          <w:bCs/>
          <w:sz w:val="24"/>
          <w:szCs w:val="24"/>
          <w:lang w:val="en-US"/>
        </w:rPr>
        <w:t xml:space="preserve">synthesis of the </w:t>
      </w:r>
      <w:r w:rsidR="00B85705" w:rsidRPr="00754A1D">
        <w:rPr>
          <w:rFonts w:ascii="Times New Roman" w:hAnsi="Times New Roman" w:cs="Times New Roman"/>
          <w:bCs/>
          <w:sz w:val="24"/>
          <w:szCs w:val="24"/>
          <w:lang w:val="en-US"/>
        </w:rPr>
        <w:t xml:space="preserve">cuticle </w:t>
      </w:r>
      <w:r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{"citationID":"yuLQZUXU","properties":{"formattedCitation":"(Andersen 2012; Vigneron et al. 2014; Hirota et al. 2017; Dale 2017)","plainCitation":"(Andersen 2012; Vigneron et al. 2014; Hirota et al. 2017; Dale 2017)","noteIndex":0},"citationItems":[{"id":2278,"uris":["http://zotero.org/users/local/QcSA6amT/items/QJMSHX2Q"],"uri":["http://zotero.org/users/local/QcSA6amT/items/QJMSHX2Q"],"itemData":{"id":2278,"type":"chapter","abstract":"This chapter discusses the cuticular sclerotization and tanning. The cuticle covers the insect body as an effective barrier between the animal and its surroundings; it provides protection against desiccation, microorganisms, and predators, and as an exoskeleton it provides attachment sites for muscles. Cuticle can occur as relatively hard and stiff regions, the sclerites, separated by more flexible and pliable cuticular regions, the arthrodial membranes, which make the various forms of locomotion possible. Cuticular sclerotization is a chemical process by which certain regions of the insect cuticle are transformed irreversibly from a pliant material into a stiffer and harder structure, characterized by decreased deformability, decreased extractability of the matrix proteins, and increased resistance to enzymatic degradation. During sclerotization the color of the cuticle may change; some cuticles remain nearly colorless, and some become lighter or darker shades of brown or black. The term “tanning” is often used synonymously with sclerotization, but sometimes it is specifically used for the processes whereby brownish (tan) cuticles are formed.","container-title":"Insect Molecular Biology and Biochemistry","event-place":"San Diego","ISBN":"978-0-12-384747-8","language":"en","note":"DOI: 10.1016/B978-0-12-384747-8.10006-6","page":"167-192","publisher":"Academic Press","publisher-place":"San Diego","source":"ScienceDirect","title":"6 - Cuticular Sclerotization and Tanning","URL":"http://www.sciencedirect.com/science/article/pii/B9780123847478100066","author":[{"family":"Andersen","given":"Svend O."}],"editor":[{"family":"Gilbert","given":"Lawrence I."}],"accessed":{"date-parts":[["2020",3,22]]},"issued":{"date-parts":[["2012",1,1]]}}},{"id":295,"uris":["http://zotero.org/users/local/QcSA6amT/items/26S6T3LL"],"uri":["http://zotero.org/users/local/QcSA6amT/items/26S6T3LL"],"itemData":{"id":295,"type":"article-journal","abstract":"Summary\nSymbiotic associations are widespread in nature and represent a driving force in evolution. They are known to impact fitness, and thereby shape the host phenotype [1, 2, 3, 4]. Insects subsisting on nutritionally poor substrates have evolved mutualistic relationships with intracellular symbiotic bacteria (endosymbionts) that supply them with metabolic components lacking in their diet [5, 6, 7, 8, 9, 10]. In many species, endosymbionts are hosted within specialized host cells, called the bacteriocytes, and transmitted vertically across host generations [11]. How hosts balance the costs and benefits of having endosymbionts, and whether and how they adjust symbiont load to their physiological needs, remains largely unexplored. By investigating the cereal weevil Sitophilus association with the Sodalis pierantonius endosymbiont [8, 12], we discover that endosymbiont populations intensively multiply in young adults, before being rapidly eliminated within few days. We show that young adults strongly depend on endosymbionts and that endosymbiont proliferation after metamorphosis matches a drastic host physiological need for the tyrosine (Tyr) and phenylalanine (Phe) amino acids to rapidly build their protective exoskeleton. Tyr and Phe are precursors of the dihydroxyphenylalanine (DOPA) molecule that is an essential component for the cuticle synthesis. Once the cuticle is achieved, DOPA reaches high amounts in insects, which triggers endosymbiont elimination. This elimination relies on apoptosis and autophagy activation, allowing digestion and recycling of the endosymbiont material. Thus, the weevil-endosymbiont association reveals an adaptive interplay between metabolic and cellular functions that minimizes the cost of symbiosis and speeds up the exoskeleton formation during a critical phase when emerging adults are especially vulnerable.","container-title":"Current Biology","DOI":"10.1016/j.cub.2014.07.065","ISSN":"0960-9822","issue":"19","journalAbbreviation":"Current Biology","page":"2267-2273","source":"ScienceDirect","title":"Insects Recycle Endosymbionts when the Benefit Is Over","volume":"24","author":[{"family":"Vigneron","given":"Aurélien"},{"family":"Masson","given":"Florent"},{"family":"Vallier","given":"Agnès"},{"family":"Balmand","given":"Séverine"},{"family":"Rey","given":"Marjolaine"},{"family":"Vincent-Monégat","given":"Carole"},{"family":"Aksoy","given":"Emre"},{"family":"Aubailly-Giraud","given":"Etienne"},{"family":"Zaidman-Rémy","given":"Anna"},{"family":"Heddi","given":"Abdelaziz"}],"issued":{"date-parts":[["2014",10,6]]}}},{"id":257,"uris":["http://zotero.org/users/local/QcSA6amT/items/XR3JS7IB"],"uri":["http://zotero.org/users/local/QcSA6amT/items/XR3JS7IB"],"itemData":{"id":257,"type":"article-journal","abstract":"The saw-toothed grain beetle, Oryzaephilus surinamensis (Silvanidae), is a cosmopolitan stored-product pest. Early studies on O. surinamensis in the 1930s described the presence of peculiar bacteriomes harboring endosymbiotic bacteria in the abdomen. Since then, however, the microbiological nature of the symbiont has been elusive. Here we investigated the endosymbiotic system of O. surinamensis in detail. In the abdomen of adults, pupae, and larvae, four oval bacteriomes were consistently identified, whose cytoplasm was full of extremely elongated tubular bacterial cells several micrometers wide and several hundred micrometers long. Molecular phylogenetic analysis identified the symbiont as a member of the Bacteroidetes, in which the symbiont was the most closely related to the endosymbiont of a grain pest beetle, Rhyzopertha dominica (Bostrichidae). The symbiont was detected in developing embryos, corroborating vertical symbiont transmission through host generations. The symbiont gene showed AT-biased nucleotide composition and accelerated molecular evolution, plausibly reflecting degenerative evolution of the symbiont genome. When the symbiont infection was experimentally removed, the aposymbiotic insects grew and reproduced normally, but exhibited a slightly but significantly more reddish cuticle and lighter body mass. These results indicate that the symbiont of O. surinamensis is not essential for the host’s growth and reproduction but contributes to the host’s cuticle formation. Symbiont genome sequencing and detailed comparison of fitness parameters between symbiotic and aposymbiotic insects under various environmental conditions will provide further insights into the symbiont’s biological roles for the stored-product pest.\nIMPORTANCE Some beetles notorious as stored-product pests possess well-developed symbiotic organs called bacteriomes for harboring specific symbiotic bacteria, although their biological roles have been poorly understood. Here we report a peculiar endosymbiotic system of a grain pest beetle, Oryzaephilus surinamensis, in which four oval bacteriomes in the abdomen are full of extremely elongated tubular bacterial cells. Experimental symbiont elimination did not hinder the host’s growth and reproduction, but resulted in emergence of reddish beetles, uncovering the symbiont’s involvement in host’s cuticle formation. We speculate that the extremely elongated symbiont cell morphology might be due to the degenerative symbiont genome deficient in bacterial cell division and/or cell wall formation, which highlights an evolutionary consequence of intimate host-symbiont coevolution.","container-title":"mBio","DOI":"10.1128/mBio.01482-17","ISSN":"2150-7511","issue":"5","language":"en","note":"PMID: 28951480","page":"e01482-17","source":"mbio.asm.org","title":"A Novel, Extremely Elongated, and Endocellular Bacterial Symbiont Supports Cuticle Formation of a Grain Pest Beetle","volume":"8","author":[{"family":"Hirota","given":"Bin"},{"family":"Okude","given":"Genta"},{"family":"Anbutsu","given":"Hisashi"},{"family":"Futahashi","given":"Ryo"},{"family":"Moriyama","given":"Minoru"},{"family":"Meng","given":"Xian-Ying"},{"family":"Nikoh","given":"Naruo"},{"family":"Koga","given":"Ryuichi"},{"family":"Fukatsu","given":"Takema"}],"issued":{"date-parts":[["2017",11,8]]}}},{"id":2277,"uris":["http://zotero.org/users/local/QcSA6amT/items/FRQSUGW4"],"uri":["http://zotero.org/users/local/QcSA6amT/items/FRQSUGW4"],"itemData":{"id":2277,"type":"article-journal","abstract":"Weevils, which represent one of the most diverse groups of terrestrial insects in nature, obtain a tough exoskeleton through the activity of an ancient bacterial symbiont with a tiny genome that serves as a factory for the production of tyrosine.","container-title":"Current Biology","DOI":"10.1016/j.cub.2017.10.031","ISSN":"0960-9822","issue":"23","journalAbbreviation":"Current Biology","language":"en","page":"R1282-R1284","source":"ScienceDirect","title":"Evolution: Weevils Get Tough on Symbiotic Tyrosine","title-short":"Evolution","volume":"27","author":[{"family":"Dale","given":"Colin"}],"issued":{"date-parts":[["2017",12,4]]}}}],"schema":"https://github.com/citation-style-language/schema/raw/master/csl-citation.json"} </w:instrText>
      </w:r>
      <w:r w:rsidRPr="00754A1D">
        <w:rPr>
          <w:rFonts w:ascii="Times New Roman" w:hAnsi="Times New Roman" w:cs="Times New Roman"/>
          <w:bCs/>
          <w:sz w:val="24"/>
          <w:szCs w:val="24"/>
          <w:lang w:val="en-US"/>
        </w:rPr>
        <w:fldChar w:fldCharType="separate"/>
      </w:r>
      <w:r w:rsidRPr="00754A1D">
        <w:rPr>
          <w:rFonts w:ascii="Times New Roman" w:hAnsi="Times New Roman" w:cs="Times New Roman"/>
          <w:sz w:val="24"/>
          <w:lang w:val="en-US"/>
        </w:rPr>
        <w:t>(Andersen 2012; Vigneron et al. 2014; Hirota et al. 2017; Dale 2017)</w:t>
      </w:r>
      <w:r w:rsidRPr="00754A1D">
        <w:rPr>
          <w:rFonts w:ascii="Times New Roman" w:hAnsi="Times New Roman" w:cs="Times New Roman"/>
          <w:bCs/>
          <w:sz w:val="24"/>
          <w:szCs w:val="24"/>
          <w:lang w:val="en-US"/>
        </w:rPr>
        <w:fldChar w:fldCharType="end"/>
      </w:r>
      <w:r w:rsidRPr="00754A1D">
        <w:rPr>
          <w:rFonts w:ascii="Times New Roman" w:hAnsi="Times New Roman" w:cs="Times New Roman"/>
          <w:bCs/>
          <w:sz w:val="24"/>
          <w:szCs w:val="24"/>
          <w:lang w:val="en-US"/>
        </w:rPr>
        <w:t xml:space="preserve">. </w:t>
      </w:r>
      <w:r w:rsidR="009F179B" w:rsidRPr="00754A1D">
        <w:rPr>
          <w:rFonts w:ascii="Times New Roman" w:hAnsi="Times New Roman" w:cs="Times New Roman"/>
          <w:bCs/>
          <w:sz w:val="24"/>
          <w:szCs w:val="24"/>
          <w:lang w:val="en-US"/>
        </w:rPr>
        <w:t xml:space="preserve">The proliferation of </w:t>
      </w:r>
      <w:r w:rsidR="00871AF7" w:rsidRPr="00754A1D">
        <w:rPr>
          <w:rFonts w:ascii="Times New Roman" w:hAnsi="Times New Roman" w:cs="Times New Roman"/>
          <w:bCs/>
          <w:i/>
          <w:sz w:val="24"/>
          <w:szCs w:val="24"/>
          <w:lang w:val="en-US"/>
        </w:rPr>
        <w:t xml:space="preserve">S. </w:t>
      </w:r>
      <w:proofErr w:type="spellStart"/>
      <w:r w:rsidR="00871AF7" w:rsidRPr="00754A1D">
        <w:rPr>
          <w:rFonts w:ascii="Times New Roman" w:hAnsi="Times New Roman" w:cs="Times New Roman"/>
          <w:bCs/>
          <w:i/>
          <w:sz w:val="24"/>
          <w:szCs w:val="24"/>
          <w:lang w:val="en-US"/>
        </w:rPr>
        <w:t>pierantonius</w:t>
      </w:r>
      <w:proofErr w:type="spellEnd"/>
      <w:r w:rsidR="00B85705" w:rsidRPr="00754A1D">
        <w:rPr>
          <w:rFonts w:ascii="Times New Roman" w:hAnsi="Times New Roman" w:cs="Times New Roman"/>
          <w:bCs/>
          <w:sz w:val="24"/>
          <w:szCs w:val="24"/>
          <w:lang w:val="en-US"/>
        </w:rPr>
        <w:t xml:space="preserve"> after </w:t>
      </w:r>
      <w:r w:rsidR="009F179B" w:rsidRPr="00754A1D">
        <w:rPr>
          <w:rFonts w:ascii="Times New Roman" w:hAnsi="Times New Roman" w:cs="Times New Roman"/>
          <w:bCs/>
          <w:sz w:val="24"/>
          <w:szCs w:val="24"/>
          <w:lang w:val="en-US"/>
        </w:rPr>
        <w:t xml:space="preserve">weevil </w:t>
      </w:r>
      <w:r w:rsidR="00B85705" w:rsidRPr="00754A1D">
        <w:rPr>
          <w:rFonts w:ascii="Times New Roman" w:hAnsi="Times New Roman" w:cs="Times New Roman"/>
          <w:bCs/>
          <w:sz w:val="24"/>
          <w:szCs w:val="24"/>
          <w:lang w:val="en-US"/>
        </w:rPr>
        <w:t xml:space="preserve">metamorphosis </w:t>
      </w:r>
      <w:r w:rsidR="00871AF7" w:rsidRPr="00754A1D">
        <w:rPr>
          <w:rFonts w:ascii="Times New Roman" w:hAnsi="Times New Roman" w:cs="Times New Roman"/>
          <w:bCs/>
          <w:sz w:val="24"/>
          <w:szCs w:val="24"/>
          <w:lang w:val="en-US"/>
        </w:rPr>
        <w:t>correspond</w:t>
      </w:r>
      <w:r w:rsidR="009F179B" w:rsidRPr="00754A1D">
        <w:rPr>
          <w:rFonts w:ascii="Times New Roman" w:hAnsi="Times New Roman" w:cs="Times New Roman"/>
          <w:bCs/>
          <w:sz w:val="24"/>
          <w:szCs w:val="24"/>
          <w:lang w:val="en-US"/>
        </w:rPr>
        <w:t>s</w:t>
      </w:r>
      <w:r w:rsidR="00871AF7" w:rsidRPr="00754A1D">
        <w:rPr>
          <w:rFonts w:ascii="Times New Roman" w:hAnsi="Times New Roman" w:cs="Times New Roman"/>
          <w:bCs/>
          <w:sz w:val="24"/>
          <w:szCs w:val="24"/>
          <w:lang w:val="en-US"/>
        </w:rPr>
        <w:t xml:space="preserve"> to a </w:t>
      </w:r>
      <w:r w:rsidR="00B85705" w:rsidRPr="00754A1D">
        <w:rPr>
          <w:rFonts w:ascii="Times New Roman" w:hAnsi="Times New Roman" w:cs="Times New Roman"/>
          <w:bCs/>
          <w:sz w:val="24"/>
          <w:szCs w:val="24"/>
          <w:lang w:val="en-US"/>
        </w:rPr>
        <w:t xml:space="preserve">drastic </w:t>
      </w:r>
      <w:r w:rsidR="007D77DD" w:rsidRPr="00754A1D">
        <w:rPr>
          <w:rFonts w:ascii="Times New Roman" w:hAnsi="Times New Roman" w:cs="Times New Roman"/>
          <w:bCs/>
          <w:sz w:val="24"/>
          <w:szCs w:val="24"/>
          <w:lang w:val="en-US"/>
        </w:rPr>
        <w:t xml:space="preserve">physiological need of the host </w:t>
      </w:r>
      <w:r w:rsidR="00B85705" w:rsidRPr="00754A1D">
        <w:rPr>
          <w:rFonts w:ascii="Times New Roman" w:hAnsi="Times New Roman" w:cs="Times New Roman"/>
          <w:bCs/>
          <w:sz w:val="24"/>
          <w:szCs w:val="24"/>
          <w:lang w:val="en-US"/>
        </w:rPr>
        <w:t xml:space="preserve">for the </w:t>
      </w:r>
      <w:r w:rsidR="009F179B" w:rsidRPr="00754A1D">
        <w:rPr>
          <w:rFonts w:ascii="Times New Roman" w:hAnsi="Times New Roman" w:cs="Times New Roman"/>
          <w:bCs/>
          <w:sz w:val="24"/>
          <w:szCs w:val="24"/>
          <w:lang w:val="en-US"/>
        </w:rPr>
        <w:t xml:space="preserve">amino acids </w:t>
      </w:r>
      <w:r w:rsidR="00B85705" w:rsidRPr="00754A1D">
        <w:rPr>
          <w:rFonts w:ascii="Times New Roman" w:hAnsi="Times New Roman" w:cs="Times New Roman"/>
          <w:bCs/>
          <w:sz w:val="24"/>
          <w:szCs w:val="24"/>
          <w:lang w:val="en-US"/>
        </w:rPr>
        <w:t>tyrosine and phenylalanine</w:t>
      </w:r>
      <w:r w:rsidR="007D77DD" w:rsidRPr="00754A1D">
        <w:rPr>
          <w:rFonts w:ascii="Times New Roman" w:hAnsi="Times New Roman" w:cs="Times New Roman"/>
          <w:bCs/>
          <w:sz w:val="24"/>
          <w:szCs w:val="24"/>
          <w:lang w:val="en-US"/>
        </w:rPr>
        <w:t>, necessary</w:t>
      </w:r>
      <w:r w:rsidR="00B85705" w:rsidRPr="00754A1D">
        <w:rPr>
          <w:rFonts w:ascii="Times New Roman" w:hAnsi="Times New Roman" w:cs="Times New Roman"/>
          <w:bCs/>
          <w:sz w:val="24"/>
          <w:szCs w:val="24"/>
          <w:lang w:val="en-US"/>
        </w:rPr>
        <w:t xml:space="preserve"> </w:t>
      </w:r>
      <w:r w:rsidR="009F179B" w:rsidRPr="00754A1D">
        <w:rPr>
          <w:rFonts w:ascii="Times New Roman" w:hAnsi="Times New Roman" w:cs="Times New Roman"/>
          <w:bCs/>
          <w:sz w:val="24"/>
          <w:szCs w:val="24"/>
          <w:lang w:val="en-US"/>
        </w:rPr>
        <w:t xml:space="preserve">for the development of </w:t>
      </w:r>
      <w:r w:rsidR="007D77DD" w:rsidRPr="00754A1D">
        <w:rPr>
          <w:rFonts w:ascii="Times New Roman" w:hAnsi="Times New Roman" w:cs="Times New Roman"/>
          <w:bCs/>
          <w:sz w:val="24"/>
          <w:szCs w:val="24"/>
          <w:lang w:val="en-US"/>
        </w:rPr>
        <w:t>its</w:t>
      </w:r>
      <w:r w:rsidR="009F179B" w:rsidRPr="00754A1D">
        <w:rPr>
          <w:rFonts w:ascii="Times New Roman" w:hAnsi="Times New Roman" w:cs="Times New Roman"/>
          <w:bCs/>
          <w:sz w:val="24"/>
          <w:szCs w:val="24"/>
          <w:lang w:val="en-US"/>
        </w:rPr>
        <w:t xml:space="preserve"> protective exoskeleton during the first two weeks of adulthood </w:t>
      </w:r>
      <w:r w:rsidR="00F26880" w:rsidRPr="00754A1D">
        <w:rPr>
          <w:rFonts w:ascii="Times New Roman" w:hAnsi="Times New Roman" w:cs="Times New Roman"/>
          <w:bCs/>
          <w:sz w:val="24"/>
          <w:szCs w:val="24"/>
          <w:lang w:val="en-US"/>
        </w:rPr>
        <w:fldChar w:fldCharType="begin"/>
      </w:r>
      <w:r w:rsidR="009364F5" w:rsidRPr="00754A1D">
        <w:rPr>
          <w:rFonts w:ascii="Times New Roman" w:hAnsi="Times New Roman" w:cs="Times New Roman"/>
          <w:bCs/>
          <w:sz w:val="24"/>
          <w:szCs w:val="24"/>
          <w:lang w:val="en-US"/>
        </w:rPr>
        <w:instrText xml:space="preserve"> ADDIN ZOTERO_ITEM CSL_CITATION {"citationID":"EnaJzw82","properties":{"formattedCitation":"(Vigneron et al. 2014)","plainCitation":"(Vigneron et al. 2014)","noteIndex":0},"citationItems":[{"id":295,"uris":["http://zotero.org/users/local/QcSA6amT/items/26S6T3LL"],"uri":["http://zotero.org/users/local/QcSA6amT/items/26S6T3LL"],"itemData":{"id":295,"type":"article-journal","abstract":"Summary\nSymbiotic associations are widespread in nature and represent a driving force in evolution. They are known to impact fitness, and thereby shape the host phenotype [1, 2, 3, 4]. Insects subsisting on nutritionally poor substrates have evolved mutualistic relationships with intracellular symbiotic bacteria (endosymbionts) that supply them with metabolic components lacking in their diet [5, 6, 7, 8, 9, 10]. In many species, endosymbionts are hosted within specialized host cells, called the bacteriocytes, and transmitted vertically across host generations [11]. How hosts balance the costs and benefits of having endosymbionts, and whether and how they adjust symbiont load to their physiological needs, remains largely unexplored. By investigating the cereal weevil Sitophilus association with the Sodalis pierantonius endosymbiont [8, 12], we discover that endosymbiont populations intensively multiply in young adults, before being rapidly eliminated within few days. We show that young adults strongly depend on endosymbionts and that endosymbiont proliferation after metamorphosis matches a drastic host physiological need for the tyrosine (Tyr) and phenylalanine (Phe) amino acids to rapidly build their protective exoskeleton. Tyr and Phe are precursors of the dihydroxyphenylalanine (DOPA) molecule that is an essential component for the cuticle synthesis. Once the cuticle is achieved, DOPA reaches high amounts in insects, which triggers endosymbiont elimination. This elimination relies on apoptosis and autophagy activation, allowing digestion and recycling of the endosymbiont material. Thus, the weevil-endosymbiont association reveals an adaptive interplay between metabolic and cellular functions that minimizes the cost of symbiosis and speeds up the exoskeleton formation during a critical phase when emerging adults are especially vulnerable.","container-title":"Current Biology","DOI":"10.1016/j.cub.2014.07.065","ISSN":"0960-9822","issue":"19","journalAbbreviation":"Current Biology","page":"2267-2273","source":"ScienceDirect","title":"Insects Recycle Endosymbionts when the Benefit Is Over","volume":"24","author":[{"family":"Vigneron","given":"Aurélien"},{"family":"Masson","given":"Florent"},{"family":"Vallier","given":"Agnès"},{"family":"Balmand","given":"Séverine"},{"family":"Rey","given":"Marjolaine"},{"family":"Vincent-Monégat","given":"Carole"},{"family":"Aksoy","given":"Emre"},{"family":"Aubailly-Giraud","given":"Etienne"},{"family":"Zaidman-Rémy","given":"Anna"},{"family":"Heddi","given":"Abdelaziz"}],"issued":{"date-parts":[["2014",10,6]]}}}],"schema":"https://github.com/citation-style-language/schema/raw/master/csl-citation.json"} </w:instrText>
      </w:r>
      <w:r w:rsidR="00F26880" w:rsidRPr="00754A1D">
        <w:rPr>
          <w:rFonts w:ascii="Times New Roman" w:hAnsi="Times New Roman" w:cs="Times New Roman"/>
          <w:bCs/>
          <w:sz w:val="24"/>
          <w:szCs w:val="24"/>
          <w:lang w:val="en-US"/>
        </w:rPr>
        <w:fldChar w:fldCharType="separate"/>
      </w:r>
      <w:r w:rsidR="00F26880" w:rsidRPr="00754A1D">
        <w:rPr>
          <w:rFonts w:ascii="Times New Roman" w:hAnsi="Times New Roman" w:cs="Times New Roman"/>
          <w:sz w:val="24"/>
          <w:lang w:val="en-US"/>
        </w:rPr>
        <w:t>(Vigneron et al. 2014)</w:t>
      </w:r>
      <w:r w:rsidR="00F26880" w:rsidRPr="00754A1D">
        <w:rPr>
          <w:rFonts w:ascii="Times New Roman" w:hAnsi="Times New Roman" w:cs="Times New Roman"/>
          <w:bCs/>
          <w:sz w:val="24"/>
          <w:szCs w:val="24"/>
          <w:lang w:val="en-US"/>
        </w:rPr>
        <w:fldChar w:fldCharType="end"/>
      </w:r>
      <w:r w:rsidR="00F26880" w:rsidRPr="00754A1D">
        <w:rPr>
          <w:rFonts w:ascii="Times New Roman" w:hAnsi="Times New Roman" w:cs="Times New Roman"/>
          <w:bCs/>
          <w:sz w:val="24"/>
          <w:szCs w:val="24"/>
          <w:lang w:val="en-US"/>
        </w:rPr>
        <w:t xml:space="preserve">. </w:t>
      </w:r>
      <w:r w:rsidR="007D77DD" w:rsidRPr="00754A1D">
        <w:rPr>
          <w:rFonts w:ascii="Times New Roman" w:hAnsi="Times New Roman" w:cs="Times New Roman"/>
          <w:bCs/>
          <w:sz w:val="24"/>
          <w:szCs w:val="24"/>
          <w:lang w:val="en-US"/>
        </w:rPr>
        <w:t>The u</w:t>
      </w:r>
      <w:r w:rsidR="009F179B" w:rsidRPr="00754A1D">
        <w:rPr>
          <w:rFonts w:ascii="Times New Roman" w:hAnsi="Times New Roman" w:cs="Times New Roman"/>
          <w:bCs/>
          <w:sz w:val="24"/>
          <w:szCs w:val="24"/>
          <w:lang w:val="en-US"/>
        </w:rPr>
        <w:t xml:space="preserve">pregulation of </w:t>
      </w:r>
      <w:proofErr w:type="spellStart"/>
      <w:r w:rsidR="009F179B" w:rsidRPr="00754A1D">
        <w:rPr>
          <w:rFonts w:ascii="Times New Roman" w:hAnsi="Times New Roman" w:cs="Times New Roman"/>
          <w:bCs/>
          <w:sz w:val="24"/>
          <w:szCs w:val="24"/>
          <w:lang w:val="en-US"/>
        </w:rPr>
        <w:t>FlhD</w:t>
      </w:r>
      <w:proofErr w:type="spellEnd"/>
      <w:r w:rsidR="009F179B" w:rsidRPr="00754A1D">
        <w:rPr>
          <w:rFonts w:ascii="Times New Roman" w:hAnsi="Times New Roman" w:cs="Times New Roman"/>
          <w:bCs/>
          <w:sz w:val="24"/>
          <w:szCs w:val="24"/>
          <w:lang w:val="en-US"/>
        </w:rPr>
        <w:t xml:space="preserve"> suggests proliferation of the bacterial symbiont in surviving insects. The upregulation of yellow protein and </w:t>
      </w:r>
      <w:proofErr w:type="spellStart"/>
      <w:r w:rsidR="009F179B" w:rsidRPr="00754A1D">
        <w:rPr>
          <w:rFonts w:ascii="Times New Roman" w:hAnsi="Times New Roman" w:cs="Times New Roman"/>
          <w:bCs/>
          <w:sz w:val="24"/>
          <w:szCs w:val="24"/>
          <w:lang w:val="en-US"/>
        </w:rPr>
        <w:t>FlhD</w:t>
      </w:r>
      <w:proofErr w:type="spellEnd"/>
      <w:r w:rsidR="009F179B" w:rsidRPr="00754A1D">
        <w:rPr>
          <w:rFonts w:ascii="Times New Roman" w:hAnsi="Times New Roman" w:cs="Times New Roman"/>
          <w:bCs/>
          <w:sz w:val="24"/>
          <w:szCs w:val="24"/>
          <w:lang w:val="en-US"/>
        </w:rPr>
        <w:t xml:space="preserve"> suggests that </w:t>
      </w:r>
      <w:r w:rsidR="009F179B" w:rsidRPr="00754A1D">
        <w:rPr>
          <w:rFonts w:ascii="Times New Roman" w:hAnsi="Times New Roman" w:cs="Times New Roman"/>
          <w:bCs/>
          <w:i/>
          <w:sz w:val="24"/>
          <w:szCs w:val="24"/>
          <w:lang w:val="en-US"/>
        </w:rPr>
        <w:t>M. arvensis</w:t>
      </w:r>
      <w:r w:rsidR="009F179B" w:rsidRPr="00754A1D">
        <w:rPr>
          <w:rFonts w:ascii="Times New Roman" w:hAnsi="Times New Roman" w:cs="Times New Roman"/>
          <w:bCs/>
          <w:sz w:val="24"/>
          <w:szCs w:val="24"/>
          <w:lang w:val="en-US"/>
        </w:rPr>
        <w:t xml:space="preserve"> EO altered the cuticular integrity of</w:t>
      </w:r>
      <w:r w:rsidR="00AA137B" w:rsidRPr="00754A1D">
        <w:rPr>
          <w:rFonts w:ascii="Times New Roman" w:hAnsi="Times New Roman" w:cs="Times New Roman"/>
          <w:bCs/>
          <w:sz w:val="24"/>
          <w:szCs w:val="24"/>
          <w:lang w:val="en-US"/>
        </w:rPr>
        <w:t xml:space="preserve"> the</w:t>
      </w:r>
      <w:r w:rsidR="009F179B" w:rsidRPr="00754A1D">
        <w:rPr>
          <w:rFonts w:ascii="Times New Roman" w:hAnsi="Times New Roman" w:cs="Times New Roman"/>
          <w:bCs/>
          <w:sz w:val="24"/>
          <w:szCs w:val="24"/>
          <w:lang w:val="en-US"/>
        </w:rPr>
        <w:t xml:space="preserve"> insects and that </w:t>
      </w:r>
      <w:r w:rsidR="00AA137B" w:rsidRPr="00754A1D">
        <w:rPr>
          <w:rFonts w:ascii="Times New Roman" w:hAnsi="Times New Roman" w:cs="Times New Roman"/>
          <w:bCs/>
          <w:sz w:val="24"/>
          <w:szCs w:val="24"/>
          <w:lang w:val="en-US"/>
        </w:rPr>
        <w:t xml:space="preserve">the </w:t>
      </w:r>
      <w:r w:rsidR="009F179B" w:rsidRPr="00754A1D">
        <w:rPr>
          <w:rFonts w:ascii="Times New Roman" w:hAnsi="Times New Roman" w:cs="Times New Roman"/>
          <w:bCs/>
          <w:sz w:val="24"/>
          <w:szCs w:val="24"/>
          <w:lang w:val="en-US"/>
        </w:rPr>
        <w:t xml:space="preserve">surviving individuals activated mechanisms that promote cuticular sclerotization in order to </w:t>
      </w:r>
      <w:r w:rsidR="00F26880" w:rsidRPr="00754A1D">
        <w:rPr>
          <w:rFonts w:ascii="Times New Roman" w:hAnsi="Times New Roman" w:cs="Times New Roman"/>
          <w:bCs/>
          <w:sz w:val="24"/>
          <w:szCs w:val="24"/>
          <w:lang w:val="en-US"/>
        </w:rPr>
        <w:t xml:space="preserve">rebuild </w:t>
      </w:r>
      <w:r w:rsidR="004C17F2" w:rsidRPr="00754A1D">
        <w:rPr>
          <w:rFonts w:ascii="Times New Roman" w:hAnsi="Times New Roman" w:cs="Times New Roman"/>
          <w:bCs/>
          <w:sz w:val="24"/>
          <w:szCs w:val="24"/>
          <w:lang w:val="en-US"/>
        </w:rPr>
        <w:t xml:space="preserve">their </w:t>
      </w:r>
      <w:r w:rsidR="00871AF7" w:rsidRPr="00754A1D">
        <w:rPr>
          <w:rFonts w:ascii="Times New Roman" w:hAnsi="Times New Roman" w:cs="Times New Roman"/>
          <w:bCs/>
          <w:sz w:val="24"/>
          <w:szCs w:val="24"/>
          <w:lang w:val="en-US"/>
        </w:rPr>
        <w:t>exoskeleton</w:t>
      </w:r>
      <w:r w:rsidR="00F26880" w:rsidRPr="00754A1D">
        <w:rPr>
          <w:rFonts w:ascii="Times New Roman" w:hAnsi="Times New Roman" w:cs="Times New Roman"/>
          <w:bCs/>
          <w:sz w:val="24"/>
          <w:szCs w:val="24"/>
          <w:lang w:val="en-US"/>
        </w:rPr>
        <w:t xml:space="preserve">. </w:t>
      </w:r>
      <w:r w:rsidR="00B85705" w:rsidRPr="00754A1D">
        <w:rPr>
          <w:rFonts w:ascii="Times New Roman" w:hAnsi="Times New Roman" w:cs="Times New Roman"/>
          <w:bCs/>
          <w:sz w:val="24"/>
          <w:szCs w:val="24"/>
          <w:lang w:val="en-US"/>
        </w:rPr>
        <w:t xml:space="preserve">   </w:t>
      </w:r>
      <w:r w:rsidRPr="00754A1D">
        <w:rPr>
          <w:rFonts w:ascii="Times New Roman" w:hAnsi="Times New Roman" w:cs="Times New Roman"/>
          <w:bCs/>
          <w:sz w:val="24"/>
          <w:szCs w:val="24"/>
          <w:lang w:val="en-US"/>
        </w:rPr>
        <w:t xml:space="preserve"> </w:t>
      </w:r>
    </w:p>
    <w:p w14:paraId="07A512DC" w14:textId="0B457981" w:rsidR="00540799" w:rsidRPr="00754A1D" w:rsidRDefault="00850B5C" w:rsidP="00850B5C">
      <w:pPr>
        <w:spacing w:line="480" w:lineRule="auto"/>
        <w:jc w:val="both"/>
        <w:rPr>
          <w:rFonts w:ascii="Times New Roman" w:hAnsi="Times New Roman" w:cs="Times New Roman"/>
          <w:b/>
          <w:bCs/>
          <w:sz w:val="24"/>
          <w:szCs w:val="24"/>
          <w:lang w:val="en-US"/>
        </w:rPr>
      </w:pPr>
      <w:r w:rsidRPr="00754A1D">
        <w:rPr>
          <w:rFonts w:ascii="Times New Roman" w:hAnsi="Times New Roman" w:cs="Times New Roman"/>
          <w:b/>
          <w:bCs/>
          <w:sz w:val="24"/>
          <w:szCs w:val="24"/>
          <w:lang w:val="en-US"/>
        </w:rPr>
        <w:t>Conclusion</w:t>
      </w:r>
    </w:p>
    <w:p w14:paraId="47AE6566" w14:textId="77777777" w:rsidR="00633E73" w:rsidRPr="00754A1D" w:rsidRDefault="0062786A" w:rsidP="00540799">
      <w:pPr>
        <w:spacing w:after="0"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lastRenderedPageBreak/>
        <w:t>Research to develop natural products for pest control is increasingly important as some synthetic pesticides are associated with environmental concerns or are withdrawn for economic and regulatory reasons. Essential oils show good potential in the control of insect pests</w:t>
      </w:r>
      <w:r w:rsidR="002A615B" w:rsidRPr="00754A1D">
        <w:rPr>
          <w:rFonts w:ascii="Times New Roman" w:hAnsi="Times New Roman" w:cs="Times New Roman"/>
          <w:bCs/>
          <w:sz w:val="24"/>
          <w:szCs w:val="24"/>
          <w:lang w:val="en-US"/>
        </w:rPr>
        <w:t xml:space="preserve">, in particular </w:t>
      </w:r>
      <w:r w:rsidRPr="00754A1D">
        <w:rPr>
          <w:rFonts w:ascii="Times New Roman" w:hAnsi="Times New Roman" w:cs="Times New Roman"/>
          <w:bCs/>
          <w:sz w:val="24"/>
          <w:szCs w:val="24"/>
          <w:lang w:val="en-US"/>
        </w:rPr>
        <w:t xml:space="preserve">because they can have diverse physiological targets within insects, and, </w:t>
      </w:r>
      <w:r w:rsidR="003542A4" w:rsidRPr="00754A1D">
        <w:rPr>
          <w:rFonts w:ascii="Times New Roman" w:hAnsi="Times New Roman" w:cs="Times New Roman"/>
          <w:bCs/>
          <w:sz w:val="24"/>
          <w:szCs w:val="24"/>
          <w:lang w:val="en-US"/>
        </w:rPr>
        <w:t>therefore</w:t>
      </w:r>
      <w:r w:rsidRPr="00754A1D">
        <w:rPr>
          <w:rFonts w:ascii="Times New Roman" w:hAnsi="Times New Roman" w:cs="Times New Roman"/>
          <w:bCs/>
          <w:sz w:val="24"/>
          <w:szCs w:val="24"/>
          <w:lang w:val="en-US"/>
        </w:rPr>
        <w:t xml:space="preserve">, </w:t>
      </w:r>
      <w:r w:rsidR="003542A4" w:rsidRPr="00754A1D">
        <w:rPr>
          <w:rFonts w:ascii="Times New Roman" w:hAnsi="Times New Roman" w:cs="Times New Roman"/>
          <w:bCs/>
          <w:sz w:val="24"/>
          <w:szCs w:val="24"/>
          <w:lang w:val="en-US"/>
        </w:rPr>
        <w:t>can</w:t>
      </w:r>
      <w:r w:rsidRPr="00754A1D">
        <w:rPr>
          <w:rFonts w:ascii="Times New Roman" w:hAnsi="Times New Roman" w:cs="Times New Roman"/>
          <w:bCs/>
          <w:sz w:val="24"/>
          <w:szCs w:val="24"/>
          <w:lang w:val="en-US"/>
        </w:rPr>
        <w:t xml:space="preserve"> delay the evolution of insect resistance</w:t>
      </w:r>
      <w:r w:rsidR="003542A4" w:rsidRPr="00754A1D">
        <w:rPr>
          <w:rFonts w:ascii="Times New Roman" w:hAnsi="Times New Roman" w:cs="Times New Roman"/>
          <w:bCs/>
          <w:sz w:val="24"/>
          <w:szCs w:val="24"/>
          <w:lang w:val="en-US"/>
        </w:rPr>
        <w:t xml:space="preserve"> </w:t>
      </w:r>
      <w:r w:rsidR="003542A4" w:rsidRPr="00754A1D">
        <w:rPr>
          <w:rFonts w:ascii="Times New Roman" w:hAnsi="Times New Roman" w:cs="Times New Roman"/>
          <w:bCs/>
          <w:sz w:val="24"/>
          <w:szCs w:val="24"/>
          <w:lang w:val="en-US"/>
        </w:rPr>
        <w:fldChar w:fldCharType="begin"/>
      </w:r>
      <w:r w:rsidR="003542A4" w:rsidRPr="00754A1D">
        <w:rPr>
          <w:rFonts w:ascii="Times New Roman" w:hAnsi="Times New Roman" w:cs="Times New Roman"/>
          <w:bCs/>
          <w:sz w:val="24"/>
          <w:szCs w:val="24"/>
          <w:lang w:val="en-US"/>
        </w:rPr>
        <w:instrText xml:space="preserve"> ADDIN ZOTERO_ITEM CSL_CITATION {"citationID":"cfLCpPHe","properties":{"formattedCitation":"(Regnault-Roger et al. 2012)","plainCitation":"(Regnault-Roger et al. 2012)","noteIndex":0},"citationItems":[{"id":673,"uris":["http://zotero.org/users/local/QcSA6amT/items/K7R7LZ7E"],"uri":["http://zotero.org/users/local/QcSA6amT/items/K7R7LZ7E"],"itemData":{"id":673,"type":"article-journal","abstract":"In recent years, the use of essential oils (EOs) derived from aromatic plants as low-risk insecticides has increased considerably owing to their popularity with organic growers and environmentally conscious consumers. EOs are easily produced by steam distillation of plant material and contain many volatile, low-molecular-weight terpenes and phenolics. The major plant families from which EOs are extracted include Myrtaceae, Lauraceae, Lamiaceae, and Asteraceae. EOs have repellent, insecticidal, and growth-reducing effects on a variety of insects. They have been used effectively to control preharvest and postharvest phytophagous insects and as insect repellents for biting flies and for home and garden insects. The compounds exert their activities on insects through neurotoxic effects involving several mechanisms, notably through GABA, octopamine synapses, and the inhibition of acetylcholinesterase. With a few exceptions, their mammalian toxicity is low and environmental persistence is short. Registration has been the main bottleneck in putting new products on the market, but more EOs have been approved for use in the United States than elsewhere owing to reduced-risk processes for these materials.","container-title":"Annual Review of Entomology","DOI":"10.1146/annurev-ento-120710-100554","issue":"1","note":"PMID: 21942843","page":"405-424","source":"Annual Reviews","title":"Essential Oils in Insect Control: Low-Risk Products in a High-Stakes World","title-short":"Essential Oils in Insect Control","volume":"57","author":[{"family":"Regnault-Roger","given":"Catherine"},{"family":"Vincent","given":"Charles"},{"family":"Arnason","given":"John Thor"}],"issued":{"date-parts":[["2012"]]}}}],"schema":"https://github.com/citation-style-language/schema/raw/master/csl-citation.json"} </w:instrText>
      </w:r>
      <w:r w:rsidR="003542A4" w:rsidRPr="00754A1D">
        <w:rPr>
          <w:rFonts w:ascii="Times New Roman" w:hAnsi="Times New Roman" w:cs="Times New Roman"/>
          <w:bCs/>
          <w:sz w:val="24"/>
          <w:szCs w:val="24"/>
          <w:lang w:val="en-US"/>
        </w:rPr>
        <w:fldChar w:fldCharType="separate"/>
      </w:r>
      <w:r w:rsidR="003542A4" w:rsidRPr="00754A1D">
        <w:rPr>
          <w:rFonts w:ascii="Times New Roman" w:hAnsi="Times New Roman" w:cs="Times New Roman"/>
          <w:sz w:val="24"/>
          <w:lang w:val="en-US"/>
        </w:rPr>
        <w:t>(Regnault-Roger et al. 2012)</w:t>
      </w:r>
      <w:r w:rsidR="003542A4" w:rsidRPr="00754A1D">
        <w:rPr>
          <w:rFonts w:ascii="Times New Roman" w:hAnsi="Times New Roman" w:cs="Times New Roman"/>
          <w:bCs/>
          <w:sz w:val="24"/>
          <w:szCs w:val="24"/>
          <w:lang w:val="en-US"/>
        </w:rPr>
        <w:fldChar w:fldCharType="end"/>
      </w:r>
      <w:r w:rsidRPr="00754A1D">
        <w:rPr>
          <w:rFonts w:ascii="Times New Roman" w:hAnsi="Times New Roman" w:cs="Times New Roman"/>
          <w:bCs/>
          <w:sz w:val="24"/>
          <w:szCs w:val="24"/>
          <w:lang w:val="en-US"/>
        </w:rPr>
        <w:t xml:space="preserve">. </w:t>
      </w:r>
      <w:r w:rsidR="000A1C28" w:rsidRPr="00754A1D">
        <w:rPr>
          <w:rFonts w:ascii="Times New Roman" w:hAnsi="Times New Roman" w:cs="Times New Roman"/>
          <w:bCs/>
          <w:i/>
          <w:sz w:val="24"/>
          <w:szCs w:val="24"/>
          <w:lang w:val="en-US"/>
        </w:rPr>
        <w:t>M. arvensis</w:t>
      </w:r>
      <w:r w:rsidR="000A1C28" w:rsidRPr="00754A1D">
        <w:rPr>
          <w:rFonts w:ascii="Times New Roman" w:hAnsi="Times New Roman" w:cs="Times New Roman"/>
          <w:bCs/>
          <w:sz w:val="24"/>
          <w:szCs w:val="24"/>
          <w:lang w:val="en-US"/>
        </w:rPr>
        <w:t xml:space="preserve"> EO is a promising candidate in the development of EO-based insecticides</w:t>
      </w:r>
      <w:r w:rsidR="00410927" w:rsidRPr="00754A1D">
        <w:rPr>
          <w:rFonts w:ascii="Times New Roman" w:hAnsi="Times New Roman" w:cs="Times New Roman"/>
          <w:bCs/>
          <w:sz w:val="24"/>
          <w:szCs w:val="24"/>
          <w:lang w:val="en-US"/>
        </w:rPr>
        <w:t xml:space="preserve"> against weevils</w:t>
      </w:r>
      <w:r w:rsidR="008B054D" w:rsidRPr="00754A1D">
        <w:rPr>
          <w:rFonts w:ascii="Times New Roman" w:hAnsi="Times New Roman" w:cs="Times New Roman"/>
          <w:bCs/>
          <w:sz w:val="24"/>
          <w:szCs w:val="24"/>
          <w:lang w:val="en-US"/>
        </w:rPr>
        <w:t xml:space="preserve"> </w:t>
      </w:r>
      <w:r w:rsidR="000E0B20" w:rsidRPr="00754A1D">
        <w:rPr>
          <w:rFonts w:ascii="Times New Roman" w:hAnsi="Times New Roman" w:cs="Times New Roman"/>
          <w:bCs/>
          <w:sz w:val="24"/>
          <w:szCs w:val="24"/>
          <w:lang w:val="en-US"/>
        </w:rPr>
        <w:t>because of</w:t>
      </w:r>
      <w:r w:rsidR="002A615B" w:rsidRPr="00754A1D">
        <w:rPr>
          <w:rFonts w:ascii="Times New Roman" w:hAnsi="Times New Roman" w:cs="Times New Roman"/>
          <w:bCs/>
          <w:sz w:val="24"/>
          <w:szCs w:val="24"/>
          <w:lang w:val="en-US"/>
        </w:rPr>
        <w:t xml:space="preserve"> its</w:t>
      </w:r>
      <w:r w:rsidR="000E0B20" w:rsidRPr="00754A1D">
        <w:rPr>
          <w:rFonts w:ascii="Times New Roman" w:hAnsi="Times New Roman" w:cs="Times New Roman"/>
          <w:bCs/>
          <w:sz w:val="24"/>
          <w:szCs w:val="24"/>
          <w:lang w:val="en-US"/>
        </w:rPr>
        <w:t xml:space="preserve"> </w:t>
      </w:r>
      <w:r w:rsidR="00410927" w:rsidRPr="00754A1D">
        <w:rPr>
          <w:rFonts w:ascii="Times New Roman" w:hAnsi="Times New Roman" w:cs="Times New Roman"/>
          <w:bCs/>
          <w:sz w:val="24"/>
          <w:szCs w:val="24"/>
          <w:lang w:val="en-US"/>
        </w:rPr>
        <w:t xml:space="preserve">1) </w:t>
      </w:r>
      <w:r w:rsidR="000A1C28" w:rsidRPr="00754A1D">
        <w:rPr>
          <w:rFonts w:ascii="Times New Roman" w:hAnsi="Times New Roman" w:cs="Times New Roman"/>
          <w:bCs/>
          <w:sz w:val="24"/>
          <w:szCs w:val="24"/>
          <w:lang w:val="en-US"/>
        </w:rPr>
        <w:t>high contact toxicity</w:t>
      </w:r>
      <w:r w:rsidR="00410927" w:rsidRPr="00754A1D">
        <w:rPr>
          <w:rFonts w:ascii="Times New Roman" w:hAnsi="Times New Roman" w:cs="Times New Roman"/>
          <w:bCs/>
          <w:sz w:val="24"/>
          <w:szCs w:val="24"/>
          <w:lang w:val="en-US"/>
        </w:rPr>
        <w:t xml:space="preserve">, </w:t>
      </w:r>
      <w:r w:rsidR="003542A4" w:rsidRPr="00754A1D">
        <w:rPr>
          <w:rFonts w:ascii="Times New Roman" w:hAnsi="Times New Roman" w:cs="Times New Roman"/>
          <w:bCs/>
          <w:sz w:val="24"/>
          <w:szCs w:val="24"/>
          <w:lang w:val="en-US"/>
        </w:rPr>
        <w:t xml:space="preserve">2) </w:t>
      </w:r>
      <w:r w:rsidR="008B054D" w:rsidRPr="00754A1D">
        <w:rPr>
          <w:rFonts w:ascii="Times New Roman" w:hAnsi="Times New Roman" w:cs="Times New Roman"/>
          <w:bCs/>
          <w:sz w:val="24"/>
          <w:szCs w:val="24"/>
          <w:lang w:val="en-US"/>
        </w:rPr>
        <w:t>ability to</w:t>
      </w:r>
      <w:r w:rsidR="003542A4" w:rsidRPr="00754A1D">
        <w:rPr>
          <w:rFonts w:ascii="Times New Roman" w:hAnsi="Times New Roman" w:cs="Times New Roman"/>
          <w:bCs/>
          <w:sz w:val="24"/>
          <w:szCs w:val="24"/>
          <w:lang w:val="en-US"/>
        </w:rPr>
        <w:t xml:space="preserve"> penetrate </w:t>
      </w:r>
      <w:r w:rsidR="000E0B20" w:rsidRPr="00754A1D">
        <w:rPr>
          <w:rFonts w:ascii="Times New Roman" w:hAnsi="Times New Roman" w:cs="Times New Roman"/>
          <w:bCs/>
          <w:sz w:val="24"/>
          <w:szCs w:val="24"/>
          <w:lang w:val="en-US"/>
        </w:rPr>
        <w:t>a thick, hard exoskeleton</w:t>
      </w:r>
      <w:r w:rsidR="003542A4" w:rsidRPr="00754A1D">
        <w:rPr>
          <w:rFonts w:ascii="Times New Roman" w:hAnsi="Times New Roman" w:cs="Times New Roman"/>
          <w:bCs/>
          <w:sz w:val="24"/>
          <w:szCs w:val="24"/>
          <w:lang w:val="en-US"/>
        </w:rPr>
        <w:t>, 3</w:t>
      </w:r>
      <w:r w:rsidR="00410927" w:rsidRPr="00754A1D">
        <w:rPr>
          <w:rFonts w:ascii="Times New Roman" w:hAnsi="Times New Roman" w:cs="Times New Roman"/>
          <w:bCs/>
          <w:sz w:val="24"/>
          <w:szCs w:val="24"/>
          <w:lang w:val="en-US"/>
        </w:rPr>
        <w:t xml:space="preserve">) </w:t>
      </w:r>
      <w:r w:rsidR="000E0B20" w:rsidRPr="00754A1D">
        <w:rPr>
          <w:rFonts w:ascii="Times New Roman" w:hAnsi="Times New Roman" w:cs="Times New Roman"/>
          <w:bCs/>
          <w:sz w:val="24"/>
          <w:szCs w:val="24"/>
          <w:lang w:val="en-US"/>
        </w:rPr>
        <w:t>ability to</w:t>
      </w:r>
      <w:r w:rsidR="000A1C28" w:rsidRPr="00754A1D">
        <w:rPr>
          <w:rFonts w:ascii="Times New Roman" w:hAnsi="Times New Roman" w:cs="Times New Roman"/>
          <w:bCs/>
          <w:sz w:val="24"/>
          <w:szCs w:val="24"/>
          <w:lang w:val="en-US"/>
        </w:rPr>
        <w:t xml:space="preserve"> rapidly alters </w:t>
      </w:r>
      <w:r w:rsidR="00AA137B" w:rsidRPr="00754A1D">
        <w:rPr>
          <w:rFonts w:ascii="Times New Roman" w:hAnsi="Times New Roman" w:cs="Times New Roman"/>
          <w:bCs/>
          <w:sz w:val="24"/>
          <w:szCs w:val="24"/>
          <w:lang w:val="en-US"/>
        </w:rPr>
        <w:t>insect</w:t>
      </w:r>
      <w:r w:rsidR="000A1C28" w:rsidRPr="00754A1D">
        <w:rPr>
          <w:rFonts w:ascii="Times New Roman" w:hAnsi="Times New Roman" w:cs="Times New Roman"/>
          <w:bCs/>
          <w:sz w:val="24"/>
          <w:szCs w:val="24"/>
          <w:lang w:val="en-US"/>
        </w:rPr>
        <w:t xml:space="preserve"> behavior </w:t>
      </w:r>
      <w:r w:rsidR="00410927" w:rsidRPr="00754A1D">
        <w:rPr>
          <w:rFonts w:ascii="Times New Roman" w:hAnsi="Times New Roman" w:cs="Times New Roman"/>
          <w:bCs/>
          <w:sz w:val="24"/>
          <w:szCs w:val="24"/>
          <w:lang w:val="en-US"/>
        </w:rPr>
        <w:t xml:space="preserve">and </w:t>
      </w:r>
      <w:r w:rsidR="003542A4" w:rsidRPr="00754A1D">
        <w:rPr>
          <w:rFonts w:ascii="Times New Roman" w:hAnsi="Times New Roman" w:cs="Times New Roman"/>
          <w:bCs/>
          <w:sz w:val="24"/>
          <w:szCs w:val="24"/>
          <w:lang w:val="en-US"/>
        </w:rPr>
        <w:t>4</w:t>
      </w:r>
      <w:r w:rsidR="00410927" w:rsidRPr="00754A1D">
        <w:rPr>
          <w:rFonts w:ascii="Times New Roman" w:hAnsi="Times New Roman" w:cs="Times New Roman"/>
          <w:bCs/>
          <w:sz w:val="24"/>
          <w:szCs w:val="24"/>
          <w:lang w:val="en-US"/>
        </w:rPr>
        <w:t xml:space="preserve">) </w:t>
      </w:r>
      <w:r w:rsidR="000E0B20" w:rsidRPr="00754A1D">
        <w:rPr>
          <w:rFonts w:ascii="Times New Roman" w:hAnsi="Times New Roman" w:cs="Times New Roman"/>
          <w:bCs/>
          <w:sz w:val="24"/>
          <w:szCs w:val="24"/>
          <w:lang w:val="en-US"/>
        </w:rPr>
        <w:t xml:space="preserve">because </w:t>
      </w:r>
      <w:r w:rsidR="00410927" w:rsidRPr="00754A1D">
        <w:rPr>
          <w:rFonts w:ascii="Times New Roman" w:hAnsi="Times New Roman" w:cs="Times New Roman"/>
          <w:bCs/>
          <w:sz w:val="24"/>
          <w:szCs w:val="24"/>
          <w:lang w:val="en-US"/>
        </w:rPr>
        <w:t>it is associated</w:t>
      </w:r>
      <w:r w:rsidR="000A1C28" w:rsidRPr="00754A1D">
        <w:rPr>
          <w:rFonts w:ascii="Times New Roman" w:hAnsi="Times New Roman" w:cs="Times New Roman"/>
          <w:bCs/>
          <w:sz w:val="24"/>
          <w:szCs w:val="24"/>
          <w:lang w:val="en-US"/>
        </w:rPr>
        <w:t xml:space="preserve"> </w:t>
      </w:r>
      <w:r w:rsidR="00410927" w:rsidRPr="00754A1D">
        <w:rPr>
          <w:rFonts w:ascii="Times New Roman" w:hAnsi="Times New Roman" w:cs="Times New Roman"/>
          <w:bCs/>
          <w:sz w:val="24"/>
          <w:szCs w:val="24"/>
          <w:lang w:val="en-US"/>
        </w:rPr>
        <w:t xml:space="preserve">to a </w:t>
      </w:r>
      <w:r w:rsidR="000A1C28" w:rsidRPr="00754A1D">
        <w:rPr>
          <w:rFonts w:ascii="Times New Roman" w:hAnsi="Times New Roman" w:cs="Times New Roman"/>
          <w:bCs/>
          <w:sz w:val="24"/>
          <w:szCs w:val="24"/>
          <w:lang w:val="en-US"/>
        </w:rPr>
        <w:t xml:space="preserve">systemic </w:t>
      </w:r>
      <w:r w:rsidR="000E0B20" w:rsidRPr="00754A1D">
        <w:rPr>
          <w:rFonts w:ascii="Times New Roman" w:hAnsi="Times New Roman" w:cs="Times New Roman"/>
          <w:bCs/>
          <w:sz w:val="24"/>
          <w:szCs w:val="24"/>
          <w:lang w:val="en-US"/>
        </w:rPr>
        <w:t>physiological/</w:t>
      </w:r>
      <w:r w:rsidR="00410927" w:rsidRPr="00754A1D">
        <w:rPr>
          <w:rFonts w:ascii="Times New Roman" w:hAnsi="Times New Roman" w:cs="Times New Roman"/>
          <w:bCs/>
          <w:sz w:val="24"/>
          <w:szCs w:val="24"/>
          <w:lang w:val="en-US"/>
        </w:rPr>
        <w:t xml:space="preserve">molecular </w:t>
      </w:r>
      <w:r w:rsidR="000A1C28" w:rsidRPr="00754A1D">
        <w:rPr>
          <w:rFonts w:ascii="Times New Roman" w:hAnsi="Times New Roman" w:cs="Times New Roman"/>
          <w:bCs/>
          <w:sz w:val="24"/>
          <w:szCs w:val="24"/>
          <w:lang w:val="en-US"/>
        </w:rPr>
        <w:t>response</w:t>
      </w:r>
      <w:r w:rsidR="00410927" w:rsidRPr="00754A1D">
        <w:rPr>
          <w:rFonts w:ascii="Times New Roman" w:hAnsi="Times New Roman" w:cs="Times New Roman"/>
          <w:bCs/>
          <w:sz w:val="24"/>
          <w:szCs w:val="24"/>
          <w:lang w:val="en-US"/>
        </w:rPr>
        <w:t xml:space="preserve">. </w:t>
      </w:r>
      <w:r w:rsidR="003542A4" w:rsidRPr="00754A1D">
        <w:rPr>
          <w:rFonts w:ascii="Times New Roman" w:hAnsi="Times New Roman" w:cs="Times New Roman"/>
          <w:bCs/>
          <w:sz w:val="24"/>
          <w:szCs w:val="24"/>
          <w:lang w:val="en-US"/>
        </w:rPr>
        <w:t xml:space="preserve">Our proteomic approach </w:t>
      </w:r>
      <w:r w:rsidR="003E5C58" w:rsidRPr="00754A1D">
        <w:rPr>
          <w:rFonts w:ascii="Times New Roman" w:hAnsi="Times New Roman" w:cs="Times New Roman"/>
          <w:bCs/>
          <w:sz w:val="24"/>
          <w:szCs w:val="24"/>
          <w:lang w:val="en-US"/>
        </w:rPr>
        <w:t>shed light o</w:t>
      </w:r>
      <w:r w:rsidR="007A2A23" w:rsidRPr="00754A1D">
        <w:rPr>
          <w:rFonts w:ascii="Times New Roman" w:hAnsi="Times New Roman" w:cs="Times New Roman"/>
          <w:bCs/>
          <w:sz w:val="24"/>
          <w:szCs w:val="24"/>
          <w:lang w:val="en-US"/>
        </w:rPr>
        <w:t xml:space="preserve">n </w:t>
      </w:r>
      <w:r w:rsidR="0065496C" w:rsidRPr="00754A1D">
        <w:rPr>
          <w:rFonts w:ascii="Times New Roman" w:hAnsi="Times New Roman" w:cs="Times New Roman"/>
          <w:bCs/>
          <w:sz w:val="24"/>
          <w:szCs w:val="24"/>
          <w:lang w:val="en-US"/>
        </w:rPr>
        <w:t xml:space="preserve">modes of action </w:t>
      </w:r>
      <w:r w:rsidR="002500B3" w:rsidRPr="00754A1D">
        <w:rPr>
          <w:rFonts w:ascii="Times New Roman" w:hAnsi="Times New Roman" w:cs="Times New Roman"/>
          <w:bCs/>
          <w:sz w:val="24"/>
          <w:szCs w:val="24"/>
          <w:lang w:val="en-US"/>
        </w:rPr>
        <w:t>associated with EOs</w:t>
      </w:r>
      <w:r w:rsidR="00AA137B" w:rsidRPr="00754A1D">
        <w:rPr>
          <w:rFonts w:ascii="Times New Roman" w:hAnsi="Times New Roman" w:cs="Times New Roman"/>
          <w:bCs/>
          <w:sz w:val="24"/>
          <w:szCs w:val="24"/>
          <w:lang w:val="en-US"/>
        </w:rPr>
        <w:t xml:space="preserve">, some of which are presented here for the first time. </w:t>
      </w:r>
      <w:r w:rsidR="008B054D" w:rsidRPr="00754A1D">
        <w:rPr>
          <w:rFonts w:ascii="Times New Roman" w:hAnsi="Times New Roman" w:cs="Times New Roman"/>
          <w:bCs/>
          <w:sz w:val="24"/>
          <w:szCs w:val="24"/>
          <w:lang w:val="en-US"/>
        </w:rPr>
        <w:t>Proteomic results indicate that insects that are able to recover from LD</w:t>
      </w:r>
      <w:r w:rsidR="008B054D" w:rsidRPr="00754A1D">
        <w:rPr>
          <w:rFonts w:ascii="Times New Roman" w:hAnsi="Times New Roman" w:cs="Times New Roman"/>
          <w:bCs/>
          <w:sz w:val="24"/>
          <w:szCs w:val="24"/>
          <w:vertAlign w:val="subscript"/>
          <w:lang w:val="en-US"/>
        </w:rPr>
        <w:t>50</w:t>
      </w:r>
      <w:r w:rsidR="008B054D" w:rsidRPr="00754A1D">
        <w:rPr>
          <w:rFonts w:ascii="Times New Roman" w:hAnsi="Times New Roman" w:cs="Times New Roman"/>
          <w:bCs/>
          <w:sz w:val="24"/>
          <w:szCs w:val="24"/>
          <w:lang w:val="en-US"/>
        </w:rPr>
        <w:t xml:space="preserve"> exposure do so at an apparently high energy cost, which could have consequences on their fitness.</w:t>
      </w:r>
      <w:r w:rsidR="002A615B" w:rsidRPr="00754A1D">
        <w:rPr>
          <w:rFonts w:ascii="Times New Roman" w:hAnsi="Times New Roman" w:cs="Times New Roman"/>
          <w:bCs/>
          <w:sz w:val="24"/>
          <w:szCs w:val="24"/>
          <w:lang w:val="en-US"/>
        </w:rPr>
        <w:t xml:space="preserve"> </w:t>
      </w:r>
      <w:r w:rsidR="00891645" w:rsidRPr="00754A1D">
        <w:rPr>
          <w:rFonts w:ascii="Times New Roman" w:hAnsi="Times New Roman" w:cs="Times New Roman"/>
          <w:bCs/>
          <w:i/>
          <w:sz w:val="24"/>
          <w:szCs w:val="24"/>
          <w:lang w:val="en-US"/>
        </w:rPr>
        <w:t>M. arvensis</w:t>
      </w:r>
      <w:r w:rsidR="00891645" w:rsidRPr="00754A1D">
        <w:rPr>
          <w:rFonts w:ascii="Times New Roman" w:hAnsi="Times New Roman" w:cs="Times New Roman"/>
          <w:bCs/>
          <w:sz w:val="24"/>
          <w:szCs w:val="24"/>
          <w:lang w:val="en-US"/>
        </w:rPr>
        <w:t xml:space="preserve"> EO </w:t>
      </w:r>
      <w:r w:rsidR="00912AE3" w:rsidRPr="00754A1D">
        <w:rPr>
          <w:rFonts w:ascii="Times New Roman" w:hAnsi="Times New Roman" w:cs="Times New Roman"/>
          <w:bCs/>
          <w:sz w:val="24"/>
          <w:szCs w:val="24"/>
          <w:lang w:val="en-US"/>
        </w:rPr>
        <w:t xml:space="preserve">is capable of affecting many biological systems in </w:t>
      </w:r>
      <w:r w:rsidR="00912AE3" w:rsidRPr="00754A1D">
        <w:rPr>
          <w:rFonts w:ascii="Times New Roman" w:hAnsi="Times New Roman" w:cs="Times New Roman"/>
          <w:bCs/>
          <w:i/>
          <w:sz w:val="24"/>
          <w:szCs w:val="24"/>
          <w:lang w:val="en-US"/>
        </w:rPr>
        <w:t xml:space="preserve">S. </w:t>
      </w:r>
      <w:proofErr w:type="spellStart"/>
      <w:r w:rsidR="00912AE3" w:rsidRPr="00754A1D">
        <w:rPr>
          <w:rFonts w:ascii="Times New Roman" w:hAnsi="Times New Roman" w:cs="Times New Roman"/>
          <w:bCs/>
          <w:i/>
          <w:sz w:val="24"/>
          <w:szCs w:val="24"/>
          <w:lang w:val="en-US"/>
        </w:rPr>
        <w:t>granarius</w:t>
      </w:r>
      <w:proofErr w:type="spellEnd"/>
      <w:r w:rsidR="00912AE3" w:rsidRPr="00754A1D">
        <w:rPr>
          <w:rFonts w:ascii="Times New Roman" w:hAnsi="Times New Roman" w:cs="Times New Roman"/>
          <w:bCs/>
          <w:sz w:val="24"/>
          <w:szCs w:val="24"/>
          <w:lang w:val="en-US"/>
        </w:rPr>
        <w:t xml:space="preserve">, leading to behavioral disorders. </w:t>
      </w:r>
      <w:r w:rsidR="008B054D" w:rsidRPr="00754A1D">
        <w:rPr>
          <w:rFonts w:ascii="Times New Roman" w:hAnsi="Times New Roman" w:cs="Times New Roman"/>
          <w:bCs/>
          <w:sz w:val="24"/>
          <w:szCs w:val="24"/>
          <w:lang w:val="en-US"/>
        </w:rPr>
        <w:t xml:space="preserve">Further studies are needed to determine more finely how these compounds penetrate the insects, the kinetics of the induced physiological changes and the associated fitness costs. </w:t>
      </w:r>
    </w:p>
    <w:p w14:paraId="25B14F14" w14:textId="161B109E" w:rsidR="007D34AC" w:rsidRPr="00754A1D" w:rsidRDefault="00633E73" w:rsidP="00DB1884">
      <w:pPr>
        <w:spacing w:after="0" w:line="480" w:lineRule="auto"/>
        <w:ind w:firstLine="708"/>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In summary, t</w:t>
      </w:r>
      <w:r w:rsidR="006C0E99" w:rsidRPr="00754A1D">
        <w:rPr>
          <w:rFonts w:ascii="Times New Roman" w:hAnsi="Times New Roman" w:cs="Times New Roman"/>
          <w:sz w:val="24"/>
          <w:szCs w:val="24"/>
          <w:lang w:val="en-US"/>
        </w:rPr>
        <w:t xml:space="preserve">he use of insecticides of plant origin </w:t>
      </w:r>
      <w:r w:rsidR="00DC107B" w:rsidRPr="00754A1D">
        <w:rPr>
          <w:rFonts w:ascii="Times New Roman" w:hAnsi="Times New Roman" w:cs="Times New Roman"/>
          <w:sz w:val="24"/>
          <w:szCs w:val="24"/>
          <w:lang w:val="en-US"/>
        </w:rPr>
        <w:t>appears</w:t>
      </w:r>
      <w:r w:rsidR="006C0E99" w:rsidRPr="00754A1D">
        <w:rPr>
          <w:rFonts w:ascii="Times New Roman" w:hAnsi="Times New Roman" w:cs="Times New Roman"/>
          <w:sz w:val="24"/>
          <w:szCs w:val="24"/>
          <w:lang w:val="en-US"/>
        </w:rPr>
        <w:t xml:space="preserve"> to be a promising alternative to the use of </w:t>
      </w:r>
      <w:r w:rsidR="00DC107B" w:rsidRPr="00754A1D">
        <w:rPr>
          <w:rFonts w:ascii="Times New Roman" w:hAnsi="Times New Roman" w:cs="Times New Roman"/>
          <w:sz w:val="24"/>
          <w:szCs w:val="24"/>
          <w:lang w:val="en-US"/>
        </w:rPr>
        <w:t xml:space="preserve">conventional insecticides because they can interfere with many biological processes in insects and are more biodegradable and probably safer for human health and the environment. </w:t>
      </w:r>
      <w:r w:rsidR="003F5272" w:rsidRPr="00754A1D">
        <w:rPr>
          <w:rFonts w:ascii="Times New Roman" w:hAnsi="Times New Roman" w:cs="Times New Roman"/>
          <w:sz w:val="24"/>
          <w:szCs w:val="24"/>
          <w:lang w:val="en-US"/>
        </w:rPr>
        <w:t xml:space="preserve">However, like conventional insecticides, these new products can exert a </w:t>
      </w:r>
      <w:r w:rsidR="007A142D" w:rsidRPr="00754A1D">
        <w:rPr>
          <w:rFonts w:ascii="Times New Roman" w:hAnsi="Times New Roman" w:cs="Times New Roman"/>
          <w:sz w:val="24"/>
          <w:szCs w:val="24"/>
          <w:lang w:val="en-US"/>
        </w:rPr>
        <w:t>wide</w:t>
      </w:r>
      <w:r w:rsidR="003F5272" w:rsidRPr="00754A1D">
        <w:rPr>
          <w:rFonts w:ascii="Times New Roman" w:hAnsi="Times New Roman" w:cs="Times New Roman"/>
          <w:sz w:val="24"/>
          <w:szCs w:val="24"/>
          <w:lang w:val="en-US"/>
        </w:rPr>
        <w:t xml:space="preserve"> range of effects on insects and other animals, including mammals</w:t>
      </w:r>
      <w:r w:rsidR="007D70FB" w:rsidRPr="00754A1D">
        <w:rPr>
          <w:rFonts w:ascii="Times New Roman" w:hAnsi="Times New Roman" w:cs="Times New Roman"/>
          <w:sz w:val="24"/>
          <w:szCs w:val="24"/>
          <w:lang w:val="en-US"/>
        </w:rPr>
        <w:t xml:space="preserve">. </w:t>
      </w:r>
      <w:r w:rsidR="000E0B20" w:rsidRPr="00754A1D">
        <w:rPr>
          <w:rFonts w:ascii="Times New Roman" w:hAnsi="Times New Roman" w:cs="Times New Roman"/>
          <w:sz w:val="24"/>
          <w:szCs w:val="24"/>
          <w:lang w:val="en-US"/>
        </w:rPr>
        <w:t xml:space="preserve">Therefore, more attention needs to be paid to these aspects in the development of </w:t>
      </w:r>
      <w:r w:rsidR="008532D0" w:rsidRPr="00754A1D">
        <w:rPr>
          <w:rFonts w:ascii="Times New Roman" w:hAnsi="Times New Roman" w:cs="Times New Roman"/>
          <w:sz w:val="24"/>
          <w:szCs w:val="24"/>
          <w:lang w:val="en-US"/>
        </w:rPr>
        <w:t>these new forms of biocidal products</w:t>
      </w:r>
      <w:r w:rsidR="000E0B20" w:rsidRPr="00754A1D">
        <w:rPr>
          <w:rFonts w:ascii="Times New Roman" w:hAnsi="Times New Roman" w:cs="Times New Roman"/>
          <w:sz w:val="24"/>
          <w:szCs w:val="24"/>
          <w:lang w:val="en-US"/>
        </w:rPr>
        <w:t xml:space="preserve">. </w:t>
      </w:r>
      <w:r w:rsidR="006C0E99" w:rsidRPr="00754A1D">
        <w:rPr>
          <w:rFonts w:ascii="Times New Roman" w:hAnsi="Times New Roman" w:cs="Times New Roman"/>
          <w:sz w:val="24"/>
          <w:szCs w:val="24"/>
          <w:lang w:val="en-US"/>
        </w:rPr>
        <w:t>Given the increasing use of natural compounds in chemical control practices</w:t>
      </w:r>
      <w:r w:rsidR="002A615B" w:rsidRPr="00754A1D">
        <w:rPr>
          <w:rFonts w:ascii="Times New Roman" w:hAnsi="Times New Roman" w:cs="Times New Roman"/>
          <w:sz w:val="24"/>
          <w:szCs w:val="24"/>
          <w:lang w:val="en-US"/>
        </w:rPr>
        <w:t xml:space="preserve"> (EOs </w:t>
      </w:r>
      <w:r w:rsidR="008532D0" w:rsidRPr="00754A1D">
        <w:rPr>
          <w:rFonts w:ascii="Times New Roman" w:hAnsi="Times New Roman" w:cs="Times New Roman"/>
          <w:sz w:val="24"/>
          <w:szCs w:val="24"/>
          <w:lang w:val="en-US"/>
        </w:rPr>
        <w:t>are increasingly used as insecticides but also as herbicides, fungicides and bactericides</w:t>
      </w:r>
      <w:r w:rsidR="002A615B" w:rsidRPr="00754A1D">
        <w:rPr>
          <w:rFonts w:ascii="Times New Roman" w:hAnsi="Times New Roman" w:cs="Times New Roman"/>
          <w:sz w:val="24"/>
          <w:szCs w:val="24"/>
          <w:lang w:val="en-US"/>
        </w:rPr>
        <w:t>)</w:t>
      </w:r>
      <w:r w:rsidR="006C0E99" w:rsidRPr="00754A1D">
        <w:rPr>
          <w:rFonts w:ascii="Times New Roman" w:hAnsi="Times New Roman" w:cs="Times New Roman"/>
          <w:sz w:val="24"/>
          <w:szCs w:val="24"/>
          <w:lang w:val="en-US"/>
        </w:rPr>
        <w:t xml:space="preserve">, knowledge of the modes of action of these new </w:t>
      </w:r>
      <w:r w:rsidR="008532D0" w:rsidRPr="00754A1D">
        <w:rPr>
          <w:rFonts w:ascii="Times New Roman" w:hAnsi="Times New Roman" w:cs="Times New Roman"/>
          <w:sz w:val="24"/>
          <w:szCs w:val="24"/>
          <w:lang w:val="en-US"/>
        </w:rPr>
        <w:t>biocides</w:t>
      </w:r>
      <w:r w:rsidR="006C0E99" w:rsidRPr="00754A1D">
        <w:rPr>
          <w:rFonts w:ascii="Times New Roman" w:hAnsi="Times New Roman" w:cs="Times New Roman"/>
          <w:sz w:val="24"/>
          <w:szCs w:val="24"/>
          <w:lang w:val="en-US"/>
        </w:rPr>
        <w:t xml:space="preserve"> is </w:t>
      </w:r>
      <w:r w:rsidR="007A142D" w:rsidRPr="00754A1D">
        <w:rPr>
          <w:rFonts w:ascii="Times New Roman" w:hAnsi="Times New Roman" w:cs="Times New Roman"/>
          <w:sz w:val="24"/>
          <w:szCs w:val="24"/>
          <w:lang w:val="en-US"/>
        </w:rPr>
        <w:t>essential</w:t>
      </w:r>
      <w:r w:rsidR="006C0E99" w:rsidRPr="00754A1D">
        <w:rPr>
          <w:rFonts w:ascii="Times New Roman" w:hAnsi="Times New Roman" w:cs="Times New Roman"/>
          <w:sz w:val="24"/>
          <w:szCs w:val="24"/>
          <w:lang w:val="en-US"/>
        </w:rPr>
        <w:t xml:space="preserve"> to design new </w:t>
      </w:r>
      <w:r w:rsidR="00DF40DD" w:rsidRPr="00754A1D">
        <w:rPr>
          <w:rFonts w:ascii="Times New Roman" w:hAnsi="Times New Roman" w:cs="Times New Roman"/>
          <w:sz w:val="24"/>
          <w:szCs w:val="24"/>
          <w:lang w:val="en-US"/>
        </w:rPr>
        <w:t xml:space="preserve">and efficient </w:t>
      </w:r>
      <w:r w:rsidR="006C0E99" w:rsidRPr="00754A1D">
        <w:rPr>
          <w:rFonts w:ascii="Times New Roman" w:hAnsi="Times New Roman" w:cs="Times New Roman"/>
          <w:sz w:val="24"/>
          <w:szCs w:val="24"/>
          <w:lang w:val="en-US"/>
        </w:rPr>
        <w:t xml:space="preserve">products, </w:t>
      </w:r>
      <w:r w:rsidR="00DF40DD" w:rsidRPr="00754A1D">
        <w:rPr>
          <w:rFonts w:ascii="Times New Roman" w:hAnsi="Times New Roman" w:cs="Times New Roman"/>
          <w:sz w:val="24"/>
          <w:szCs w:val="24"/>
          <w:lang w:val="en-US"/>
        </w:rPr>
        <w:t>but also to determine the most appropriate way to use them in agriculture.</w:t>
      </w:r>
    </w:p>
    <w:p w14:paraId="776E1365" w14:textId="537188E2" w:rsidR="008A1805" w:rsidRPr="00754A1D" w:rsidRDefault="008A1805" w:rsidP="003C26F1">
      <w:pPr>
        <w:spacing w:line="480" w:lineRule="auto"/>
        <w:jc w:val="both"/>
        <w:rPr>
          <w:rFonts w:ascii="Times New Roman" w:hAnsi="Times New Roman" w:cs="Times New Roman"/>
          <w:b/>
          <w:bCs/>
          <w:sz w:val="28"/>
          <w:szCs w:val="28"/>
          <w:lang w:val="en-US"/>
        </w:rPr>
      </w:pPr>
      <w:r w:rsidRPr="00754A1D">
        <w:rPr>
          <w:rFonts w:ascii="Times New Roman" w:hAnsi="Times New Roman" w:cs="Times New Roman"/>
          <w:b/>
          <w:bCs/>
          <w:sz w:val="28"/>
          <w:szCs w:val="28"/>
          <w:lang w:val="en-US"/>
        </w:rPr>
        <w:lastRenderedPageBreak/>
        <w:t>Acknowledgements</w:t>
      </w:r>
    </w:p>
    <w:p w14:paraId="3B3EBCD0" w14:textId="4A184811" w:rsidR="00CD4304" w:rsidRPr="00754A1D" w:rsidRDefault="00C0693F" w:rsidP="001F2D29">
      <w:pPr>
        <w:spacing w:line="480" w:lineRule="auto"/>
        <w:jc w:val="both"/>
        <w:rPr>
          <w:rFonts w:ascii="Times New Roman" w:hAnsi="Times New Roman" w:cs="Times New Roman"/>
          <w:bCs/>
          <w:sz w:val="24"/>
          <w:szCs w:val="24"/>
          <w:lang w:val="en-US"/>
        </w:rPr>
      </w:pPr>
      <w:r w:rsidRPr="00754A1D">
        <w:rPr>
          <w:rFonts w:ascii="Times New Roman" w:hAnsi="Times New Roman" w:cs="Times New Roman"/>
          <w:bCs/>
          <w:sz w:val="24"/>
          <w:szCs w:val="24"/>
          <w:lang w:val="en-US"/>
        </w:rPr>
        <w:t xml:space="preserve">We would like to thank the ERASMUS + EOHUB project which aims to disseminate knowledge in the field of essential oils, as well as </w:t>
      </w:r>
      <w:r w:rsidR="009C2784" w:rsidRPr="00754A1D">
        <w:rPr>
          <w:rFonts w:ascii="Times New Roman" w:hAnsi="Times New Roman" w:cs="Times New Roman"/>
          <w:bCs/>
          <w:sz w:val="24"/>
          <w:szCs w:val="24"/>
          <w:lang w:val="en-US"/>
        </w:rPr>
        <w:t xml:space="preserve">the </w:t>
      </w:r>
      <w:r w:rsidRPr="00754A1D">
        <w:rPr>
          <w:rFonts w:ascii="Times New Roman" w:hAnsi="Times New Roman" w:cs="Times New Roman"/>
          <w:bCs/>
          <w:sz w:val="24"/>
          <w:szCs w:val="24"/>
          <w:lang w:val="en-US"/>
        </w:rPr>
        <w:t>Education, Audio-visual and Culture Executive Agency (EACEA) through the EOHUB project 600873-EPP1-2018-1ES-EPPKA2-KA. Thanks to Saskia Sergeant for her technical assistance</w:t>
      </w:r>
      <w:r w:rsidR="008A1805" w:rsidRPr="00754A1D">
        <w:rPr>
          <w:rFonts w:ascii="Times New Roman" w:hAnsi="Times New Roman" w:cs="Times New Roman"/>
          <w:bCs/>
          <w:sz w:val="24"/>
          <w:szCs w:val="24"/>
          <w:lang w:val="en-US"/>
        </w:rPr>
        <w:t xml:space="preserve">. </w:t>
      </w:r>
      <w:r w:rsidR="00CF43AD" w:rsidRPr="00754A1D">
        <w:rPr>
          <w:rFonts w:ascii="Times New Roman" w:hAnsi="Times New Roman" w:cs="Times New Roman"/>
          <w:bCs/>
          <w:sz w:val="24"/>
          <w:szCs w:val="24"/>
          <w:lang w:val="en-US"/>
        </w:rPr>
        <w:t xml:space="preserve">We are grateful to Guillaume </w:t>
      </w:r>
      <w:r w:rsidR="000E1104" w:rsidRPr="00754A1D">
        <w:rPr>
          <w:rFonts w:ascii="Times New Roman" w:hAnsi="Times New Roman" w:cs="Times New Roman"/>
          <w:bCs/>
          <w:sz w:val="24"/>
          <w:szCs w:val="24"/>
          <w:lang w:val="en-US"/>
        </w:rPr>
        <w:t xml:space="preserve">Le Goff </w:t>
      </w:r>
      <w:r w:rsidR="00CF43AD" w:rsidRPr="00754A1D">
        <w:rPr>
          <w:rFonts w:ascii="Times New Roman" w:hAnsi="Times New Roman" w:cs="Times New Roman"/>
          <w:bCs/>
          <w:sz w:val="24"/>
          <w:szCs w:val="24"/>
          <w:lang w:val="en-US"/>
        </w:rPr>
        <w:t xml:space="preserve">for his comments. </w:t>
      </w:r>
      <w:r w:rsidR="00CD4304" w:rsidRPr="00754A1D">
        <w:rPr>
          <w:rFonts w:ascii="Times New Roman" w:hAnsi="Times New Roman" w:cs="Times New Roman"/>
          <w:bCs/>
          <w:sz w:val="24"/>
          <w:szCs w:val="24"/>
          <w:lang w:val="en-US"/>
        </w:rPr>
        <w:t xml:space="preserve">This is publication BRC 269 </w:t>
      </w:r>
      <w:r w:rsidR="001F2D29" w:rsidRPr="00754A1D">
        <w:rPr>
          <w:rFonts w:ascii="Times New Roman" w:hAnsi="Times New Roman" w:cs="Times New Roman"/>
          <w:bCs/>
          <w:sz w:val="24"/>
          <w:szCs w:val="24"/>
          <w:lang w:val="en-US"/>
        </w:rPr>
        <w:t>of the Biodiversity Research Centre</w:t>
      </w:r>
      <w:r w:rsidR="00CD4304" w:rsidRPr="00754A1D">
        <w:rPr>
          <w:rFonts w:ascii="Times New Roman" w:hAnsi="Times New Roman" w:cs="Times New Roman"/>
          <w:bCs/>
          <w:sz w:val="24"/>
          <w:szCs w:val="24"/>
          <w:lang w:val="en-US"/>
        </w:rPr>
        <w:t xml:space="preserve"> at </w:t>
      </w:r>
      <w:proofErr w:type="spellStart"/>
      <w:r w:rsidR="00CD4304" w:rsidRPr="00754A1D">
        <w:rPr>
          <w:rFonts w:ascii="Times New Roman" w:hAnsi="Times New Roman" w:cs="Times New Roman"/>
          <w:bCs/>
          <w:sz w:val="24"/>
          <w:szCs w:val="24"/>
          <w:lang w:val="en-US"/>
        </w:rPr>
        <w:t>UCLouvain</w:t>
      </w:r>
      <w:proofErr w:type="spellEnd"/>
      <w:r w:rsidR="00CD4304" w:rsidRPr="00754A1D">
        <w:rPr>
          <w:rFonts w:ascii="Times New Roman" w:hAnsi="Times New Roman" w:cs="Times New Roman"/>
          <w:bCs/>
          <w:sz w:val="24"/>
          <w:szCs w:val="24"/>
          <w:lang w:val="en-US"/>
        </w:rPr>
        <w:t>.</w:t>
      </w:r>
    </w:p>
    <w:p w14:paraId="2E9B7614" w14:textId="77777777" w:rsidR="00C91F9E" w:rsidRPr="00754A1D" w:rsidRDefault="00C91F9E" w:rsidP="00A26F28">
      <w:pPr>
        <w:spacing w:after="0" w:line="480" w:lineRule="auto"/>
        <w:jc w:val="both"/>
        <w:rPr>
          <w:rFonts w:ascii="Times New Roman" w:hAnsi="Times New Roman" w:cs="Times New Roman"/>
          <w:sz w:val="24"/>
          <w:szCs w:val="24"/>
          <w:lang w:val="en-US"/>
        </w:rPr>
      </w:pPr>
    </w:p>
    <w:p w14:paraId="7376AC09" w14:textId="5DA67801" w:rsidR="00A26F28" w:rsidRPr="00754A1D" w:rsidRDefault="00D32C9A" w:rsidP="00986526">
      <w:pPr>
        <w:spacing w:after="0" w:line="480" w:lineRule="auto"/>
        <w:jc w:val="both"/>
        <w:rPr>
          <w:rFonts w:ascii="Times New Roman" w:hAnsi="Times New Roman" w:cs="Times New Roman"/>
          <w:b/>
          <w:bCs/>
          <w:sz w:val="28"/>
          <w:szCs w:val="28"/>
          <w:lang w:val="en-US"/>
        </w:rPr>
      </w:pPr>
      <w:r w:rsidRPr="00754A1D">
        <w:rPr>
          <w:rFonts w:ascii="Times New Roman" w:hAnsi="Times New Roman" w:cs="Times New Roman"/>
          <w:b/>
          <w:bCs/>
          <w:sz w:val="28"/>
          <w:szCs w:val="28"/>
          <w:lang w:val="en-US"/>
        </w:rPr>
        <w:t>References</w:t>
      </w:r>
    </w:p>
    <w:p w14:paraId="23F53F61" w14:textId="77777777" w:rsidR="00507250" w:rsidRPr="00754A1D" w:rsidRDefault="00A26F28"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b/>
          <w:bCs/>
          <w:sz w:val="24"/>
          <w:szCs w:val="24"/>
          <w:lang w:val="en-US"/>
        </w:rPr>
        <w:fldChar w:fldCharType="begin"/>
      </w:r>
      <w:r w:rsidR="00E32D14" w:rsidRPr="00754A1D">
        <w:rPr>
          <w:rFonts w:ascii="Times New Roman" w:hAnsi="Times New Roman" w:cs="Times New Roman"/>
          <w:b/>
          <w:bCs/>
          <w:sz w:val="24"/>
          <w:szCs w:val="24"/>
          <w:lang w:val="en-US"/>
        </w:rPr>
        <w:instrText xml:space="preserve"> ADDIN ZOTERO_BIBL {"uncited":[],"omitted":[],"custom":[]} CSL_BIBLIOGRAPHY </w:instrText>
      </w:r>
      <w:r w:rsidRPr="00754A1D">
        <w:rPr>
          <w:rFonts w:ascii="Times New Roman" w:hAnsi="Times New Roman" w:cs="Times New Roman"/>
          <w:b/>
          <w:bCs/>
          <w:sz w:val="24"/>
          <w:szCs w:val="24"/>
          <w:lang w:val="en-US"/>
        </w:rPr>
        <w:fldChar w:fldCharType="separate"/>
      </w:r>
      <w:r w:rsidR="00507250" w:rsidRPr="00754A1D">
        <w:rPr>
          <w:rFonts w:ascii="Times New Roman" w:hAnsi="Times New Roman" w:cs="Times New Roman"/>
          <w:sz w:val="24"/>
          <w:szCs w:val="24"/>
          <w:lang w:val="en-US"/>
        </w:rPr>
        <w:t xml:space="preserve">Abraham DM, Wolf MJ (2013) Disruption of sarcoendoplasmic reticulum calcium ATPase function in </w:t>
      </w:r>
      <w:r w:rsidR="00507250" w:rsidRPr="00754A1D">
        <w:rPr>
          <w:rFonts w:ascii="Times New Roman" w:hAnsi="Times New Roman" w:cs="Times New Roman"/>
          <w:i/>
          <w:sz w:val="24"/>
          <w:szCs w:val="24"/>
          <w:lang w:val="en-US"/>
        </w:rPr>
        <w:t>Drosophila</w:t>
      </w:r>
      <w:r w:rsidR="00507250" w:rsidRPr="00754A1D">
        <w:rPr>
          <w:rFonts w:ascii="Times New Roman" w:hAnsi="Times New Roman" w:cs="Times New Roman"/>
          <w:sz w:val="24"/>
          <w:szCs w:val="24"/>
          <w:lang w:val="en-US"/>
        </w:rPr>
        <w:t xml:space="preserve"> leads to cardiac dysfunction. PloS One 8:e77785. https://doi.org/10.1371/journal.pone.0077785</w:t>
      </w:r>
    </w:p>
    <w:p w14:paraId="128D2869"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Aggarwal KK, Tripathi AK, Ahmad A, et al (2001) Toxicity of l-menthol and its derivatives against four storage insects. Int J Trop Insect Sci 21:229–235. https://doi.org/10.1017/S1742758400007621</w:t>
      </w:r>
    </w:p>
    <w:p w14:paraId="4C53F226"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Andersen SO (2012) 6 - Cuticular Sclerotization and Tanning. In: Gilbert LI (ed) Insect Molecular Biology and Biochemistry. Academic Press, San Diego, pp 167–192</w:t>
      </w:r>
    </w:p>
    <w:p w14:paraId="4B7D89E0"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Ansari MA, Vasudevan P, Tandon M, Razdan RK (2000) Larvicidal and mosquito repellent action of peppermint (</w:t>
      </w:r>
      <w:r w:rsidRPr="00754A1D">
        <w:rPr>
          <w:rFonts w:ascii="Times New Roman" w:hAnsi="Times New Roman" w:cs="Times New Roman"/>
          <w:i/>
          <w:sz w:val="24"/>
          <w:szCs w:val="24"/>
          <w:lang w:val="en-US"/>
        </w:rPr>
        <w:t>Mentha piperita</w:t>
      </w:r>
      <w:r w:rsidRPr="00754A1D">
        <w:rPr>
          <w:rFonts w:ascii="Times New Roman" w:hAnsi="Times New Roman" w:cs="Times New Roman"/>
          <w:sz w:val="24"/>
          <w:szCs w:val="24"/>
          <w:lang w:val="en-US"/>
        </w:rPr>
        <w:t>) oil. Bioresour Technol 71:267–271. https://doi.org/10.1016/S0960-8524(99)00079-6</w:t>
      </w:r>
    </w:p>
    <w:p w14:paraId="2A1F29B2"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Balabanidou V, Grigoraki L, Vontas J (2018) Insect cuticle: a critical determinant of insecticide resistance. Curr Opin Insect Sci 27:68–74. https://doi.org/10.1016/j.cois.2018.03.001</w:t>
      </w:r>
    </w:p>
    <w:p w14:paraId="088F6AE8"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Banerjee S, Joshi R, Venkiteswaran G, et al (2006) Compensation of Inositol 1,4,5-Trisphosphate Receptor Function by Altering Sarco-Endoplasmic Reticulum Calcium ATPase Activity in the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xml:space="preserve"> Flight Circuit. J Neurosci 26:8278–8288. https://doi.org/10.1523/JNEUROSCI.1231-06.2006</w:t>
      </w:r>
    </w:p>
    <w:p w14:paraId="01050693"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Bataillé L, Delon I, Da Ponte JP, et al (2010) Downstream of Identity Genes: Muscle-Type-Specific Regulation of the Fusion Process. Dev Cell 19:317–328. https://doi.org/10.1016/j.devcel.2010.07.008</w:t>
      </w:r>
    </w:p>
    <w:p w14:paraId="38D9E309"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Benna C, Peron S, Rizzo G, et al (2009) Post-transcriptional silencing of the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xml:space="preserve"> homolog of human ZASP: a molecular and functional analysis. Cell Tissue Res 337:463–476. https://doi.org/10.1007/s00441-009-0813-y</w:t>
      </w:r>
    </w:p>
    <w:p w14:paraId="19E79B80"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lastRenderedPageBreak/>
        <w:t>Bi J, Wang W, Liu Z, et al (2014) Seipin promotes adipose tissue fat storage through the ER Ca</w:t>
      </w:r>
      <w:r w:rsidRPr="00754A1D">
        <w:rPr>
          <w:rFonts w:ascii="Times New Roman" w:hAnsi="Times New Roman" w:cs="Times New Roman"/>
          <w:sz w:val="24"/>
          <w:szCs w:val="24"/>
          <w:vertAlign w:val="superscript"/>
          <w:lang w:val="en-US"/>
        </w:rPr>
        <w:t>2+</w:t>
      </w:r>
      <w:r w:rsidRPr="00754A1D">
        <w:rPr>
          <w:rFonts w:ascii="Times New Roman" w:hAnsi="Times New Roman" w:cs="Times New Roman"/>
          <w:sz w:val="24"/>
          <w:szCs w:val="24"/>
          <w:lang w:val="en-US"/>
        </w:rPr>
        <w:t>-ATPase SERCA. Cell Metab 19:861–871. https://doi.org/10.1016/j.cmet.2014.03.028</w:t>
      </w:r>
    </w:p>
    <w:p w14:paraId="65454A86"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Biswas NN, Saha S, Ali MK (2014) Antioxidant, antimicrobial, cytotoxic and analgesic activities of ethanolic extract of </w:t>
      </w:r>
      <w:r w:rsidRPr="00754A1D">
        <w:rPr>
          <w:rFonts w:ascii="Times New Roman" w:hAnsi="Times New Roman" w:cs="Times New Roman"/>
          <w:i/>
          <w:sz w:val="24"/>
          <w:szCs w:val="24"/>
          <w:lang w:val="en-US"/>
        </w:rPr>
        <w:t>Mentha arvensis</w:t>
      </w:r>
      <w:r w:rsidRPr="00754A1D">
        <w:rPr>
          <w:rFonts w:ascii="Times New Roman" w:hAnsi="Times New Roman" w:cs="Times New Roman"/>
          <w:sz w:val="24"/>
          <w:szCs w:val="24"/>
          <w:lang w:val="en-US"/>
        </w:rPr>
        <w:t xml:space="preserve"> L. Asian Pac J Trop Biomed 4:792–797. https://doi.org/10.12980/APJTB.4.2014C1298</w:t>
      </w:r>
    </w:p>
    <w:p w14:paraId="2E48EC65"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Bloomquist JR (2003) Chloride channels as tools for developing selective insecticides. Arch Insect Biochem Physiol 54:145–156. https://doi.org/10.1002/arch.10112</w:t>
      </w:r>
    </w:p>
    <w:p w14:paraId="3EA19FE1"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Bonner JM, Boulianne GL (2017) Diverse structures, functions and uses of FK506 binding proteins. Cell Signal 38:97–105. https://doi.org/10.1016/j.cellsig.2017.06.013</w:t>
      </w:r>
    </w:p>
    <w:p w14:paraId="597F55A0"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Bredendiek N, Hütte J, Steingräber A, et al (2011) Go </w:t>
      </w:r>
      <w:r w:rsidRPr="00754A1D">
        <w:rPr>
          <w:rFonts w:ascii="Times New Roman" w:hAnsi="Times New Roman" w:cs="Times New Roman"/>
          <w:sz w:val="24"/>
          <w:szCs w:val="24"/>
        </w:rPr>
        <w:t>α</w:t>
      </w:r>
      <w:r w:rsidRPr="00754A1D">
        <w:rPr>
          <w:rFonts w:ascii="Times New Roman" w:hAnsi="Times New Roman" w:cs="Times New Roman"/>
          <w:sz w:val="24"/>
          <w:szCs w:val="24"/>
          <w:lang w:val="en-US"/>
        </w:rPr>
        <w:t xml:space="preserve"> is involved in sugar perception in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Chem Senses 36:69–81. https://doi.org/10.1093/chemse/bjq100</w:t>
      </w:r>
    </w:p>
    <w:p w14:paraId="0504C1A1"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Bronk P, Wenniger JJ, Dawson-Scully K, et al (2001)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xml:space="preserve"> Hsc70-4 Is Critical for Neurotransmitter Exocytosis In Vivo. Neuron 30:475–488. https://doi.org/10.1016/S0896-6273(01)00292-6</w:t>
      </w:r>
    </w:p>
    <w:p w14:paraId="2285038C"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Brügger BP, Martínez LC, Plata-Rueda A, et al (2019) Bioactivity of the </w:t>
      </w:r>
      <w:r w:rsidRPr="00754A1D">
        <w:rPr>
          <w:rFonts w:ascii="Times New Roman" w:hAnsi="Times New Roman" w:cs="Times New Roman"/>
          <w:i/>
          <w:sz w:val="24"/>
          <w:szCs w:val="24"/>
          <w:lang w:val="en-US"/>
        </w:rPr>
        <w:t xml:space="preserve">Cymbopogon citratus </w:t>
      </w:r>
      <w:r w:rsidRPr="00754A1D">
        <w:rPr>
          <w:rFonts w:ascii="Times New Roman" w:hAnsi="Times New Roman" w:cs="Times New Roman"/>
          <w:sz w:val="24"/>
          <w:szCs w:val="24"/>
          <w:lang w:val="en-US"/>
        </w:rPr>
        <w:t xml:space="preserve">(Poaceae) essential oil and its terpenoid constituents on the predatory bug, </w:t>
      </w:r>
      <w:r w:rsidRPr="00754A1D">
        <w:rPr>
          <w:rFonts w:ascii="Times New Roman" w:hAnsi="Times New Roman" w:cs="Times New Roman"/>
          <w:i/>
          <w:sz w:val="24"/>
          <w:szCs w:val="24"/>
          <w:lang w:val="en-US"/>
        </w:rPr>
        <w:t>Podisus nigrispinus</w:t>
      </w:r>
      <w:r w:rsidRPr="00754A1D">
        <w:rPr>
          <w:rFonts w:ascii="Times New Roman" w:hAnsi="Times New Roman" w:cs="Times New Roman"/>
          <w:sz w:val="24"/>
          <w:szCs w:val="24"/>
          <w:lang w:val="en-US"/>
        </w:rPr>
        <w:t xml:space="preserve"> (Heteroptera: Pentatomidae). Sci Rep 9:8358. https://doi.org/10.1038/s41598-019-44709-y</w:t>
      </w:r>
    </w:p>
    <w:p w14:paraId="63E5E554"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Cao T, Sujkowski A, Cobb T, et al (2020) The glutamic acid-rich long C-terminal extension of troponin T has a critical role in insect muscle functions. J Biol Chem jbc.RA119.012014. https://doi.org/10.1074/jbc.RA119.012014</w:t>
      </w:r>
    </w:p>
    <w:p w14:paraId="059BAEB2"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Cetin H, Cinbilgel I, Yanikoglu A, Gokceoglu M (2006) Larvicidal activity of some labiatae (lamiaceae) plant extracts from Turkey. Phytother Res 20:1088–1090. https://doi.org/10.1002/ptr.2004</w:t>
      </w:r>
    </w:p>
    <w:p w14:paraId="40899AB6" w14:textId="77777777" w:rsidR="00507250" w:rsidRPr="00754A1D" w:rsidRDefault="00507250" w:rsidP="00D80B39">
      <w:pPr>
        <w:pStyle w:val="Bibliographie"/>
        <w:jc w:val="both"/>
        <w:rPr>
          <w:rFonts w:ascii="Times New Roman" w:hAnsi="Times New Roman" w:cs="Times New Roman"/>
          <w:sz w:val="24"/>
          <w:szCs w:val="24"/>
          <w:lang w:val="nl-BE"/>
        </w:rPr>
      </w:pPr>
      <w:r w:rsidRPr="00754A1D">
        <w:rPr>
          <w:rFonts w:ascii="Times New Roman" w:hAnsi="Times New Roman" w:cs="Times New Roman"/>
          <w:sz w:val="24"/>
          <w:szCs w:val="24"/>
          <w:lang w:val="en-US"/>
        </w:rPr>
        <w:t xml:space="preserve">Cetin- H, Yanikoglu A (2006) A study of the larvicidal activity of </w:t>
      </w:r>
      <w:r w:rsidRPr="00754A1D">
        <w:rPr>
          <w:rFonts w:ascii="Times New Roman" w:hAnsi="Times New Roman" w:cs="Times New Roman"/>
          <w:i/>
          <w:sz w:val="24"/>
          <w:szCs w:val="24"/>
          <w:lang w:val="en-US"/>
        </w:rPr>
        <w:t>Origanum</w:t>
      </w:r>
      <w:r w:rsidRPr="00754A1D">
        <w:rPr>
          <w:rFonts w:ascii="Times New Roman" w:hAnsi="Times New Roman" w:cs="Times New Roman"/>
          <w:sz w:val="24"/>
          <w:szCs w:val="24"/>
          <w:lang w:val="en-US"/>
        </w:rPr>
        <w:t xml:space="preserve"> (Labiatae) species from southwest Turkey. </w:t>
      </w:r>
      <w:r w:rsidRPr="00754A1D">
        <w:rPr>
          <w:rFonts w:ascii="Times New Roman" w:hAnsi="Times New Roman" w:cs="Times New Roman"/>
          <w:sz w:val="24"/>
          <w:szCs w:val="24"/>
          <w:lang w:val="nl-BE"/>
        </w:rPr>
        <w:t>J Vector Ecol J Soc Vector Ecol 31:118–122. https://doi.org/10.3376/1081-1710(2006)31[118:asotla]2.0.co;2</w:t>
      </w:r>
    </w:p>
    <w:p w14:paraId="7A010CDC"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Chen NH, Djoko KY, Veyrier FJ, McEwan AG (2016) Formaldehyde Stress Responses in Bacterial Pathogens. Front Microbiol 7:. https://doi.org/10.3389/fmicb.2016.00257</w:t>
      </w:r>
    </w:p>
    <w:p w14:paraId="15573E79"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Cheng MY, Hartl FU, Martin J, et al (1989) Mitochondrial heat-shock protein hsp60 is essential for assembly of proteins imported into yeast mitochondria. Nature 337:620–625. https://doi.org/10.1038/337620a0</w:t>
      </w:r>
    </w:p>
    <w:p w14:paraId="4F0466D2"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Clark KA, Bland JM, Beckerle MC (2007) The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xml:space="preserve"> muscle LIM protein, Mlp84B, cooperates with D-titin to maintain muscle structural integrity. J Cell Sci 120:2066–2077. https://doi.org/10.1242/jcs.000695</w:t>
      </w:r>
    </w:p>
    <w:p w14:paraId="76E96F56"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Coats JR, Karr LL, Drewes CD (1991) Toxicity and Neurotoxic Effects of Monoterpenoids. In: Naturally Occurring Pest Bioregulators. American Chemical Society, pp 305–316</w:t>
      </w:r>
    </w:p>
    <w:p w14:paraId="74612967"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lastRenderedPageBreak/>
        <w:t>Copping LG, Menn JJ (2000) Biopesticides: a review of their action, applications and efficacy. Pest Manag Sci 56:651–676. https://doi.org/10.1002/1526-4998(200008)56:8&lt;651::AID-PS201&gt;3.0.CO;2-U</w:t>
      </w:r>
    </w:p>
    <w:p w14:paraId="4E7E5BAA"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Dale C (2017) Evolution: Weevils Get Tough on Symbiotic Tyrosine. Curr Biol 27:R1282–R1284. https://doi.org/10.1016/j.cub.2017.10.031</w:t>
      </w:r>
    </w:p>
    <w:p w14:paraId="608F5D5A"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Decoville M, Giacomello E, Leng M, Locker D (2001) DSP1, an HMG-like protein, is involved in the regulation of homeotic genes. Genetics 157:237–244</w:t>
      </w:r>
    </w:p>
    <w:p w14:paraId="76FD224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Deletre E, Chandre F, Barkman B, et al (2016) Naturally occurring bioactive compounds from four repellent essential oils against </w:t>
      </w:r>
      <w:r w:rsidRPr="00754A1D">
        <w:rPr>
          <w:rFonts w:ascii="Times New Roman" w:hAnsi="Times New Roman" w:cs="Times New Roman"/>
          <w:i/>
          <w:iCs/>
          <w:sz w:val="24"/>
          <w:szCs w:val="24"/>
          <w:lang w:val="en-US"/>
        </w:rPr>
        <w:t>Bemisia tabaci</w:t>
      </w:r>
      <w:r w:rsidRPr="00754A1D">
        <w:rPr>
          <w:rFonts w:ascii="Times New Roman" w:hAnsi="Times New Roman" w:cs="Times New Roman"/>
          <w:sz w:val="24"/>
          <w:szCs w:val="24"/>
          <w:lang w:val="en-US"/>
        </w:rPr>
        <w:t xml:space="preserve"> whiteflies: Bioactive natural repellent compounds against whiteflies. Pest Manag Sci 72:179–189. https://doi.org/10.1002/ps.3987</w:t>
      </w:r>
    </w:p>
    <w:p w14:paraId="6819F7A7"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Demeter S, Lebbe O, Hecq F, et al (2021) Insecticidal Activity of 25 Essential Oils on the Stored Product Pest, Sitophilus granarius. Foods 10:200. https://doi.org/10.3390/foods10020200</w:t>
      </w:r>
    </w:p>
    <w:p w14:paraId="473EC278"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Dick T, Ray K, Salz HK, Chia W (1996) Cytoplasmic dynein (ddlc1) mutations cause morphogenetic defects and apoptotic cell death in </w:t>
      </w:r>
      <w:r w:rsidRPr="00754A1D">
        <w:rPr>
          <w:rFonts w:ascii="Times New Roman" w:hAnsi="Times New Roman" w:cs="Times New Roman"/>
          <w:i/>
          <w:sz w:val="24"/>
          <w:szCs w:val="24"/>
          <w:lang w:val="en-US"/>
        </w:rPr>
        <w:t>Drosophila melanogaster</w:t>
      </w:r>
      <w:r w:rsidRPr="00754A1D">
        <w:rPr>
          <w:rFonts w:ascii="Times New Roman" w:hAnsi="Times New Roman" w:cs="Times New Roman"/>
          <w:sz w:val="24"/>
          <w:szCs w:val="24"/>
          <w:lang w:val="en-US"/>
        </w:rPr>
        <w:t>. Mol Cell Biol 16:1966–1977</w:t>
      </w:r>
    </w:p>
    <w:p w14:paraId="4DB758A6"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Domingo A, González-Jurado J, Maroto M, et al (1998) Troponin-T is a calcium-binding protein in insect muscle: in vivo phosphorylation, muscle-specific isoforms and developmental profile in </w:t>
      </w:r>
      <w:r w:rsidRPr="00754A1D">
        <w:rPr>
          <w:rFonts w:ascii="Times New Roman" w:hAnsi="Times New Roman" w:cs="Times New Roman"/>
          <w:i/>
          <w:sz w:val="24"/>
          <w:szCs w:val="24"/>
          <w:lang w:val="en-US"/>
        </w:rPr>
        <w:t>Drosophila melanogaster</w:t>
      </w:r>
      <w:r w:rsidRPr="00754A1D">
        <w:rPr>
          <w:rFonts w:ascii="Times New Roman" w:hAnsi="Times New Roman" w:cs="Times New Roman"/>
          <w:sz w:val="24"/>
          <w:szCs w:val="24"/>
          <w:lang w:val="en-US"/>
        </w:rPr>
        <w:t>. J Muscle Res Cell Motil 19:393–403. https://doi.org/10.1023/a:1005349704790</w:t>
      </w:r>
    </w:p>
    <w:p w14:paraId="0DD0B718"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Echard A, Hickson GRX, Foley E, O’Farrell PH (2004) Terminal cytokinesis events uncovered after an RNAi screen. Curr Biol CB 14:1685–1693. https://doi.org/10.1016/j.cub.2004.08.063</w:t>
      </w:r>
    </w:p>
    <w:p w14:paraId="1B0CBE95"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Enan E (2001) Insecticidal activity of essential oils: octopaminergic sites of action. Comp Biochem Physiol Part C Toxicol Pharmacol 130:325–337. https://doi.org/10.1016/S1532-0456(01)00255-1</w:t>
      </w:r>
    </w:p>
    <w:p w14:paraId="52F809B5"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Enan EE (2005) Molecular and pharmacological analysis of an octopamine receptor from American cockroach and fruit fly in response to plant essential oils. Arch Insect Biochem Physiol 59:161–171. https://doi.org/10.1002/arch.20076</w:t>
      </w:r>
    </w:p>
    <w:p w14:paraId="10994BB5"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Featherstone DE, Rushton E, Broadie K (2002) Developmental regulation of glutamate receptor field size by nonvesicular glutamate release. Nat Neurosci 5:141–146. https://doi.org/10.1038/nn789</w:t>
      </w:r>
    </w:p>
    <w:p w14:paraId="63FA2842"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Fontanesi F, Soto IC, Barrientos A (2008) Cytochrome c oxidase biogenesis: New levels of regulation. IUBMB Life 60:557–568. https://doi.org/10.1002/iub.86</w:t>
      </w:r>
    </w:p>
    <w:p w14:paraId="0EE74D16"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Ghosh-Roy A, Desai BS, Ray K (2005) Dynein Light Chain 1 Regulates Dynamin-mediated F-Actin Assembly during Sperm Individualization in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Mol Biol Cell 16:3107–3116. https://doi.org/10.1091/mbc.e05-02-0103</w:t>
      </w:r>
    </w:p>
    <w:p w14:paraId="5A85080D"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lastRenderedPageBreak/>
        <w:t>Gil A, de la Fuente EB, Lenardis AE, et al (2002) Coriander Essential Oil Composition from Two Genotypes Grown in Different Environmental Conditions. J Agric Food Chem 50:2870–2877. https://doi.org/10.1021/jf011128i</w:t>
      </w:r>
    </w:p>
    <w:p w14:paraId="3C92CA5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Gonzalez CF, Proudfoot M, Brown G, et al (2006) Molecular Basis of Formaldehyde Detoxification CHARACTERIZATION OF TWO S-FORMYLGLUTATHIONE HYDROLASES FROM ESCHERICHIA COLI, FrmB AND YeiG. J Biol Chem 281:14514–14522. https://doi.org/10.1074/jbc.M600996200</w:t>
      </w:r>
    </w:p>
    <w:p w14:paraId="666A4459"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Govindarajan M, Sivakumar R, Rajeswari M, Yogalakshmi K (2012) Chemical composition and larvicidal activity of essential oil from </w:t>
      </w:r>
      <w:r w:rsidRPr="00754A1D">
        <w:rPr>
          <w:rFonts w:ascii="Times New Roman" w:hAnsi="Times New Roman" w:cs="Times New Roman"/>
          <w:i/>
          <w:sz w:val="24"/>
          <w:szCs w:val="24"/>
          <w:lang w:val="en-US"/>
        </w:rPr>
        <w:t>Mentha spicata</w:t>
      </w:r>
      <w:r w:rsidRPr="00754A1D">
        <w:rPr>
          <w:rFonts w:ascii="Times New Roman" w:hAnsi="Times New Roman" w:cs="Times New Roman"/>
          <w:sz w:val="24"/>
          <w:szCs w:val="24"/>
          <w:lang w:val="en-US"/>
        </w:rPr>
        <w:t xml:space="preserve"> (Linn.) against three mosquito species. Parasitol Res 110:2023–2032. https://doi.org/10.1007/s00436-011-2731-7</w:t>
      </w:r>
    </w:p>
    <w:p w14:paraId="15CD001F"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Guedes RNC, Lima JOG, Santos JP, Cruz CD (1994) Inheritance of Deltamethrin resistance in a Brazilian strain of maize weevil (</w:t>
      </w:r>
      <w:r w:rsidRPr="00754A1D">
        <w:rPr>
          <w:rFonts w:ascii="Times New Roman" w:hAnsi="Times New Roman" w:cs="Times New Roman"/>
          <w:i/>
          <w:sz w:val="24"/>
          <w:szCs w:val="24"/>
          <w:lang w:val="en-US"/>
        </w:rPr>
        <w:t>Sitophilus zeamais</w:t>
      </w:r>
      <w:r w:rsidRPr="00754A1D">
        <w:rPr>
          <w:rFonts w:ascii="Times New Roman" w:hAnsi="Times New Roman" w:cs="Times New Roman"/>
          <w:sz w:val="24"/>
          <w:szCs w:val="24"/>
          <w:lang w:val="en-US"/>
        </w:rPr>
        <w:t xml:space="preserve"> mots.). Int J Pest Manag 40:103–106. https://doi.org/10.1080/09670879409371863</w:t>
      </w:r>
    </w:p>
    <w:p w14:paraId="748A6D6A"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Handford CE, Elliott CT, Campbell K (2015) A review of the global pesticide legislation and the scale of challenge in reaching the global harmonization of food safety standards. Integr Environ Assess Manag 11:525–536. https://doi.org/10.1002/ieam.1635</w:t>
      </w:r>
    </w:p>
    <w:p w14:paraId="7D9478A2"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Herold N, Will CL, Wolf E, et al (2009) Conservation of the Protein Composition and Electron Microscopy Structure of </w:t>
      </w:r>
      <w:r w:rsidRPr="00754A1D">
        <w:rPr>
          <w:rFonts w:ascii="Times New Roman" w:hAnsi="Times New Roman" w:cs="Times New Roman"/>
          <w:i/>
          <w:sz w:val="24"/>
          <w:szCs w:val="24"/>
          <w:lang w:val="en-US"/>
        </w:rPr>
        <w:t>Drosophila melanogaster</w:t>
      </w:r>
      <w:r w:rsidRPr="00754A1D">
        <w:rPr>
          <w:rFonts w:ascii="Times New Roman" w:hAnsi="Times New Roman" w:cs="Times New Roman"/>
          <w:sz w:val="24"/>
          <w:szCs w:val="24"/>
          <w:lang w:val="en-US"/>
        </w:rPr>
        <w:t xml:space="preserve"> and Human Spliceosomal Complexes. Mol Cell Biol 29:281–301. https://doi.org/10.1128/MCB.01415-08</w:t>
      </w:r>
    </w:p>
    <w:p w14:paraId="43E4EC3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Hirota B, Okude G, Anbutsu H, et al (2017) A Novel, Extremely Elongated, and Endocellular Bacterial Symbiont Supports Cuticle Formation of a Grain Pest Beetle. mBio 8:e01482-17. https://doi.org/10.1128/mBio.01482-17</w:t>
      </w:r>
    </w:p>
    <w:p w14:paraId="4047D712"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Horváth P, Koščová J (2017) In vitro Antibacterial Activity of </w:t>
      </w:r>
      <w:r w:rsidRPr="00754A1D">
        <w:rPr>
          <w:rFonts w:ascii="Times New Roman" w:hAnsi="Times New Roman" w:cs="Times New Roman"/>
          <w:i/>
          <w:sz w:val="24"/>
          <w:szCs w:val="24"/>
          <w:lang w:val="en-US"/>
        </w:rPr>
        <w:t>Mentha</w:t>
      </w:r>
      <w:r w:rsidRPr="00754A1D">
        <w:rPr>
          <w:rFonts w:ascii="Times New Roman" w:hAnsi="Times New Roman" w:cs="Times New Roman"/>
          <w:sz w:val="24"/>
          <w:szCs w:val="24"/>
          <w:lang w:val="en-US"/>
        </w:rPr>
        <w:t xml:space="preserve"> Essential Oils Against </w:t>
      </w:r>
      <w:r w:rsidRPr="00754A1D">
        <w:rPr>
          <w:rFonts w:ascii="Times New Roman" w:hAnsi="Times New Roman" w:cs="Times New Roman"/>
          <w:i/>
          <w:sz w:val="24"/>
          <w:szCs w:val="24"/>
          <w:lang w:val="en-US"/>
        </w:rPr>
        <w:t>Staphylococcus aureus</w:t>
      </w:r>
      <w:r w:rsidRPr="00754A1D">
        <w:rPr>
          <w:rFonts w:ascii="Times New Roman" w:hAnsi="Times New Roman" w:cs="Times New Roman"/>
          <w:sz w:val="24"/>
          <w:szCs w:val="24"/>
          <w:lang w:val="en-US"/>
        </w:rPr>
        <w:t>. Folia Vet 61:71–77. https://doi.org/10.1515/fv-2017-0030</w:t>
      </w:r>
    </w:p>
    <w:p w14:paraId="1F12B17F"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Huang Y, Liao M, Yang Q, et al (2019) iTRAQ-based quantitative proteome revealed metabolic changes of </w:t>
      </w:r>
      <w:r w:rsidRPr="00754A1D">
        <w:rPr>
          <w:rFonts w:ascii="Times New Roman" w:hAnsi="Times New Roman" w:cs="Times New Roman"/>
          <w:i/>
          <w:sz w:val="24"/>
          <w:szCs w:val="24"/>
          <w:lang w:val="en-US"/>
        </w:rPr>
        <w:t>Sitophilus zeamais</w:t>
      </w:r>
      <w:r w:rsidRPr="00754A1D">
        <w:rPr>
          <w:rFonts w:ascii="Times New Roman" w:hAnsi="Times New Roman" w:cs="Times New Roman"/>
          <w:sz w:val="24"/>
          <w:szCs w:val="24"/>
          <w:lang w:val="en-US"/>
        </w:rPr>
        <w:t xml:space="preserve"> in response to terpinen-4-ol fumigation. Pest Manag Sci 75:444–451. https://doi.org/10.1002/ps.5135</w:t>
      </w:r>
    </w:p>
    <w:p w14:paraId="2B301474"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Isman MB (2000) Plant essential oils for pest and disease management. Crop Prot 19:603–608. https://doi.org/10.1016/S0261-2194(00)00079-X</w:t>
      </w:r>
    </w:p>
    <w:p w14:paraId="6E8D6C45"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Isman MB, Grieneisen ML (2014) Botanical insecticide research: many publications, limited useful data. Trends Plant Sci 19:140–145. https://doi.org/10.1016/j.tplants.2013.11.005</w:t>
      </w:r>
    </w:p>
    <w:p w14:paraId="427F93D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Jan Y-N, Jan LY (2010) Branching out: mechanisms of dendritic arborization. Nat Rev Neurosci 11:316–328. https://doi.org/10.1038/nrn2836</w:t>
      </w:r>
    </w:p>
    <w:p w14:paraId="33588EC8"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Jankowska M, Rogalska J, Wyszkowska J, Stankiewicz M (2018) Molecular Targets for Components of Essential Oils in the Insect Nervous System—A Review. Molecules 23:34. https://doi.org/10.3390/molecules23010034</w:t>
      </w:r>
    </w:p>
    <w:p w14:paraId="676A4E0B"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lastRenderedPageBreak/>
        <w:t xml:space="preserve">Jayaram SA, Senti K-A, Tiklová K, et al (2008) COPI Vesicle Transport Is a Common Requirement for Tube Expansion in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PLOS ONE 3:e1964. https://doi.org/10.1371/journal.pone.0001964</w:t>
      </w:r>
    </w:p>
    <w:p w14:paraId="7440EF75"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Jayas DS, White NDG, Muir WE (1994) Stored-Grain Ecosystems. CRC Press</w:t>
      </w:r>
    </w:p>
    <w:p w14:paraId="7A2F582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Jembere B, Obeng-Ofori D, Hassanali A, Nyamasyo GNN (1995) Products derived from the leaves of </w:t>
      </w:r>
      <w:r w:rsidRPr="00754A1D">
        <w:rPr>
          <w:rFonts w:ascii="Times New Roman" w:hAnsi="Times New Roman" w:cs="Times New Roman"/>
          <w:i/>
          <w:sz w:val="24"/>
          <w:szCs w:val="24"/>
          <w:lang w:val="en-US"/>
        </w:rPr>
        <w:t>Ocimum kilimandscharicum</w:t>
      </w:r>
      <w:r w:rsidRPr="00754A1D">
        <w:rPr>
          <w:rFonts w:ascii="Times New Roman" w:hAnsi="Times New Roman" w:cs="Times New Roman"/>
          <w:sz w:val="24"/>
          <w:szCs w:val="24"/>
          <w:lang w:val="en-US"/>
        </w:rPr>
        <w:t xml:space="preserve"> (Labiatae) as post-harvest grain protectants against the infestation of three major stored product insect pests. Bull Entomol Res 85:361–367. https://doi.org/10.1017/S0007485300036099</w:t>
      </w:r>
    </w:p>
    <w:p w14:paraId="0556E682"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Keeling CI, Yuen MM, Liao NY, et al (2013) Draft genome of the mountain pine beetle, </w:t>
      </w:r>
      <w:r w:rsidRPr="00754A1D">
        <w:rPr>
          <w:rFonts w:ascii="Times New Roman" w:hAnsi="Times New Roman" w:cs="Times New Roman"/>
          <w:i/>
          <w:sz w:val="24"/>
          <w:szCs w:val="24"/>
          <w:lang w:val="en-US"/>
        </w:rPr>
        <w:t>Dendroctonus ponderosae</w:t>
      </w:r>
      <w:r w:rsidRPr="00754A1D">
        <w:rPr>
          <w:rFonts w:ascii="Times New Roman" w:hAnsi="Times New Roman" w:cs="Times New Roman"/>
          <w:sz w:val="24"/>
          <w:szCs w:val="24"/>
          <w:lang w:val="en-US"/>
        </w:rPr>
        <w:t xml:space="preserve"> Hopkins, a major forest pest. Genome Biol 14:R27. https://doi.org/10.1186/gb-2013-14-3-r27</w:t>
      </w:r>
    </w:p>
    <w:p w14:paraId="71D5BE33"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Kim S-I, Roh J-Y, Kim D-H, et al (2003) Insecticidal activities of aromatic plant extracts and essential oils against </w:t>
      </w:r>
      <w:r w:rsidRPr="00754A1D">
        <w:rPr>
          <w:rFonts w:ascii="Times New Roman" w:hAnsi="Times New Roman" w:cs="Times New Roman"/>
          <w:i/>
          <w:sz w:val="24"/>
          <w:szCs w:val="24"/>
          <w:lang w:val="en-US"/>
        </w:rPr>
        <w:t>Sitophilus oryzae</w:t>
      </w:r>
      <w:r w:rsidRPr="00754A1D">
        <w:rPr>
          <w:rFonts w:ascii="Times New Roman" w:hAnsi="Times New Roman" w:cs="Times New Roman"/>
          <w:sz w:val="24"/>
          <w:szCs w:val="24"/>
          <w:lang w:val="en-US"/>
        </w:rPr>
        <w:t xml:space="preserve"> and </w:t>
      </w:r>
      <w:r w:rsidRPr="00754A1D">
        <w:rPr>
          <w:rFonts w:ascii="Times New Roman" w:hAnsi="Times New Roman" w:cs="Times New Roman"/>
          <w:i/>
          <w:sz w:val="24"/>
          <w:szCs w:val="24"/>
          <w:lang w:val="en-US"/>
        </w:rPr>
        <w:t>Callosobruchus chinensis</w:t>
      </w:r>
      <w:r w:rsidRPr="00754A1D">
        <w:rPr>
          <w:rFonts w:ascii="Times New Roman" w:hAnsi="Times New Roman" w:cs="Times New Roman"/>
          <w:sz w:val="24"/>
          <w:szCs w:val="24"/>
          <w:lang w:val="en-US"/>
        </w:rPr>
        <w:t>. J Stored Prod Res 39:293–303. https://doi.org/10.1016/S0022-474X(02)00017-6</w:t>
      </w:r>
    </w:p>
    <w:p w14:paraId="2FEE947A"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Klingenberg M (1985) The ADP/ATP Carrier in Mitochondrial Membranes. In: Martonosi AN (ed) The Enzymes of Biological Membranes: Volume 4 Bioenergetics of Electron and Proton Transport. Springer US, Boston, MA, pp 511–553</w:t>
      </w:r>
    </w:p>
    <w:p w14:paraId="6EC2E02A"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Kljajić P, Perić I (2007) Altered susceptibility of granary weevil </w:t>
      </w:r>
      <w:r w:rsidRPr="00754A1D">
        <w:rPr>
          <w:rFonts w:ascii="Times New Roman" w:hAnsi="Times New Roman" w:cs="Times New Roman"/>
          <w:i/>
          <w:sz w:val="24"/>
          <w:szCs w:val="24"/>
          <w:lang w:val="en-US"/>
        </w:rPr>
        <w:t>Sitophilus granarius</w:t>
      </w:r>
      <w:r w:rsidRPr="00754A1D">
        <w:rPr>
          <w:rFonts w:ascii="Times New Roman" w:hAnsi="Times New Roman" w:cs="Times New Roman"/>
          <w:sz w:val="24"/>
          <w:szCs w:val="24"/>
          <w:lang w:val="en-US"/>
        </w:rPr>
        <w:t xml:space="preserve"> (L.) (Coleoptera: Curculionidae) populations to insecticides after selection with pirimiphos-methyl and deltamethrin. J Stored Prod Res 43:134–141. https://doi.org/10.1016/j.jspr.2006.02.004</w:t>
      </w:r>
    </w:p>
    <w:p w14:paraId="451E8EEA"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Klymenko T, Papp B, Fischle W, et al (2006) A Polycomb group protein complex with sequence-specific DNA-binding and selective methyl-lysine-binding activities. Genes Dev 20:1110–1122. https://doi.org/10.1101/gad.377406</w:t>
      </w:r>
    </w:p>
    <w:p w14:paraId="405D70F6"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Koliopoulos G, Pitarokili D, Kioulos E, et al (2010) Chemical composition and larvicidal evaluation of </w:t>
      </w:r>
      <w:r w:rsidRPr="00754A1D">
        <w:rPr>
          <w:rFonts w:ascii="Times New Roman" w:hAnsi="Times New Roman" w:cs="Times New Roman"/>
          <w:i/>
          <w:sz w:val="24"/>
          <w:szCs w:val="24"/>
          <w:lang w:val="en-US"/>
        </w:rPr>
        <w:t>Mentha</w:t>
      </w:r>
      <w:r w:rsidRPr="00754A1D">
        <w:rPr>
          <w:rFonts w:ascii="Times New Roman" w:hAnsi="Times New Roman" w:cs="Times New Roman"/>
          <w:sz w:val="24"/>
          <w:szCs w:val="24"/>
          <w:lang w:val="en-US"/>
        </w:rPr>
        <w:t xml:space="preserve">, </w:t>
      </w:r>
      <w:r w:rsidRPr="00754A1D">
        <w:rPr>
          <w:rFonts w:ascii="Times New Roman" w:hAnsi="Times New Roman" w:cs="Times New Roman"/>
          <w:i/>
          <w:sz w:val="24"/>
          <w:szCs w:val="24"/>
          <w:lang w:val="en-US"/>
        </w:rPr>
        <w:t>Salvia</w:t>
      </w:r>
      <w:r w:rsidRPr="00754A1D">
        <w:rPr>
          <w:rFonts w:ascii="Times New Roman" w:hAnsi="Times New Roman" w:cs="Times New Roman"/>
          <w:sz w:val="24"/>
          <w:szCs w:val="24"/>
          <w:lang w:val="en-US"/>
        </w:rPr>
        <w:t xml:space="preserve">, and </w:t>
      </w:r>
      <w:r w:rsidRPr="00754A1D">
        <w:rPr>
          <w:rFonts w:ascii="Times New Roman" w:hAnsi="Times New Roman" w:cs="Times New Roman"/>
          <w:i/>
          <w:sz w:val="24"/>
          <w:szCs w:val="24"/>
          <w:lang w:val="en-US"/>
        </w:rPr>
        <w:t>Melissa</w:t>
      </w:r>
      <w:r w:rsidRPr="00754A1D">
        <w:rPr>
          <w:rFonts w:ascii="Times New Roman" w:hAnsi="Times New Roman" w:cs="Times New Roman"/>
          <w:sz w:val="24"/>
          <w:szCs w:val="24"/>
          <w:lang w:val="en-US"/>
        </w:rPr>
        <w:t xml:space="preserve"> essential oils against the West Nile virus mosquito </w:t>
      </w:r>
      <w:r w:rsidRPr="00754A1D">
        <w:rPr>
          <w:rFonts w:ascii="Times New Roman" w:hAnsi="Times New Roman" w:cs="Times New Roman"/>
          <w:i/>
          <w:sz w:val="24"/>
          <w:szCs w:val="24"/>
          <w:lang w:val="en-US"/>
        </w:rPr>
        <w:t>Culex pipiens</w:t>
      </w:r>
      <w:r w:rsidRPr="00754A1D">
        <w:rPr>
          <w:rFonts w:ascii="Times New Roman" w:hAnsi="Times New Roman" w:cs="Times New Roman"/>
          <w:sz w:val="24"/>
          <w:szCs w:val="24"/>
          <w:lang w:val="en-US"/>
        </w:rPr>
        <w:t>. Parasitol Res 107:327–335. https://doi.org/10.1007/s00436-010-1865-3</w:t>
      </w:r>
    </w:p>
    <w:p w14:paraId="5BC371EB"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Koon AC, Budnik V (2012) Inhibitory Control of Synaptic and Behavioral Plasticity by Octopaminergic Signaling. J Neurosci 32:6312–6322. https://doi.org/10.1523/JNEUROSCI.6517-11.2012</w:t>
      </w:r>
    </w:p>
    <w:p w14:paraId="73F63B6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Kostyukovsky M, Rafaeli A, Gileadi C, et al (2002) Activation of octopaminergic receptors by essential oil constituents isolated from aromatic plants: possible mode of action against insect pests. Pest Manag Sci 58:1101–1106. https://doi.org/10.1002/ps.548</w:t>
      </w:r>
    </w:p>
    <w:p w14:paraId="4852DCDA"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Kumar A, Shukla R, Singh P, et al (2009) Use of essential oil from </w:t>
      </w:r>
      <w:r w:rsidRPr="00754A1D">
        <w:rPr>
          <w:rFonts w:ascii="Times New Roman" w:hAnsi="Times New Roman" w:cs="Times New Roman"/>
          <w:i/>
          <w:sz w:val="24"/>
          <w:szCs w:val="24"/>
          <w:lang w:val="en-US"/>
        </w:rPr>
        <w:t>Mentha arvensis</w:t>
      </w:r>
      <w:r w:rsidRPr="00754A1D">
        <w:rPr>
          <w:rFonts w:ascii="Times New Roman" w:hAnsi="Times New Roman" w:cs="Times New Roman"/>
          <w:sz w:val="24"/>
          <w:szCs w:val="24"/>
          <w:lang w:val="en-US"/>
        </w:rPr>
        <w:t xml:space="preserve"> L. to control storage moulds and insects in stored chickpea. J Sci Food Agric 89:2643–2649. https://doi.org/10.1002/jsfa.3768</w:t>
      </w:r>
    </w:p>
    <w:p w14:paraId="2DEF74A2"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Kumar P, Mishra S, Malik A, Satya S (2011) Insecticidal properties of </w:t>
      </w:r>
      <w:r w:rsidRPr="00754A1D">
        <w:rPr>
          <w:rFonts w:ascii="Times New Roman" w:hAnsi="Times New Roman" w:cs="Times New Roman"/>
          <w:i/>
          <w:sz w:val="24"/>
          <w:szCs w:val="24"/>
          <w:lang w:val="en-US"/>
        </w:rPr>
        <w:t>Mentha</w:t>
      </w:r>
      <w:r w:rsidRPr="00754A1D">
        <w:rPr>
          <w:rFonts w:ascii="Times New Roman" w:hAnsi="Times New Roman" w:cs="Times New Roman"/>
          <w:sz w:val="24"/>
          <w:szCs w:val="24"/>
          <w:lang w:val="en-US"/>
        </w:rPr>
        <w:t xml:space="preserve"> species: A review. Ind Crops Prod 34:802–817. https://doi.org/10.1016/j.indcrop.2011.02.019</w:t>
      </w:r>
    </w:p>
    <w:p w14:paraId="565A31BC"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lastRenderedPageBreak/>
        <w:t>Kumar R, Dubey NK, Tiwari OP, et al (2007) Evaluation of some essential oils as botanical fungitoxicants for the protection of stored food commodities from fungal infestation. J Sci Food Agric 87:1737–1742. https://doi.org/10.1002/jsfa.2906</w:t>
      </w:r>
    </w:p>
    <w:p w14:paraId="5D32CCB1"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Lee B-H, Choi W-S, Lee S-E, Park B-S (2001) Fumigant toxicity of essential oils and their constituent compounds towards the rice weevil, </w:t>
      </w:r>
      <w:r w:rsidRPr="00754A1D">
        <w:rPr>
          <w:rFonts w:ascii="Times New Roman" w:hAnsi="Times New Roman" w:cs="Times New Roman"/>
          <w:i/>
          <w:sz w:val="24"/>
          <w:szCs w:val="24"/>
          <w:lang w:val="en-US"/>
        </w:rPr>
        <w:t>Sitophilus oryzae</w:t>
      </w:r>
      <w:r w:rsidRPr="00754A1D">
        <w:rPr>
          <w:rFonts w:ascii="Times New Roman" w:hAnsi="Times New Roman" w:cs="Times New Roman"/>
          <w:sz w:val="24"/>
          <w:szCs w:val="24"/>
          <w:lang w:val="en-US"/>
        </w:rPr>
        <w:t xml:space="preserve"> (L.). Crop Prot 20:317–320. https://doi.org/10.1016/S0261-2194(00)00158-7</w:t>
      </w:r>
    </w:p>
    <w:p w14:paraId="00E38283"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Leroux MR, Hartl FU (2000) Protein folding: Versatility of the cytosolic chaperonin TRiC/CCT. Curr Biol 10:R260–R264. https://doi.org/10.1016/S0960-9822(00)00432-2</w:t>
      </w:r>
    </w:p>
    <w:p w14:paraId="331297C2"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Li S-G, Li M-Y, Huang Y-Z, et al (2013) Fumigant activity of </w:t>
      </w:r>
      <w:r w:rsidRPr="00754A1D">
        <w:rPr>
          <w:rFonts w:ascii="Times New Roman" w:hAnsi="Times New Roman" w:cs="Times New Roman"/>
          <w:i/>
          <w:sz w:val="24"/>
          <w:szCs w:val="24"/>
          <w:lang w:val="en-US"/>
        </w:rPr>
        <w:t>Illicium verum</w:t>
      </w:r>
      <w:r w:rsidRPr="00754A1D">
        <w:rPr>
          <w:rFonts w:ascii="Times New Roman" w:hAnsi="Times New Roman" w:cs="Times New Roman"/>
          <w:sz w:val="24"/>
          <w:szCs w:val="24"/>
          <w:lang w:val="en-US"/>
        </w:rPr>
        <w:t xml:space="preserve"> fruit extracts and their effects on the acetylcholinesterase and glutathione S-transferase activities in adult </w:t>
      </w:r>
      <w:r w:rsidRPr="00754A1D">
        <w:rPr>
          <w:rFonts w:ascii="Times New Roman" w:hAnsi="Times New Roman" w:cs="Times New Roman"/>
          <w:i/>
          <w:sz w:val="24"/>
          <w:szCs w:val="24"/>
          <w:lang w:val="en-US"/>
        </w:rPr>
        <w:t>Sitophilus zeamais</w:t>
      </w:r>
      <w:r w:rsidRPr="00754A1D">
        <w:rPr>
          <w:rFonts w:ascii="Times New Roman" w:hAnsi="Times New Roman" w:cs="Times New Roman"/>
          <w:sz w:val="24"/>
          <w:szCs w:val="24"/>
          <w:lang w:val="en-US"/>
        </w:rPr>
        <w:t>. J Pest Sci 86:677–683. https://doi.org/10.1007/s10340-013-0520-z</w:t>
      </w:r>
    </w:p>
    <w:p w14:paraId="6B54C1D8"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Li W, Gao F-B (2003) Actin filament-stabilizing protein tropomyosin regulates the size of dendritic fields. J Neurosci Off J Soc Neurosci 23:6171–6175</w:t>
      </w:r>
    </w:p>
    <w:p w14:paraId="2D9D750B"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Li W, Ye Y (2008) Polyubiquitin chains: functions, structures, and mechanisms. Cell Mol Life Sci CMLS 65:2397–2406. https://doi.org/10.1007/s00018-008-8090-6</w:t>
      </w:r>
    </w:p>
    <w:p w14:paraId="0C9FE2B8"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Liao M, Xiao J-J, Zhou L-J, et al (2016) Insecticidal Activity of </w:t>
      </w:r>
      <w:r w:rsidRPr="00754A1D">
        <w:rPr>
          <w:rFonts w:ascii="Times New Roman" w:hAnsi="Times New Roman" w:cs="Times New Roman"/>
          <w:i/>
          <w:sz w:val="24"/>
          <w:szCs w:val="24"/>
          <w:lang w:val="en-US"/>
        </w:rPr>
        <w:t>Melaleuca alternifolia</w:t>
      </w:r>
      <w:r w:rsidRPr="00754A1D">
        <w:rPr>
          <w:rFonts w:ascii="Times New Roman" w:hAnsi="Times New Roman" w:cs="Times New Roman"/>
          <w:sz w:val="24"/>
          <w:szCs w:val="24"/>
          <w:lang w:val="en-US"/>
        </w:rPr>
        <w:t xml:space="preserve"> Essential Oil and RNA-Seq Analysis of </w:t>
      </w:r>
      <w:r w:rsidRPr="00754A1D">
        <w:rPr>
          <w:rFonts w:ascii="Times New Roman" w:hAnsi="Times New Roman" w:cs="Times New Roman"/>
          <w:i/>
          <w:sz w:val="24"/>
          <w:szCs w:val="24"/>
          <w:lang w:val="en-US"/>
        </w:rPr>
        <w:t>Sitophilus zeamais</w:t>
      </w:r>
      <w:r w:rsidRPr="00754A1D">
        <w:rPr>
          <w:rFonts w:ascii="Times New Roman" w:hAnsi="Times New Roman" w:cs="Times New Roman"/>
          <w:sz w:val="24"/>
          <w:szCs w:val="24"/>
          <w:lang w:val="en-US"/>
        </w:rPr>
        <w:t xml:space="preserve"> Transcriptome in Response to Oil Fumigation. PLOS ONE 11:e0167748. https://doi.org/10.1371/journal.pone.0167748</w:t>
      </w:r>
    </w:p>
    <w:p w14:paraId="6CC95767"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Liao M, Yang Q-Q, Xiao J-J, et al (2018) Toxicity of </w:t>
      </w:r>
      <w:r w:rsidRPr="00754A1D">
        <w:rPr>
          <w:rFonts w:ascii="Times New Roman" w:hAnsi="Times New Roman" w:cs="Times New Roman"/>
          <w:i/>
          <w:sz w:val="24"/>
          <w:szCs w:val="24"/>
          <w:lang w:val="en-US"/>
        </w:rPr>
        <w:t>Melaleuca alternifolia</w:t>
      </w:r>
      <w:r w:rsidRPr="00754A1D">
        <w:rPr>
          <w:rFonts w:ascii="Times New Roman" w:hAnsi="Times New Roman" w:cs="Times New Roman"/>
          <w:sz w:val="24"/>
          <w:szCs w:val="24"/>
          <w:lang w:val="en-US"/>
        </w:rPr>
        <w:t xml:space="preserve"> essential oil to the mitochondrion and NAD+/NADH dehydrogenase in </w:t>
      </w:r>
      <w:r w:rsidRPr="00754A1D">
        <w:rPr>
          <w:rFonts w:ascii="Times New Roman" w:hAnsi="Times New Roman" w:cs="Times New Roman"/>
          <w:i/>
          <w:sz w:val="24"/>
          <w:szCs w:val="24"/>
          <w:lang w:val="en-US"/>
        </w:rPr>
        <w:t>Tribolium confusum</w:t>
      </w:r>
      <w:r w:rsidRPr="00754A1D">
        <w:rPr>
          <w:rFonts w:ascii="Times New Roman" w:hAnsi="Times New Roman" w:cs="Times New Roman"/>
          <w:sz w:val="24"/>
          <w:szCs w:val="24"/>
          <w:lang w:val="en-US"/>
        </w:rPr>
        <w:t>. PeerJ 6:e5693. https://doi.org/10.7717/peerj.5693</w:t>
      </w:r>
    </w:p>
    <w:p w14:paraId="032AEADB"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Likhoshvai V, Ratushny A (2007) Generalized hill function method for modeling molecular processes. J Bioinform Comput Biol 05:521–531. https://doi.org/10.1142/S0219720007002837</w:t>
      </w:r>
    </w:p>
    <w:p w14:paraId="20807E58"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López MD, Pascual-Villalobos MJ (2010) Mode of inhibition of acetylcholinesterase by monoterpenoids and implications for pest control. Ind Crops Prod 31:284–288. https://doi.org/10.1016/j.indcrop.2009.11.005</w:t>
      </w:r>
    </w:p>
    <w:p w14:paraId="7C7BC4F1"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Ložienė K, Venskutonis PR (2005) Influence of environmental and genetic factors on the stability of essential oil composition of </w:t>
      </w:r>
      <w:r w:rsidRPr="00754A1D">
        <w:rPr>
          <w:rFonts w:ascii="Times New Roman" w:hAnsi="Times New Roman" w:cs="Times New Roman"/>
          <w:i/>
          <w:sz w:val="24"/>
          <w:szCs w:val="24"/>
          <w:lang w:val="en-US"/>
        </w:rPr>
        <w:t>Thymus pulegioides</w:t>
      </w:r>
      <w:r w:rsidRPr="00754A1D">
        <w:rPr>
          <w:rFonts w:ascii="Times New Roman" w:hAnsi="Times New Roman" w:cs="Times New Roman"/>
          <w:sz w:val="24"/>
          <w:szCs w:val="24"/>
          <w:lang w:val="en-US"/>
        </w:rPr>
        <w:t>. Biochem Syst Ecol 33:517–525. https://doi.org/10.1016/j.bse.2004.10.004</w:t>
      </w:r>
    </w:p>
    <w:p w14:paraId="333F53A1"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Magan N, Hope R, Cairns V, Aldred D (2003) Post-harvest fungal ecology: Impact of fungal growth and mycotoxin accumulation in stored grain. In: Xu X, Bailey JA, Cooke BM (eds) Epidemiology of Mycotoxin Producing Fungi: Under the aegis of COST Action 835 ‘Agriculturally Important Toxigenic Fungi 1998–2003’, EU project (QLK 1-CT-1998–01380). Springer Netherlands, Dordrecht, pp 723–730</w:t>
      </w:r>
    </w:p>
    <w:p w14:paraId="1F78078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Mansour EE, Mi F, Zhang G, et al (2012) Effect of allylisothiocyanate on </w:t>
      </w:r>
      <w:r w:rsidRPr="00754A1D">
        <w:rPr>
          <w:rFonts w:ascii="Times New Roman" w:hAnsi="Times New Roman" w:cs="Times New Roman"/>
          <w:i/>
          <w:sz w:val="24"/>
          <w:szCs w:val="24"/>
          <w:lang w:val="en-US"/>
        </w:rPr>
        <w:t>Sitophilus oryzae</w:t>
      </w:r>
      <w:r w:rsidRPr="00754A1D">
        <w:rPr>
          <w:rFonts w:ascii="Times New Roman" w:hAnsi="Times New Roman" w:cs="Times New Roman"/>
          <w:sz w:val="24"/>
          <w:szCs w:val="24"/>
          <w:lang w:val="en-US"/>
        </w:rPr>
        <w:t xml:space="preserve">, </w:t>
      </w:r>
      <w:r w:rsidRPr="00754A1D">
        <w:rPr>
          <w:rFonts w:ascii="Times New Roman" w:hAnsi="Times New Roman" w:cs="Times New Roman"/>
          <w:i/>
          <w:sz w:val="24"/>
          <w:szCs w:val="24"/>
          <w:lang w:val="en-US"/>
        </w:rPr>
        <w:t>Tribolium confusum</w:t>
      </w:r>
      <w:r w:rsidRPr="00754A1D">
        <w:rPr>
          <w:rFonts w:ascii="Times New Roman" w:hAnsi="Times New Roman" w:cs="Times New Roman"/>
          <w:sz w:val="24"/>
          <w:szCs w:val="24"/>
          <w:lang w:val="en-US"/>
        </w:rPr>
        <w:t xml:space="preserve"> and </w:t>
      </w:r>
      <w:r w:rsidRPr="00754A1D">
        <w:rPr>
          <w:rFonts w:ascii="Times New Roman" w:hAnsi="Times New Roman" w:cs="Times New Roman"/>
          <w:i/>
          <w:sz w:val="24"/>
          <w:szCs w:val="24"/>
          <w:lang w:val="en-US"/>
        </w:rPr>
        <w:t>Plodia interpunctella</w:t>
      </w:r>
      <w:r w:rsidRPr="00754A1D">
        <w:rPr>
          <w:rFonts w:ascii="Times New Roman" w:hAnsi="Times New Roman" w:cs="Times New Roman"/>
          <w:sz w:val="24"/>
          <w:szCs w:val="24"/>
          <w:lang w:val="en-US"/>
        </w:rPr>
        <w:t>: Toxicity and effect on insect mitochondria. Crop Prot 33:40–51. https://doi.org/10.1016/j.cropro.2011.11.010</w:t>
      </w:r>
    </w:p>
    <w:p w14:paraId="5AC691AD"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lastRenderedPageBreak/>
        <w:t xml:space="preserve">Mishra BB, Tripathi SP, Tripathi CPM (2012) Response of </w:t>
      </w:r>
      <w:r w:rsidRPr="00754A1D">
        <w:rPr>
          <w:rFonts w:ascii="Times New Roman" w:hAnsi="Times New Roman" w:cs="Times New Roman"/>
          <w:i/>
          <w:sz w:val="24"/>
          <w:szCs w:val="24"/>
          <w:lang w:val="en-US"/>
        </w:rPr>
        <w:t>Tribolium castaneum</w:t>
      </w:r>
      <w:r w:rsidRPr="00754A1D">
        <w:rPr>
          <w:rFonts w:ascii="Times New Roman" w:hAnsi="Times New Roman" w:cs="Times New Roman"/>
          <w:sz w:val="24"/>
          <w:szCs w:val="24"/>
          <w:lang w:val="en-US"/>
        </w:rPr>
        <w:t xml:space="preserve"> (Coleoptera: Tenebrionidae) and </w:t>
      </w:r>
      <w:r w:rsidRPr="00754A1D">
        <w:rPr>
          <w:rFonts w:ascii="Times New Roman" w:hAnsi="Times New Roman" w:cs="Times New Roman"/>
          <w:i/>
          <w:sz w:val="24"/>
          <w:szCs w:val="24"/>
          <w:lang w:val="en-US"/>
        </w:rPr>
        <w:t>Sitophilus oryzae</w:t>
      </w:r>
      <w:r w:rsidRPr="00754A1D">
        <w:rPr>
          <w:rFonts w:ascii="Times New Roman" w:hAnsi="Times New Roman" w:cs="Times New Roman"/>
          <w:sz w:val="24"/>
          <w:szCs w:val="24"/>
          <w:lang w:val="en-US"/>
        </w:rPr>
        <w:t xml:space="preserve"> (Coleoptera: Curculionidae) to potential insecticide derived from essential oil of </w:t>
      </w:r>
      <w:r w:rsidRPr="00754A1D">
        <w:rPr>
          <w:rFonts w:ascii="Times New Roman" w:hAnsi="Times New Roman" w:cs="Times New Roman"/>
          <w:i/>
          <w:sz w:val="24"/>
          <w:szCs w:val="24"/>
          <w:lang w:val="en-US"/>
        </w:rPr>
        <w:t>Mentha arvensis</w:t>
      </w:r>
      <w:r w:rsidRPr="00754A1D">
        <w:rPr>
          <w:rFonts w:ascii="Times New Roman" w:hAnsi="Times New Roman" w:cs="Times New Roman"/>
          <w:sz w:val="24"/>
          <w:szCs w:val="24"/>
          <w:lang w:val="en-US"/>
        </w:rPr>
        <w:t xml:space="preserve"> leaves. Biol Agric Hortic 28:34–40. https://doi.org/10.1080/01448765.2012.662792</w:t>
      </w:r>
    </w:p>
    <w:p w14:paraId="0ECF7171"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Miyazawa M, Watanabe H, Kameoka H (1997) Inhibition of Acetylcholinesterase Activity by Monoterpenoids with a p-Menthane Skeleton. J Agric Food Chem 45:677–679. https://doi.org/10.1021/jf960398b</w:t>
      </w:r>
    </w:p>
    <w:p w14:paraId="473FBC7D"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Moraru A, Cakan-Akdogan G, Strassburger K, et al (2017) THADA Regulates the Organismal Balance between Energy Storage and Heat Production. Dev Cell 41:72-81.e6. https://doi.org/10.1016/j.devcel.2017.03.016</w:t>
      </w:r>
    </w:p>
    <w:p w14:paraId="732EE957"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Mosrin-Huaman C, Canaple L, Locker D, Decoville M (1998) DSP1 gene of </w:t>
      </w:r>
      <w:r w:rsidRPr="00754A1D">
        <w:rPr>
          <w:rFonts w:ascii="Times New Roman" w:hAnsi="Times New Roman" w:cs="Times New Roman"/>
          <w:i/>
          <w:sz w:val="24"/>
          <w:szCs w:val="24"/>
          <w:lang w:val="en-US"/>
        </w:rPr>
        <w:t>Drosophila melanogaster</w:t>
      </w:r>
      <w:r w:rsidRPr="00754A1D">
        <w:rPr>
          <w:rFonts w:ascii="Times New Roman" w:hAnsi="Times New Roman" w:cs="Times New Roman"/>
          <w:sz w:val="24"/>
          <w:szCs w:val="24"/>
          <w:lang w:val="en-US"/>
        </w:rPr>
        <w:t xml:space="preserve"> encodes an HMG-domain protein that plays multiple roles in development. Dev Genet 23:324–334. https://doi.org/10.1002/(SICI)1520-6408(1998)23:4&lt;324::AID-DVG7&gt;3.0.CO;2-T</w:t>
      </w:r>
    </w:p>
    <w:p w14:paraId="69BA97F4"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Mounier N, Prudhomme JC (1991) Differential expression of muscle and cytoplasmic actin genes during development of </w:t>
      </w:r>
      <w:r w:rsidRPr="00754A1D">
        <w:rPr>
          <w:rFonts w:ascii="Times New Roman" w:hAnsi="Times New Roman" w:cs="Times New Roman"/>
          <w:i/>
          <w:sz w:val="24"/>
          <w:szCs w:val="24"/>
          <w:lang w:val="en-US"/>
        </w:rPr>
        <w:t>Bombyx mori</w:t>
      </w:r>
      <w:r w:rsidRPr="00754A1D">
        <w:rPr>
          <w:rFonts w:ascii="Times New Roman" w:hAnsi="Times New Roman" w:cs="Times New Roman"/>
          <w:sz w:val="24"/>
          <w:szCs w:val="24"/>
          <w:lang w:val="en-US"/>
        </w:rPr>
        <w:t>. Insect Biochem 21:523–533. https://doi.org/10.1016/0020-1790(91)90106-O</w:t>
      </w:r>
    </w:p>
    <w:p w14:paraId="36645477" w14:textId="77777777" w:rsidR="00507250" w:rsidRPr="00754A1D" w:rsidRDefault="00507250" w:rsidP="00D80B39">
      <w:pPr>
        <w:pStyle w:val="Bibliographie"/>
        <w:jc w:val="both"/>
        <w:rPr>
          <w:rFonts w:ascii="Times New Roman" w:hAnsi="Times New Roman" w:cs="Times New Roman"/>
          <w:sz w:val="24"/>
          <w:szCs w:val="24"/>
        </w:rPr>
      </w:pPr>
      <w:r w:rsidRPr="00754A1D">
        <w:rPr>
          <w:rFonts w:ascii="Times New Roman" w:hAnsi="Times New Roman" w:cs="Times New Roman"/>
          <w:sz w:val="24"/>
          <w:szCs w:val="24"/>
          <w:lang w:val="en-US"/>
        </w:rPr>
        <w:t xml:space="preserve">Nerio LS, Olivero-Verbel J, Stashenko E (2010) Repellent activity of essential oils: A review. </w:t>
      </w:r>
      <w:r w:rsidRPr="00754A1D">
        <w:rPr>
          <w:rFonts w:ascii="Times New Roman" w:hAnsi="Times New Roman" w:cs="Times New Roman"/>
          <w:sz w:val="24"/>
          <w:szCs w:val="24"/>
        </w:rPr>
        <w:t>Bioresour Technol 101:372–378. https://doi.org/10.1016/j.biortech.2009.07.048</w:t>
      </w:r>
    </w:p>
    <w:p w14:paraId="4209377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rPr>
        <w:t xml:space="preserve">Ngamo L, Hance T (2007) Diversité des ravageurs des denrée et méthodes alternatives de lutte en milieu tropical. </w:t>
      </w:r>
      <w:r w:rsidRPr="00754A1D">
        <w:rPr>
          <w:rFonts w:ascii="Times New Roman" w:hAnsi="Times New Roman" w:cs="Times New Roman"/>
          <w:sz w:val="24"/>
          <w:szCs w:val="24"/>
          <w:lang w:val="en-US"/>
        </w:rPr>
        <w:t>Tropicultura 25:</w:t>
      </w:r>
    </w:p>
    <w:p w14:paraId="76A2A394"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Noh MY, Kramer KJ, Muthukrishnan S, et al (2015) Loss of function of the yellow-e gene causes dehydration-induced mortality of adult </w:t>
      </w:r>
      <w:r w:rsidRPr="00754A1D">
        <w:rPr>
          <w:rFonts w:ascii="Times New Roman" w:hAnsi="Times New Roman" w:cs="Times New Roman"/>
          <w:i/>
          <w:sz w:val="24"/>
          <w:szCs w:val="24"/>
          <w:lang w:val="en-US"/>
        </w:rPr>
        <w:t>Tribolium castaneum</w:t>
      </w:r>
      <w:r w:rsidRPr="00754A1D">
        <w:rPr>
          <w:rFonts w:ascii="Times New Roman" w:hAnsi="Times New Roman" w:cs="Times New Roman"/>
          <w:sz w:val="24"/>
          <w:szCs w:val="24"/>
          <w:lang w:val="en-US"/>
        </w:rPr>
        <w:t>. Dev Biol 399:315–324. https://doi.org/10.1016/j.ydbio.2015.01.009</w:t>
      </w:r>
    </w:p>
    <w:p w14:paraId="586A578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Norden DA, Matanganyidze C (1979) Activities of kreb’s cycle enzymes in the flight muscles of the tsetse fly (</w:t>
      </w:r>
      <w:r w:rsidRPr="00754A1D">
        <w:rPr>
          <w:rFonts w:ascii="Times New Roman" w:hAnsi="Times New Roman" w:cs="Times New Roman"/>
          <w:i/>
          <w:sz w:val="24"/>
          <w:szCs w:val="24"/>
          <w:lang w:val="en-US"/>
        </w:rPr>
        <w:t>Glossina</w:t>
      </w:r>
      <w:r w:rsidRPr="00754A1D">
        <w:rPr>
          <w:rFonts w:ascii="Times New Roman" w:hAnsi="Times New Roman" w:cs="Times New Roman"/>
          <w:sz w:val="24"/>
          <w:szCs w:val="24"/>
          <w:lang w:val="en-US"/>
        </w:rPr>
        <w:t>) and the fleshfly (</w:t>
      </w:r>
      <w:r w:rsidRPr="00754A1D">
        <w:rPr>
          <w:rFonts w:ascii="Times New Roman" w:hAnsi="Times New Roman" w:cs="Times New Roman"/>
          <w:i/>
          <w:sz w:val="24"/>
          <w:szCs w:val="24"/>
          <w:lang w:val="en-US"/>
        </w:rPr>
        <w:t>Sarcophaga</w:t>
      </w:r>
      <w:r w:rsidRPr="00754A1D">
        <w:rPr>
          <w:rFonts w:ascii="Times New Roman" w:hAnsi="Times New Roman" w:cs="Times New Roman"/>
          <w:sz w:val="24"/>
          <w:szCs w:val="24"/>
          <w:lang w:val="en-US"/>
        </w:rPr>
        <w:t>). Insect Biochem 9:85–87. https://doi.org/10.1016/0020-1790(79)90030-1</w:t>
      </w:r>
    </w:p>
    <w:p w14:paraId="02ADC6EB"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Noudjou F, Kouninki H, Ngamo LST, et al (2007) Effect of Site Location and Collecting Period on the Chemical Composition of Hyptis Spicigera Lam. an Insecticidal Essential Oil from North-Cameroon. J Essent Oil Res 19:597–601. https://doi.org/10.1080/10412905.2007.9699340</w:t>
      </w:r>
    </w:p>
    <w:p w14:paraId="5FB4E12A"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O’Connor-Giles KM, Ho LL, Ganetzky B (2008) Nervous Wreck Interacts with Thickveins and the Endocytic Machinery to Attenuate Retrograde BMP Signaling during Synaptic Growth. Neuron 58:507–518. https://doi.org/10.1016/j.neuron.2008.03.007</w:t>
      </w:r>
    </w:p>
    <w:p w14:paraId="392EE027"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Ohler S, Hakeda-Suzuki S, Suzuki T (2011) Hts, the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xml:space="preserve"> homologue of Adducin, physically interacts with the transmembrane receptor Golden goal to guide photoreceptor axons. Dev Dyn Off Publ Am Assoc Anat 240:135–148. https://doi.org/10.1002/dvdy.22515</w:t>
      </w:r>
    </w:p>
    <w:p w14:paraId="565A051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lastRenderedPageBreak/>
        <w:t>Olesnicky EC, Wright EG (2018) Drosophila as a Model for Assessing the Function of RNA-Binding Proteins during Neurogenesis and Neurological Disease. J Dev Biol 6:. https://doi.org/10.3390/jdb6030021</w:t>
      </w:r>
    </w:p>
    <w:p w14:paraId="56833EA4"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Oliveira AP, Santana AS, Santana EDR, et al (2017) Nanoformulation prototype of the essential oil of Lippia sidoides and thymol to population management of </w:t>
      </w:r>
      <w:r w:rsidRPr="00754A1D">
        <w:rPr>
          <w:rFonts w:ascii="Times New Roman" w:hAnsi="Times New Roman" w:cs="Times New Roman"/>
          <w:i/>
          <w:sz w:val="24"/>
          <w:szCs w:val="24"/>
          <w:lang w:val="en-US"/>
        </w:rPr>
        <w:t>Sitophilus zeamais</w:t>
      </w:r>
      <w:r w:rsidRPr="00754A1D">
        <w:rPr>
          <w:rFonts w:ascii="Times New Roman" w:hAnsi="Times New Roman" w:cs="Times New Roman"/>
          <w:sz w:val="24"/>
          <w:szCs w:val="24"/>
          <w:lang w:val="en-US"/>
        </w:rPr>
        <w:t xml:space="preserve"> (Coleoptera: Curculionidae). Ind Crops Prod 107:198–205. https://doi.org/10.1016/j.indcrop.2017.05.046</w:t>
      </w:r>
    </w:p>
    <w:p w14:paraId="04070541"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Oliveira AP, Santos AA, Santana AS, et al (2018) Essential oil of Lippia sidoides and its major compound thymol: Toxicity and walking response of populations of </w:t>
      </w:r>
      <w:r w:rsidRPr="00754A1D">
        <w:rPr>
          <w:rFonts w:ascii="Times New Roman" w:hAnsi="Times New Roman" w:cs="Times New Roman"/>
          <w:i/>
          <w:sz w:val="24"/>
          <w:szCs w:val="24"/>
          <w:lang w:val="en-US"/>
        </w:rPr>
        <w:t>Sitophilus zeamais</w:t>
      </w:r>
      <w:r w:rsidRPr="00754A1D">
        <w:rPr>
          <w:rFonts w:ascii="Times New Roman" w:hAnsi="Times New Roman" w:cs="Times New Roman"/>
          <w:sz w:val="24"/>
          <w:szCs w:val="24"/>
          <w:lang w:val="en-US"/>
        </w:rPr>
        <w:t xml:space="preserve"> (Coleoptera: Curculionidae). Crop Prot 112:33–38. https://doi.org/10.1016/j.cropro.2018.05.011</w:t>
      </w:r>
    </w:p>
    <w:p w14:paraId="1C6142C4"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Olivero‐Verbel J, Nerio LS, Stashenko EE (2010) Bioactivity against </w:t>
      </w:r>
      <w:r w:rsidRPr="00754A1D">
        <w:rPr>
          <w:rFonts w:ascii="Times New Roman" w:hAnsi="Times New Roman" w:cs="Times New Roman"/>
          <w:i/>
          <w:sz w:val="24"/>
          <w:szCs w:val="24"/>
          <w:lang w:val="en-US"/>
        </w:rPr>
        <w:t>Tribolium castaneum</w:t>
      </w:r>
      <w:r w:rsidRPr="00754A1D">
        <w:rPr>
          <w:rFonts w:ascii="Times New Roman" w:hAnsi="Times New Roman" w:cs="Times New Roman"/>
          <w:sz w:val="24"/>
          <w:szCs w:val="24"/>
          <w:lang w:val="en-US"/>
        </w:rPr>
        <w:t xml:space="preserve"> Herbst (Coleoptera: Tenebrionidae) of </w:t>
      </w:r>
      <w:r w:rsidRPr="00754A1D">
        <w:rPr>
          <w:rFonts w:ascii="Times New Roman" w:hAnsi="Times New Roman" w:cs="Times New Roman"/>
          <w:i/>
          <w:sz w:val="24"/>
          <w:szCs w:val="24"/>
          <w:lang w:val="en-US"/>
        </w:rPr>
        <w:t>Cymbopogon citratus</w:t>
      </w:r>
      <w:r w:rsidRPr="00754A1D">
        <w:rPr>
          <w:rFonts w:ascii="Times New Roman" w:hAnsi="Times New Roman" w:cs="Times New Roman"/>
          <w:sz w:val="24"/>
          <w:szCs w:val="24"/>
          <w:lang w:val="en-US"/>
        </w:rPr>
        <w:t xml:space="preserve"> and </w:t>
      </w:r>
      <w:r w:rsidRPr="00754A1D">
        <w:rPr>
          <w:rFonts w:ascii="Times New Roman" w:hAnsi="Times New Roman" w:cs="Times New Roman"/>
          <w:i/>
          <w:sz w:val="24"/>
          <w:szCs w:val="24"/>
          <w:lang w:val="en-US"/>
        </w:rPr>
        <w:t xml:space="preserve">Eucalyptus citriodora </w:t>
      </w:r>
      <w:r w:rsidRPr="00754A1D">
        <w:rPr>
          <w:rFonts w:ascii="Times New Roman" w:hAnsi="Times New Roman" w:cs="Times New Roman"/>
          <w:sz w:val="24"/>
          <w:szCs w:val="24"/>
          <w:lang w:val="en-US"/>
        </w:rPr>
        <w:t>essential oils grown in Colombia. Pest Manag Sci 66:664–668. https://doi.org/10.1002/ps.1927</w:t>
      </w:r>
    </w:p>
    <w:p w14:paraId="5A4B1CDD"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Omkar (2018) Pests and Their Management. Springer</w:t>
      </w:r>
    </w:p>
    <w:p w14:paraId="0E9F24F4"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Pavela R, Benelli G (2016) Essential Oils as Ecofriendly Biopesticides? Challenges and Constraints. Trends Plant Sci 21:1000–1007. https://doi.org/10.1016/j.tplants.2016.10.005</w:t>
      </w:r>
    </w:p>
    <w:p w14:paraId="0A594FE1"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Peña C, Hurt E, Panse VG (2017) Eukaryotic ribosome assembly, transport and quality control. Nat Struct Mol Biol 24:689–699. https://doi.org/10.1038/nsmb.3454</w:t>
      </w:r>
    </w:p>
    <w:p w14:paraId="1F5A16CC"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Plata-Rueda A, Campos JM, da Silva Rolim G, et al (2018) Terpenoid constituents of cinnamon and clove essential oils cause toxic effects and behavior repellency response on granary weevil, </w:t>
      </w:r>
      <w:r w:rsidRPr="00754A1D">
        <w:rPr>
          <w:rFonts w:ascii="Times New Roman" w:hAnsi="Times New Roman" w:cs="Times New Roman"/>
          <w:i/>
          <w:sz w:val="24"/>
          <w:szCs w:val="24"/>
          <w:lang w:val="en-US"/>
        </w:rPr>
        <w:t>Sitophilus granariu</w:t>
      </w:r>
      <w:r w:rsidRPr="00754A1D">
        <w:rPr>
          <w:rFonts w:ascii="Times New Roman" w:hAnsi="Times New Roman" w:cs="Times New Roman"/>
          <w:sz w:val="24"/>
          <w:szCs w:val="24"/>
          <w:lang w:val="en-US"/>
        </w:rPr>
        <w:t>s. Ecotoxicol Environ Saf 156:263–270. https://doi.org/10.1016/j.ecoenv.2018.03.033</w:t>
      </w:r>
    </w:p>
    <w:p w14:paraId="5E296274"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Pokrywka NJ, Zhang H, Raley-Susman K (2014) Distinct roles for hu li tai shao and swallow in cytoskeletal organization during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xml:space="preserve"> oogenesis. Dev Dyn Off Publ Am Assoc Anat 243:906–916. https://doi.org/10.1002/dvdy.24132</w:t>
      </w:r>
    </w:p>
    <w:p w14:paraId="74B2EDE1"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Popović Z, Kostić M, Popović S, Skorić S (2006) Bioactivities of Essential Oils from Basil and Sage To </w:t>
      </w:r>
      <w:r w:rsidRPr="00754A1D">
        <w:rPr>
          <w:rFonts w:ascii="Times New Roman" w:hAnsi="Times New Roman" w:cs="Times New Roman"/>
          <w:i/>
          <w:sz w:val="24"/>
          <w:szCs w:val="24"/>
          <w:lang w:val="en-US"/>
        </w:rPr>
        <w:t>Sitophilus Oryzae</w:t>
      </w:r>
      <w:r w:rsidRPr="00754A1D">
        <w:rPr>
          <w:rFonts w:ascii="Times New Roman" w:hAnsi="Times New Roman" w:cs="Times New Roman"/>
          <w:sz w:val="24"/>
          <w:szCs w:val="24"/>
          <w:lang w:val="en-US"/>
        </w:rPr>
        <w:t xml:space="preserve"> L. Biotechnol Biotechnol Equip 20:36–40. https://doi.org/10.1080/13102818.2006.10817301</w:t>
      </w:r>
    </w:p>
    <w:p w14:paraId="0F5CC69B"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Pourya M, Sadeghi A, Ghobari H, et al (2018) Bioactivity of </w:t>
      </w:r>
      <w:r w:rsidRPr="00754A1D">
        <w:rPr>
          <w:rFonts w:ascii="Times New Roman" w:hAnsi="Times New Roman" w:cs="Times New Roman"/>
          <w:i/>
          <w:sz w:val="24"/>
          <w:szCs w:val="24"/>
          <w:lang w:val="en-US"/>
        </w:rPr>
        <w:t>Pistacia atlantica</w:t>
      </w:r>
      <w:r w:rsidRPr="00754A1D">
        <w:rPr>
          <w:rFonts w:ascii="Times New Roman" w:hAnsi="Times New Roman" w:cs="Times New Roman"/>
          <w:sz w:val="24"/>
          <w:szCs w:val="24"/>
          <w:lang w:val="en-US"/>
        </w:rPr>
        <w:t xml:space="preserve"> desf. Subsp. Kurdica (Zohary) Rech. F. and </w:t>
      </w:r>
      <w:r w:rsidRPr="00754A1D">
        <w:rPr>
          <w:rFonts w:ascii="Times New Roman" w:hAnsi="Times New Roman" w:cs="Times New Roman"/>
          <w:i/>
          <w:sz w:val="24"/>
          <w:szCs w:val="24"/>
          <w:lang w:val="en-US"/>
        </w:rPr>
        <w:t>Pistacia khinjuk</w:t>
      </w:r>
      <w:r w:rsidRPr="00754A1D">
        <w:rPr>
          <w:rFonts w:ascii="Times New Roman" w:hAnsi="Times New Roman" w:cs="Times New Roman"/>
          <w:sz w:val="24"/>
          <w:szCs w:val="24"/>
          <w:lang w:val="en-US"/>
        </w:rPr>
        <w:t xml:space="preserve"> stocks essential oils against </w:t>
      </w:r>
      <w:r w:rsidRPr="00754A1D">
        <w:rPr>
          <w:rFonts w:ascii="Times New Roman" w:hAnsi="Times New Roman" w:cs="Times New Roman"/>
          <w:i/>
          <w:sz w:val="24"/>
          <w:szCs w:val="24"/>
          <w:lang w:val="en-US"/>
        </w:rPr>
        <w:t>Callosobruchus maculatus</w:t>
      </w:r>
      <w:r w:rsidRPr="00754A1D">
        <w:rPr>
          <w:rFonts w:ascii="Times New Roman" w:hAnsi="Times New Roman" w:cs="Times New Roman"/>
          <w:sz w:val="24"/>
          <w:szCs w:val="24"/>
          <w:lang w:val="en-US"/>
        </w:rPr>
        <w:t xml:space="preserve"> (F, 1775) (Coloeptera: Bruchidae) under laboratory conditions. J Stored Prod Res 77:96–105. https://doi.org/10.1016/j.jspr.2018.03.007</w:t>
      </w:r>
    </w:p>
    <w:p w14:paraId="753BD124"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Preall JB, Czech B, Guzzardo PM, et al (2012) shutdown is a component of the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xml:space="preserve"> piRNA biogenesis machinery. RNA 18:1446–1457. https://doi.org/10.1261/rna.034405.112</w:t>
      </w:r>
    </w:p>
    <w:p w14:paraId="12D3520F"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lastRenderedPageBreak/>
        <w:t xml:space="preserve">Rafti F, Scarvelis D, Lasko PF (1996) A </w:t>
      </w:r>
      <w:r w:rsidRPr="00754A1D">
        <w:rPr>
          <w:rFonts w:ascii="Times New Roman" w:hAnsi="Times New Roman" w:cs="Times New Roman"/>
          <w:i/>
          <w:sz w:val="24"/>
          <w:szCs w:val="24"/>
          <w:lang w:val="en-US"/>
        </w:rPr>
        <w:t>Drosophila melanogaster</w:t>
      </w:r>
      <w:r w:rsidRPr="00754A1D">
        <w:rPr>
          <w:rFonts w:ascii="Times New Roman" w:hAnsi="Times New Roman" w:cs="Times New Roman"/>
          <w:sz w:val="24"/>
          <w:szCs w:val="24"/>
          <w:lang w:val="en-US"/>
        </w:rPr>
        <w:t xml:space="preserve"> homologue of the human DEAD-box gene DDX1. Gene 171:225–229. https://doi.org/10.1016/0378-1119(96)00034-0</w:t>
      </w:r>
    </w:p>
    <w:p w14:paraId="4FFFC637"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Rattan RS (2010) Mechanism of action of insecticidal secondary metabolites of plant origin. Crop Prot 29:913–920. https://doi.org/10.1016/j.cropro.2010.05.008</w:t>
      </w:r>
    </w:p>
    <w:p w14:paraId="226411BC"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Regev U, Shalit H, Gutierrez AP (1983) On the optimal allocation of pesticides with increasing resistance: The case of alfalfa weevil. J Environ Econ Manag 10:86–100. https://doi.org/10.1016/0095-0696(83)90017-7</w:t>
      </w:r>
    </w:p>
    <w:p w14:paraId="74092665"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Regnault-Roger C, Vincent C, Arnason JT (2012) Essential Oils in Insect Control: Low-Risk Products in a High-Stakes World. Annu Rev Entomol 57:405–424. https://doi.org/10.1146/annurev-ento-120710-100554</w:t>
      </w:r>
    </w:p>
    <w:p w14:paraId="1E12ED60"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Rodal AA, Motola-Barnes RN, Littleton JT (2008) Nervous Wreck and Cdc42 Cooperate to Regulate Endocytic Actin Assembly during Synaptic Growth. J Neurosci 28:8316–8325. https://doi.org/10.1523/JNEUROSCI.2304-08.2008</w:t>
      </w:r>
    </w:p>
    <w:p w14:paraId="572938F1"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Sanyal S, Consoulas C, Kuromi H, et al (2005) Analysis of conditional paralytic mutants in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xml:space="preserve"> sarco-endoplasmic reticulum calcium ATPase reveals novel mechanisms for regulating membrane excitability. Genetics 169:737–750. https://doi.org/10.1534/genetics.104.031930</w:t>
      </w:r>
    </w:p>
    <w:p w14:paraId="637A50D0"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Saroukolai AT, Moharramipour S, Meshkatalsadat MH (2010) Insecticidal properties of </w:t>
      </w:r>
      <w:r w:rsidRPr="00754A1D">
        <w:rPr>
          <w:rFonts w:ascii="Times New Roman" w:hAnsi="Times New Roman" w:cs="Times New Roman"/>
          <w:i/>
          <w:sz w:val="24"/>
          <w:szCs w:val="24"/>
          <w:lang w:val="en-US"/>
        </w:rPr>
        <w:t>Thymus persicus</w:t>
      </w:r>
      <w:r w:rsidRPr="00754A1D">
        <w:rPr>
          <w:rFonts w:ascii="Times New Roman" w:hAnsi="Times New Roman" w:cs="Times New Roman"/>
          <w:sz w:val="24"/>
          <w:szCs w:val="24"/>
          <w:lang w:val="en-US"/>
        </w:rPr>
        <w:t xml:space="preserve"> essential oil against </w:t>
      </w:r>
      <w:r w:rsidRPr="00754A1D">
        <w:rPr>
          <w:rFonts w:ascii="Times New Roman" w:hAnsi="Times New Roman" w:cs="Times New Roman"/>
          <w:i/>
          <w:sz w:val="24"/>
          <w:szCs w:val="24"/>
          <w:lang w:val="en-US"/>
        </w:rPr>
        <w:t xml:space="preserve">Tribolium castaneum </w:t>
      </w:r>
      <w:r w:rsidRPr="00754A1D">
        <w:rPr>
          <w:rFonts w:ascii="Times New Roman" w:hAnsi="Times New Roman" w:cs="Times New Roman"/>
          <w:sz w:val="24"/>
          <w:szCs w:val="24"/>
          <w:lang w:val="en-US"/>
        </w:rPr>
        <w:t xml:space="preserve">and </w:t>
      </w:r>
      <w:r w:rsidRPr="00754A1D">
        <w:rPr>
          <w:rFonts w:ascii="Times New Roman" w:hAnsi="Times New Roman" w:cs="Times New Roman"/>
          <w:i/>
          <w:sz w:val="24"/>
          <w:szCs w:val="24"/>
          <w:lang w:val="en-US"/>
        </w:rPr>
        <w:t>Sitophilus oryzae</w:t>
      </w:r>
      <w:r w:rsidRPr="00754A1D">
        <w:rPr>
          <w:rFonts w:ascii="Times New Roman" w:hAnsi="Times New Roman" w:cs="Times New Roman"/>
          <w:sz w:val="24"/>
          <w:szCs w:val="24"/>
          <w:lang w:val="en-US"/>
        </w:rPr>
        <w:t>. J Pest Sci 83:3–8. https://doi.org/10.1007/s10340-009-0261-1</w:t>
      </w:r>
    </w:p>
    <w:p w14:paraId="667B1E8A"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Sasikumar AN, Perez WB, Kinzy TG (2012) The Many Roles of the Eukaryotic Elongation Factor 1 Complex. Wiley Interdiscip Rev RNA 3:543–555. https://doi.org/10.1002/wrna.1118</w:t>
      </w:r>
    </w:p>
    <w:p w14:paraId="1C4F9251"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Schaneberg BT, Khan IA (2002) Comparison of Extraction Methods for Marker Compounds in the Essential Oil of Lemon Grass by GC. J Agric Food Chem 50:1345–1349. https://doi.org/10.1021/jf011078h</w:t>
      </w:r>
    </w:p>
    <w:p w14:paraId="33ACDC68"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Schmucker D, Jackle H, Gaul U (1997) Genetic analysis of the larval optic nerve projection in Drosophila. Development 124:937–948</w:t>
      </w:r>
    </w:p>
    <w:p w14:paraId="0990575A"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Schnorrer F, Schönbauer C, Langer CCH, et al (2010) Systematic genetic analysis of muscle morphogenesis and function in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Nature 464:287–291. https://doi.org/10.1038/nature08799</w:t>
      </w:r>
    </w:p>
    <w:p w14:paraId="0173DBCF"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Storey CL, Sauer DB, Walker D (1984) Present Use of Pest Management Practices in Wheat, Corn, and Oats Stored on the Farm. J Econ Entomol 77:784–788. https://doi.org/10.1093/jee/77.3.784</w:t>
      </w:r>
    </w:p>
    <w:p w14:paraId="54C44BF2"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Suh GSB, Poeck B, Chouard T, et al (2002) Drosophila JAB1/CSN5 Acts in Photoreceptor Cells to Induce Glial Cells. Neuron 33:35–46. https://doi.org/10.1016/S0896-6273(01)00576-1</w:t>
      </w:r>
    </w:p>
    <w:p w14:paraId="09A26227"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lastRenderedPageBreak/>
        <w:t xml:space="preserve">Tak J-H, Jovel E, Isman MB (2017) Effects of rosemary, thyme and lemongrass oils and their major constituents on detoxifying enzyme activity and insecticidal activity in </w:t>
      </w:r>
      <w:r w:rsidRPr="00754A1D">
        <w:rPr>
          <w:rFonts w:ascii="Times New Roman" w:hAnsi="Times New Roman" w:cs="Times New Roman"/>
          <w:i/>
          <w:sz w:val="24"/>
          <w:szCs w:val="24"/>
          <w:lang w:val="en-US"/>
        </w:rPr>
        <w:t>Trichoplusia ni</w:t>
      </w:r>
      <w:r w:rsidRPr="00754A1D">
        <w:rPr>
          <w:rFonts w:ascii="Times New Roman" w:hAnsi="Times New Roman" w:cs="Times New Roman"/>
          <w:sz w:val="24"/>
          <w:szCs w:val="24"/>
          <w:lang w:val="en-US"/>
        </w:rPr>
        <w:t>. Pestic Biochem Physiol 140:9–16. https://doi.org/10.1016/j.pestbp.2017.01.012</w:t>
      </w:r>
    </w:p>
    <w:p w14:paraId="359C2BF0"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Tatusov RL, Natale DA, Garkavtsev IV, et al (2001) The COG database: new developments in phylogenetic classification of proteins from complete genomes. Nucleic Acids Res 29:22–28. https://doi.org/10.1093/nar/29.1.22</w:t>
      </w:r>
    </w:p>
    <w:p w14:paraId="434E71C0"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Tetzlaff MT, Jäckle H, Pankratz MJ (1996) Lack of Drosophila cytoskeletal tropomyosin affects head morphogenesis and the accumulation of oskar mRNA required for germ cell formation. EMBO J 15:1247–1254. https://doi.org/10.1002/j.1460-2075.1996.tb00466.x</w:t>
      </w:r>
    </w:p>
    <w:p w14:paraId="336EAB3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Thorpe C, Kim JJ (1995) Structure and mechanism of action of the acyl-CoA dehydrogenases. FASEB J 9:718–725. https://doi.org/10.1096/fasebj.9.9.7601336</w:t>
      </w:r>
    </w:p>
    <w:p w14:paraId="37AC30DB"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Tiwari P (2016) Recent advances and challenges in trichome research and essential oil biosynthesis in </w:t>
      </w:r>
      <w:r w:rsidRPr="00754A1D">
        <w:rPr>
          <w:rFonts w:ascii="Times New Roman" w:hAnsi="Times New Roman" w:cs="Times New Roman"/>
          <w:i/>
          <w:sz w:val="24"/>
          <w:szCs w:val="24"/>
          <w:lang w:val="en-US"/>
        </w:rPr>
        <w:t>Mentha arvensis</w:t>
      </w:r>
      <w:r w:rsidRPr="00754A1D">
        <w:rPr>
          <w:rFonts w:ascii="Times New Roman" w:hAnsi="Times New Roman" w:cs="Times New Roman"/>
          <w:sz w:val="24"/>
          <w:szCs w:val="24"/>
          <w:lang w:val="en-US"/>
        </w:rPr>
        <w:t xml:space="preserve"> L. Ind Crops Prod 82:141–148. https://doi.org/10.1016/j.indcrop.2015.11.069</w:t>
      </w:r>
    </w:p>
    <w:p w14:paraId="63DB1866"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Tripathi AK (2018) Pests of Stored Grains. In: Omkar (ed) Pests and Their Management. Springer Singapore, Singapore, pp 311–359</w:t>
      </w:r>
    </w:p>
    <w:p w14:paraId="6743EEE6"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Tripathi AK, Prajapati V, Aggarwal KK, Kumar S (2000) Effect of volatile oil constituents of </w:t>
      </w:r>
      <w:r w:rsidRPr="00754A1D">
        <w:rPr>
          <w:rFonts w:ascii="Times New Roman" w:hAnsi="Times New Roman" w:cs="Times New Roman"/>
          <w:i/>
          <w:sz w:val="24"/>
          <w:szCs w:val="24"/>
          <w:lang w:val="en-US"/>
        </w:rPr>
        <w:t>Mentha</w:t>
      </w:r>
      <w:r w:rsidRPr="00754A1D">
        <w:rPr>
          <w:rFonts w:ascii="Times New Roman" w:hAnsi="Times New Roman" w:cs="Times New Roman"/>
          <w:sz w:val="24"/>
          <w:szCs w:val="24"/>
          <w:lang w:val="en-US"/>
        </w:rPr>
        <w:t xml:space="preserve"> species against the stored grain pests, </w:t>
      </w:r>
      <w:r w:rsidRPr="00754A1D">
        <w:rPr>
          <w:rFonts w:ascii="Times New Roman" w:hAnsi="Times New Roman" w:cs="Times New Roman"/>
          <w:i/>
          <w:sz w:val="24"/>
          <w:szCs w:val="24"/>
          <w:lang w:val="en-US"/>
        </w:rPr>
        <w:t>Callosobruchus maculatus</w:t>
      </w:r>
      <w:r w:rsidRPr="00754A1D">
        <w:rPr>
          <w:rFonts w:ascii="Times New Roman" w:hAnsi="Times New Roman" w:cs="Times New Roman"/>
          <w:sz w:val="24"/>
          <w:szCs w:val="24"/>
          <w:lang w:val="en-US"/>
        </w:rPr>
        <w:t xml:space="preserve"> and </w:t>
      </w:r>
      <w:r w:rsidRPr="00754A1D">
        <w:rPr>
          <w:rFonts w:ascii="Times New Roman" w:hAnsi="Times New Roman" w:cs="Times New Roman"/>
          <w:i/>
          <w:sz w:val="24"/>
          <w:szCs w:val="24"/>
          <w:lang w:val="en-US"/>
        </w:rPr>
        <w:t>Tribolium castaneum</w:t>
      </w:r>
      <w:r w:rsidRPr="00754A1D">
        <w:rPr>
          <w:rFonts w:ascii="Times New Roman" w:hAnsi="Times New Roman" w:cs="Times New Roman"/>
          <w:sz w:val="24"/>
          <w:szCs w:val="24"/>
          <w:lang w:val="en-US"/>
        </w:rPr>
        <w:t>. J Med Aromat Plant Sci 22:549–556</w:t>
      </w:r>
    </w:p>
    <w:p w14:paraId="3430D256" w14:textId="77777777" w:rsidR="00507250" w:rsidRPr="00754A1D" w:rsidRDefault="00507250" w:rsidP="00D80B39">
      <w:pPr>
        <w:pStyle w:val="Bibliographie"/>
        <w:jc w:val="both"/>
        <w:rPr>
          <w:rFonts w:ascii="Times New Roman" w:hAnsi="Times New Roman" w:cs="Times New Roman"/>
          <w:sz w:val="24"/>
          <w:szCs w:val="24"/>
          <w:lang w:val="nl-BE"/>
        </w:rPr>
      </w:pPr>
      <w:r w:rsidRPr="00754A1D">
        <w:rPr>
          <w:rFonts w:ascii="Times New Roman" w:hAnsi="Times New Roman" w:cs="Times New Roman"/>
          <w:sz w:val="24"/>
          <w:szCs w:val="24"/>
          <w:lang w:val="en-US"/>
        </w:rPr>
        <w:t xml:space="preserve">True JR (2003) Insect melanism: the molecules matter. </w:t>
      </w:r>
      <w:r w:rsidRPr="00754A1D">
        <w:rPr>
          <w:rFonts w:ascii="Times New Roman" w:hAnsi="Times New Roman" w:cs="Times New Roman"/>
          <w:sz w:val="24"/>
          <w:szCs w:val="24"/>
          <w:lang w:val="nl-BE"/>
        </w:rPr>
        <w:t>Trends Ecol Evol 18:640–647. https://doi.org/10.1016/j.tree.2003.09.006</w:t>
      </w:r>
    </w:p>
    <w:p w14:paraId="5001EC7B"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Varma J, Dubey NK (2001) Efficacy of essential oils of </w:t>
      </w:r>
      <w:r w:rsidRPr="00754A1D">
        <w:rPr>
          <w:rFonts w:ascii="Times New Roman" w:hAnsi="Times New Roman" w:cs="Times New Roman"/>
          <w:i/>
          <w:sz w:val="24"/>
          <w:szCs w:val="24"/>
          <w:lang w:val="en-US"/>
        </w:rPr>
        <w:t>Caesulia axillaris</w:t>
      </w:r>
      <w:r w:rsidRPr="00754A1D">
        <w:rPr>
          <w:rFonts w:ascii="Times New Roman" w:hAnsi="Times New Roman" w:cs="Times New Roman"/>
          <w:sz w:val="24"/>
          <w:szCs w:val="24"/>
          <w:lang w:val="en-US"/>
        </w:rPr>
        <w:t xml:space="preserve"> and </w:t>
      </w:r>
      <w:r w:rsidRPr="00754A1D">
        <w:rPr>
          <w:rFonts w:ascii="Times New Roman" w:hAnsi="Times New Roman" w:cs="Times New Roman"/>
          <w:i/>
          <w:sz w:val="24"/>
          <w:szCs w:val="24"/>
          <w:lang w:val="en-US"/>
        </w:rPr>
        <w:t>Mentha arvensis</w:t>
      </w:r>
      <w:r w:rsidRPr="00754A1D">
        <w:rPr>
          <w:rFonts w:ascii="Times New Roman" w:hAnsi="Times New Roman" w:cs="Times New Roman"/>
          <w:sz w:val="24"/>
          <w:szCs w:val="24"/>
          <w:lang w:val="en-US"/>
        </w:rPr>
        <w:t xml:space="preserve"> against some storage pests causing biodeterioration of food commodities. Int J Food Microbiol 68:207–210. https://doi.org/10.1016/S0168-1605(01)00506-2</w:t>
      </w:r>
    </w:p>
    <w:p w14:paraId="74DA1035"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Vigneron A, Masson F, Vallier A, et al (2014) Insects Recycle Endosymbionts when the Benefit Is Over. Curr Biol 24:2267–2273. https://doi.org/10.1016/j.cub.2014.07.065</w:t>
      </w:r>
    </w:p>
    <w:p w14:paraId="6CACC62D"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Wan P-J, Fu K-Y, Lü F-G, et al (2015) Knockdown of a putative alanine aminotransferase gene affects amino acid content and flight capacity in the Colorado potato beetle</w:t>
      </w:r>
      <w:r w:rsidRPr="00754A1D">
        <w:rPr>
          <w:rFonts w:ascii="Times New Roman" w:hAnsi="Times New Roman" w:cs="Times New Roman"/>
          <w:i/>
          <w:sz w:val="24"/>
          <w:szCs w:val="24"/>
          <w:lang w:val="en-US"/>
        </w:rPr>
        <w:t xml:space="preserve"> Leptinotarsa decemlineata</w:t>
      </w:r>
      <w:r w:rsidRPr="00754A1D">
        <w:rPr>
          <w:rFonts w:ascii="Times New Roman" w:hAnsi="Times New Roman" w:cs="Times New Roman"/>
          <w:sz w:val="24"/>
          <w:szCs w:val="24"/>
          <w:lang w:val="en-US"/>
        </w:rPr>
        <w:t>. Amino Acids 47:1445–1454. https://doi.org/10.1007/s00726-015-1978-1</w:t>
      </w:r>
    </w:p>
    <w:p w14:paraId="3B3B8F2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Wei N, Deng XW (2003) The COP9 Signalosome. Annu Rev Cell Dev Biol 19:261–286. https://doi.org/10.1146/annurev.cellbio.19.111301.112449</w:t>
      </w:r>
    </w:p>
    <w:p w14:paraId="76F0A1AA"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Wessel D, Flügge UI (1984) A method for the quantitative recovery of protein in dilute solution in the presence of detergents and lipids. Anal Biochem 138:141–143. https://doi.org/10.1016/0003-2697(84)90782-6</w:t>
      </w:r>
    </w:p>
    <w:p w14:paraId="0876DB51"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lastRenderedPageBreak/>
        <w:t xml:space="preserve">Wittkopp PJ, True JR, Carroll SB (2002) Reciprocal functions of the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xml:space="preserve"> yellow and ebony proteins in the development and evolution of pigment patterns. Dev Camb Engl 129:1849–1858</w:t>
      </w:r>
    </w:p>
    <w:p w14:paraId="52C85CE9"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Yi P, Johnson AN, Han Z, et al (2008) Heterotrimeric G proteins regulate a noncanonical function of septate junction proteins to maintain cardiac integrity in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Dev Cell 15:704–713. https://doi.org/10.1016/j.devcel.2008.10.001</w:t>
      </w:r>
    </w:p>
    <w:p w14:paraId="6BA1301B"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Zhang D, Marlin MC, Liang Z, et al (2016) The Protein Tyrosine Phosphatase MEG2 Regulates the Transport and Signal Transduction of Tropomyosin Receptor Kinase A. J Biol Chem 291:23895–23905. https://doi.org/10.1074/jbc.M116.728550</w:t>
      </w:r>
    </w:p>
    <w:p w14:paraId="21BF775E"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Zhang J, Li D, Ge P, et al (2013) RNA interference revealed the roles of two carboxylesterase genes in insecticide detoxification in </w:t>
      </w:r>
      <w:r w:rsidRPr="00754A1D">
        <w:rPr>
          <w:rFonts w:ascii="Times New Roman" w:hAnsi="Times New Roman" w:cs="Times New Roman"/>
          <w:i/>
          <w:sz w:val="24"/>
          <w:szCs w:val="24"/>
          <w:lang w:val="en-US"/>
        </w:rPr>
        <w:t>Locusta migratoria</w:t>
      </w:r>
      <w:r w:rsidRPr="00754A1D">
        <w:rPr>
          <w:rFonts w:ascii="Times New Roman" w:hAnsi="Times New Roman" w:cs="Times New Roman"/>
          <w:sz w:val="24"/>
          <w:szCs w:val="24"/>
          <w:lang w:val="en-US"/>
        </w:rPr>
        <w:t>. Chemosphere 93:1207–1215. https://doi.org/10.1016/j.chemosphere.2013.06.081</w:t>
      </w:r>
    </w:p>
    <w:p w14:paraId="495318DB"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 xml:space="preserve">Zhao HW, Zhou D, Nizet V, Haddad GG (2010) Experimental selection for </w:t>
      </w:r>
      <w:r w:rsidRPr="00754A1D">
        <w:rPr>
          <w:rFonts w:ascii="Times New Roman" w:hAnsi="Times New Roman" w:cs="Times New Roman"/>
          <w:i/>
          <w:sz w:val="24"/>
          <w:szCs w:val="24"/>
          <w:lang w:val="en-US"/>
        </w:rPr>
        <w:t>Drosophila</w:t>
      </w:r>
      <w:r w:rsidRPr="00754A1D">
        <w:rPr>
          <w:rFonts w:ascii="Times New Roman" w:hAnsi="Times New Roman" w:cs="Times New Roman"/>
          <w:sz w:val="24"/>
          <w:szCs w:val="24"/>
          <w:lang w:val="en-US"/>
        </w:rPr>
        <w:t xml:space="preserve"> survival in extremely high O2 environments. PloS One 5:e11701. https://doi.org/10.1371/journal.pone.0011701</w:t>
      </w:r>
    </w:p>
    <w:p w14:paraId="13ED5CE2"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Zhou Y, Wang Y, Schreader BA, Nambu JR (2013) Drosophila Morgue Associates with SkpA and Polyubiquitin In Vivo. PLOS ONE 8:e74860. https://doi.org/10.1371/journal.pone.0074860</w:t>
      </w:r>
    </w:p>
    <w:p w14:paraId="1410FCFB" w14:textId="77777777" w:rsidR="00507250" w:rsidRPr="00754A1D" w:rsidRDefault="00507250" w:rsidP="00D80B39">
      <w:pPr>
        <w:pStyle w:val="Bibliographie"/>
        <w:jc w:val="both"/>
        <w:rPr>
          <w:rFonts w:ascii="Times New Roman" w:hAnsi="Times New Roman" w:cs="Times New Roman"/>
          <w:sz w:val="24"/>
          <w:szCs w:val="24"/>
          <w:lang w:val="en-US"/>
        </w:rPr>
      </w:pPr>
      <w:r w:rsidRPr="00754A1D">
        <w:rPr>
          <w:rFonts w:ascii="Times New Roman" w:hAnsi="Times New Roman" w:cs="Times New Roman"/>
          <w:sz w:val="24"/>
          <w:szCs w:val="24"/>
          <w:lang w:val="en-US"/>
        </w:rPr>
        <w:t>Zot AS, Potter JD (1987) Structural Aspects of Troponin-Tropomyosin Regulation of Skeletal Muscle Contraction. Annu Rev Biophys Biophys Chem 16:535–559. https://doi.org/10.1146/annurev.bb.16.060187.002535</w:t>
      </w:r>
    </w:p>
    <w:p w14:paraId="12AA2A04" w14:textId="459A9AF4" w:rsidR="00A26F28" w:rsidRPr="00754A1D" w:rsidRDefault="00A26F28" w:rsidP="00D80B39">
      <w:pPr>
        <w:spacing w:after="0" w:line="480" w:lineRule="auto"/>
        <w:jc w:val="both"/>
        <w:rPr>
          <w:rFonts w:ascii="Times New Roman" w:hAnsi="Times New Roman" w:cs="Times New Roman"/>
          <w:b/>
          <w:bCs/>
          <w:sz w:val="20"/>
          <w:szCs w:val="20"/>
          <w:lang w:val="en-US"/>
        </w:rPr>
      </w:pPr>
      <w:r w:rsidRPr="00754A1D">
        <w:rPr>
          <w:rFonts w:ascii="Times New Roman" w:hAnsi="Times New Roman" w:cs="Times New Roman"/>
          <w:b/>
          <w:bCs/>
          <w:sz w:val="24"/>
          <w:szCs w:val="24"/>
          <w:lang w:val="en-US"/>
        </w:rPr>
        <w:fldChar w:fldCharType="end"/>
      </w:r>
    </w:p>
    <w:p w14:paraId="0C0A2A1A" w14:textId="7CFDDD51" w:rsidR="00133FC4" w:rsidRPr="00754A1D" w:rsidRDefault="00133FC4" w:rsidP="00AA137B">
      <w:pPr>
        <w:spacing w:after="0" w:line="480" w:lineRule="auto"/>
        <w:jc w:val="both"/>
        <w:rPr>
          <w:rFonts w:ascii="Times New Roman" w:hAnsi="Times New Roman" w:cs="Times New Roman"/>
          <w:b/>
          <w:bCs/>
          <w:sz w:val="28"/>
          <w:szCs w:val="28"/>
          <w:lang w:val="en-US"/>
        </w:rPr>
      </w:pPr>
    </w:p>
    <w:p w14:paraId="2122702B" w14:textId="09356AA8" w:rsidR="00133FC4" w:rsidRPr="00754A1D" w:rsidRDefault="00133FC4" w:rsidP="00243F83">
      <w:pPr>
        <w:spacing w:after="0" w:line="480" w:lineRule="auto"/>
        <w:rPr>
          <w:rFonts w:ascii="Times New Roman" w:hAnsi="Times New Roman" w:cs="Times New Roman"/>
          <w:sz w:val="24"/>
          <w:szCs w:val="24"/>
          <w:lang w:val="en-US"/>
        </w:rPr>
      </w:pPr>
    </w:p>
    <w:p w14:paraId="61495E29" w14:textId="56AE2E66" w:rsidR="008F0116" w:rsidRPr="00754A1D" w:rsidRDefault="008F0116" w:rsidP="00243F83">
      <w:pPr>
        <w:spacing w:after="0" w:line="480" w:lineRule="auto"/>
        <w:rPr>
          <w:rFonts w:ascii="Times New Roman" w:hAnsi="Times New Roman" w:cs="Times New Roman"/>
          <w:sz w:val="24"/>
          <w:szCs w:val="24"/>
          <w:lang w:val="en-US"/>
        </w:rPr>
      </w:pPr>
    </w:p>
    <w:p w14:paraId="7336E148" w14:textId="1B6D8C62" w:rsidR="008F0116" w:rsidRPr="00754A1D" w:rsidRDefault="008F0116" w:rsidP="00243F83">
      <w:pPr>
        <w:spacing w:after="0" w:line="480" w:lineRule="auto"/>
        <w:rPr>
          <w:rFonts w:ascii="Times New Roman" w:hAnsi="Times New Roman" w:cs="Times New Roman"/>
          <w:sz w:val="24"/>
          <w:szCs w:val="24"/>
          <w:lang w:val="en-US"/>
        </w:rPr>
      </w:pPr>
    </w:p>
    <w:p w14:paraId="54AF3D94" w14:textId="61DA3686" w:rsidR="008F0116" w:rsidRPr="00754A1D" w:rsidRDefault="008F0116" w:rsidP="00243F83">
      <w:pPr>
        <w:spacing w:after="0" w:line="480" w:lineRule="auto"/>
        <w:rPr>
          <w:rFonts w:ascii="Times New Roman" w:hAnsi="Times New Roman" w:cs="Times New Roman"/>
          <w:sz w:val="24"/>
          <w:szCs w:val="24"/>
          <w:lang w:val="en-US"/>
        </w:rPr>
      </w:pPr>
    </w:p>
    <w:p w14:paraId="5F2B75D7" w14:textId="62A69A20" w:rsidR="008F0116" w:rsidRPr="00754A1D" w:rsidRDefault="008F0116" w:rsidP="00243F83">
      <w:pPr>
        <w:spacing w:after="0" w:line="480" w:lineRule="auto"/>
        <w:rPr>
          <w:rFonts w:ascii="Times New Roman" w:hAnsi="Times New Roman" w:cs="Times New Roman"/>
          <w:sz w:val="24"/>
          <w:szCs w:val="24"/>
          <w:lang w:val="en-US"/>
        </w:rPr>
      </w:pPr>
    </w:p>
    <w:p w14:paraId="2C73B55D" w14:textId="1D41C087" w:rsidR="00D80B39" w:rsidRPr="00754A1D" w:rsidRDefault="00D80B39" w:rsidP="00243F83">
      <w:pPr>
        <w:spacing w:after="0" w:line="480" w:lineRule="auto"/>
        <w:rPr>
          <w:rFonts w:ascii="Times New Roman" w:hAnsi="Times New Roman" w:cs="Times New Roman"/>
          <w:sz w:val="24"/>
          <w:szCs w:val="24"/>
          <w:lang w:val="en-US"/>
        </w:rPr>
      </w:pPr>
    </w:p>
    <w:p w14:paraId="7E83C272" w14:textId="6C5E381B" w:rsidR="00D80B39" w:rsidRPr="00754A1D" w:rsidRDefault="00D80B39" w:rsidP="00243F83">
      <w:pPr>
        <w:spacing w:after="0" w:line="480" w:lineRule="auto"/>
        <w:rPr>
          <w:rFonts w:ascii="Times New Roman" w:hAnsi="Times New Roman" w:cs="Times New Roman"/>
          <w:sz w:val="24"/>
          <w:szCs w:val="24"/>
          <w:lang w:val="en-US"/>
        </w:rPr>
      </w:pPr>
    </w:p>
    <w:p w14:paraId="759B42E4" w14:textId="0FE69865" w:rsidR="00D80B39" w:rsidRPr="00754A1D" w:rsidRDefault="00D80B39" w:rsidP="00243F83">
      <w:pPr>
        <w:spacing w:after="0" w:line="480" w:lineRule="auto"/>
        <w:rPr>
          <w:rFonts w:ascii="Times New Roman" w:hAnsi="Times New Roman" w:cs="Times New Roman"/>
          <w:sz w:val="24"/>
          <w:szCs w:val="24"/>
          <w:lang w:val="en-US"/>
        </w:rPr>
      </w:pPr>
    </w:p>
    <w:p w14:paraId="1C711942" w14:textId="1A49F93B" w:rsidR="00D80B39" w:rsidRPr="00754A1D" w:rsidRDefault="00D80B39" w:rsidP="00243F83">
      <w:pPr>
        <w:spacing w:after="0" w:line="480" w:lineRule="auto"/>
        <w:rPr>
          <w:rFonts w:ascii="Times New Roman" w:hAnsi="Times New Roman" w:cs="Times New Roman"/>
          <w:sz w:val="24"/>
          <w:szCs w:val="24"/>
          <w:lang w:val="en-US"/>
        </w:rPr>
      </w:pPr>
    </w:p>
    <w:p w14:paraId="22EB19B0" w14:textId="4F268B09" w:rsidR="00D80B39" w:rsidRPr="00754A1D" w:rsidRDefault="00D80B39" w:rsidP="00243F83">
      <w:pPr>
        <w:spacing w:after="0" w:line="480" w:lineRule="auto"/>
        <w:rPr>
          <w:rFonts w:ascii="Times New Roman" w:hAnsi="Times New Roman" w:cs="Times New Roman"/>
          <w:sz w:val="24"/>
          <w:szCs w:val="24"/>
          <w:lang w:val="en-US"/>
        </w:rPr>
      </w:pPr>
    </w:p>
    <w:p w14:paraId="4135F158" w14:textId="4284E571" w:rsidR="00133FC4" w:rsidRPr="00754A1D" w:rsidRDefault="00133FC4" w:rsidP="00133FC4">
      <w:pPr>
        <w:spacing w:line="480" w:lineRule="auto"/>
        <w:jc w:val="both"/>
        <w:rPr>
          <w:rFonts w:ascii="Times New Roman" w:eastAsia="Times New Roman" w:hAnsi="Times New Roman" w:cs="Times New Roman"/>
          <w:sz w:val="24"/>
          <w:szCs w:val="24"/>
          <w:lang w:val="en-US" w:eastAsia="fr-BE"/>
        </w:rPr>
      </w:pPr>
      <w:r w:rsidRPr="00754A1D">
        <w:rPr>
          <w:rFonts w:ascii="Times New Roman" w:eastAsia="Times New Roman" w:hAnsi="Times New Roman" w:cs="Times New Roman"/>
          <w:b/>
          <w:bCs/>
          <w:sz w:val="24"/>
          <w:szCs w:val="24"/>
          <w:lang w:val="en-US" w:eastAsia="fr-BE"/>
        </w:rPr>
        <w:lastRenderedPageBreak/>
        <w:t>Figure 1.</w:t>
      </w:r>
      <w:r w:rsidRPr="00754A1D">
        <w:rPr>
          <w:rFonts w:ascii="Times New Roman" w:eastAsia="Times New Roman" w:hAnsi="Times New Roman" w:cs="Times New Roman"/>
          <w:sz w:val="24"/>
          <w:szCs w:val="24"/>
          <w:lang w:val="en-US" w:eastAsia="fr-BE"/>
        </w:rPr>
        <w:t xml:space="preserve"> Proportion of dead individuals (age: seven to fourteen days post-emergence) as a function of the dose of </w:t>
      </w:r>
      <w:r w:rsidRPr="00754A1D">
        <w:rPr>
          <w:rFonts w:ascii="Times New Roman" w:eastAsia="Times New Roman" w:hAnsi="Times New Roman" w:cs="Times New Roman"/>
          <w:i/>
          <w:sz w:val="24"/>
          <w:szCs w:val="24"/>
          <w:lang w:val="en-US" w:eastAsia="fr-BE"/>
        </w:rPr>
        <w:t>M. arvensis</w:t>
      </w:r>
      <w:r w:rsidRPr="00754A1D">
        <w:rPr>
          <w:rFonts w:ascii="Times New Roman" w:eastAsia="Times New Roman" w:hAnsi="Times New Roman" w:cs="Times New Roman"/>
          <w:sz w:val="24"/>
          <w:szCs w:val="24"/>
          <w:lang w:val="en-US" w:eastAsia="fr-BE"/>
        </w:rPr>
        <w:t xml:space="preserve"> EO (markers) along with a nonlinear regression using eq. (1). </w:t>
      </w:r>
      <w:r w:rsidR="00E01EBF" w:rsidRPr="00754A1D">
        <w:rPr>
          <w:rFonts w:ascii="Times New Roman" w:eastAsia="Times New Roman" w:hAnsi="Times New Roman" w:cs="Times New Roman"/>
          <w:sz w:val="24"/>
          <w:szCs w:val="24"/>
          <w:lang w:val="en-US" w:eastAsia="fr-BE"/>
        </w:rPr>
        <w:t>Best fitted p</w:t>
      </w:r>
      <w:r w:rsidRPr="00754A1D">
        <w:rPr>
          <w:rFonts w:ascii="Times New Roman" w:eastAsia="Times New Roman" w:hAnsi="Times New Roman" w:cs="Times New Roman"/>
          <w:sz w:val="24"/>
          <w:szCs w:val="24"/>
          <w:lang w:val="en-US" w:eastAsia="fr-BE"/>
        </w:rPr>
        <w:t xml:space="preserve">arameter values are: </w:t>
      </w:r>
      <w:r w:rsidRPr="00754A1D">
        <w:rPr>
          <w:rFonts w:ascii="Times New Roman" w:eastAsia="Times New Roman" w:hAnsi="Times New Roman" w:cs="Times New Roman"/>
          <w:i/>
          <w:sz w:val="24"/>
          <w:szCs w:val="24"/>
          <w:lang w:val="en-US" w:eastAsia="fr-BE"/>
        </w:rPr>
        <w:t>n</w:t>
      </w:r>
      <w:r w:rsidRPr="00754A1D">
        <w:rPr>
          <w:rFonts w:ascii="Times New Roman" w:eastAsia="Times New Roman" w:hAnsi="Times New Roman" w:cs="Times New Roman"/>
          <w:sz w:val="24"/>
          <w:szCs w:val="24"/>
          <w:lang w:val="en-US" w:eastAsia="fr-BE"/>
        </w:rPr>
        <w:t xml:space="preserve"> = 6.175 ± 0.573, </w:t>
      </w:r>
      <w:r w:rsidRPr="00754A1D">
        <w:rPr>
          <w:rFonts w:ascii="Times New Roman" w:eastAsia="Times New Roman" w:hAnsi="Times New Roman" w:cs="Times New Roman"/>
          <w:i/>
          <w:sz w:val="24"/>
          <w:szCs w:val="24"/>
          <w:lang w:val="en-US" w:eastAsia="fr-BE"/>
        </w:rPr>
        <w:t>K</w:t>
      </w:r>
      <w:r w:rsidRPr="00754A1D">
        <w:rPr>
          <w:rFonts w:ascii="Times New Roman" w:eastAsia="Times New Roman" w:hAnsi="Times New Roman" w:cs="Times New Roman"/>
          <w:sz w:val="24"/>
          <w:szCs w:val="24"/>
          <w:lang w:val="en-US" w:eastAsia="fr-BE"/>
        </w:rPr>
        <w:t xml:space="preserve"> = LD</w:t>
      </w:r>
      <w:r w:rsidRPr="00754A1D">
        <w:rPr>
          <w:rFonts w:ascii="Times New Roman" w:eastAsia="Times New Roman" w:hAnsi="Times New Roman" w:cs="Times New Roman"/>
          <w:sz w:val="24"/>
          <w:szCs w:val="24"/>
          <w:vertAlign w:val="subscript"/>
          <w:lang w:val="en-US" w:eastAsia="fr-BE"/>
        </w:rPr>
        <w:t>50</w:t>
      </w:r>
      <w:r w:rsidRPr="00754A1D">
        <w:rPr>
          <w:rFonts w:ascii="Times New Roman" w:eastAsia="Times New Roman" w:hAnsi="Times New Roman" w:cs="Times New Roman"/>
          <w:sz w:val="24"/>
          <w:szCs w:val="24"/>
          <w:lang w:val="en-US" w:eastAsia="fr-BE"/>
        </w:rPr>
        <w:t xml:space="preserve"> = 12.313 ± 0.192. </w:t>
      </w:r>
    </w:p>
    <w:p w14:paraId="293979F9" w14:textId="58D746BC" w:rsidR="00202D6D" w:rsidRPr="00754A1D" w:rsidRDefault="00202D6D" w:rsidP="00202D6D">
      <w:pPr>
        <w:spacing w:after="0" w:line="480" w:lineRule="auto"/>
        <w:jc w:val="both"/>
        <w:rPr>
          <w:rFonts w:ascii="Times New Roman" w:eastAsia="Times New Roman" w:hAnsi="Times New Roman" w:cs="Times New Roman"/>
          <w:sz w:val="24"/>
          <w:szCs w:val="24"/>
          <w:lang w:val="en-US" w:eastAsia="fr-BE"/>
        </w:rPr>
      </w:pPr>
    </w:p>
    <w:p w14:paraId="1D08FCC2" w14:textId="1D4DE57F" w:rsidR="00202D6D" w:rsidRPr="00754A1D" w:rsidRDefault="00202D6D" w:rsidP="00202D6D">
      <w:pPr>
        <w:spacing w:after="0" w:line="480" w:lineRule="auto"/>
        <w:jc w:val="both"/>
        <w:rPr>
          <w:rFonts w:ascii="Times New Roman" w:eastAsia="Times New Roman" w:hAnsi="Times New Roman" w:cs="Times New Roman"/>
          <w:sz w:val="24"/>
          <w:szCs w:val="24"/>
          <w:lang w:val="en-US" w:eastAsia="fr-BE"/>
        </w:rPr>
      </w:pPr>
      <w:r w:rsidRPr="00754A1D">
        <w:rPr>
          <w:rFonts w:ascii="Times New Roman" w:eastAsia="Times New Roman" w:hAnsi="Times New Roman" w:cs="Times New Roman"/>
          <w:b/>
          <w:bCs/>
          <w:sz w:val="24"/>
          <w:szCs w:val="24"/>
          <w:lang w:val="en-US" w:eastAsia="fr-BE"/>
        </w:rPr>
        <w:t>Figure 2.</w:t>
      </w:r>
      <w:r w:rsidRPr="00754A1D">
        <w:rPr>
          <w:rFonts w:ascii="Times New Roman" w:eastAsia="Times New Roman" w:hAnsi="Times New Roman" w:cs="Times New Roman"/>
          <w:sz w:val="24"/>
          <w:szCs w:val="24"/>
          <w:lang w:val="en-US" w:eastAsia="fr-BE"/>
        </w:rPr>
        <w:t xml:space="preserve"> </w:t>
      </w:r>
      <w:r w:rsidR="00E01EBF" w:rsidRPr="00754A1D">
        <w:rPr>
          <w:rFonts w:ascii="Times New Roman" w:eastAsia="Times New Roman" w:hAnsi="Times New Roman" w:cs="Times New Roman"/>
          <w:sz w:val="24"/>
          <w:szCs w:val="24"/>
          <w:lang w:val="en-US" w:eastAsia="fr-BE"/>
        </w:rPr>
        <w:t>Mean c</w:t>
      </w:r>
      <w:r w:rsidRPr="00754A1D">
        <w:rPr>
          <w:rFonts w:ascii="Times New Roman" w:eastAsia="Times New Roman" w:hAnsi="Times New Roman" w:cs="Times New Roman"/>
          <w:sz w:val="24"/>
          <w:szCs w:val="24"/>
          <w:lang w:val="en-US" w:eastAsia="fr-BE"/>
        </w:rPr>
        <w:t xml:space="preserve">umulative distances (Mean ± SD) as a function of time for untreated insects (a), treated insects that survived (b) and treated insects that died (c).  </w:t>
      </w:r>
    </w:p>
    <w:p w14:paraId="59250EA7" w14:textId="63D23751" w:rsidR="007D34AC" w:rsidRPr="00754A1D" w:rsidRDefault="007D34AC" w:rsidP="00202D6D">
      <w:pPr>
        <w:spacing w:after="0" w:line="480" w:lineRule="auto"/>
        <w:jc w:val="both"/>
        <w:rPr>
          <w:rFonts w:ascii="Times New Roman" w:eastAsia="Times New Roman" w:hAnsi="Times New Roman" w:cs="Times New Roman"/>
          <w:sz w:val="24"/>
          <w:szCs w:val="24"/>
          <w:lang w:val="en-US" w:eastAsia="fr-BE"/>
        </w:rPr>
      </w:pPr>
    </w:p>
    <w:p w14:paraId="52E9644F" w14:textId="68F07FCC" w:rsidR="00204458" w:rsidRPr="00754A1D" w:rsidRDefault="007D34AC" w:rsidP="007D34AC">
      <w:pPr>
        <w:spacing w:after="0" w:line="480" w:lineRule="auto"/>
        <w:jc w:val="both"/>
        <w:rPr>
          <w:rFonts w:ascii="Times New Roman" w:eastAsia="Times New Roman" w:hAnsi="Times New Roman" w:cs="Times New Roman"/>
          <w:sz w:val="24"/>
          <w:szCs w:val="24"/>
          <w:lang w:val="en-US" w:eastAsia="fr-BE"/>
        </w:rPr>
      </w:pPr>
      <w:r w:rsidRPr="00754A1D">
        <w:rPr>
          <w:rFonts w:ascii="Times New Roman" w:eastAsia="Times New Roman" w:hAnsi="Times New Roman" w:cs="Times New Roman"/>
          <w:b/>
          <w:bCs/>
          <w:sz w:val="24"/>
          <w:szCs w:val="24"/>
          <w:lang w:val="en-US" w:eastAsia="fr-BE"/>
        </w:rPr>
        <w:t>Figure 3.</w:t>
      </w:r>
      <w:r w:rsidRPr="00754A1D">
        <w:rPr>
          <w:rFonts w:ascii="Times New Roman" w:eastAsia="Times New Roman" w:hAnsi="Times New Roman" w:cs="Times New Roman"/>
          <w:sz w:val="24"/>
          <w:szCs w:val="24"/>
          <w:lang w:val="en-US" w:eastAsia="fr-BE"/>
        </w:rPr>
        <w:t xml:space="preserve"> </w:t>
      </w:r>
      <w:bookmarkStart w:id="11" w:name="_Hlk66203681"/>
      <w:r w:rsidRPr="00754A1D">
        <w:rPr>
          <w:rFonts w:ascii="Times New Roman" w:eastAsia="Times New Roman" w:hAnsi="Times New Roman" w:cs="Times New Roman"/>
          <w:sz w:val="24"/>
          <w:szCs w:val="24"/>
          <w:lang w:val="en-US" w:eastAsia="fr-BE"/>
        </w:rPr>
        <w:t xml:space="preserve">Mean speeds </w:t>
      </w:r>
      <w:r w:rsidR="00E01EBF" w:rsidRPr="00754A1D">
        <w:rPr>
          <w:rFonts w:ascii="Times New Roman" w:eastAsia="Times New Roman" w:hAnsi="Times New Roman" w:cs="Times New Roman"/>
          <w:sz w:val="24"/>
          <w:szCs w:val="24"/>
          <w:lang w:val="en-US" w:eastAsia="fr-BE"/>
        </w:rPr>
        <w:t>and standard deviations</w:t>
      </w:r>
      <w:r w:rsidRPr="00754A1D">
        <w:rPr>
          <w:rFonts w:ascii="Times New Roman" w:eastAsia="Times New Roman" w:hAnsi="Times New Roman" w:cs="Times New Roman"/>
          <w:sz w:val="24"/>
          <w:szCs w:val="24"/>
          <w:lang w:val="en-US" w:eastAsia="fr-BE"/>
        </w:rPr>
        <w:t xml:space="preserve"> </w:t>
      </w:r>
      <w:bookmarkEnd w:id="11"/>
      <w:r w:rsidRPr="00754A1D">
        <w:rPr>
          <w:rFonts w:ascii="Times New Roman" w:eastAsia="Times New Roman" w:hAnsi="Times New Roman" w:cs="Times New Roman"/>
          <w:sz w:val="24"/>
          <w:szCs w:val="24"/>
          <w:lang w:val="en-US" w:eastAsia="fr-BE"/>
        </w:rPr>
        <w:t>(a) and the proportion of visited space (Mean ± SD) by an individual (b) after 24h by untreated individuals and treated individuals that survived.</w:t>
      </w:r>
    </w:p>
    <w:p w14:paraId="6DA114DA" w14:textId="230C6EED" w:rsidR="00D80390" w:rsidRPr="00754A1D" w:rsidRDefault="007D34AC" w:rsidP="00204458">
      <w:pPr>
        <w:spacing w:after="0" w:line="480" w:lineRule="auto"/>
        <w:jc w:val="both"/>
        <w:rPr>
          <w:rFonts w:ascii="Times New Roman" w:eastAsia="Times New Roman" w:hAnsi="Times New Roman" w:cs="Times New Roman"/>
          <w:sz w:val="24"/>
          <w:szCs w:val="24"/>
          <w:lang w:val="en-US" w:eastAsia="fr-BE"/>
        </w:rPr>
      </w:pPr>
      <w:r w:rsidRPr="00754A1D">
        <w:rPr>
          <w:rFonts w:ascii="Times New Roman" w:eastAsia="Times New Roman" w:hAnsi="Times New Roman" w:cs="Times New Roman"/>
          <w:sz w:val="24"/>
          <w:szCs w:val="24"/>
          <w:lang w:val="en-US" w:eastAsia="fr-BE"/>
        </w:rPr>
        <w:t xml:space="preserve">  </w:t>
      </w:r>
    </w:p>
    <w:p w14:paraId="57A9DE76" w14:textId="45C924FF" w:rsidR="00D80390" w:rsidRPr="00754A1D" w:rsidRDefault="00D80390" w:rsidP="00D80390">
      <w:pPr>
        <w:spacing w:after="0" w:line="480" w:lineRule="auto"/>
        <w:jc w:val="both"/>
        <w:rPr>
          <w:rFonts w:ascii="Times New Roman" w:hAnsi="Times New Roman" w:cs="Times New Roman"/>
          <w:sz w:val="24"/>
          <w:szCs w:val="24"/>
          <w:lang w:val="en-US"/>
        </w:rPr>
      </w:pPr>
      <w:r w:rsidRPr="00754A1D">
        <w:rPr>
          <w:rFonts w:ascii="Times New Roman" w:eastAsia="Times New Roman" w:hAnsi="Times New Roman" w:cs="Times New Roman"/>
          <w:b/>
          <w:bCs/>
          <w:sz w:val="24"/>
          <w:szCs w:val="24"/>
          <w:lang w:val="en-US" w:eastAsia="fr-BE"/>
        </w:rPr>
        <w:t xml:space="preserve">Figure </w:t>
      </w:r>
      <w:r w:rsidR="00970495" w:rsidRPr="00754A1D">
        <w:rPr>
          <w:rFonts w:ascii="Times New Roman" w:eastAsia="Times New Roman" w:hAnsi="Times New Roman" w:cs="Times New Roman"/>
          <w:b/>
          <w:bCs/>
          <w:sz w:val="24"/>
          <w:szCs w:val="24"/>
          <w:lang w:val="en-US" w:eastAsia="fr-BE"/>
        </w:rPr>
        <w:t>4</w:t>
      </w:r>
      <w:r w:rsidRPr="00754A1D">
        <w:rPr>
          <w:rFonts w:ascii="Times New Roman" w:eastAsia="Times New Roman" w:hAnsi="Times New Roman" w:cs="Times New Roman"/>
          <w:b/>
          <w:bCs/>
          <w:sz w:val="24"/>
          <w:szCs w:val="24"/>
          <w:lang w:val="en-US" w:eastAsia="fr-BE"/>
        </w:rPr>
        <w:t>.</w:t>
      </w:r>
      <w:r w:rsidRPr="00754A1D">
        <w:rPr>
          <w:rFonts w:ascii="Times New Roman" w:eastAsia="Times New Roman" w:hAnsi="Times New Roman" w:cs="Times New Roman"/>
          <w:sz w:val="24"/>
          <w:szCs w:val="24"/>
          <w:lang w:val="en-US" w:eastAsia="fr-BE"/>
        </w:rPr>
        <w:t xml:space="preserve"> Overlays of the positions for all the experiments for untreated individuals </w:t>
      </w:r>
      <w:r w:rsidRPr="00754A1D">
        <w:rPr>
          <w:rFonts w:ascii="Times New Roman" w:hAnsi="Times New Roman" w:cs="Times New Roman"/>
          <w:sz w:val="24"/>
          <w:szCs w:val="24"/>
          <w:lang w:val="en-US"/>
        </w:rPr>
        <w:t>(a), treated ones that survived (b) and treated ones that died (c).</w:t>
      </w:r>
    </w:p>
    <w:p w14:paraId="292FD055" w14:textId="55E37BED" w:rsidR="00204458" w:rsidRPr="00754A1D" w:rsidRDefault="00204458" w:rsidP="00204458">
      <w:pPr>
        <w:spacing w:after="0" w:line="480" w:lineRule="auto"/>
        <w:jc w:val="both"/>
        <w:rPr>
          <w:rFonts w:ascii="Times New Roman" w:eastAsia="Times New Roman" w:hAnsi="Times New Roman" w:cs="Times New Roman"/>
          <w:sz w:val="24"/>
          <w:szCs w:val="24"/>
          <w:lang w:val="en-US" w:eastAsia="fr-BE"/>
        </w:rPr>
      </w:pPr>
    </w:p>
    <w:p w14:paraId="3F00EA1F" w14:textId="4F9A95C4" w:rsidR="00133FC4" w:rsidRPr="00754A1D" w:rsidRDefault="00204458" w:rsidP="00AA137B">
      <w:pPr>
        <w:spacing w:after="0" w:line="480" w:lineRule="auto"/>
        <w:jc w:val="both"/>
        <w:rPr>
          <w:rFonts w:ascii="Times New Roman" w:hAnsi="Times New Roman" w:cs="Times New Roman"/>
          <w:sz w:val="24"/>
          <w:szCs w:val="24"/>
          <w:lang w:val="en-US"/>
        </w:rPr>
      </w:pPr>
      <w:r w:rsidRPr="00754A1D">
        <w:rPr>
          <w:rFonts w:ascii="Times New Roman" w:hAnsi="Times New Roman" w:cs="Times New Roman"/>
          <w:b/>
          <w:sz w:val="24"/>
          <w:szCs w:val="24"/>
          <w:lang w:val="en-US"/>
        </w:rPr>
        <w:t xml:space="preserve">Figure </w:t>
      </w:r>
      <w:r w:rsidR="0085059B" w:rsidRPr="00754A1D">
        <w:rPr>
          <w:rFonts w:ascii="Times New Roman" w:hAnsi="Times New Roman" w:cs="Times New Roman"/>
          <w:b/>
          <w:sz w:val="24"/>
          <w:szCs w:val="24"/>
          <w:lang w:val="en-US"/>
        </w:rPr>
        <w:t>5</w:t>
      </w:r>
      <w:r w:rsidRPr="00754A1D">
        <w:rPr>
          <w:rFonts w:ascii="Times New Roman" w:hAnsi="Times New Roman" w:cs="Times New Roman"/>
          <w:b/>
          <w:sz w:val="24"/>
          <w:szCs w:val="24"/>
          <w:lang w:val="en-US"/>
        </w:rPr>
        <w:t>.</w:t>
      </w:r>
      <w:r w:rsidRPr="00754A1D">
        <w:rPr>
          <w:rFonts w:ascii="Times New Roman" w:hAnsi="Times New Roman" w:cs="Times New Roman"/>
          <w:sz w:val="24"/>
          <w:szCs w:val="24"/>
          <w:lang w:val="en-US"/>
        </w:rPr>
        <w:t xml:space="preserve"> Summary of the DEPs in </w:t>
      </w:r>
      <w:r w:rsidRPr="00754A1D">
        <w:rPr>
          <w:rFonts w:ascii="Times New Roman" w:hAnsi="Times New Roman" w:cs="Times New Roman"/>
          <w:i/>
          <w:sz w:val="24"/>
          <w:szCs w:val="24"/>
          <w:lang w:val="en-US"/>
        </w:rPr>
        <w:t xml:space="preserve">S. </w:t>
      </w:r>
      <w:proofErr w:type="spellStart"/>
      <w:r w:rsidRPr="00754A1D">
        <w:rPr>
          <w:rFonts w:ascii="Times New Roman" w:hAnsi="Times New Roman" w:cs="Times New Roman"/>
          <w:i/>
          <w:sz w:val="24"/>
          <w:szCs w:val="24"/>
          <w:lang w:val="en-US"/>
        </w:rPr>
        <w:t>granarius</w:t>
      </w:r>
      <w:proofErr w:type="spellEnd"/>
      <w:r w:rsidRPr="00754A1D">
        <w:rPr>
          <w:rFonts w:ascii="Times New Roman" w:hAnsi="Times New Roman" w:cs="Times New Roman"/>
          <w:sz w:val="24"/>
          <w:szCs w:val="24"/>
          <w:lang w:val="en-US"/>
        </w:rPr>
        <w:t xml:space="preserve"> responding to </w:t>
      </w:r>
      <w:r w:rsidRPr="00754A1D">
        <w:rPr>
          <w:rFonts w:ascii="Times New Roman" w:hAnsi="Times New Roman" w:cs="Times New Roman"/>
          <w:i/>
          <w:sz w:val="24"/>
          <w:szCs w:val="24"/>
          <w:lang w:val="en-US"/>
        </w:rPr>
        <w:t>M. arvensis</w:t>
      </w:r>
      <w:r w:rsidRPr="00754A1D">
        <w:rPr>
          <w:rFonts w:ascii="Times New Roman" w:hAnsi="Times New Roman" w:cs="Times New Roman"/>
          <w:sz w:val="24"/>
          <w:szCs w:val="24"/>
          <w:lang w:val="en-US"/>
        </w:rPr>
        <w:t xml:space="preserve"> EO after filtration (identification based on a minimum of 3 unique peptides, cut‐off of 1.2‐fold change and </w:t>
      </w:r>
      <w:r w:rsidRPr="00754A1D">
        <w:rPr>
          <w:rFonts w:ascii="Times New Roman" w:hAnsi="Times New Roman" w:cs="Times New Roman"/>
          <w:i/>
          <w:sz w:val="24"/>
          <w:szCs w:val="24"/>
          <w:lang w:val="en-US"/>
        </w:rPr>
        <w:t>p</w:t>
      </w:r>
      <w:r w:rsidRPr="00754A1D">
        <w:rPr>
          <w:rFonts w:ascii="Times New Roman" w:hAnsi="Times New Roman" w:cs="Times New Roman"/>
          <w:sz w:val="24"/>
          <w:szCs w:val="24"/>
          <w:lang w:val="en-US"/>
        </w:rPr>
        <w:t xml:space="preserve">‐value </w:t>
      </w:r>
      <w:r w:rsidR="0074490C" w:rsidRPr="00754A1D">
        <w:rPr>
          <w:rFonts w:ascii="Times New Roman" w:hAnsi="Times New Roman" w:cs="Times New Roman"/>
          <w:sz w:val="24"/>
          <w:szCs w:val="24"/>
          <w:lang w:val="en-US"/>
        </w:rPr>
        <w:t>&lt;</w:t>
      </w:r>
      <w:r w:rsidRPr="00754A1D">
        <w:rPr>
          <w:rFonts w:ascii="Times New Roman" w:hAnsi="Times New Roman" w:cs="Times New Roman"/>
          <w:sz w:val="24"/>
          <w:szCs w:val="24"/>
          <w:lang w:val="en-US"/>
        </w:rPr>
        <w:t xml:space="preserve"> 0.05). Proteins are classified according to the biological processes in which they are involved (upregulated proteins are noted with an arrow highlighted in yellow and downregulated proteins are noted with an arrow highlighted in blue).</w:t>
      </w:r>
    </w:p>
    <w:p w14:paraId="787060A2" w14:textId="1AFF1AEF" w:rsidR="00DB1884" w:rsidRPr="00754A1D" w:rsidRDefault="00DB1884" w:rsidP="00AA137B">
      <w:pPr>
        <w:spacing w:after="0" w:line="480" w:lineRule="auto"/>
        <w:jc w:val="both"/>
        <w:rPr>
          <w:rFonts w:ascii="Times New Roman" w:hAnsi="Times New Roman" w:cs="Times New Roman"/>
          <w:b/>
          <w:bCs/>
          <w:sz w:val="28"/>
          <w:szCs w:val="28"/>
          <w:lang w:val="en-US"/>
        </w:rPr>
      </w:pPr>
    </w:p>
    <w:p w14:paraId="05C14CF5" w14:textId="7B983E9B" w:rsidR="003B717E" w:rsidRPr="00754A1D" w:rsidRDefault="00DB1884" w:rsidP="00FB4210">
      <w:pPr>
        <w:spacing w:after="0" w:line="480" w:lineRule="auto"/>
        <w:jc w:val="both"/>
        <w:rPr>
          <w:rFonts w:ascii="Times New Roman" w:eastAsia="Times New Roman" w:hAnsi="Times New Roman" w:cs="Times New Roman"/>
          <w:sz w:val="24"/>
          <w:szCs w:val="24"/>
          <w:lang w:val="en-US" w:eastAsia="fr-BE"/>
        </w:rPr>
      </w:pPr>
      <w:r w:rsidRPr="00754A1D">
        <w:rPr>
          <w:rFonts w:ascii="Times New Roman" w:eastAsia="Times New Roman" w:hAnsi="Times New Roman" w:cs="Times New Roman"/>
          <w:b/>
          <w:bCs/>
          <w:sz w:val="24"/>
          <w:szCs w:val="24"/>
          <w:lang w:val="en-US" w:eastAsia="fr-BE"/>
        </w:rPr>
        <w:t>Figure 6.</w:t>
      </w:r>
      <w:r w:rsidRPr="00754A1D">
        <w:rPr>
          <w:rFonts w:ascii="Times New Roman" w:eastAsia="Times New Roman" w:hAnsi="Times New Roman" w:cs="Times New Roman"/>
          <w:sz w:val="24"/>
          <w:szCs w:val="24"/>
          <w:lang w:val="en-US" w:eastAsia="fr-BE"/>
        </w:rPr>
        <w:t xml:space="preserve"> </w:t>
      </w:r>
      <w:r w:rsidR="003B717E" w:rsidRPr="00754A1D">
        <w:rPr>
          <w:rFonts w:ascii="Times New Roman" w:eastAsia="Times New Roman" w:hAnsi="Times New Roman" w:cs="Times New Roman"/>
          <w:sz w:val="24"/>
          <w:szCs w:val="24"/>
          <w:lang w:val="en-US" w:eastAsia="fr-BE"/>
        </w:rPr>
        <w:t xml:space="preserve">Schematic diagram of the TCA cycle, fatty acid oxidation and oxidative phosphorylation, three important steps for ATP production during carbohydrate metabolism. The proteins found upregulated </w:t>
      </w:r>
      <w:r w:rsidR="00D55650" w:rsidRPr="00754A1D">
        <w:rPr>
          <w:rFonts w:ascii="Times New Roman" w:eastAsia="Times New Roman" w:hAnsi="Times New Roman" w:cs="Times New Roman"/>
          <w:sz w:val="24"/>
          <w:szCs w:val="24"/>
          <w:lang w:val="en-US" w:eastAsia="fr-BE"/>
        </w:rPr>
        <w:t xml:space="preserve">in </w:t>
      </w:r>
      <w:r w:rsidR="00D55650" w:rsidRPr="00754A1D">
        <w:rPr>
          <w:rFonts w:ascii="Times New Roman" w:eastAsia="Times New Roman" w:hAnsi="Times New Roman" w:cs="Times New Roman"/>
          <w:i/>
          <w:sz w:val="24"/>
          <w:szCs w:val="24"/>
          <w:lang w:val="en-US" w:eastAsia="fr-BE"/>
        </w:rPr>
        <w:t xml:space="preserve">S. </w:t>
      </w:r>
      <w:proofErr w:type="spellStart"/>
      <w:r w:rsidR="00D55650" w:rsidRPr="00754A1D">
        <w:rPr>
          <w:rFonts w:ascii="Times New Roman" w:eastAsia="Times New Roman" w:hAnsi="Times New Roman" w:cs="Times New Roman"/>
          <w:i/>
          <w:sz w:val="24"/>
          <w:szCs w:val="24"/>
          <w:lang w:val="en-US" w:eastAsia="fr-BE"/>
        </w:rPr>
        <w:t>granarius</w:t>
      </w:r>
      <w:proofErr w:type="spellEnd"/>
      <w:r w:rsidR="003B717E" w:rsidRPr="00754A1D">
        <w:rPr>
          <w:rFonts w:ascii="Times New Roman" w:eastAsia="Times New Roman" w:hAnsi="Times New Roman" w:cs="Times New Roman"/>
          <w:sz w:val="24"/>
          <w:szCs w:val="24"/>
          <w:lang w:val="en-US" w:eastAsia="fr-BE"/>
        </w:rPr>
        <w:t xml:space="preserve"> </w:t>
      </w:r>
      <w:r w:rsidR="00D55650" w:rsidRPr="00754A1D">
        <w:rPr>
          <w:rFonts w:ascii="Times New Roman" w:eastAsia="Times New Roman" w:hAnsi="Times New Roman" w:cs="Times New Roman"/>
          <w:sz w:val="24"/>
          <w:szCs w:val="24"/>
          <w:lang w:val="en-US" w:eastAsia="fr-BE"/>
        </w:rPr>
        <w:t xml:space="preserve">exposed to </w:t>
      </w:r>
      <w:r w:rsidR="00D55650" w:rsidRPr="00754A1D">
        <w:rPr>
          <w:rFonts w:ascii="Times New Roman" w:eastAsia="Times New Roman" w:hAnsi="Times New Roman" w:cs="Times New Roman"/>
          <w:i/>
          <w:sz w:val="24"/>
          <w:szCs w:val="24"/>
          <w:lang w:val="en-US" w:eastAsia="fr-BE"/>
        </w:rPr>
        <w:t>M. arvensis</w:t>
      </w:r>
      <w:r w:rsidR="00D55650" w:rsidRPr="00754A1D">
        <w:rPr>
          <w:rFonts w:ascii="Times New Roman" w:eastAsia="Times New Roman" w:hAnsi="Times New Roman" w:cs="Times New Roman"/>
          <w:sz w:val="24"/>
          <w:szCs w:val="24"/>
          <w:lang w:val="en-US" w:eastAsia="fr-BE"/>
        </w:rPr>
        <w:t xml:space="preserve"> EO</w:t>
      </w:r>
      <w:r w:rsidR="003B717E" w:rsidRPr="00754A1D">
        <w:rPr>
          <w:rFonts w:ascii="Times New Roman" w:eastAsia="Times New Roman" w:hAnsi="Times New Roman" w:cs="Times New Roman"/>
          <w:sz w:val="24"/>
          <w:szCs w:val="24"/>
          <w:lang w:val="en-US" w:eastAsia="fr-BE"/>
        </w:rPr>
        <w:t xml:space="preserve"> are indicated in red boxes.</w:t>
      </w:r>
    </w:p>
    <w:p w14:paraId="47B9055C" w14:textId="25808B44" w:rsidR="00DB1884" w:rsidRPr="00754A1D" w:rsidRDefault="00DB1884" w:rsidP="00DB1884">
      <w:pPr>
        <w:spacing w:after="0" w:line="480" w:lineRule="auto"/>
        <w:jc w:val="both"/>
        <w:rPr>
          <w:rFonts w:ascii="Times New Roman" w:hAnsi="Times New Roman" w:cs="Times New Roman"/>
          <w:b/>
          <w:bCs/>
          <w:sz w:val="28"/>
          <w:szCs w:val="28"/>
          <w:lang w:val="en-US"/>
        </w:rPr>
      </w:pPr>
    </w:p>
    <w:sectPr w:rsidR="00DB1884" w:rsidRPr="00754A1D" w:rsidSect="000828B5">
      <w:footerReference w:type="default" r:id="rId11"/>
      <w:pgSz w:w="11906" w:h="16838"/>
      <w:pgMar w:top="1417" w:right="1417" w:bottom="1417" w:left="1417"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B6833" w14:textId="77777777" w:rsidR="00FA0CD6" w:rsidRDefault="00FA0CD6" w:rsidP="00A26F28">
      <w:pPr>
        <w:spacing w:after="0" w:line="240" w:lineRule="auto"/>
      </w:pPr>
      <w:r>
        <w:separator/>
      </w:r>
    </w:p>
  </w:endnote>
  <w:endnote w:type="continuationSeparator" w:id="0">
    <w:p w14:paraId="31838163" w14:textId="77777777" w:rsidR="00FA0CD6" w:rsidRDefault="00FA0CD6" w:rsidP="00A26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3505717"/>
      <w:docPartObj>
        <w:docPartGallery w:val="Page Numbers (Bottom of Page)"/>
        <w:docPartUnique/>
      </w:docPartObj>
    </w:sdtPr>
    <w:sdtEndPr/>
    <w:sdtContent>
      <w:p w14:paraId="37DDA371" w14:textId="7B6A481A" w:rsidR="00D35BCC" w:rsidRDefault="00D35BCC">
        <w:pPr>
          <w:pStyle w:val="Pieddepage"/>
          <w:jc w:val="right"/>
        </w:pPr>
        <w:r>
          <w:fldChar w:fldCharType="begin"/>
        </w:r>
        <w:r>
          <w:instrText>PAGE   \* MERGEFORMAT</w:instrText>
        </w:r>
        <w:r>
          <w:fldChar w:fldCharType="separate"/>
        </w:r>
        <w:r w:rsidRPr="003330AC">
          <w:rPr>
            <w:noProof/>
            <w:lang w:val="fr-FR"/>
          </w:rPr>
          <w:t>19</w:t>
        </w:r>
        <w:r>
          <w:fldChar w:fldCharType="end"/>
        </w:r>
      </w:p>
    </w:sdtContent>
  </w:sdt>
  <w:p w14:paraId="0749121B" w14:textId="77777777" w:rsidR="00D35BCC" w:rsidRDefault="00D35BC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B1A65" w14:textId="77777777" w:rsidR="00FA0CD6" w:rsidRDefault="00FA0CD6" w:rsidP="00A26F28">
      <w:pPr>
        <w:spacing w:after="0" w:line="240" w:lineRule="auto"/>
      </w:pPr>
      <w:r>
        <w:separator/>
      </w:r>
    </w:p>
  </w:footnote>
  <w:footnote w:type="continuationSeparator" w:id="0">
    <w:p w14:paraId="4E0423CB" w14:textId="77777777" w:rsidR="00FA0CD6" w:rsidRDefault="00FA0CD6" w:rsidP="00A26F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974B7"/>
    <w:multiLevelType w:val="hybridMultilevel"/>
    <w:tmpl w:val="9E7C792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29C4460"/>
    <w:multiLevelType w:val="hybridMultilevel"/>
    <w:tmpl w:val="B9B61C12"/>
    <w:lvl w:ilvl="0" w:tplc="88E2E8A6">
      <w:start w:val="1"/>
      <w:numFmt w:val="bullet"/>
      <w:lvlText w:val=""/>
      <w:lvlJc w:val="left"/>
      <w:pPr>
        <w:ind w:left="720" w:hanging="360"/>
      </w:pPr>
      <w:rPr>
        <w:rFonts w:ascii="Wingdings" w:eastAsiaTheme="minorHAnsi" w:hAnsi="Wingdings"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17A8319A"/>
    <w:multiLevelType w:val="hybridMultilevel"/>
    <w:tmpl w:val="4FD0568C"/>
    <w:lvl w:ilvl="0" w:tplc="C42A3186">
      <w:start w:val="1"/>
      <w:numFmt w:val="bullet"/>
      <w:lvlText w:val=""/>
      <w:lvlJc w:val="left"/>
      <w:pPr>
        <w:ind w:left="720" w:hanging="360"/>
      </w:pPr>
      <w:rPr>
        <w:rFonts w:ascii="Wingdings" w:eastAsiaTheme="minorHAnsi" w:hAnsi="Wingdings"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66424295"/>
    <w:multiLevelType w:val="hybridMultilevel"/>
    <w:tmpl w:val="9CFAA27E"/>
    <w:lvl w:ilvl="0" w:tplc="4E522598">
      <w:start w:val="1"/>
      <w:numFmt w:val="bullet"/>
      <w:lvlText w:val=""/>
      <w:lvlJc w:val="left"/>
      <w:pPr>
        <w:ind w:left="720" w:hanging="360"/>
      </w:pPr>
      <w:rPr>
        <w:rFonts w:ascii="Wingdings" w:eastAsiaTheme="minorHAnsi" w:hAnsi="Wingdings"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71B85DE6"/>
    <w:multiLevelType w:val="hybridMultilevel"/>
    <w:tmpl w:val="37C6F61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FEC"/>
    <w:rsid w:val="0001079D"/>
    <w:rsid w:val="00013665"/>
    <w:rsid w:val="00014084"/>
    <w:rsid w:val="00015428"/>
    <w:rsid w:val="00015E79"/>
    <w:rsid w:val="00016989"/>
    <w:rsid w:val="00022B99"/>
    <w:rsid w:val="000239F1"/>
    <w:rsid w:val="000261F9"/>
    <w:rsid w:val="0002631B"/>
    <w:rsid w:val="00032853"/>
    <w:rsid w:val="00035446"/>
    <w:rsid w:val="00035C82"/>
    <w:rsid w:val="00042E8E"/>
    <w:rsid w:val="0004545A"/>
    <w:rsid w:val="000519B7"/>
    <w:rsid w:val="000525E4"/>
    <w:rsid w:val="00052803"/>
    <w:rsid w:val="00052EFF"/>
    <w:rsid w:val="000543BF"/>
    <w:rsid w:val="00054C0F"/>
    <w:rsid w:val="000557B6"/>
    <w:rsid w:val="000577DD"/>
    <w:rsid w:val="00061BC2"/>
    <w:rsid w:val="00064F9F"/>
    <w:rsid w:val="000666FA"/>
    <w:rsid w:val="00066859"/>
    <w:rsid w:val="00067A35"/>
    <w:rsid w:val="0007180E"/>
    <w:rsid w:val="00071CC2"/>
    <w:rsid w:val="00072E85"/>
    <w:rsid w:val="000760AE"/>
    <w:rsid w:val="000828B5"/>
    <w:rsid w:val="000836F3"/>
    <w:rsid w:val="00084EAD"/>
    <w:rsid w:val="00085D2F"/>
    <w:rsid w:val="000972F1"/>
    <w:rsid w:val="000A0E94"/>
    <w:rsid w:val="000A0F0E"/>
    <w:rsid w:val="000A1C28"/>
    <w:rsid w:val="000B11FB"/>
    <w:rsid w:val="000B1564"/>
    <w:rsid w:val="000B2875"/>
    <w:rsid w:val="000B3EC5"/>
    <w:rsid w:val="000B5937"/>
    <w:rsid w:val="000C50D6"/>
    <w:rsid w:val="000C6CA0"/>
    <w:rsid w:val="000D63D9"/>
    <w:rsid w:val="000D7FD5"/>
    <w:rsid w:val="000E0B20"/>
    <w:rsid w:val="000E1104"/>
    <w:rsid w:val="000E1E02"/>
    <w:rsid w:val="000E2B4F"/>
    <w:rsid w:val="000E2FD4"/>
    <w:rsid w:val="000E4AA6"/>
    <w:rsid w:val="000E4EDB"/>
    <w:rsid w:val="000E5B11"/>
    <w:rsid w:val="000E5CC9"/>
    <w:rsid w:val="000E70D3"/>
    <w:rsid w:val="000F17F9"/>
    <w:rsid w:val="000F2428"/>
    <w:rsid w:val="000F424B"/>
    <w:rsid w:val="000F6D7F"/>
    <w:rsid w:val="001117FC"/>
    <w:rsid w:val="00112604"/>
    <w:rsid w:val="00113BBB"/>
    <w:rsid w:val="00115961"/>
    <w:rsid w:val="00116A75"/>
    <w:rsid w:val="00121BCA"/>
    <w:rsid w:val="00121E0A"/>
    <w:rsid w:val="001239F0"/>
    <w:rsid w:val="001247DF"/>
    <w:rsid w:val="00124D4A"/>
    <w:rsid w:val="00126BB0"/>
    <w:rsid w:val="00127139"/>
    <w:rsid w:val="00130340"/>
    <w:rsid w:val="00133FC4"/>
    <w:rsid w:val="0013599C"/>
    <w:rsid w:val="0014180C"/>
    <w:rsid w:val="001421D9"/>
    <w:rsid w:val="0015241F"/>
    <w:rsid w:val="0015416F"/>
    <w:rsid w:val="0015450F"/>
    <w:rsid w:val="00157AF3"/>
    <w:rsid w:val="00160C33"/>
    <w:rsid w:val="00161C23"/>
    <w:rsid w:val="0016249B"/>
    <w:rsid w:val="00164DA0"/>
    <w:rsid w:val="001706CC"/>
    <w:rsid w:val="001711E9"/>
    <w:rsid w:val="00171F19"/>
    <w:rsid w:val="00173E43"/>
    <w:rsid w:val="001751BD"/>
    <w:rsid w:val="0017758C"/>
    <w:rsid w:val="001802AA"/>
    <w:rsid w:val="00183D37"/>
    <w:rsid w:val="00185A24"/>
    <w:rsid w:val="00185BE5"/>
    <w:rsid w:val="0018653C"/>
    <w:rsid w:val="001875EA"/>
    <w:rsid w:val="00187D24"/>
    <w:rsid w:val="001901A2"/>
    <w:rsid w:val="00190F8B"/>
    <w:rsid w:val="001A0B56"/>
    <w:rsid w:val="001A2B9C"/>
    <w:rsid w:val="001A5159"/>
    <w:rsid w:val="001A52AB"/>
    <w:rsid w:val="001A53B0"/>
    <w:rsid w:val="001A693A"/>
    <w:rsid w:val="001A7251"/>
    <w:rsid w:val="001A7729"/>
    <w:rsid w:val="001B0759"/>
    <w:rsid w:val="001B158C"/>
    <w:rsid w:val="001B5B4E"/>
    <w:rsid w:val="001B7164"/>
    <w:rsid w:val="001C19E8"/>
    <w:rsid w:val="001C2330"/>
    <w:rsid w:val="001C301D"/>
    <w:rsid w:val="001C58D6"/>
    <w:rsid w:val="001D0522"/>
    <w:rsid w:val="001D2B6E"/>
    <w:rsid w:val="001D2F36"/>
    <w:rsid w:val="001D7AEE"/>
    <w:rsid w:val="001E0882"/>
    <w:rsid w:val="001E2AE3"/>
    <w:rsid w:val="001E7AA0"/>
    <w:rsid w:val="001E7D11"/>
    <w:rsid w:val="001F2D29"/>
    <w:rsid w:val="001F39FF"/>
    <w:rsid w:val="001F3D26"/>
    <w:rsid w:val="001F7DFF"/>
    <w:rsid w:val="002008C8"/>
    <w:rsid w:val="002009F3"/>
    <w:rsid w:val="00202D6D"/>
    <w:rsid w:val="00204458"/>
    <w:rsid w:val="002051A8"/>
    <w:rsid w:val="00205AA1"/>
    <w:rsid w:val="00211F63"/>
    <w:rsid w:val="002136CC"/>
    <w:rsid w:val="00213D3F"/>
    <w:rsid w:val="002166DE"/>
    <w:rsid w:val="00221BEA"/>
    <w:rsid w:val="00222AA9"/>
    <w:rsid w:val="00223F13"/>
    <w:rsid w:val="00224A0B"/>
    <w:rsid w:val="00226705"/>
    <w:rsid w:val="00226BAD"/>
    <w:rsid w:val="00231806"/>
    <w:rsid w:val="00233749"/>
    <w:rsid w:val="00234F71"/>
    <w:rsid w:val="00235586"/>
    <w:rsid w:val="00243640"/>
    <w:rsid w:val="002438D1"/>
    <w:rsid w:val="002439B4"/>
    <w:rsid w:val="00243F83"/>
    <w:rsid w:val="00244175"/>
    <w:rsid w:val="002451A1"/>
    <w:rsid w:val="0024742E"/>
    <w:rsid w:val="002500B3"/>
    <w:rsid w:val="00251722"/>
    <w:rsid w:val="00255012"/>
    <w:rsid w:val="0025516E"/>
    <w:rsid w:val="0025690C"/>
    <w:rsid w:val="00257249"/>
    <w:rsid w:val="00260379"/>
    <w:rsid w:val="0026247E"/>
    <w:rsid w:val="00265595"/>
    <w:rsid w:val="00272B3C"/>
    <w:rsid w:val="002735F8"/>
    <w:rsid w:val="00275AD3"/>
    <w:rsid w:val="00276C8C"/>
    <w:rsid w:val="00277514"/>
    <w:rsid w:val="0028225F"/>
    <w:rsid w:val="00292EAA"/>
    <w:rsid w:val="00296529"/>
    <w:rsid w:val="002971C2"/>
    <w:rsid w:val="00297D39"/>
    <w:rsid w:val="002A0063"/>
    <w:rsid w:val="002A0313"/>
    <w:rsid w:val="002A0ED5"/>
    <w:rsid w:val="002A325D"/>
    <w:rsid w:val="002A555A"/>
    <w:rsid w:val="002A615B"/>
    <w:rsid w:val="002A6843"/>
    <w:rsid w:val="002A7C03"/>
    <w:rsid w:val="002B10EE"/>
    <w:rsid w:val="002B179E"/>
    <w:rsid w:val="002B19C6"/>
    <w:rsid w:val="002B4719"/>
    <w:rsid w:val="002B60BD"/>
    <w:rsid w:val="002B6937"/>
    <w:rsid w:val="002C262D"/>
    <w:rsid w:val="002C46F6"/>
    <w:rsid w:val="002C631A"/>
    <w:rsid w:val="002D09EC"/>
    <w:rsid w:val="002D0F12"/>
    <w:rsid w:val="002D21B8"/>
    <w:rsid w:val="002D3B19"/>
    <w:rsid w:val="002D45C4"/>
    <w:rsid w:val="002D5D06"/>
    <w:rsid w:val="002D6D4A"/>
    <w:rsid w:val="002E5452"/>
    <w:rsid w:val="002E6045"/>
    <w:rsid w:val="002E737C"/>
    <w:rsid w:val="002F134A"/>
    <w:rsid w:val="0030088F"/>
    <w:rsid w:val="00301F56"/>
    <w:rsid w:val="00313B35"/>
    <w:rsid w:val="0031572E"/>
    <w:rsid w:val="003204F1"/>
    <w:rsid w:val="0032411C"/>
    <w:rsid w:val="00325568"/>
    <w:rsid w:val="00325607"/>
    <w:rsid w:val="00325E15"/>
    <w:rsid w:val="003311BE"/>
    <w:rsid w:val="003330AC"/>
    <w:rsid w:val="003332D3"/>
    <w:rsid w:val="003338F8"/>
    <w:rsid w:val="00334C2F"/>
    <w:rsid w:val="00335D10"/>
    <w:rsid w:val="00340E08"/>
    <w:rsid w:val="003431B3"/>
    <w:rsid w:val="00344559"/>
    <w:rsid w:val="00344743"/>
    <w:rsid w:val="00350067"/>
    <w:rsid w:val="00351B87"/>
    <w:rsid w:val="0035273E"/>
    <w:rsid w:val="00352773"/>
    <w:rsid w:val="003542A4"/>
    <w:rsid w:val="00354594"/>
    <w:rsid w:val="00357DC3"/>
    <w:rsid w:val="00361039"/>
    <w:rsid w:val="00361F98"/>
    <w:rsid w:val="0037119C"/>
    <w:rsid w:val="003711B7"/>
    <w:rsid w:val="003769A0"/>
    <w:rsid w:val="00376C24"/>
    <w:rsid w:val="00377CAB"/>
    <w:rsid w:val="003813FD"/>
    <w:rsid w:val="00382558"/>
    <w:rsid w:val="00383A23"/>
    <w:rsid w:val="00385B49"/>
    <w:rsid w:val="00385E4D"/>
    <w:rsid w:val="00395F62"/>
    <w:rsid w:val="003A06C3"/>
    <w:rsid w:val="003A11FF"/>
    <w:rsid w:val="003A3269"/>
    <w:rsid w:val="003A709B"/>
    <w:rsid w:val="003B1F03"/>
    <w:rsid w:val="003B2715"/>
    <w:rsid w:val="003B36A5"/>
    <w:rsid w:val="003B717E"/>
    <w:rsid w:val="003C26F1"/>
    <w:rsid w:val="003C3673"/>
    <w:rsid w:val="003C43AC"/>
    <w:rsid w:val="003C6533"/>
    <w:rsid w:val="003C7DB9"/>
    <w:rsid w:val="003D0380"/>
    <w:rsid w:val="003D24F6"/>
    <w:rsid w:val="003D49B5"/>
    <w:rsid w:val="003D6B27"/>
    <w:rsid w:val="003D7331"/>
    <w:rsid w:val="003D76C2"/>
    <w:rsid w:val="003D79AD"/>
    <w:rsid w:val="003E0809"/>
    <w:rsid w:val="003E2043"/>
    <w:rsid w:val="003E334F"/>
    <w:rsid w:val="003E5C58"/>
    <w:rsid w:val="003E6D18"/>
    <w:rsid w:val="003E7FC0"/>
    <w:rsid w:val="003F0256"/>
    <w:rsid w:val="003F1208"/>
    <w:rsid w:val="003F20F8"/>
    <w:rsid w:val="003F421A"/>
    <w:rsid w:val="003F5272"/>
    <w:rsid w:val="003F5AF9"/>
    <w:rsid w:val="003F703F"/>
    <w:rsid w:val="00400AB2"/>
    <w:rsid w:val="004053B3"/>
    <w:rsid w:val="00410927"/>
    <w:rsid w:val="004112D3"/>
    <w:rsid w:val="004118E7"/>
    <w:rsid w:val="00413C51"/>
    <w:rsid w:val="00413DFB"/>
    <w:rsid w:val="0041497E"/>
    <w:rsid w:val="00416F7B"/>
    <w:rsid w:val="004200D0"/>
    <w:rsid w:val="00421D21"/>
    <w:rsid w:val="00424808"/>
    <w:rsid w:val="00430B64"/>
    <w:rsid w:val="00430BC1"/>
    <w:rsid w:val="004336B2"/>
    <w:rsid w:val="00433C7B"/>
    <w:rsid w:val="00434F47"/>
    <w:rsid w:val="00434F4C"/>
    <w:rsid w:val="0044093E"/>
    <w:rsid w:val="00440DBB"/>
    <w:rsid w:val="00442BC6"/>
    <w:rsid w:val="004470D8"/>
    <w:rsid w:val="004471C7"/>
    <w:rsid w:val="0044726D"/>
    <w:rsid w:val="00447E1A"/>
    <w:rsid w:val="00447EC4"/>
    <w:rsid w:val="004508B2"/>
    <w:rsid w:val="004546CC"/>
    <w:rsid w:val="00462586"/>
    <w:rsid w:val="0046484F"/>
    <w:rsid w:val="0046524D"/>
    <w:rsid w:val="004654E4"/>
    <w:rsid w:val="00467CC9"/>
    <w:rsid w:val="0047445C"/>
    <w:rsid w:val="00474E44"/>
    <w:rsid w:val="00481462"/>
    <w:rsid w:val="00481591"/>
    <w:rsid w:val="00483E24"/>
    <w:rsid w:val="0048518C"/>
    <w:rsid w:val="00493CA0"/>
    <w:rsid w:val="00495CB4"/>
    <w:rsid w:val="00497CD4"/>
    <w:rsid w:val="004A5829"/>
    <w:rsid w:val="004B6386"/>
    <w:rsid w:val="004B6693"/>
    <w:rsid w:val="004B6F88"/>
    <w:rsid w:val="004C17F2"/>
    <w:rsid w:val="004C20E1"/>
    <w:rsid w:val="004C645A"/>
    <w:rsid w:val="004D10B2"/>
    <w:rsid w:val="004D2916"/>
    <w:rsid w:val="004D5169"/>
    <w:rsid w:val="004E03C6"/>
    <w:rsid w:val="004E291B"/>
    <w:rsid w:val="004E457C"/>
    <w:rsid w:val="004E5488"/>
    <w:rsid w:val="004F4090"/>
    <w:rsid w:val="004F4493"/>
    <w:rsid w:val="004F44D0"/>
    <w:rsid w:val="004F473A"/>
    <w:rsid w:val="004F6C42"/>
    <w:rsid w:val="00500B63"/>
    <w:rsid w:val="005028C1"/>
    <w:rsid w:val="00502CED"/>
    <w:rsid w:val="005054BB"/>
    <w:rsid w:val="00505F16"/>
    <w:rsid w:val="00507250"/>
    <w:rsid w:val="005125C0"/>
    <w:rsid w:val="005163D1"/>
    <w:rsid w:val="00517C0A"/>
    <w:rsid w:val="00523052"/>
    <w:rsid w:val="0053157A"/>
    <w:rsid w:val="005357D9"/>
    <w:rsid w:val="00536035"/>
    <w:rsid w:val="005377A8"/>
    <w:rsid w:val="00540799"/>
    <w:rsid w:val="00543A07"/>
    <w:rsid w:val="0054491F"/>
    <w:rsid w:val="005452D3"/>
    <w:rsid w:val="005455FC"/>
    <w:rsid w:val="00545784"/>
    <w:rsid w:val="00550D91"/>
    <w:rsid w:val="00555072"/>
    <w:rsid w:val="00555AA1"/>
    <w:rsid w:val="00556128"/>
    <w:rsid w:val="005576BD"/>
    <w:rsid w:val="005577E5"/>
    <w:rsid w:val="00557ED2"/>
    <w:rsid w:val="00564453"/>
    <w:rsid w:val="005676C6"/>
    <w:rsid w:val="0057265E"/>
    <w:rsid w:val="005730F3"/>
    <w:rsid w:val="005757E2"/>
    <w:rsid w:val="00580CE5"/>
    <w:rsid w:val="00591862"/>
    <w:rsid w:val="00594CFB"/>
    <w:rsid w:val="00596358"/>
    <w:rsid w:val="00596A0C"/>
    <w:rsid w:val="005A14E5"/>
    <w:rsid w:val="005A1B5D"/>
    <w:rsid w:val="005A1F4A"/>
    <w:rsid w:val="005B0317"/>
    <w:rsid w:val="005B0BD0"/>
    <w:rsid w:val="005B11B3"/>
    <w:rsid w:val="005B30D9"/>
    <w:rsid w:val="005C131E"/>
    <w:rsid w:val="005C4A5F"/>
    <w:rsid w:val="005C7170"/>
    <w:rsid w:val="005D014F"/>
    <w:rsid w:val="005D36FA"/>
    <w:rsid w:val="005D3F21"/>
    <w:rsid w:val="005D4D38"/>
    <w:rsid w:val="005D5493"/>
    <w:rsid w:val="005D6080"/>
    <w:rsid w:val="005D70CB"/>
    <w:rsid w:val="005D781C"/>
    <w:rsid w:val="005E0FF4"/>
    <w:rsid w:val="005E2F12"/>
    <w:rsid w:val="005E31EA"/>
    <w:rsid w:val="005E4C99"/>
    <w:rsid w:val="005E5F30"/>
    <w:rsid w:val="005E65CE"/>
    <w:rsid w:val="005E7EC9"/>
    <w:rsid w:val="005F0743"/>
    <w:rsid w:val="005F1DF6"/>
    <w:rsid w:val="005F2CC3"/>
    <w:rsid w:val="005F2D81"/>
    <w:rsid w:val="005F3057"/>
    <w:rsid w:val="005F360C"/>
    <w:rsid w:val="005F3DBA"/>
    <w:rsid w:val="005F47B7"/>
    <w:rsid w:val="005F5DBC"/>
    <w:rsid w:val="005F5EBC"/>
    <w:rsid w:val="006001D9"/>
    <w:rsid w:val="00600C51"/>
    <w:rsid w:val="0060102A"/>
    <w:rsid w:val="00602E64"/>
    <w:rsid w:val="00603112"/>
    <w:rsid w:val="00610E89"/>
    <w:rsid w:val="00612501"/>
    <w:rsid w:val="00615136"/>
    <w:rsid w:val="00626ED2"/>
    <w:rsid w:val="0062786A"/>
    <w:rsid w:val="0063058F"/>
    <w:rsid w:val="006312C3"/>
    <w:rsid w:val="00633E73"/>
    <w:rsid w:val="00635DBB"/>
    <w:rsid w:val="0063693B"/>
    <w:rsid w:val="00637EAE"/>
    <w:rsid w:val="00640619"/>
    <w:rsid w:val="006446BC"/>
    <w:rsid w:val="006450A9"/>
    <w:rsid w:val="00646495"/>
    <w:rsid w:val="00647ECF"/>
    <w:rsid w:val="00653CAD"/>
    <w:rsid w:val="0065496C"/>
    <w:rsid w:val="0065541B"/>
    <w:rsid w:val="00655BC7"/>
    <w:rsid w:val="006560AB"/>
    <w:rsid w:val="0066186D"/>
    <w:rsid w:val="00665285"/>
    <w:rsid w:val="00665609"/>
    <w:rsid w:val="00665D49"/>
    <w:rsid w:val="00670D3F"/>
    <w:rsid w:val="00671198"/>
    <w:rsid w:val="00675E03"/>
    <w:rsid w:val="00676433"/>
    <w:rsid w:val="0067657B"/>
    <w:rsid w:val="0067749C"/>
    <w:rsid w:val="0068019F"/>
    <w:rsid w:val="00681E56"/>
    <w:rsid w:val="00682F13"/>
    <w:rsid w:val="00683B89"/>
    <w:rsid w:val="00686FF5"/>
    <w:rsid w:val="00692A07"/>
    <w:rsid w:val="00694269"/>
    <w:rsid w:val="00697474"/>
    <w:rsid w:val="00697D80"/>
    <w:rsid w:val="006A1D22"/>
    <w:rsid w:val="006A22B9"/>
    <w:rsid w:val="006A5F0B"/>
    <w:rsid w:val="006B33D9"/>
    <w:rsid w:val="006B3D2E"/>
    <w:rsid w:val="006B3E30"/>
    <w:rsid w:val="006B5BB0"/>
    <w:rsid w:val="006B77CE"/>
    <w:rsid w:val="006C0E99"/>
    <w:rsid w:val="006C2D87"/>
    <w:rsid w:val="006D41B7"/>
    <w:rsid w:val="006D4547"/>
    <w:rsid w:val="006D7B15"/>
    <w:rsid w:val="006E012E"/>
    <w:rsid w:val="006E122D"/>
    <w:rsid w:val="006E2A82"/>
    <w:rsid w:val="006E3E9E"/>
    <w:rsid w:val="006E4352"/>
    <w:rsid w:val="006E4E1B"/>
    <w:rsid w:val="006E50B0"/>
    <w:rsid w:val="006E5477"/>
    <w:rsid w:val="006E709C"/>
    <w:rsid w:val="006F012C"/>
    <w:rsid w:val="006F07B5"/>
    <w:rsid w:val="006F3AE6"/>
    <w:rsid w:val="006F56AE"/>
    <w:rsid w:val="007010F2"/>
    <w:rsid w:val="007058CC"/>
    <w:rsid w:val="007066EC"/>
    <w:rsid w:val="00712E70"/>
    <w:rsid w:val="00716015"/>
    <w:rsid w:val="00717A90"/>
    <w:rsid w:val="00720774"/>
    <w:rsid w:val="00723B0D"/>
    <w:rsid w:val="007243D6"/>
    <w:rsid w:val="007248D6"/>
    <w:rsid w:val="00725DAD"/>
    <w:rsid w:val="00732492"/>
    <w:rsid w:val="00737125"/>
    <w:rsid w:val="00737354"/>
    <w:rsid w:val="00741592"/>
    <w:rsid w:val="0074490C"/>
    <w:rsid w:val="00746FE6"/>
    <w:rsid w:val="00747B35"/>
    <w:rsid w:val="00747B51"/>
    <w:rsid w:val="00747B95"/>
    <w:rsid w:val="007510D1"/>
    <w:rsid w:val="00751ABA"/>
    <w:rsid w:val="00754091"/>
    <w:rsid w:val="00754A1D"/>
    <w:rsid w:val="0075634A"/>
    <w:rsid w:val="007607D9"/>
    <w:rsid w:val="00760FD1"/>
    <w:rsid w:val="007624EB"/>
    <w:rsid w:val="0076339B"/>
    <w:rsid w:val="00764816"/>
    <w:rsid w:val="00771BCC"/>
    <w:rsid w:val="00773D14"/>
    <w:rsid w:val="00774C02"/>
    <w:rsid w:val="00774F3D"/>
    <w:rsid w:val="00777ABA"/>
    <w:rsid w:val="00780214"/>
    <w:rsid w:val="0078195F"/>
    <w:rsid w:val="00784488"/>
    <w:rsid w:val="00790B62"/>
    <w:rsid w:val="00793756"/>
    <w:rsid w:val="007946B6"/>
    <w:rsid w:val="00795AA2"/>
    <w:rsid w:val="007A142D"/>
    <w:rsid w:val="007A16E7"/>
    <w:rsid w:val="007A239A"/>
    <w:rsid w:val="007A2A23"/>
    <w:rsid w:val="007B21E0"/>
    <w:rsid w:val="007B3AC4"/>
    <w:rsid w:val="007B3B0F"/>
    <w:rsid w:val="007B4733"/>
    <w:rsid w:val="007B4CB0"/>
    <w:rsid w:val="007B5755"/>
    <w:rsid w:val="007C485E"/>
    <w:rsid w:val="007C65AA"/>
    <w:rsid w:val="007C7F73"/>
    <w:rsid w:val="007D233E"/>
    <w:rsid w:val="007D2EEC"/>
    <w:rsid w:val="007D34AC"/>
    <w:rsid w:val="007D3EED"/>
    <w:rsid w:val="007D5DB9"/>
    <w:rsid w:val="007D6E61"/>
    <w:rsid w:val="007D70FB"/>
    <w:rsid w:val="007D77DD"/>
    <w:rsid w:val="007D79B9"/>
    <w:rsid w:val="007E0270"/>
    <w:rsid w:val="007E231E"/>
    <w:rsid w:val="007E47A0"/>
    <w:rsid w:val="007E5FB7"/>
    <w:rsid w:val="007E6176"/>
    <w:rsid w:val="007E705E"/>
    <w:rsid w:val="007E7888"/>
    <w:rsid w:val="007F014B"/>
    <w:rsid w:val="00801952"/>
    <w:rsid w:val="00811CA2"/>
    <w:rsid w:val="008131B7"/>
    <w:rsid w:val="00823CBA"/>
    <w:rsid w:val="008243E0"/>
    <w:rsid w:val="0082449D"/>
    <w:rsid w:val="0083085D"/>
    <w:rsid w:val="00841197"/>
    <w:rsid w:val="00844B51"/>
    <w:rsid w:val="00845343"/>
    <w:rsid w:val="0084655C"/>
    <w:rsid w:val="00846CB4"/>
    <w:rsid w:val="00847B3E"/>
    <w:rsid w:val="0085059B"/>
    <w:rsid w:val="00850B5C"/>
    <w:rsid w:val="00851C25"/>
    <w:rsid w:val="00852B58"/>
    <w:rsid w:val="008532D0"/>
    <w:rsid w:val="00860B10"/>
    <w:rsid w:val="00861B08"/>
    <w:rsid w:val="00862363"/>
    <w:rsid w:val="00863C48"/>
    <w:rsid w:val="00864703"/>
    <w:rsid w:val="00867E12"/>
    <w:rsid w:val="00867FA1"/>
    <w:rsid w:val="00871517"/>
    <w:rsid w:val="00871AF7"/>
    <w:rsid w:val="008755AC"/>
    <w:rsid w:val="00881EBC"/>
    <w:rsid w:val="00883C42"/>
    <w:rsid w:val="00884219"/>
    <w:rsid w:val="00884FAB"/>
    <w:rsid w:val="00886625"/>
    <w:rsid w:val="0088696B"/>
    <w:rsid w:val="008914B8"/>
    <w:rsid w:val="00891645"/>
    <w:rsid w:val="00893AFC"/>
    <w:rsid w:val="008A0AB1"/>
    <w:rsid w:val="008A145C"/>
    <w:rsid w:val="008A1805"/>
    <w:rsid w:val="008B054D"/>
    <w:rsid w:val="008B082F"/>
    <w:rsid w:val="008B71A7"/>
    <w:rsid w:val="008C21F5"/>
    <w:rsid w:val="008C2BDC"/>
    <w:rsid w:val="008C64E3"/>
    <w:rsid w:val="008D055F"/>
    <w:rsid w:val="008D31DD"/>
    <w:rsid w:val="008D3553"/>
    <w:rsid w:val="008D4A93"/>
    <w:rsid w:val="008D6268"/>
    <w:rsid w:val="008D6480"/>
    <w:rsid w:val="008E1ADC"/>
    <w:rsid w:val="008E2E09"/>
    <w:rsid w:val="008F0116"/>
    <w:rsid w:val="008F517B"/>
    <w:rsid w:val="00900495"/>
    <w:rsid w:val="009010E1"/>
    <w:rsid w:val="0090129B"/>
    <w:rsid w:val="00903FA4"/>
    <w:rsid w:val="009049F2"/>
    <w:rsid w:val="00904C07"/>
    <w:rsid w:val="00905678"/>
    <w:rsid w:val="00905DD7"/>
    <w:rsid w:val="00907FAF"/>
    <w:rsid w:val="0091127B"/>
    <w:rsid w:val="00911E44"/>
    <w:rsid w:val="00912AE3"/>
    <w:rsid w:val="00913305"/>
    <w:rsid w:val="0091695B"/>
    <w:rsid w:val="00922F7A"/>
    <w:rsid w:val="00923654"/>
    <w:rsid w:val="00924E17"/>
    <w:rsid w:val="009250C8"/>
    <w:rsid w:val="00925EBE"/>
    <w:rsid w:val="00926F32"/>
    <w:rsid w:val="00931126"/>
    <w:rsid w:val="00932BFB"/>
    <w:rsid w:val="00933DFC"/>
    <w:rsid w:val="00935927"/>
    <w:rsid w:val="009364F5"/>
    <w:rsid w:val="00936DAB"/>
    <w:rsid w:val="00944F9F"/>
    <w:rsid w:val="00945BE8"/>
    <w:rsid w:val="00946580"/>
    <w:rsid w:val="00953CC9"/>
    <w:rsid w:val="00953EC0"/>
    <w:rsid w:val="009540E3"/>
    <w:rsid w:val="009567AA"/>
    <w:rsid w:val="0095737C"/>
    <w:rsid w:val="00960730"/>
    <w:rsid w:val="00965636"/>
    <w:rsid w:val="00965AE5"/>
    <w:rsid w:val="00965B54"/>
    <w:rsid w:val="0096609F"/>
    <w:rsid w:val="00966A91"/>
    <w:rsid w:val="00970495"/>
    <w:rsid w:val="0097182C"/>
    <w:rsid w:val="009722DF"/>
    <w:rsid w:val="00972659"/>
    <w:rsid w:val="009749ED"/>
    <w:rsid w:val="0097705B"/>
    <w:rsid w:val="00981E5D"/>
    <w:rsid w:val="009864FF"/>
    <w:rsid w:val="00986526"/>
    <w:rsid w:val="00986746"/>
    <w:rsid w:val="00987486"/>
    <w:rsid w:val="009910E7"/>
    <w:rsid w:val="00991414"/>
    <w:rsid w:val="009923F9"/>
    <w:rsid w:val="0099256C"/>
    <w:rsid w:val="00993D6D"/>
    <w:rsid w:val="00997D77"/>
    <w:rsid w:val="009A13D7"/>
    <w:rsid w:val="009A2840"/>
    <w:rsid w:val="009A2B5E"/>
    <w:rsid w:val="009A3878"/>
    <w:rsid w:val="009A3F27"/>
    <w:rsid w:val="009A4F7D"/>
    <w:rsid w:val="009B029F"/>
    <w:rsid w:val="009B1182"/>
    <w:rsid w:val="009B35F2"/>
    <w:rsid w:val="009B3807"/>
    <w:rsid w:val="009B6BB8"/>
    <w:rsid w:val="009B70AE"/>
    <w:rsid w:val="009C0C1F"/>
    <w:rsid w:val="009C1473"/>
    <w:rsid w:val="009C20B9"/>
    <w:rsid w:val="009C2784"/>
    <w:rsid w:val="009C54A4"/>
    <w:rsid w:val="009C6D70"/>
    <w:rsid w:val="009D0E64"/>
    <w:rsid w:val="009D3D04"/>
    <w:rsid w:val="009D565D"/>
    <w:rsid w:val="009D6E19"/>
    <w:rsid w:val="009E3AFE"/>
    <w:rsid w:val="009E4A58"/>
    <w:rsid w:val="009E6961"/>
    <w:rsid w:val="009F01F2"/>
    <w:rsid w:val="009F03B6"/>
    <w:rsid w:val="009F179B"/>
    <w:rsid w:val="009F2972"/>
    <w:rsid w:val="009F5F0F"/>
    <w:rsid w:val="009F6BC9"/>
    <w:rsid w:val="00A00B75"/>
    <w:rsid w:val="00A067FC"/>
    <w:rsid w:val="00A06A45"/>
    <w:rsid w:val="00A108AA"/>
    <w:rsid w:val="00A163C3"/>
    <w:rsid w:val="00A16991"/>
    <w:rsid w:val="00A2013D"/>
    <w:rsid w:val="00A20226"/>
    <w:rsid w:val="00A20524"/>
    <w:rsid w:val="00A21981"/>
    <w:rsid w:val="00A23D42"/>
    <w:rsid w:val="00A24DA2"/>
    <w:rsid w:val="00A25085"/>
    <w:rsid w:val="00A253F0"/>
    <w:rsid w:val="00A26858"/>
    <w:rsid w:val="00A26F28"/>
    <w:rsid w:val="00A27343"/>
    <w:rsid w:val="00A31552"/>
    <w:rsid w:val="00A31DDB"/>
    <w:rsid w:val="00A37437"/>
    <w:rsid w:val="00A37CCB"/>
    <w:rsid w:val="00A41D98"/>
    <w:rsid w:val="00A4332D"/>
    <w:rsid w:val="00A44922"/>
    <w:rsid w:val="00A460D1"/>
    <w:rsid w:val="00A54B23"/>
    <w:rsid w:val="00A55218"/>
    <w:rsid w:val="00A556EA"/>
    <w:rsid w:val="00A55E29"/>
    <w:rsid w:val="00A56FE3"/>
    <w:rsid w:val="00A60CA2"/>
    <w:rsid w:val="00A633AE"/>
    <w:rsid w:val="00A63496"/>
    <w:rsid w:val="00A64FE8"/>
    <w:rsid w:val="00A67292"/>
    <w:rsid w:val="00A704A8"/>
    <w:rsid w:val="00A71698"/>
    <w:rsid w:val="00A71D24"/>
    <w:rsid w:val="00A72067"/>
    <w:rsid w:val="00A75840"/>
    <w:rsid w:val="00A75D12"/>
    <w:rsid w:val="00A779BD"/>
    <w:rsid w:val="00A77F49"/>
    <w:rsid w:val="00A835A2"/>
    <w:rsid w:val="00A85C71"/>
    <w:rsid w:val="00A90BEF"/>
    <w:rsid w:val="00A90D09"/>
    <w:rsid w:val="00A92146"/>
    <w:rsid w:val="00A93079"/>
    <w:rsid w:val="00A93277"/>
    <w:rsid w:val="00A94ABC"/>
    <w:rsid w:val="00AA137B"/>
    <w:rsid w:val="00AA1B6F"/>
    <w:rsid w:val="00AA3931"/>
    <w:rsid w:val="00AA4C50"/>
    <w:rsid w:val="00AA4D43"/>
    <w:rsid w:val="00AA5DEA"/>
    <w:rsid w:val="00AA7511"/>
    <w:rsid w:val="00AA7B3B"/>
    <w:rsid w:val="00AB33F2"/>
    <w:rsid w:val="00AB4FC9"/>
    <w:rsid w:val="00AB79E9"/>
    <w:rsid w:val="00AC2352"/>
    <w:rsid w:val="00AC7CE3"/>
    <w:rsid w:val="00AD0578"/>
    <w:rsid w:val="00AD11CC"/>
    <w:rsid w:val="00AD42C1"/>
    <w:rsid w:val="00AD6FA1"/>
    <w:rsid w:val="00AD7CC5"/>
    <w:rsid w:val="00AE01D7"/>
    <w:rsid w:val="00AE02EC"/>
    <w:rsid w:val="00AE2961"/>
    <w:rsid w:val="00AE389E"/>
    <w:rsid w:val="00AE44FA"/>
    <w:rsid w:val="00AE5BA7"/>
    <w:rsid w:val="00AE6D77"/>
    <w:rsid w:val="00AE7024"/>
    <w:rsid w:val="00AF0E99"/>
    <w:rsid w:val="00AF140D"/>
    <w:rsid w:val="00AF489A"/>
    <w:rsid w:val="00B0047F"/>
    <w:rsid w:val="00B00530"/>
    <w:rsid w:val="00B00DD0"/>
    <w:rsid w:val="00B0205C"/>
    <w:rsid w:val="00B03188"/>
    <w:rsid w:val="00B042E5"/>
    <w:rsid w:val="00B05CF0"/>
    <w:rsid w:val="00B065D4"/>
    <w:rsid w:val="00B07312"/>
    <w:rsid w:val="00B10A10"/>
    <w:rsid w:val="00B10BA2"/>
    <w:rsid w:val="00B159DA"/>
    <w:rsid w:val="00B16383"/>
    <w:rsid w:val="00B17F1C"/>
    <w:rsid w:val="00B24C9C"/>
    <w:rsid w:val="00B24CC2"/>
    <w:rsid w:val="00B31F1D"/>
    <w:rsid w:val="00B332C0"/>
    <w:rsid w:val="00B34A4C"/>
    <w:rsid w:val="00B368BD"/>
    <w:rsid w:val="00B36FC1"/>
    <w:rsid w:val="00B403A9"/>
    <w:rsid w:val="00B405A3"/>
    <w:rsid w:val="00B41849"/>
    <w:rsid w:val="00B4231F"/>
    <w:rsid w:val="00B4324D"/>
    <w:rsid w:val="00B43BDF"/>
    <w:rsid w:val="00B44029"/>
    <w:rsid w:val="00B4461E"/>
    <w:rsid w:val="00B45127"/>
    <w:rsid w:val="00B45E2B"/>
    <w:rsid w:val="00B45ED7"/>
    <w:rsid w:val="00B524CB"/>
    <w:rsid w:val="00B53D70"/>
    <w:rsid w:val="00B6174C"/>
    <w:rsid w:val="00B62B92"/>
    <w:rsid w:val="00B645E9"/>
    <w:rsid w:val="00B66CAC"/>
    <w:rsid w:val="00B66FB8"/>
    <w:rsid w:val="00B70FF7"/>
    <w:rsid w:val="00B739EB"/>
    <w:rsid w:val="00B7497F"/>
    <w:rsid w:val="00B74C5E"/>
    <w:rsid w:val="00B76C51"/>
    <w:rsid w:val="00B816CC"/>
    <w:rsid w:val="00B85705"/>
    <w:rsid w:val="00B85BDB"/>
    <w:rsid w:val="00B85EBB"/>
    <w:rsid w:val="00B8679E"/>
    <w:rsid w:val="00B93E26"/>
    <w:rsid w:val="00BA36A3"/>
    <w:rsid w:val="00BB0BF5"/>
    <w:rsid w:val="00BB39B1"/>
    <w:rsid w:val="00BB57A7"/>
    <w:rsid w:val="00BC4EBB"/>
    <w:rsid w:val="00BC629F"/>
    <w:rsid w:val="00BC6870"/>
    <w:rsid w:val="00BC6983"/>
    <w:rsid w:val="00BD0C18"/>
    <w:rsid w:val="00BD18D3"/>
    <w:rsid w:val="00BE0ECC"/>
    <w:rsid w:val="00BE3F06"/>
    <w:rsid w:val="00BE76AC"/>
    <w:rsid w:val="00BF04AA"/>
    <w:rsid w:val="00BF0BC9"/>
    <w:rsid w:val="00BF296A"/>
    <w:rsid w:val="00BF3788"/>
    <w:rsid w:val="00BF4094"/>
    <w:rsid w:val="00BF5700"/>
    <w:rsid w:val="00BF5FEC"/>
    <w:rsid w:val="00C0693F"/>
    <w:rsid w:val="00C07A37"/>
    <w:rsid w:val="00C10ACA"/>
    <w:rsid w:val="00C11B0A"/>
    <w:rsid w:val="00C12479"/>
    <w:rsid w:val="00C125E2"/>
    <w:rsid w:val="00C1391F"/>
    <w:rsid w:val="00C20B02"/>
    <w:rsid w:val="00C21435"/>
    <w:rsid w:val="00C231AA"/>
    <w:rsid w:val="00C25694"/>
    <w:rsid w:val="00C26F11"/>
    <w:rsid w:val="00C27DC8"/>
    <w:rsid w:val="00C33FAE"/>
    <w:rsid w:val="00C368CA"/>
    <w:rsid w:val="00C36DE8"/>
    <w:rsid w:val="00C43AE4"/>
    <w:rsid w:val="00C4490C"/>
    <w:rsid w:val="00C45809"/>
    <w:rsid w:val="00C510AE"/>
    <w:rsid w:val="00C51842"/>
    <w:rsid w:val="00C52032"/>
    <w:rsid w:val="00C53862"/>
    <w:rsid w:val="00C56393"/>
    <w:rsid w:val="00C5657C"/>
    <w:rsid w:val="00C6216D"/>
    <w:rsid w:val="00C628F6"/>
    <w:rsid w:val="00C66584"/>
    <w:rsid w:val="00C667D5"/>
    <w:rsid w:val="00C704FB"/>
    <w:rsid w:val="00C72EC6"/>
    <w:rsid w:val="00C74CA7"/>
    <w:rsid w:val="00C77510"/>
    <w:rsid w:val="00C82A45"/>
    <w:rsid w:val="00C84F77"/>
    <w:rsid w:val="00C873FB"/>
    <w:rsid w:val="00C90CC8"/>
    <w:rsid w:val="00C91F9E"/>
    <w:rsid w:val="00C9391F"/>
    <w:rsid w:val="00C979C7"/>
    <w:rsid w:val="00C97D79"/>
    <w:rsid w:val="00CA32D8"/>
    <w:rsid w:val="00CA3A83"/>
    <w:rsid w:val="00CA4D4D"/>
    <w:rsid w:val="00CA709B"/>
    <w:rsid w:val="00CA74ED"/>
    <w:rsid w:val="00CA7635"/>
    <w:rsid w:val="00CB1206"/>
    <w:rsid w:val="00CB1BE8"/>
    <w:rsid w:val="00CB255E"/>
    <w:rsid w:val="00CB4888"/>
    <w:rsid w:val="00CB75AE"/>
    <w:rsid w:val="00CC3116"/>
    <w:rsid w:val="00CC3588"/>
    <w:rsid w:val="00CC3D2E"/>
    <w:rsid w:val="00CD0C75"/>
    <w:rsid w:val="00CD1971"/>
    <w:rsid w:val="00CD28C6"/>
    <w:rsid w:val="00CD4304"/>
    <w:rsid w:val="00CD4898"/>
    <w:rsid w:val="00CD5953"/>
    <w:rsid w:val="00CE03C0"/>
    <w:rsid w:val="00CE2C5A"/>
    <w:rsid w:val="00CE6933"/>
    <w:rsid w:val="00CF0C3A"/>
    <w:rsid w:val="00CF1BDA"/>
    <w:rsid w:val="00CF43AD"/>
    <w:rsid w:val="00CF4752"/>
    <w:rsid w:val="00CF7D88"/>
    <w:rsid w:val="00D030F4"/>
    <w:rsid w:val="00D06B28"/>
    <w:rsid w:val="00D07A60"/>
    <w:rsid w:val="00D14A20"/>
    <w:rsid w:val="00D15D5E"/>
    <w:rsid w:val="00D173B3"/>
    <w:rsid w:val="00D20021"/>
    <w:rsid w:val="00D217AE"/>
    <w:rsid w:val="00D23933"/>
    <w:rsid w:val="00D24D19"/>
    <w:rsid w:val="00D265A6"/>
    <w:rsid w:val="00D27A01"/>
    <w:rsid w:val="00D32C9A"/>
    <w:rsid w:val="00D337C7"/>
    <w:rsid w:val="00D35BCC"/>
    <w:rsid w:val="00D36EDA"/>
    <w:rsid w:val="00D378C4"/>
    <w:rsid w:val="00D4083B"/>
    <w:rsid w:val="00D45B64"/>
    <w:rsid w:val="00D4718C"/>
    <w:rsid w:val="00D47B22"/>
    <w:rsid w:val="00D47B3E"/>
    <w:rsid w:val="00D52BC7"/>
    <w:rsid w:val="00D55650"/>
    <w:rsid w:val="00D6300B"/>
    <w:rsid w:val="00D630FB"/>
    <w:rsid w:val="00D63D14"/>
    <w:rsid w:val="00D64120"/>
    <w:rsid w:val="00D6446F"/>
    <w:rsid w:val="00D70FC9"/>
    <w:rsid w:val="00D75F1A"/>
    <w:rsid w:val="00D76746"/>
    <w:rsid w:val="00D77576"/>
    <w:rsid w:val="00D80390"/>
    <w:rsid w:val="00D80B39"/>
    <w:rsid w:val="00D81FB9"/>
    <w:rsid w:val="00D82E5F"/>
    <w:rsid w:val="00D86F64"/>
    <w:rsid w:val="00D925A2"/>
    <w:rsid w:val="00D93777"/>
    <w:rsid w:val="00D96311"/>
    <w:rsid w:val="00DA0CFF"/>
    <w:rsid w:val="00DA1370"/>
    <w:rsid w:val="00DA13E7"/>
    <w:rsid w:val="00DA2F73"/>
    <w:rsid w:val="00DA3637"/>
    <w:rsid w:val="00DA6976"/>
    <w:rsid w:val="00DA6D20"/>
    <w:rsid w:val="00DA70BE"/>
    <w:rsid w:val="00DB084F"/>
    <w:rsid w:val="00DB1884"/>
    <w:rsid w:val="00DB24B9"/>
    <w:rsid w:val="00DB4220"/>
    <w:rsid w:val="00DB57F8"/>
    <w:rsid w:val="00DB5953"/>
    <w:rsid w:val="00DB6804"/>
    <w:rsid w:val="00DB6A0C"/>
    <w:rsid w:val="00DB7935"/>
    <w:rsid w:val="00DC107B"/>
    <w:rsid w:val="00DC1B11"/>
    <w:rsid w:val="00DC2EA3"/>
    <w:rsid w:val="00DC3C18"/>
    <w:rsid w:val="00DC3F87"/>
    <w:rsid w:val="00DC4372"/>
    <w:rsid w:val="00DC4D0D"/>
    <w:rsid w:val="00DC6A5D"/>
    <w:rsid w:val="00DC7830"/>
    <w:rsid w:val="00DF17A7"/>
    <w:rsid w:val="00DF40DD"/>
    <w:rsid w:val="00DF44B7"/>
    <w:rsid w:val="00DF465A"/>
    <w:rsid w:val="00E00E43"/>
    <w:rsid w:val="00E01EBF"/>
    <w:rsid w:val="00E046E9"/>
    <w:rsid w:val="00E0561C"/>
    <w:rsid w:val="00E06537"/>
    <w:rsid w:val="00E07FC5"/>
    <w:rsid w:val="00E134C0"/>
    <w:rsid w:val="00E13B49"/>
    <w:rsid w:val="00E1493C"/>
    <w:rsid w:val="00E14D90"/>
    <w:rsid w:val="00E15AFB"/>
    <w:rsid w:val="00E218B7"/>
    <w:rsid w:val="00E24F32"/>
    <w:rsid w:val="00E26516"/>
    <w:rsid w:val="00E26C7C"/>
    <w:rsid w:val="00E27F77"/>
    <w:rsid w:val="00E32D14"/>
    <w:rsid w:val="00E37CF7"/>
    <w:rsid w:val="00E43F24"/>
    <w:rsid w:val="00E4760A"/>
    <w:rsid w:val="00E50A97"/>
    <w:rsid w:val="00E52708"/>
    <w:rsid w:val="00E55916"/>
    <w:rsid w:val="00E629ED"/>
    <w:rsid w:val="00E66779"/>
    <w:rsid w:val="00E6714F"/>
    <w:rsid w:val="00E67806"/>
    <w:rsid w:val="00E67DA7"/>
    <w:rsid w:val="00E7009B"/>
    <w:rsid w:val="00E71910"/>
    <w:rsid w:val="00E75EA0"/>
    <w:rsid w:val="00E81FD6"/>
    <w:rsid w:val="00E82A12"/>
    <w:rsid w:val="00E83ABA"/>
    <w:rsid w:val="00E902B0"/>
    <w:rsid w:val="00E9449A"/>
    <w:rsid w:val="00E96AD9"/>
    <w:rsid w:val="00E97ABD"/>
    <w:rsid w:val="00E97C01"/>
    <w:rsid w:val="00EA26DF"/>
    <w:rsid w:val="00EA42F7"/>
    <w:rsid w:val="00EA5CC0"/>
    <w:rsid w:val="00EA7473"/>
    <w:rsid w:val="00EA7A21"/>
    <w:rsid w:val="00EB0CB0"/>
    <w:rsid w:val="00EB6A5C"/>
    <w:rsid w:val="00EB7810"/>
    <w:rsid w:val="00EC0624"/>
    <w:rsid w:val="00EC1872"/>
    <w:rsid w:val="00EC2BEA"/>
    <w:rsid w:val="00EC46FB"/>
    <w:rsid w:val="00EC4EE4"/>
    <w:rsid w:val="00EC5BEE"/>
    <w:rsid w:val="00EC60B9"/>
    <w:rsid w:val="00ED2CD1"/>
    <w:rsid w:val="00ED3321"/>
    <w:rsid w:val="00ED4A29"/>
    <w:rsid w:val="00ED4FE0"/>
    <w:rsid w:val="00EE4723"/>
    <w:rsid w:val="00EE5546"/>
    <w:rsid w:val="00EE759A"/>
    <w:rsid w:val="00EF081F"/>
    <w:rsid w:val="00EF3103"/>
    <w:rsid w:val="00F02965"/>
    <w:rsid w:val="00F02BEE"/>
    <w:rsid w:val="00F05DE7"/>
    <w:rsid w:val="00F10E68"/>
    <w:rsid w:val="00F11524"/>
    <w:rsid w:val="00F146C2"/>
    <w:rsid w:val="00F146E0"/>
    <w:rsid w:val="00F171C0"/>
    <w:rsid w:val="00F21E7C"/>
    <w:rsid w:val="00F237FA"/>
    <w:rsid w:val="00F23FD8"/>
    <w:rsid w:val="00F254A4"/>
    <w:rsid w:val="00F259D3"/>
    <w:rsid w:val="00F26880"/>
    <w:rsid w:val="00F27037"/>
    <w:rsid w:val="00F30A4E"/>
    <w:rsid w:val="00F31E15"/>
    <w:rsid w:val="00F3228E"/>
    <w:rsid w:val="00F334BC"/>
    <w:rsid w:val="00F41240"/>
    <w:rsid w:val="00F42C7A"/>
    <w:rsid w:val="00F44702"/>
    <w:rsid w:val="00F5198A"/>
    <w:rsid w:val="00F53274"/>
    <w:rsid w:val="00F53F2F"/>
    <w:rsid w:val="00F55928"/>
    <w:rsid w:val="00F565B8"/>
    <w:rsid w:val="00F56AB7"/>
    <w:rsid w:val="00F62094"/>
    <w:rsid w:val="00F6502B"/>
    <w:rsid w:val="00F67571"/>
    <w:rsid w:val="00F726E1"/>
    <w:rsid w:val="00F72794"/>
    <w:rsid w:val="00F72A34"/>
    <w:rsid w:val="00F73466"/>
    <w:rsid w:val="00F77746"/>
    <w:rsid w:val="00F80EC7"/>
    <w:rsid w:val="00F8197F"/>
    <w:rsid w:val="00F81990"/>
    <w:rsid w:val="00F847E0"/>
    <w:rsid w:val="00F8512D"/>
    <w:rsid w:val="00F8612E"/>
    <w:rsid w:val="00F86AFB"/>
    <w:rsid w:val="00F910AC"/>
    <w:rsid w:val="00F93E23"/>
    <w:rsid w:val="00F93EC9"/>
    <w:rsid w:val="00F9713B"/>
    <w:rsid w:val="00FA0640"/>
    <w:rsid w:val="00FA0CD6"/>
    <w:rsid w:val="00FA3594"/>
    <w:rsid w:val="00FA542F"/>
    <w:rsid w:val="00FB4210"/>
    <w:rsid w:val="00FB4BA5"/>
    <w:rsid w:val="00FB6066"/>
    <w:rsid w:val="00FB6A92"/>
    <w:rsid w:val="00FC0A7D"/>
    <w:rsid w:val="00FC193B"/>
    <w:rsid w:val="00FC3708"/>
    <w:rsid w:val="00FC387E"/>
    <w:rsid w:val="00FC4FF5"/>
    <w:rsid w:val="00FC5DB5"/>
    <w:rsid w:val="00FD1E0D"/>
    <w:rsid w:val="00FD407F"/>
    <w:rsid w:val="00FD5910"/>
    <w:rsid w:val="00FE02DB"/>
    <w:rsid w:val="00FE3DEB"/>
    <w:rsid w:val="00FE3ED5"/>
    <w:rsid w:val="00FE7D01"/>
    <w:rsid w:val="00FF3911"/>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CDC74"/>
  <w15:chartTrackingRefBased/>
  <w15:docId w15:val="{0D36ED27-3487-4229-8D68-B827B8513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129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B084F"/>
    <w:pPr>
      <w:ind w:left="720"/>
      <w:contextualSpacing/>
    </w:pPr>
  </w:style>
  <w:style w:type="character" w:styleId="Lienhypertexte">
    <w:name w:val="Hyperlink"/>
    <w:basedOn w:val="Policepardfaut"/>
    <w:uiPriority w:val="99"/>
    <w:unhideWhenUsed/>
    <w:rsid w:val="00F237FA"/>
    <w:rPr>
      <w:color w:val="0563C1" w:themeColor="hyperlink"/>
      <w:u w:val="single"/>
    </w:rPr>
  </w:style>
  <w:style w:type="character" w:styleId="Marquedecommentaire">
    <w:name w:val="annotation reference"/>
    <w:basedOn w:val="Policepardfaut"/>
    <w:uiPriority w:val="99"/>
    <w:semiHidden/>
    <w:unhideWhenUsed/>
    <w:rsid w:val="00F237FA"/>
    <w:rPr>
      <w:sz w:val="18"/>
      <w:szCs w:val="18"/>
    </w:rPr>
  </w:style>
  <w:style w:type="paragraph" w:styleId="Commentaire">
    <w:name w:val="annotation text"/>
    <w:basedOn w:val="Normal"/>
    <w:link w:val="CommentaireCar"/>
    <w:uiPriority w:val="99"/>
    <w:semiHidden/>
    <w:unhideWhenUsed/>
    <w:rsid w:val="00F237FA"/>
    <w:pPr>
      <w:spacing w:after="200" w:line="240" w:lineRule="auto"/>
    </w:pPr>
    <w:rPr>
      <w:sz w:val="24"/>
      <w:szCs w:val="24"/>
    </w:rPr>
  </w:style>
  <w:style w:type="character" w:customStyle="1" w:styleId="CommentaireCar">
    <w:name w:val="Commentaire Car"/>
    <w:basedOn w:val="Policepardfaut"/>
    <w:link w:val="Commentaire"/>
    <w:uiPriority w:val="99"/>
    <w:semiHidden/>
    <w:rsid w:val="00F237FA"/>
    <w:rPr>
      <w:sz w:val="24"/>
      <w:szCs w:val="24"/>
    </w:rPr>
  </w:style>
  <w:style w:type="paragraph" w:styleId="Textedebulles">
    <w:name w:val="Balloon Text"/>
    <w:basedOn w:val="Normal"/>
    <w:link w:val="TextedebullesCar"/>
    <w:uiPriority w:val="99"/>
    <w:semiHidden/>
    <w:unhideWhenUsed/>
    <w:rsid w:val="00F237F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237FA"/>
    <w:rPr>
      <w:rFonts w:ascii="Segoe UI" w:hAnsi="Segoe UI" w:cs="Segoe UI"/>
      <w:sz w:val="18"/>
      <w:szCs w:val="18"/>
    </w:rPr>
  </w:style>
  <w:style w:type="paragraph" w:styleId="En-tte">
    <w:name w:val="header"/>
    <w:basedOn w:val="Normal"/>
    <w:link w:val="En-tteCar"/>
    <w:uiPriority w:val="99"/>
    <w:unhideWhenUsed/>
    <w:rsid w:val="00A26F28"/>
    <w:pPr>
      <w:tabs>
        <w:tab w:val="center" w:pos="4536"/>
        <w:tab w:val="right" w:pos="9072"/>
      </w:tabs>
      <w:spacing w:after="0" w:line="240" w:lineRule="auto"/>
    </w:pPr>
  </w:style>
  <w:style w:type="character" w:customStyle="1" w:styleId="En-tteCar">
    <w:name w:val="En-tête Car"/>
    <w:basedOn w:val="Policepardfaut"/>
    <w:link w:val="En-tte"/>
    <w:uiPriority w:val="99"/>
    <w:rsid w:val="00A26F28"/>
  </w:style>
  <w:style w:type="paragraph" w:styleId="Pieddepage">
    <w:name w:val="footer"/>
    <w:basedOn w:val="Normal"/>
    <w:link w:val="PieddepageCar"/>
    <w:uiPriority w:val="99"/>
    <w:unhideWhenUsed/>
    <w:rsid w:val="00A26F2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26F28"/>
  </w:style>
  <w:style w:type="paragraph" w:styleId="Bibliographie">
    <w:name w:val="Bibliography"/>
    <w:basedOn w:val="Normal"/>
    <w:next w:val="Normal"/>
    <w:uiPriority w:val="37"/>
    <w:unhideWhenUsed/>
    <w:rsid w:val="00A26F28"/>
    <w:pPr>
      <w:spacing w:after="240" w:line="240" w:lineRule="auto"/>
      <w:ind w:left="720" w:hanging="720"/>
    </w:pPr>
  </w:style>
  <w:style w:type="table" w:styleId="Grilledutableau">
    <w:name w:val="Table Grid"/>
    <w:basedOn w:val="TableauNormal"/>
    <w:uiPriority w:val="39"/>
    <w:rsid w:val="00430B6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jetducommentaire">
    <w:name w:val="annotation subject"/>
    <w:basedOn w:val="Commentaire"/>
    <w:next w:val="Commentaire"/>
    <w:link w:val="ObjetducommentaireCar"/>
    <w:uiPriority w:val="99"/>
    <w:semiHidden/>
    <w:unhideWhenUsed/>
    <w:rsid w:val="002136CC"/>
    <w:pPr>
      <w:spacing w:after="160"/>
    </w:pPr>
    <w:rPr>
      <w:b/>
      <w:bCs/>
      <w:sz w:val="20"/>
      <w:szCs w:val="20"/>
    </w:rPr>
  </w:style>
  <w:style w:type="character" w:customStyle="1" w:styleId="ObjetducommentaireCar">
    <w:name w:val="Objet du commentaire Car"/>
    <w:basedOn w:val="CommentaireCar"/>
    <w:link w:val="Objetducommentaire"/>
    <w:uiPriority w:val="99"/>
    <w:semiHidden/>
    <w:rsid w:val="002136CC"/>
    <w:rPr>
      <w:b/>
      <w:bCs/>
      <w:sz w:val="20"/>
      <w:szCs w:val="20"/>
    </w:rPr>
  </w:style>
  <w:style w:type="character" w:styleId="Lienhypertextesuivivisit">
    <w:name w:val="FollowedHyperlink"/>
    <w:basedOn w:val="Policepardfaut"/>
    <w:uiPriority w:val="99"/>
    <w:semiHidden/>
    <w:unhideWhenUsed/>
    <w:rsid w:val="003769A0"/>
    <w:rPr>
      <w:color w:val="954F72" w:themeColor="followedHyperlink"/>
      <w:u w:val="single"/>
    </w:rPr>
  </w:style>
  <w:style w:type="character" w:styleId="Textedelespacerserv">
    <w:name w:val="Placeholder Text"/>
    <w:basedOn w:val="Policepardfaut"/>
    <w:uiPriority w:val="99"/>
    <w:semiHidden/>
    <w:rsid w:val="005E31EA"/>
    <w:rPr>
      <w:color w:val="808080"/>
    </w:rPr>
  </w:style>
  <w:style w:type="character" w:styleId="Mentionnonrsolue">
    <w:name w:val="Unresolved Mention"/>
    <w:basedOn w:val="Policepardfaut"/>
    <w:uiPriority w:val="99"/>
    <w:semiHidden/>
    <w:unhideWhenUsed/>
    <w:rsid w:val="007D3EED"/>
    <w:rPr>
      <w:color w:val="605E5C"/>
      <w:shd w:val="clear" w:color="auto" w:fill="E1DFDD"/>
    </w:rPr>
  </w:style>
  <w:style w:type="character" w:styleId="Numrodeligne">
    <w:name w:val="line number"/>
    <w:basedOn w:val="Policepardfaut"/>
    <w:uiPriority w:val="99"/>
    <w:semiHidden/>
    <w:unhideWhenUsed/>
    <w:rsid w:val="000828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3198">
      <w:bodyDiv w:val="1"/>
      <w:marLeft w:val="0"/>
      <w:marRight w:val="0"/>
      <w:marTop w:val="0"/>
      <w:marBottom w:val="0"/>
      <w:divBdr>
        <w:top w:val="none" w:sz="0" w:space="0" w:color="auto"/>
        <w:left w:val="none" w:sz="0" w:space="0" w:color="auto"/>
        <w:bottom w:val="none" w:sz="0" w:space="0" w:color="auto"/>
        <w:right w:val="none" w:sz="0" w:space="0" w:color="auto"/>
      </w:divBdr>
    </w:div>
    <w:div w:id="96411156">
      <w:bodyDiv w:val="1"/>
      <w:marLeft w:val="0"/>
      <w:marRight w:val="0"/>
      <w:marTop w:val="0"/>
      <w:marBottom w:val="0"/>
      <w:divBdr>
        <w:top w:val="none" w:sz="0" w:space="0" w:color="auto"/>
        <w:left w:val="none" w:sz="0" w:space="0" w:color="auto"/>
        <w:bottom w:val="none" w:sz="0" w:space="0" w:color="auto"/>
        <w:right w:val="none" w:sz="0" w:space="0" w:color="auto"/>
      </w:divBdr>
    </w:div>
    <w:div w:id="138739969">
      <w:bodyDiv w:val="1"/>
      <w:marLeft w:val="0"/>
      <w:marRight w:val="0"/>
      <w:marTop w:val="0"/>
      <w:marBottom w:val="0"/>
      <w:divBdr>
        <w:top w:val="none" w:sz="0" w:space="0" w:color="auto"/>
        <w:left w:val="none" w:sz="0" w:space="0" w:color="auto"/>
        <w:bottom w:val="none" w:sz="0" w:space="0" w:color="auto"/>
        <w:right w:val="none" w:sz="0" w:space="0" w:color="auto"/>
      </w:divBdr>
    </w:div>
    <w:div w:id="161162912">
      <w:bodyDiv w:val="1"/>
      <w:marLeft w:val="0"/>
      <w:marRight w:val="0"/>
      <w:marTop w:val="0"/>
      <w:marBottom w:val="0"/>
      <w:divBdr>
        <w:top w:val="none" w:sz="0" w:space="0" w:color="auto"/>
        <w:left w:val="none" w:sz="0" w:space="0" w:color="auto"/>
        <w:bottom w:val="none" w:sz="0" w:space="0" w:color="auto"/>
        <w:right w:val="none" w:sz="0" w:space="0" w:color="auto"/>
      </w:divBdr>
    </w:div>
    <w:div w:id="174928395">
      <w:bodyDiv w:val="1"/>
      <w:marLeft w:val="0"/>
      <w:marRight w:val="0"/>
      <w:marTop w:val="0"/>
      <w:marBottom w:val="0"/>
      <w:divBdr>
        <w:top w:val="none" w:sz="0" w:space="0" w:color="auto"/>
        <w:left w:val="none" w:sz="0" w:space="0" w:color="auto"/>
        <w:bottom w:val="none" w:sz="0" w:space="0" w:color="auto"/>
        <w:right w:val="none" w:sz="0" w:space="0" w:color="auto"/>
      </w:divBdr>
      <w:divsChild>
        <w:div w:id="697051509">
          <w:marLeft w:val="60"/>
          <w:marRight w:val="0"/>
          <w:marTop w:val="0"/>
          <w:marBottom w:val="0"/>
          <w:divBdr>
            <w:top w:val="none" w:sz="0" w:space="0" w:color="auto"/>
            <w:left w:val="single" w:sz="24" w:space="0" w:color="99C6D7"/>
            <w:bottom w:val="none" w:sz="0" w:space="0" w:color="auto"/>
            <w:right w:val="none" w:sz="0" w:space="0" w:color="auto"/>
          </w:divBdr>
        </w:div>
      </w:divsChild>
    </w:div>
    <w:div w:id="209264092">
      <w:bodyDiv w:val="1"/>
      <w:marLeft w:val="0"/>
      <w:marRight w:val="0"/>
      <w:marTop w:val="0"/>
      <w:marBottom w:val="0"/>
      <w:divBdr>
        <w:top w:val="none" w:sz="0" w:space="0" w:color="auto"/>
        <w:left w:val="none" w:sz="0" w:space="0" w:color="auto"/>
        <w:bottom w:val="none" w:sz="0" w:space="0" w:color="auto"/>
        <w:right w:val="none" w:sz="0" w:space="0" w:color="auto"/>
      </w:divBdr>
    </w:div>
    <w:div w:id="224217425">
      <w:bodyDiv w:val="1"/>
      <w:marLeft w:val="0"/>
      <w:marRight w:val="0"/>
      <w:marTop w:val="0"/>
      <w:marBottom w:val="0"/>
      <w:divBdr>
        <w:top w:val="none" w:sz="0" w:space="0" w:color="auto"/>
        <w:left w:val="none" w:sz="0" w:space="0" w:color="auto"/>
        <w:bottom w:val="none" w:sz="0" w:space="0" w:color="auto"/>
        <w:right w:val="none" w:sz="0" w:space="0" w:color="auto"/>
      </w:divBdr>
    </w:div>
    <w:div w:id="248320202">
      <w:bodyDiv w:val="1"/>
      <w:marLeft w:val="0"/>
      <w:marRight w:val="0"/>
      <w:marTop w:val="0"/>
      <w:marBottom w:val="0"/>
      <w:divBdr>
        <w:top w:val="none" w:sz="0" w:space="0" w:color="auto"/>
        <w:left w:val="none" w:sz="0" w:space="0" w:color="auto"/>
        <w:bottom w:val="none" w:sz="0" w:space="0" w:color="auto"/>
        <w:right w:val="none" w:sz="0" w:space="0" w:color="auto"/>
      </w:divBdr>
    </w:div>
    <w:div w:id="333536830">
      <w:bodyDiv w:val="1"/>
      <w:marLeft w:val="0"/>
      <w:marRight w:val="0"/>
      <w:marTop w:val="0"/>
      <w:marBottom w:val="0"/>
      <w:divBdr>
        <w:top w:val="none" w:sz="0" w:space="0" w:color="auto"/>
        <w:left w:val="none" w:sz="0" w:space="0" w:color="auto"/>
        <w:bottom w:val="none" w:sz="0" w:space="0" w:color="auto"/>
        <w:right w:val="none" w:sz="0" w:space="0" w:color="auto"/>
      </w:divBdr>
    </w:div>
    <w:div w:id="348800248">
      <w:bodyDiv w:val="1"/>
      <w:marLeft w:val="0"/>
      <w:marRight w:val="0"/>
      <w:marTop w:val="0"/>
      <w:marBottom w:val="0"/>
      <w:divBdr>
        <w:top w:val="none" w:sz="0" w:space="0" w:color="auto"/>
        <w:left w:val="none" w:sz="0" w:space="0" w:color="auto"/>
        <w:bottom w:val="none" w:sz="0" w:space="0" w:color="auto"/>
        <w:right w:val="none" w:sz="0" w:space="0" w:color="auto"/>
      </w:divBdr>
    </w:div>
    <w:div w:id="359859756">
      <w:bodyDiv w:val="1"/>
      <w:marLeft w:val="0"/>
      <w:marRight w:val="0"/>
      <w:marTop w:val="0"/>
      <w:marBottom w:val="0"/>
      <w:divBdr>
        <w:top w:val="none" w:sz="0" w:space="0" w:color="auto"/>
        <w:left w:val="none" w:sz="0" w:space="0" w:color="auto"/>
        <w:bottom w:val="none" w:sz="0" w:space="0" w:color="auto"/>
        <w:right w:val="none" w:sz="0" w:space="0" w:color="auto"/>
      </w:divBdr>
    </w:div>
    <w:div w:id="474416336">
      <w:bodyDiv w:val="1"/>
      <w:marLeft w:val="0"/>
      <w:marRight w:val="0"/>
      <w:marTop w:val="0"/>
      <w:marBottom w:val="0"/>
      <w:divBdr>
        <w:top w:val="none" w:sz="0" w:space="0" w:color="auto"/>
        <w:left w:val="none" w:sz="0" w:space="0" w:color="auto"/>
        <w:bottom w:val="none" w:sz="0" w:space="0" w:color="auto"/>
        <w:right w:val="none" w:sz="0" w:space="0" w:color="auto"/>
      </w:divBdr>
    </w:div>
    <w:div w:id="491794153">
      <w:bodyDiv w:val="1"/>
      <w:marLeft w:val="0"/>
      <w:marRight w:val="0"/>
      <w:marTop w:val="0"/>
      <w:marBottom w:val="0"/>
      <w:divBdr>
        <w:top w:val="none" w:sz="0" w:space="0" w:color="auto"/>
        <w:left w:val="none" w:sz="0" w:space="0" w:color="auto"/>
        <w:bottom w:val="none" w:sz="0" w:space="0" w:color="auto"/>
        <w:right w:val="none" w:sz="0" w:space="0" w:color="auto"/>
      </w:divBdr>
    </w:div>
    <w:div w:id="526333110">
      <w:bodyDiv w:val="1"/>
      <w:marLeft w:val="0"/>
      <w:marRight w:val="0"/>
      <w:marTop w:val="0"/>
      <w:marBottom w:val="0"/>
      <w:divBdr>
        <w:top w:val="none" w:sz="0" w:space="0" w:color="auto"/>
        <w:left w:val="none" w:sz="0" w:space="0" w:color="auto"/>
        <w:bottom w:val="none" w:sz="0" w:space="0" w:color="auto"/>
        <w:right w:val="none" w:sz="0" w:space="0" w:color="auto"/>
      </w:divBdr>
    </w:div>
    <w:div w:id="543566590">
      <w:bodyDiv w:val="1"/>
      <w:marLeft w:val="0"/>
      <w:marRight w:val="0"/>
      <w:marTop w:val="0"/>
      <w:marBottom w:val="0"/>
      <w:divBdr>
        <w:top w:val="none" w:sz="0" w:space="0" w:color="auto"/>
        <w:left w:val="none" w:sz="0" w:space="0" w:color="auto"/>
        <w:bottom w:val="none" w:sz="0" w:space="0" w:color="auto"/>
        <w:right w:val="none" w:sz="0" w:space="0" w:color="auto"/>
      </w:divBdr>
    </w:div>
    <w:div w:id="577784675">
      <w:bodyDiv w:val="1"/>
      <w:marLeft w:val="0"/>
      <w:marRight w:val="0"/>
      <w:marTop w:val="0"/>
      <w:marBottom w:val="0"/>
      <w:divBdr>
        <w:top w:val="none" w:sz="0" w:space="0" w:color="auto"/>
        <w:left w:val="none" w:sz="0" w:space="0" w:color="auto"/>
        <w:bottom w:val="none" w:sz="0" w:space="0" w:color="auto"/>
        <w:right w:val="none" w:sz="0" w:space="0" w:color="auto"/>
      </w:divBdr>
    </w:div>
    <w:div w:id="623777519">
      <w:bodyDiv w:val="1"/>
      <w:marLeft w:val="0"/>
      <w:marRight w:val="0"/>
      <w:marTop w:val="0"/>
      <w:marBottom w:val="0"/>
      <w:divBdr>
        <w:top w:val="none" w:sz="0" w:space="0" w:color="auto"/>
        <w:left w:val="none" w:sz="0" w:space="0" w:color="auto"/>
        <w:bottom w:val="none" w:sz="0" w:space="0" w:color="auto"/>
        <w:right w:val="none" w:sz="0" w:space="0" w:color="auto"/>
      </w:divBdr>
    </w:div>
    <w:div w:id="692926563">
      <w:bodyDiv w:val="1"/>
      <w:marLeft w:val="0"/>
      <w:marRight w:val="0"/>
      <w:marTop w:val="0"/>
      <w:marBottom w:val="0"/>
      <w:divBdr>
        <w:top w:val="none" w:sz="0" w:space="0" w:color="auto"/>
        <w:left w:val="none" w:sz="0" w:space="0" w:color="auto"/>
        <w:bottom w:val="none" w:sz="0" w:space="0" w:color="auto"/>
        <w:right w:val="none" w:sz="0" w:space="0" w:color="auto"/>
      </w:divBdr>
      <w:divsChild>
        <w:div w:id="1059666479">
          <w:marLeft w:val="0"/>
          <w:marRight w:val="0"/>
          <w:marTop w:val="0"/>
          <w:marBottom w:val="0"/>
          <w:divBdr>
            <w:top w:val="single" w:sz="6" w:space="0" w:color="000000"/>
            <w:left w:val="none" w:sz="0" w:space="0" w:color="auto"/>
            <w:bottom w:val="none" w:sz="0" w:space="0" w:color="auto"/>
            <w:right w:val="single" w:sz="6" w:space="11" w:color="000000"/>
          </w:divBdr>
        </w:div>
      </w:divsChild>
    </w:div>
    <w:div w:id="735711752">
      <w:bodyDiv w:val="1"/>
      <w:marLeft w:val="0"/>
      <w:marRight w:val="0"/>
      <w:marTop w:val="0"/>
      <w:marBottom w:val="0"/>
      <w:divBdr>
        <w:top w:val="none" w:sz="0" w:space="0" w:color="auto"/>
        <w:left w:val="none" w:sz="0" w:space="0" w:color="auto"/>
        <w:bottom w:val="none" w:sz="0" w:space="0" w:color="auto"/>
        <w:right w:val="none" w:sz="0" w:space="0" w:color="auto"/>
      </w:divBdr>
    </w:div>
    <w:div w:id="754010766">
      <w:bodyDiv w:val="1"/>
      <w:marLeft w:val="0"/>
      <w:marRight w:val="0"/>
      <w:marTop w:val="0"/>
      <w:marBottom w:val="0"/>
      <w:divBdr>
        <w:top w:val="none" w:sz="0" w:space="0" w:color="auto"/>
        <w:left w:val="none" w:sz="0" w:space="0" w:color="auto"/>
        <w:bottom w:val="none" w:sz="0" w:space="0" w:color="auto"/>
        <w:right w:val="none" w:sz="0" w:space="0" w:color="auto"/>
      </w:divBdr>
    </w:div>
    <w:div w:id="871501045">
      <w:bodyDiv w:val="1"/>
      <w:marLeft w:val="0"/>
      <w:marRight w:val="0"/>
      <w:marTop w:val="0"/>
      <w:marBottom w:val="0"/>
      <w:divBdr>
        <w:top w:val="none" w:sz="0" w:space="0" w:color="auto"/>
        <w:left w:val="none" w:sz="0" w:space="0" w:color="auto"/>
        <w:bottom w:val="none" w:sz="0" w:space="0" w:color="auto"/>
        <w:right w:val="none" w:sz="0" w:space="0" w:color="auto"/>
      </w:divBdr>
    </w:div>
    <w:div w:id="1004551902">
      <w:bodyDiv w:val="1"/>
      <w:marLeft w:val="0"/>
      <w:marRight w:val="0"/>
      <w:marTop w:val="0"/>
      <w:marBottom w:val="0"/>
      <w:divBdr>
        <w:top w:val="none" w:sz="0" w:space="0" w:color="auto"/>
        <w:left w:val="none" w:sz="0" w:space="0" w:color="auto"/>
        <w:bottom w:val="none" w:sz="0" w:space="0" w:color="auto"/>
        <w:right w:val="none" w:sz="0" w:space="0" w:color="auto"/>
      </w:divBdr>
    </w:div>
    <w:div w:id="1129938203">
      <w:bodyDiv w:val="1"/>
      <w:marLeft w:val="0"/>
      <w:marRight w:val="0"/>
      <w:marTop w:val="0"/>
      <w:marBottom w:val="0"/>
      <w:divBdr>
        <w:top w:val="none" w:sz="0" w:space="0" w:color="auto"/>
        <w:left w:val="none" w:sz="0" w:space="0" w:color="auto"/>
        <w:bottom w:val="none" w:sz="0" w:space="0" w:color="auto"/>
        <w:right w:val="none" w:sz="0" w:space="0" w:color="auto"/>
      </w:divBdr>
    </w:div>
    <w:div w:id="1226525043">
      <w:bodyDiv w:val="1"/>
      <w:marLeft w:val="0"/>
      <w:marRight w:val="0"/>
      <w:marTop w:val="0"/>
      <w:marBottom w:val="0"/>
      <w:divBdr>
        <w:top w:val="none" w:sz="0" w:space="0" w:color="auto"/>
        <w:left w:val="none" w:sz="0" w:space="0" w:color="auto"/>
        <w:bottom w:val="none" w:sz="0" w:space="0" w:color="auto"/>
        <w:right w:val="none" w:sz="0" w:space="0" w:color="auto"/>
      </w:divBdr>
    </w:div>
    <w:div w:id="1290356346">
      <w:bodyDiv w:val="1"/>
      <w:marLeft w:val="0"/>
      <w:marRight w:val="0"/>
      <w:marTop w:val="0"/>
      <w:marBottom w:val="0"/>
      <w:divBdr>
        <w:top w:val="none" w:sz="0" w:space="0" w:color="auto"/>
        <w:left w:val="none" w:sz="0" w:space="0" w:color="auto"/>
        <w:bottom w:val="none" w:sz="0" w:space="0" w:color="auto"/>
        <w:right w:val="none" w:sz="0" w:space="0" w:color="auto"/>
      </w:divBdr>
    </w:div>
    <w:div w:id="1345933938">
      <w:bodyDiv w:val="1"/>
      <w:marLeft w:val="0"/>
      <w:marRight w:val="0"/>
      <w:marTop w:val="0"/>
      <w:marBottom w:val="0"/>
      <w:divBdr>
        <w:top w:val="none" w:sz="0" w:space="0" w:color="auto"/>
        <w:left w:val="none" w:sz="0" w:space="0" w:color="auto"/>
        <w:bottom w:val="none" w:sz="0" w:space="0" w:color="auto"/>
        <w:right w:val="none" w:sz="0" w:space="0" w:color="auto"/>
      </w:divBdr>
    </w:div>
    <w:div w:id="1346861556">
      <w:bodyDiv w:val="1"/>
      <w:marLeft w:val="0"/>
      <w:marRight w:val="0"/>
      <w:marTop w:val="0"/>
      <w:marBottom w:val="0"/>
      <w:divBdr>
        <w:top w:val="none" w:sz="0" w:space="0" w:color="auto"/>
        <w:left w:val="none" w:sz="0" w:space="0" w:color="auto"/>
        <w:bottom w:val="none" w:sz="0" w:space="0" w:color="auto"/>
        <w:right w:val="none" w:sz="0" w:space="0" w:color="auto"/>
      </w:divBdr>
    </w:div>
    <w:div w:id="1398550855">
      <w:bodyDiv w:val="1"/>
      <w:marLeft w:val="0"/>
      <w:marRight w:val="0"/>
      <w:marTop w:val="0"/>
      <w:marBottom w:val="0"/>
      <w:divBdr>
        <w:top w:val="none" w:sz="0" w:space="0" w:color="auto"/>
        <w:left w:val="none" w:sz="0" w:space="0" w:color="auto"/>
        <w:bottom w:val="none" w:sz="0" w:space="0" w:color="auto"/>
        <w:right w:val="none" w:sz="0" w:space="0" w:color="auto"/>
      </w:divBdr>
    </w:div>
    <w:div w:id="1447237363">
      <w:bodyDiv w:val="1"/>
      <w:marLeft w:val="0"/>
      <w:marRight w:val="0"/>
      <w:marTop w:val="0"/>
      <w:marBottom w:val="0"/>
      <w:divBdr>
        <w:top w:val="none" w:sz="0" w:space="0" w:color="auto"/>
        <w:left w:val="none" w:sz="0" w:space="0" w:color="auto"/>
        <w:bottom w:val="none" w:sz="0" w:space="0" w:color="auto"/>
        <w:right w:val="none" w:sz="0" w:space="0" w:color="auto"/>
      </w:divBdr>
    </w:div>
    <w:div w:id="1505246042">
      <w:bodyDiv w:val="1"/>
      <w:marLeft w:val="0"/>
      <w:marRight w:val="0"/>
      <w:marTop w:val="0"/>
      <w:marBottom w:val="0"/>
      <w:divBdr>
        <w:top w:val="none" w:sz="0" w:space="0" w:color="auto"/>
        <w:left w:val="none" w:sz="0" w:space="0" w:color="auto"/>
        <w:bottom w:val="none" w:sz="0" w:space="0" w:color="auto"/>
        <w:right w:val="none" w:sz="0" w:space="0" w:color="auto"/>
      </w:divBdr>
    </w:div>
    <w:div w:id="1519008032">
      <w:bodyDiv w:val="1"/>
      <w:marLeft w:val="0"/>
      <w:marRight w:val="0"/>
      <w:marTop w:val="0"/>
      <w:marBottom w:val="0"/>
      <w:divBdr>
        <w:top w:val="none" w:sz="0" w:space="0" w:color="auto"/>
        <w:left w:val="none" w:sz="0" w:space="0" w:color="auto"/>
        <w:bottom w:val="none" w:sz="0" w:space="0" w:color="auto"/>
        <w:right w:val="none" w:sz="0" w:space="0" w:color="auto"/>
      </w:divBdr>
      <w:divsChild>
        <w:div w:id="2025784199">
          <w:marLeft w:val="60"/>
          <w:marRight w:val="0"/>
          <w:marTop w:val="0"/>
          <w:marBottom w:val="0"/>
          <w:divBdr>
            <w:top w:val="none" w:sz="0" w:space="0" w:color="auto"/>
            <w:left w:val="single" w:sz="24" w:space="0" w:color="99C6D7"/>
            <w:bottom w:val="none" w:sz="0" w:space="0" w:color="auto"/>
            <w:right w:val="none" w:sz="0" w:space="0" w:color="auto"/>
          </w:divBdr>
        </w:div>
      </w:divsChild>
    </w:div>
    <w:div w:id="1630815284">
      <w:bodyDiv w:val="1"/>
      <w:marLeft w:val="0"/>
      <w:marRight w:val="0"/>
      <w:marTop w:val="0"/>
      <w:marBottom w:val="0"/>
      <w:divBdr>
        <w:top w:val="none" w:sz="0" w:space="0" w:color="auto"/>
        <w:left w:val="none" w:sz="0" w:space="0" w:color="auto"/>
        <w:bottom w:val="none" w:sz="0" w:space="0" w:color="auto"/>
        <w:right w:val="none" w:sz="0" w:space="0" w:color="auto"/>
      </w:divBdr>
    </w:div>
    <w:div w:id="1664159714">
      <w:bodyDiv w:val="1"/>
      <w:marLeft w:val="0"/>
      <w:marRight w:val="0"/>
      <w:marTop w:val="0"/>
      <w:marBottom w:val="0"/>
      <w:divBdr>
        <w:top w:val="none" w:sz="0" w:space="0" w:color="auto"/>
        <w:left w:val="none" w:sz="0" w:space="0" w:color="auto"/>
        <w:bottom w:val="none" w:sz="0" w:space="0" w:color="auto"/>
        <w:right w:val="none" w:sz="0" w:space="0" w:color="auto"/>
      </w:divBdr>
    </w:div>
    <w:div w:id="1783838011">
      <w:bodyDiv w:val="1"/>
      <w:marLeft w:val="0"/>
      <w:marRight w:val="0"/>
      <w:marTop w:val="0"/>
      <w:marBottom w:val="0"/>
      <w:divBdr>
        <w:top w:val="none" w:sz="0" w:space="0" w:color="auto"/>
        <w:left w:val="none" w:sz="0" w:space="0" w:color="auto"/>
        <w:bottom w:val="none" w:sz="0" w:space="0" w:color="auto"/>
        <w:right w:val="none" w:sz="0" w:space="0" w:color="auto"/>
      </w:divBdr>
    </w:div>
    <w:div w:id="1853836919">
      <w:bodyDiv w:val="1"/>
      <w:marLeft w:val="0"/>
      <w:marRight w:val="0"/>
      <w:marTop w:val="0"/>
      <w:marBottom w:val="0"/>
      <w:divBdr>
        <w:top w:val="none" w:sz="0" w:space="0" w:color="auto"/>
        <w:left w:val="none" w:sz="0" w:space="0" w:color="auto"/>
        <w:bottom w:val="none" w:sz="0" w:space="0" w:color="auto"/>
        <w:right w:val="none" w:sz="0" w:space="0" w:color="auto"/>
      </w:divBdr>
    </w:div>
    <w:div w:id="1997613027">
      <w:bodyDiv w:val="1"/>
      <w:marLeft w:val="0"/>
      <w:marRight w:val="0"/>
      <w:marTop w:val="0"/>
      <w:marBottom w:val="0"/>
      <w:divBdr>
        <w:top w:val="none" w:sz="0" w:space="0" w:color="auto"/>
        <w:left w:val="none" w:sz="0" w:space="0" w:color="auto"/>
        <w:bottom w:val="none" w:sz="0" w:space="0" w:color="auto"/>
        <w:right w:val="none" w:sz="0" w:space="0" w:color="auto"/>
      </w:divBdr>
      <w:divsChild>
        <w:div w:id="1525821076">
          <w:marLeft w:val="0"/>
          <w:marRight w:val="0"/>
          <w:marTop w:val="0"/>
          <w:marBottom w:val="0"/>
          <w:divBdr>
            <w:top w:val="none" w:sz="0" w:space="0" w:color="auto"/>
            <w:left w:val="none" w:sz="0" w:space="0" w:color="auto"/>
            <w:bottom w:val="none" w:sz="0" w:space="0" w:color="auto"/>
            <w:right w:val="none" w:sz="0" w:space="0" w:color="auto"/>
          </w:divBdr>
        </w:div>
      </w:divsChild>
    </w:div>
    <w:div w:id="2017339237">
      <w:bodyDiv w:val="1"/>
      <w:marLeft w:val="0"/>
      <w:marRight w:val="0"/>
      <w:marTop w:val="0"/>
      <w:marBottom w:val="0"/>
      <w:divBdr>
        <w:top w:val="none" w:sz="0" w:space="0" w:color="auto"/>
        <w:left w:val="none" w:sz="0" w:space="0" w:color="auto"/>
        <w:bottom w:val="none" w:sz="0" w:space="0" w:color="auto"/>
        <w:right w:val="none" w:sz="0" w:space="0" w:color="auto"/>
      </w:divBdr>
    </w:div>
    <w:div w:id="2032560902">
      <w:bodyDiv w:val="1"/>
      <w:marLeft w:val="0"/>
      <w:marRight w:val="0"/>
      <w:marTop w:val="0"/>
      <w:marBottom w:val="0"/>
      <w:divBdr>
        <w:top w:val="none" w:sz="0" w:space="0" w:color="auto"/>
        <w:left w:val="none" w:sz="0" w:space="0" w:color="auto"/>
        <w:bottom w:val="none" w:sz="0" w:space="0" w:color="auto"/>
        <w:right w:val="none" w:sz="0" w:space="0" w:color="auto"/>
      </w:divBdr>
    </w:div>
    <w:div w:id="2033064544">
      <w:bodyDiv w:val="1"/>
      <w:marLeft w:val="0"/>
      <w:marRight w:val="0"/>
      <w:marTop w:val="0"/>
      <w:marBottom w:val="0"/>
      <w:divBdr>
        <w:top w:val="none" w:sz="0" w:space="0" w:color="auto"/>
        <w:left w:val="none" w:sz="0" w:space="0" w:color="auto"/>
        <w:bottom w:val="none" w:sz="0" w:space="0" w:color="auto"/>
        <w:right w:val="none" w:sz="0" w:space="0" w:color="auto"/>
      </w:divBdr>
      <w:divsChild>
        <w:div w:id="417681417">
          <w:marLeft w:val="0"/>
          <w:marRight w:val="0"/>
          <w:marTop w:val="0"/>
          <w:marBottom w:val="0"/>
          <w:divBdr>
            <w:top w:val="single" w:sz="6" w:space="0" w:color="000000"/>
            <w:left w:val="none" w:sz="0" w:space="0" w:color="auto"/>
            <w:bottom w:val="none" w:sz="0" w:space="0" w:color="auto"/>
            <w:right w:val="single" w:sz="6" w:space="11" w:color="000000"/>
          </w:divBdr>
        </w:div>
      </w:divsChild>
    </w:div>
    <w:div w:id="213864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ancois.renoz@uclouvain.b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gitlab.com/abaoula/codes-opencv" TargetMode="External"/><Relationship Id="rId4" Type="http://schemas.openxmlformats.org/officeDocument/2006/relationships/settings" Target="settings.xml"/><Relationship Id="rId9" Type="http://schemas.openxmlformats.org/officeDocument/2006/relationships/hyperlink" Target="https://gitlab.com/abaoula/codes-opencv"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F9BB3-F192-41BD-8148-DC21D83B7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13871</TotalTime>
  <Pages>36</Pages>
  <Words>65780</Words>
  <Characters>361796</Characters>
  <Application>Microsoft Office Word</Application>
  <DocSecurity>0</DocSecurity>
  <Lines>3014</Lines>
  <Paragraphs>853</Paragraphs>
  <ScaleCrop>false</ScaleCrop>
  <HeadingPairs>
    <vt:vector size="2" baseType="variant">
      <vt:variant>
        <vt:lpstr>Titre</vt:lpstr>
      </vt:variant>
      <vt:variant>
        <vt:i4>1</vt:i4>
      </vt:variant>
    </vt:vector>
  </HeadingPairs>
  <TitlesOfParts>
    <vt:vector size="1" baseType="lpstr">
      <vt:lpstr/>
    </vt:vector>
  </TitlesOfParts>
  <Company>Université Catholique de Louvain</Company>
  <LinksUpToDate>false</LinksUpToDate>
  <CharactersWithSpaces>426723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François Renoz</dc:creator>
  <cp:keywords/>
  <dc:description/>
  <cp:lastModifiedBy>François Renoz</cp:lastModifiedBy>
  <cp:revision>338</cp:revision>
  <cp:lastPrinted>2021-03-22T20:02:00Z</cp:lastPrinted>
  <dcterms:created xsi:type="dcterms:W3CDTF">2020-04-22T11:18:00Z</dcterms:created>
  <dcterms:modified xsi:type="dcterms:W3CDTF">2021-10-20T08:49:00Z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id="LEA5qvY5"/&gt;&lt;style id="http://www.zotero.org/styles/journal-of-pest-science" hasBibliography="1" bibliographyStyleHasBeenSet="1"/&gt;&lt;prefs&gt;&lt;pref name="fieldType" value="Field"/&gt;&lt;pref name="automatic</vt:lpwstr>
  </property>
  <property fmtid="{D5CDD505-2E9C-101B-9397-08002B2CF9AE}" pid="3" name="ZOTERO_PREF_2">
    <vt:lpwstr>JournalAbbreviations" value="true"/&gt;&lt;pref name="dontAskDelayCitationUpdates" value="true"/&gt;&lt;/prefs&gt;&lt;/data&gt;</vt:lpwstr>
  </property>
</Properties>
</file>